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33491" w14:textId="77777777" w:rsidR="00F15095" w:rsidRPr="00DC14F7" w:rsidRDefault="0088771D" w:rsidP="00F15095">
      <w:pPr>
        <w:pStyle w:val="Title"/>
        <w:spacing w:after="360"/>
        <w:contextualSpacing w:val="0"/>
        <w:rPr>
          <w:rFonts w:asciiTheme="minorHAnsi" w:hAnsiTheme="minorHAnsi"/>
          <w:color w:val="57585F" w:themeColor="accent5" w:themeShade="BF"/>
          <w:sz w:val="80"/>
        </w:rPr>
      </w:pPr>
      <w:bookmarkStart w:id="0" w:name="_Toc393978780"/>
      <w:bookmarkStart w:id="1" w:name="_GoBack"/>
      <w:bookmarkEnd w:id="1"/>
      <w:r w:rsidRPr="00DC14F7">
        <w:rPr>
          <w:rFonts w:asciiTheme="minorHAnsi" w:hAnsiTheme="minorHAnsi"/>
          <w:color w:val="57585F" w:themeColor="accent5" w:themeShade="BF"/>
          <w:sz w:val="80"/>
        </w:rPr>
        <w:t>KPMG</w:t>
      </w:r>
    </w:p>
    <w:p w14:paraId="4E85D74F" w14:textId="0CCC9AC5" w:rsidR="00865119" w:rsidRPr="00DC14F7" w:rsidRDefault="0088771D" w:rsidP="00DC14F7">
      <w:pPr>
        <w:pStyle w:val="Title"/>
        <w:spacing w:after="360"/>
        <w:contextualSpacing w:val="0"/>
        <w:rPr>
          <w:rFonts w:asciiTheme="minorHAnsi" w:hAnsiTheme="minorHAnsi"/>
          <w:color w:val="57585F" w:themeColor="accent5" w:themeShade="BF"/>
        </w:rPr>
      </w:pPr>
      <w:r w:rsidRPr="00DC14F7">
        <w:rPr>
          <w:rFonts w:asciiTheme="minorHAnsi" w:hAnsiTheme="minorHAnsi"/>
          <w:color w:val="57585F" w:themeColor="accent5" w:themeShade="BF"/>
        </w:rPr>
        <w:t>The cost of violence against women and their children in Australia</w:t>
      </w:r>
    </w:p>
    <w:p w14:paraId="1D2B1FC8" w14:textId="705876A5" w:rsidR="00865119" w:rsidRPr="00865119" w:rsidRDefault="00865119" w:rsidP="000860CE">
      <w:pPr>
        <w:spacing w:before="8640"/>
        <w:rPr>
          <w:b/>
          <w:i/>
          <w:sz w:val="28"/>
        </w:rPr>
      </w:pPr>
      <w:r w:rsidRPr="00865119">
        <w:rPr>
          <w:b/>
          <w:i/>
          <w:sz w:val="28"/>
        </w:rPr>
        <w:t>Final Detailed Report</w:t>
      </w:r>
    </w:p>
    <w:p w14:paraId="7A313D36" w14:textId="5C018B53" w:rsidR="000860CE" w:rsidRPr="000860CE" w:rsidRDefault="000860CE" w:rsidP="00865119">
      <w:pPr>
        <w:rPr>
          <w:sz w:val="28"/>
        </w:rPr>
      </w:pPr>
      <w:r w:rsidRPr="000860CE">
        <w:rPr>
          <w:sz w:val="28"/>
        </w:rPr>
        <w:t>This report has been prepared for the Australian Government Department of Social Services</w:t>
      </w:r>
    </w:p>
    <w:p w14:paraId="03EC53A8" w14:textId="281FE8D4" w:rsidR="00865119" w:rsidRPr="000860CE" w:rsidRDefault="0003212F" w:rsidP="00865119">
      <w:pPr>
        <w:rPr>
          <w:b/>
          <w:sz w:val="28"/>
        </w:rPr>
        <w:sectPr w:rsidR="00865119" w:rsidRPr="000860CE" w:rsidSect="00F8042D">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440" w:right="1440" w:bottom="1440" w:left="1440" w:header="680" w:footer="680" w:gutter="0"/>
          <w:cols w:space="708"/>
          <w:docGrid w:linePitch="360"/>
        </w:sectPr>
      </w:pPr>
      <w:r>
        <w:rPr>
          <w:b/>
          <w:sz w:val="28"/>
        </w:rPr>
        <w:t>May</w:t>
      </w:r>
      <w:r w:rsidR="00865119" w:rsidRPr="000860CE">
        <w:rPr>
          <w:b/>
          <w:sz w:val="28"/>
        </w:rPr>
        <w:t xml:space="preserve"> 2016</w:t>
      </w:r>
    </w:p>
    <w:p w14:paraId="17EAC161" w14:textId="7308DCCC" w:rsidR="007D7C7B" w:rsidRPr="009E2B03" w:rsidRDefault="007D7C7B" w:rsidP="00A60A45">
      <w:pPr>
        <w:pStyle w:val="Heading1"/>
        <w:numPr>
          <w:ilvl w:val="0"/>
          <w:numId w:val="0"/>
        </w:numPr>
        <w:tabs>
          <w:tab w:val="left" w:pos="6061"/>
        </w:tabs>
        <w:ind w:left="720" w:hanging="720"/>
        <w:rPr>
          <w:rFonts w:ascii="Calibri Light" w:eastAsiaTheme="minorHAnsi" w:hAnsi="Calibri Light"/>
          <w:b w:val="0"/>
          <w:noProof/>
          <w:color w:val="6D2077"/>
          <w:sz w:val="76"/>
          <w:szCs w:val="76"/>
          <w:lang w:eastAsia="en-AU"/>
        </w:rPr>
      </w:pPr>
      <w:bookmarkStart w:id="2" w:name="_Toc449553504"/>
      <w:r w:rsidRPr="009E2B03">
        <w:rPr>
          <w:rFonts w:ascii="Calibri Light" w:eastAsiaTheme="minorHAnsi" w:hAnsi="Calibri Light"/>
          <w:b w:val="0"/>
          <w:noProof/>
          <w:color w:val="6D2077"/>
          <w:sz w:val="76"/>
          <w:szCs w:val="76"/>
          <w:lang w:eastAsia="en-AU"/>
        </w:rPr>
        <w:lastRenderedPageBreak/>
        <w:t>Contents</w:t>
      </w:r>
      <w:bookmarkEnd w:id="2"/>
    </w:p>
    <w:p w14:paraId="467CF539" w14:textId="77777777" w:rsidR="000976CA" w:rsidRPr="009E2B03" w:rsidRDefault="00EB042B" w:rsidP="000976CA">
      <w:pPr>
        <w:pStyle w:val="TOC1"/>
        <w:rPr>
          <w:rFonts w:ascii="Calibri Light" w:eastAsiaTheme="minorEastAsia" w:hAnsi="Calibri Light"/>
          <w:color w:val="6D2077"/>
          <w:szCs w:val="22"/>
          <w:lang w:eastAsia="en-AU"/>
        </w:rPr>
      </w:pPr>
      <w:r w:rsidRPr="009E2B03">
        <w:rPr>
          <w:rFonts w:ascii="Calibri Light" w:hAnsi="Calibri Light"/>
          <w:color w:val="6D2077"/>
        </w:rPr>
        <w:fldChar w:fldCharType="begin"/>
      </w:r>
      <w:r w:rsidRPr="009E2B03">
        <w:rPr>
          <w:rFonts w:ascii="Calibri Light" w:hAnsi="Calibri Light"/>
          <w:color w:val="6D2077"/>
        </w:rPr>
        <w:instrText xml:space="preserve"> TOC \o "1-2" \h \z \u </w:instrText>
      </w:r>
      <w:r w:rsidRPr="009E2B03">
        <w:rPr>
          <w:rFonts w:ascii="Calibri Light" w:hAnsi="Calibri Light"/>
          <w:color w:val="6D2077"/>
        </w:rPr>
        <w:fldChar w:fldCharType="separate"/>
      </w:r>
      <w:hyperlink w:anchor="_Toc449553504" w:history="1">
        <w:r w:rsidR="000976CA" w:rsidRPr="009E2B03">
          <w:rPr>
            <w:rStyle w:val="Hyperlink"/>
            <w:rFonts w:ascii="Calibri Light" w:hAnsi="Calibri Light"/>
            <w:color w:val="6D2077"/>
            <w:lang w:eastAsia="en-AU"/>
          </w:rPr>
          <w:t>Contents</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_Toc449553504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sidR="00417237">
          <w:rPr>
            <w:rFonts w:ascii="Calibri Light" w:hAnsi="Calibri Light"/>
            <w:webHidden/>
            <w:color w:val="6D2077"/>
          </w:rPr>
          <w:t>2</w:t>
        </w:r>
        <w:r w:rsidR="000976CA" w:rsidRPr="009E2B03">
          <w:rPr>
            <w:rFonts w:ascii="Calibri Light" w:hAnsi="Calibri Light"/>
            <w:webHidden/>
            <w:color w:val="6D2077"/>
          </w:rPr>
          <w:fldChar w:fldCharType="end"/>
        </w:r>
      </w:hyperlink>
    </w:p>
    <w:p w14:paraId="42D86ACB" w14:textId="6DEBBF0B" w:rsidR="000976CA" w:rsidRPr="009E2B03" w:rsidRDefault="00417237" w:rsidP="000976CA">
      <w:pPr>
        <w:pStyle w:val="TOC1"/>
        <w:rPr>
          <w:rFonts w:ascii="Calibri Light" w:eastAsiaTheme="minorEastAsia" w:hAnsi="Calibri Light"/>
          <w:color w:val="6D2077"/>
          <w:szCs w:val="22"/>
          <w:lang w:eastAsia="en-AU"/>
        </w:rPr>
      </w:pPr>
      <w:hyperlink w:anchor="_Toc449553505" w:history="1">
        <w:r w:rsidR="000976CA" w:rsidRPr="009E2B03">
          <w:rPr>
            <w:rStyle w:val="Hyperlink"/>
            <w:rFonts w:ascii="Calibri Light" w:hAnsi="Calibri Light"/>
            <w:color w:val="6D2077"/>
            <w:lang w:eastAsia="en-AU"/>
          </w:rPr>
          <w:t>Glossary</w:t>
        </w:r>
        <w:r w:rsidR="004B6204" w:rsidRPr="009E2B03">
          <w:rPr>
            <w:rStyle w:val="Hyperlink"/>
            <w:rFonts w:ascii="Calibri Light" w:hAnsi="Calibri Light"/>
            <w:color w:val="6D2077"/>
            <w:lang w:eastAsia="en-AU"/>
          </w:rPr>
          <w:t xml:space="preserve"> and Definitions of Terms</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_Toc449553505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5</w:t>
        </w:r>
        <w:r w:rsidR="000976CA" w:rsidRPr="009E2B03">
          <w:rPr>
            <w:rFonts w:ascii="Calibri Light" w:hAnsi="Calibri Light"/>
            <w:webHidden/>
            <w:color w:val="6D2077"/>
          </w:rPr>
          <w:fldChar w:fldCharType="end"/>
        </w:r>
      </w:hyperlink>
    </w:p>
    <w:p w14:paraId="0385B47B"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06" w:history="1">
        <w:r w:rsidR="000976CA" w:rsidRPr="009E2B03">
          <w:rPr>
            <w:rStyle w:val="Hyperlink"/>
            <w:rFonts w:ascii="Calibri Light" w:hAnsi="Calibri Light"/>
            <w:color w:val="6D2077"/>
            <w:lang w:eastAsia="en-AU"/>
          </w:rPr>
          <w:t>Executive Summary</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_Toc449553506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8</w:t>
        </w:r>
        <w:r w:rsidR="000976CA" w:rsidRPr="009E2B03">
          <w:rPr>
            <w:rFonts w:ascii="Calibri Light" w:hAnsi="Calibri Light"/>
            <w:webHidden/>
            <w:color w:val="6D2077"/>
          </w:rPr>
          <w:fldChar w:fldCharType="end"/>
        </w:r>
      </w:hyperlink>
    </w:p>
    <w:p w14:paraId="3B699825"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07" w:history="1">
        <w:r w:rsidR="000976CA" w:rsidRPr="009E2B03">
          <w:rPr>
            <w:rStyle w:val="Hyperlink"/>
            <w:rFonts w:ascii="Calibri Light" w:hAnsi="Calibri Light"/>
            <w:color w:val="6D2077"/>
            <w:lang w:eastAsia="en-AU"/>
          </w:rPr>
          <w:t>1</w:t>
        </w:r>
        <w:r w:rsidR="000976CA" w:rsidRPr="009E2B03">
          <w:rPr>
            <w:rFonts w:ascii="Calibri Light" w:eastAsiaTheme="minorEastAsia" w:hAnsi="Calibri Light"/>
            <w:color w:val="6D2077"/>
            <w:szCs w:val="22"/>
            <w:lang w:eastAsia="en-AU"/>
          </w:rPr>
          <w:tab/>
        </w:r>
        <w:r w:rsidR="000976CA" w:rsidRPr="009E2B03">
          <w:rPr>
            <w:rStyle w:val="Hyperlink"/>
            <w:rFonts w:ascii="Calibri Light" w:hAnsi="Calibri Light"/>
            <w:color w:val="6D2077"/>
            <w:lang w:eastAsia="en-AU"/>
          </w:rPr>
          <w:t>Introduction</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_Toc449553507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18</w:t>
        </w:r>
        <w:r w:rsidR="000976CA" w:rsidRPr="009E2B03">
          <w:rPr>
            <w:rFonts w:ascii="Calibri Light" w:hAnsi="Calibri Light"/>
            <w:webHidden/>
            <w:color w:val="6D2077"/>
          </w:rPr>
          <w:fldChar w:fldCharType="end"/>
        </w:r>
      </w:hyperlink>
    </w:p>
    <w:p w14:paraId="5CFE8587"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08" w:history="1">
        <w:r w:rsidR="000976CA" w:rsidRPr="009E2B03">
          <w:rPr>
            <w:rStyle w:val="Hyperlink"/>
            <w:rFonts w:ascii="Calibri Light" w:eastAsia="Batang" w:hAnsi="Calibri Light" w:cs="Arial"/>
            <w:noProof/>
            <w:color w:val="6D2077"/>
            <w14:scene3d>
              <w14:camera w14:prst="orthographicFront"/>
              <w14:lightRig w14:rig="threePt" w14:dir="t">
                <w14:rot w14:lat="0" w14:lon="0" w14:rev="0"/>
              </w14:lightRig>
            </w14:scene3d>
          </w:rPr>
          <w:t>1.1</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Background</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_Toc449553508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18</w:t>
        </w:r>
        <w:r w:rsidR="000976CA" w:rsidRPr="009E2B03">
          <w:rPr>
            <w:rFonts w:ascii="Calibri Light" w:hAnsi="Calibri Light" w:cs="Arial"/>
            <w:noProof/>
            <w:webHidden/>
            <w:color w:val="6D2077"/>
          </w:rPr>
          <w:fldChar w:fldCharType="end"/>
        </w:r>
      </w:hyperlink>
    </w:p>
    <w:p w14:paraId="2B556DD3"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09" w:history="1">
        <w:r w:rsidR="000976CA" w:rsidRPr="009E2B03">
          <w:rPr>
            <w:rStyle w:val="Hyperlink"/>
            <w:rFonts w:ascii="Calibri Light" w:eastAsia="Batang" w:hAnsi="Calibri Light" w:cs="Arial"/>
            <w:noProof/>
            <w:color w:val="6D2077"/>
            <w14:scene3d>
              <w14:camera w14:prst="orthographicFront"/>
              <w14:lightRig w14:rig="threePt" w14:dir="t">
                <w14:rot w14:lat="0" w14:lon="0" w14:rev="0"/>
              </w14:lightRig>
            </w14:scene3d>
          </w:rPr>
          <w:t>1.2</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The policy context in Australia</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_Toc449553509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19</w:t>
        </w:r>
        <w:r w:rsidR="000976CA" w:rsidRPr="009E2B03">
          <w:rPr>
            <w:rFonts w:ascii="Calibri Light" w:hAnsi="Calibri Light" w:cs="Arial"/>
            <w:noProof/>
            <w:webHidden/>
            <w:color w:val="6D2077"/>
          </w:rPr>
          <w:fldChar w:fldCharType="end"/>
        </w:r>
      </w:hyperlink>
    </w:p>
    <w:p w14:paraId="07631312"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0" w:history="1">
        <w:r w:rsidR="000976CA" w:rsidRPr="009E2B03">
          <w:rPr>
            <w:rStyle w:val="Hyperlink"/>
            <w:rFonts w:ascii="Calibri Light" w:eastAsia="Batang" w:hAnsi="Calibri Light" w:cs="Arial"/>
            <w:noProof/>
            <w:color w:val="6D2077"/>
            <w14:scene3d>
              <w14:camera w14:prst="orthographicFront"/>
              <w14:lightRig w14:rig="threePt" w14:dir="t">
                <w14:rot w14:lat="0" w14:lon="0" w14:rev="0"/>
              </w14:lightRig>
            </w14:scene3d>
          </w:rPr>
          <w:t>1.3</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Purpose and scope of this Report</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_Toc449553510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20</w:t>
        </w:r>
        <w:r w:rsidR="000976CA" w:rsidRPr="009E2B03">
          <w:rPr>
            <w:rFonts w:ascii="Calibri Light" w:hAnsi="Calibri Light" w:cs="Arial"/>
            <w:noProof/>
            <w:webHidden/>
            <w:color w:val="6D2077"/>
          </w:rPr>
          <w:fldChar w:fldCharType="end"/>
        </w:r>
      </w:hyperlink>
    </w:p>
    <w:p w14:paraId="7EDF3DBA"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1" w:history="1">
        <w:r w:rsidR="000976CA" w:rsidRPr="009E2B03">
          <w:rPr>
            <w:rStyle w:val="Hyperlink"/>
            <w:rFonts w:ascii="Calibri Light" w:eastAsia="Batang" w:hAnsi="Calibri Light" w:cs="Arial"/>
            <w:noProof/>
            <w:color w:val="6D2077"/>
            <w14:scene3d>
              <w14:camera w14:prst="orthographicFront"/>
              <w14:lightRig w14:rig="threePt" w14:dir="t">
                <w14:rot w14:lat="0" w14:lon="0" w14:rev="0"/>
              </w14:lightRig>
            </w14:scene3d>
          </w:rPr>
          <w:t>1.4</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Structure of this Report</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_Toc449553511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21</w:t>
        </w:r>
        <w:r w:rsidR="000976CA" w:rsidRPr="009E2B03">
          <w:rPr>
            <w:rFonts w:ascii="Calibri Light" w:hAnsi="Calibri Light" w:cs="Arial"/>
            <w:noProof/>
            <w:webHidden/>
            <w:color w:val="6D2077"/>
          </w:rPr>
          <w:fldChar w:fldCharType="end"/>
        </w:r>
      </w:hyperlink>
    </w:p>
    <w:p w14:paraId="554FFE82"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12" w:history="1">
        <w:r w:rsidR="000976CA" w:rsidRPr="009E2B03">
          <w:rPr>
            <w:rStyle w:val="Hyperlink"/>
            <w:rFonts w:ascii="Calibri Light" w:hAnsi="Calibri Light"/>
            <w:color w:val="6D2077"/>
          </w:rPr>
          <w:t>2</w:t>
        </w:r>
        <w:r w:rsidR="000976CA" w:rsidRPr="009E2B03">
          <w:rPr>
            <w:rFonts w:ascii="Calibri Light" w:eastAsiaTheme="minorEastAsia" w:hAnsi="Calibri Light"/>
            <w:color w:val="6D2077"/>
            <w:szCs w:val="22"/>
            <w:lang w:eastAsia="en-AU"/>
          </w:rPr>
          <w:tab/>
        </w:r>
        <w:r w:rsidR="000976CA" w:rsidRPr="009E2B03">
          <w:rPr>
            <w:rStyle w:val="Hyperlink"/>
            <w:rFonts w:ascii="Calibri Light" w:hAnsi="Calibri Light"/>
            <w:color w:val="6D2077"/>
            <w:lang w:eastAsia="en-AU"/>
          </w:rPr>
          <w:t>Overview</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of</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the</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approach</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_Toc449553512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22</w:t>
        </w:r>
        <w:r w:rsidR="000976CA" w:rsidRPr="009E2B03">
          <w:rPr>
            <w:rFonts w:ascii="Calibri Light" w:hAnsi="Calibri Light"/>
            <w:webHidden/>
            <w:color w:val="6D2077"/>
          </w:rPr>
          <w:fldChar w:fldCharType="end"/>
        </w:r>
      </w:hyperlink>
    </w:p>
    <w:p w14:paraId="78E39777"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3" w:history="1">
        <w:r w:rsidR="000976CA" w:rsidRPr="009E2B03">
          <w:rPr>
            <w:rStyle w:val="Hyperlink"/>
            <w:rFonts w:ascii="Calibri Light" w:eastAsia="Batang" w:hAnsi="Calibri Light" w:cs="Arial"/>
            <w:noProof/>
            <w:color w:val="6D2077"/>
          </w:rPr>
          <w:t>2.1</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Overview</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_Toc449553513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22</w:t>
        </w:r>
        <w:r w:rsidR="000976CA" w:rsidRPr="009E2B03">
          <w:rPr>
            <w:rFonts w:ascii="Calibri Light" w:hAnsi="Calibri Light" w:cs="Arial"/>
            <w:noProof/>
            <w:webHidden/>
            <w:color w:val="6D2077"/>
          </w:rPr>
          <w:fldChar w:fldCharType="end"/>
        </w:r>
      </w:hyperlink>
    </w:p>
    <w:p w14:paraId="4E36B30E"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4" w:history="1">
        <w:r w:rsidR="000976CA" w:rsidRPr="009E2B03">
          <w:rPr>
            <w:rStyle w:val="Hyperlink"/>
            <w:rFonts w:ascii="Calibri Light" w:eastAsia="Batang" w:hAnsi="Calibri Light" w:cs="Arial"/>
            <w:noProof/>
            <w:color w:val="6D2077"/>
          </w:rPr>
          <w:t>2.2</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Development of the methodology</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_Toc449553514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22</w:t>
        </w:r>
        <w:r w:rsidR="000976CA" w:rsidRPr="009E2B03">
          <w:rPr>
            <w:rFonts w:ascii="Calibri Light" w:hAnsi="Calibri Light" w:cs="Arial"/>
            <w:noProof/>
            <w:webHidden/>
            <w:color w:val="6D2077"/>
          </w:rPr>
          <w:fldChar w:fldCharType="end"/>
        </w:r>
      </w:hyperlink>
    </w:p>
    <w:p w14:paraId="237FFF9F"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5" w:history="1">
        <w:r w:rsidR="000976CA" w:rsidRPr="009E2B03">
          <w:rPr>
            <w:rStyle w:val="Hyperlink"/>
            <w:rFonts w:ascii="Calibri Light" w:eastAsia="Batang" w:hAnsi="Calibri Light" w:cs="Arial"/>
            <w:noProof/>
            <w:color w:val="6D2077"/>
          </w:rPr>
          <w:t>2.3</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Estimation approach</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_Toc449553515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24</w:t>
        </w:r>
        <w:r w:rsidR="000976CA" w:rsidRPr="009E2B03">
          <w:rPr>
            <w:rFonts w:ascii="Calibri Light" w:hAnsi="Calibri Light" w:cs="Arial"/>
            <w:noProof/>
            <w:webHidden/>
            <w:color w:val="6D2077"/>
          </w:rPr>
          <w:fldChar w:fldCharType="end"/>
        </w:r>
      </w:hyperlink>
    </w:p>
    <w:p w14:paraId="007E40F2"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6" w:history="1">
        <w:r w:rsidR="000976CA" w:rsidRPr="009E2B03">
          <w:rPr>
            <w:rStyle w:val="Hyperlink"/>
            <w:rFonts w:ascii="Calibri Light" w:eastAsia="Batang" w:hAnsi="Calibri Light" w:cs="Arial"/>
            <w:noProof/>
            <w:color w:val="6D2077"/>
          </w:rPr>
          <w:t>2.4</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Limitations and key considerations</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_Toc449553516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31</w:t>
        </w:r>
        <w:r w:rsidR="000976CA" w:rsidRPr="009E2B03">
          <w:rPr>
            <w:rFonts w:ascii="Calibri Light" w:hAnsi="Calibri Light" w:cs="Arial"/>
            <w:noProof/>
            <w:webHidden/>
            <w:color w:val="6D2077"/>
          </w:rPr>
          <w:fldChar w:fldCharType="end"/>
        </w:r>
      </w:hyperlink>
    </w:p>
    <w:p w14:paraId="068E30A6"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17" w:history="1">
        <w:r w:rsidR="000976CA" w:rsidRPr="009E2B03">
          <w:rPr>
            <w:rStyle w:val="Hyperlink"/>
            <w:rFonts w:ascii="Calibri Light" w:hAnsi="Calibri Light"/>
            <w:color w:val="6D2077"/>
          </w:rPr>
          <w:t>3</w:t>
        </w:r>
        <w:r w:rsidR="000976CA" w:rsidRPr="009E2B03">
          <w:rPr>
            <w:rFonts w:ascii="Calibri Light" w:eastAsiaTheme="minorEastAsia" w:hAnsi="Calibri Light"/>
            <w:color w:val="6D2077"/>
            <w:szCs w:val="22"/>
            <w:lang w:eastAsia="en-AU"/>
          </w:rPr>
          <w:tab/>
        </w:r>
        <w:r w:rsidR="000976CA" w:rsidRPr="009E2B03">
          <w:rPr>
            <w:rStyle w:val="Hyperlink"/>
            <w:rFonts w:ascii="Calibri Light" w:hAnsi="Calibri Light"/>
            <w:color w:val="6D2077"/>
            <w:lang w:eastAsia="en-AU"/>
          </w:rPr>
          <w:t>The</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cost of violence against women and their children</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_Toc449553517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35</w:t>
        </w:r>
        <w:r w:rsidR="000976CA" w:rsidRPr="009E2B03">
          <w:rPr>
            <w:rFonts w:ascii="Calibri Light" w:hAnsi="Calibri Light"/>
            <w:webHidden/>
            <w:color w:val="6D2077"/>
          </w:rPr>
          <w:fldChar w:fldCharType="end"/>
        </w:r>
      </w:hyperlink>
    </w:p>
    <w:p w14:paraId="17ED14A5"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8" w:history="1">
        <w:r w:rsidR="000976CA" w:rsidRPr="009E2B03">
          <w:rPr>
            <w:rStyle w:val="Hyperlink"/>
            <w:rFonts w:ascii="Calibri Light" w:eastAsia="Batang" w:hAnsi="Calibri Light" w:cs="Arial"/>
            <w:noProof/>
            <w:color w:val="6D2077"/>
          </w:rPr>
          <w:t>3.1</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Understanding the cost of violence</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_Toc449553518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35</w:t>
        </w:r>
        <w:r w:rsidR="000976CA" w:rsidRPr="009E2B03">
          <w:rPr>
            <w:rFonts w:ascii="Calibri Light" w:hAnsi="Calibri Light" w:cs="Arial"/>
            <w:noProof/>
            <w:webHidden/>
            <w:color w:val="6D2077"/>
          </w:rPr>
          <w:fldChar w:fldCharType="end"/>
        </w:r>
      </w:hyperlink>
    </w:p>
    <w:p w14:paraId="7D3DAFB9"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19" w:history="1">
        <w:r w:rsidR="000976CA" w:rsidRPr="009E2B03">
          <w:rPr>
            <w:rStyle w:val="Hyperlink"/>
            <w:rFonts w:ascii="Calibri Light" w:eastAsia="Batang" w:hAnsi="Calibri Light" w:cs="Arial"/>
            <w:noProof/>
            <w:color w:val="6D2077"/>
          </w:rPr>
          <w:t>3.2</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Cost impacts</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_Toc449553519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38</w:t>
        </w:r>
        <w:r w:rsidR="000976CA" w:rsidRPr="009E2B03">
          <w:rPr>
            <w:rFonts w:ascii="Calibri Light" w:hAnsi="Calibri Light" w:cs="Arial"/>
            <w:noProof/>
            <w:webHidden/>
            <w:color w:val="6D2077"/>
          </w:rPr>
          <w:fldChar w:fldCharType="end"/>
        </w:r>
      </w:hyperlink>
    </w:p>
    <w:p w14:paraId="428B4C77"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20" w:history="1">
        <w:r w:rsidR="000976CA" w:rsidRPr="009E2B03">
          <w:rPr>
            <w:rStyle w:val="Hyperlink"/>
            <w:rFonts w:ascii="Calibri Light" w:hAnsi="Calibri Light"/>
            <w:color w:val="6D2077"/>
          </w:rPr>
          <w:t>4</w:t>
        </w:r>
        <w:r w:rsidR="000976CA" w:rsidRPr="009E2B03">
          <w:rPr>
            <w:rFonts w:ascii="Calibri Light" w:eastAsiaTheme="minorEastAsia" w:hAnsi="Calibri Light"/>
            <w:color w:val="6D2077"/>
            <w:szCs w:val="22"/>
            <w:lang w:eastAsia="en-AU"/>
          </w:rPr>
          <w:tab/>
        </w:r>
        <w:r w:rsidR="000976CA" w:rsidRPr="009E2B03">
          <w:rPr>
            <w:rStyle w:val="Hyperlink"/>
            <w:rFonts w:ascii="Calibri Light" w:hAnsi="Calibri Light"/>
            <w:color w:val="6D2077"/>
            <w:lang w:eastAsia="en-AU"/>
          </w:rPr>
          <w:t>The experience of violence – cohorts and geographies</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_Toc449553520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49</w:t>
        </w:r>
        <w:r w:rsidR="000976CA" w:rsidRPr="009E2B03">
          <w:rPr>
            <w:rFonts w:ascii="Calibri Light" w:hAnsi="Calibri Light"/>
            <w:webHidden/>
            <w:color w:val="6D2077"/>
          </w:rPr>
          <w:fldChar w:fldCharType="end"/>
        </w:r>
      </w:hyperlink>
    </w:p>
    <w:p w14:paraId="750151CF"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1" w:history="1">
        <w:r w:rsidR="000976CA" w:rsidRPr="009E2B03">
          <w:rPr>
            <w:rStyle w:val="Hyperlink"/>
            <w:rFonts w:ascii="Calibri Light" w:eastAsia="Batang" w:hAnsi="Calibri Light" w:cs="Arial"/>
            <w:noProof/>
            <w:color w:val="6D2077"/>
          </w:rPr>
          <w:t>4.1</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Background</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_Toc449553521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4EAC7792"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2" w:history="1">
        <w:r w:rsidR="000976CA" w:rsidRPr="009E2B03">
          <w:rPr>
            <w:rStyle w:val="Hyperlink"/>
            <w:rFonts w:ascii="Calibri Light" w:eastAsia="Batang" w:hAnsi="Calibri Light" w:cs="Arial"/>
            <w:noProof/>
            <w:color w:val="6D2077"/>
          </w:rPr>
          <w:t>4.2</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The relationship between socio-demographic characteristics and geography on the prevalence of violence against women</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_Toc449553522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4974022B"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3" w:history="1">
        <w:r w:rsidR="000976CA" w:rsidRPr="009E2B03">
          <w:rPr>
            <w:rStyle w:val="Hyperlink"/>
            <w:rFonts w:ascii="Calibri Light" w:eastAsia="Batang" w:hAnsi="Calibri Light" w:cs="Arial"/>
            <w:noProof/>
            <w:color w:val="6D2077"/>
          </w:rPr>
          <w:t>4.3</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Risk of experiencing violence among vulnerable groups</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_Toc449553523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0283F534"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4" w:history="1">
        <w:r w:rsidR="000976CA" w:rsidRPr="009E2B03">
          <w:rPr>
            <w:rStyle w:val="Hyperlink"/>
            <w:rFonts w:ascii="Calibri Light" w:eastAsia="Batang" w:hAnsi="Calibri Light" w:cs="Arial"/>
            <w:noProof/>
            <w:color w:val="6D2077"/>
          </w:rPr>
          <w:t>4.4</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Additional cost of violence against vulnerable women</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_Toc449553524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1B628D9B"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25" w:history="1">
        <w:r w:rsidR="000976CA" w:rsidRPr="009E2B03">
          <w:rPr>
            <w:rStyle w:val="Hyperlink"/>
            <w:rFonts w:ascii="Calibri Light" w:hAnsi="Calibri Light"/>
            <w:color w:val="6D2077"/>
          </w:rPr>
          <w:t>5</w:t>
        </w:r>
        <w:r w:rsidR="000976CA" w:rsidRPr="009E2B03">
          <w:rPr>
            <w:rFonts w:ascii="Calibri Light" w:eastAsiaTheme="minorEastAsia" w:hAnsi="Calibri Light"/>
            <w:color w:val="6D2077"/>
            <w:szCs w:val="22"/>
            <w:lang w:eastAsia="en-AU"/>
          </w:rPr>
          <w:tab/>
        </w:r>
        <w:r w:rsidR="000976CA" w:rsidRPr="009E2B03">
          <w:rPr>
            <w:rStyle w:val="Hyperlink"/>
            <w:rFonts w:ascii="Calibri Light" w:hAnsi="Calibri Light"/>
            <w:color w:val="6D2077"/>
            <w:lang w:eastAsia="en-AU"/>
          </w:rPr>
          <w:t>Roadmap</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and next steps</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_Toc449553525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49</w:t>
        </w:r>
        <w:r w:rsidR="000976CA" w:rsidRPr="009E2B03">
          <w:rPr>
            <w:rFonts w:ascii="Calibri Light" w:hAnsi="Calibri Light"/>
            <w:webHidden/>
            <w:color w:val="6D2077"/>
          </w:rPr>
          <w:fldChar w:fldCharType="end"/>
        </w:r>
      </w:hyperlink>
    </w:p>
    <w:p w14:paraId="2EDF3241"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6" w:history="1">
        <w:r w:rsidR="000976CA" w:rsidRPr="009E2B03">
          <w:rPr>
            <w:rStyle w:val="Hyperlink"/>
            <w:rFonts w:ascii="Calibri Light" w:eastAsia="Batang" w:hAnsi="Calibri Light" w:cs="Arial"/>
            <w:noProof/>
            <w:color w:val="6D2077"/>
          </w:rPr>
          <w:t>5.1</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Collaboration and integration of reporting across jurisdictions</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_Toc449553526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4397A1E8"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7" w:history="1">
        <w:r w:rsidR="000976CA" w:rsidRPr="009E2B03">
          <w:rPr>
            <w:rStyle w:val="Hyperlink"/>
            <w:rFonts w:ascii="Calibri Light" w:eastAsia="Batang" w:hAnsi="Calibri Light" w:cs="Arial"/>
            <w:noProof/>
            <w:color w:val="6D2077"/>
          </w:rPr>
          <w:t>5.2</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Strengthening our understanding of the economic impacts of violence</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_Toc449553527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2B2B2743"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8" w:history="1">
        <w:r w:rsidR="000976CA" w:rsidRPr="009E2B03">
          <w:rPr>
            <w:rStyle w:val="Hyperlink"/>
            <w:rFonts w:ascii="Calibri Light" w:eastAsia="Batang" w:hAnsi="Calibri Light" w:cs="Arial"/>
            <w:noProof/>
            <w:color w:val="6D2077"/>
          </w:rPr>
          <w:t>5.3</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Understanding the impact of socio-demographic and geographical characteristics</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_Toc449553528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318DF0FC"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29" w:history="1">
        <w:r w:rsidR="000976CA" w:rsidRPr="009E2B03">
          <w:rPr>
            <w:rStyle w:val="Hyperlink"/>
            <w:rFonts w:ascii="Calibri Light" w:eastAsia="Batang" w:hAnsi="Calibri Light" w:cs="Arial"/>
            <w:noProof/>
            <w:color w:val="6D2077"/>
          </w:rPr>
          <w:t>5.4</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Understanding the risk of experiencing violence by vulnerable groups</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_Toc449553529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2D62BD81" w14:textId="77777777" w:rsidR="000976CA" w:rsidRPr="009E2B03" w:rsidRDefault="00417237" w:rsidP="000976CA">
      <w:pPr>
        <w:pStyle w:val="TOC2"/>
        <w:rPr>
          <w:rFonts w:ascii="Calibri Light" w:eastAsiaTheme="minorEastAsia" w:hAnsi="Calibri Light" w:cs="Arial"/>
          <w:noProof/>
          <w:color w:val="6D2077"/>
          <w:szCs w:val="22"/>
          <w:lang w:eastAsia="en-AU"/>
        </w:rPr>
      </w:pPr>
      <w:hyperlink w:anchor="_Toc449553530" w:history="1">
        <w:r w:rsidR="000976CA" w:rsidRPr="009E2B03">
          <w:rPr>
            <w:rStyle w:val="Hyperlink"/>
            <w:rFonts w:ascii="Calibri Light" w:eastAsia="Batang" w:hAnsi="Calibri Light" w:cs="Arial"/>
            <w:noProof/>
            <w:color w:val="6D2077"/>
          </w:rPr>
          <w:t>5.5</w:t>
        </w:r>
        <w:r w:rsidR="000976CA" w:rsidRPr="009E2B03">
          <w:rPr>
            <w:rFonts w:ascii="Calibri Light" w:eastAsiaTheme="minorEastAsia" w:hAnsi="Calibri Light" w:cs="Arial"/>
            <w:noProof/>
            <w:color w:val="6D2077"/>
            <w:szCs w:val="22"/>
            <w:lang w:eastAsia="en-AU"/>
          </w:rPr>
          <w:tab/>
        </w:r>
        <w:r w:rsidR="000976CA" w:rsidRPr="009E2B03">
          <w:rPr>
            <w:rStyle w:val="Hyperlink"/>
            <w:rFonts w:ascii="Calibri Light" w:eastAsia="Batang" w:hAnsi="Calibri Light" w:cs="Arial"/>
            <w:noProof/>
            <w:color w:val="6D2077"/>
          </w:rPr>
          <w:t>Understanding the interdependent impacts on the broader services system</w:t>
        </w:r>
        <w:r w:rsidR="000976CA" w:rsidRPr="009E2B03">
          <w:rPr>
            <w:rFonts w:ascii="Calibri Light" w:hAnsi="Calibri Light" w:cs="Arial"/>
            <w:noProof/>
            <w:webHidden/>
            <w:color w:val="6D2077"/>
          </w:rPr>
          <w:tab/>
        </w:r>
        <w:r w:rsidR="000976CA" w:rsidRPr="009E2B03">
          <w:rPr>
            <w:rFonts w:ascii="Calibri Light" w:hAnsi="Calibri Light" w:cs="Arial"/>
            <w:noProof/>
            <w:webHidden/>
            <w:color w:val="6D2077"/>
          </w:rPr>
          <w:fldChar w:fldCharType="begin"/>
        </w:r>
        <w:r w:rsidR="000976CA" w:rsidRPr="009E2B03">
          <w:rPr>
            <w:rFonts w:ascii="Calibri Light" w:hAnsi="Calibri Light" w:cs="Arial"/>
            <w:noProof/>
            <w:webHidden/>
            <w:color w:val="6D2077"/>
          </w:rPr>
          <w:instrText xml:space="preserve"> PAGEREF _Toc449553530 \h </w:instrText>
        </w:r>
        <w:r w:rsidR="000976CA" w:rsidRPr="009E2B03">
          <w:rPr>
            <w:rFonts w:ascii="Calibri Light" w:hAnsi="Calibri Light" w:cs="Arial"/>
            <w:noProof/>
            <w:webHidden/>
            <w:color w:val="6D2077"/>
          </w:rPr>
        </w:r>
        <w:r w:rsidR="000976CA" w:rsidRPr="009E2B03">
          <w:rPr>
            <w:rFonts w:ascii="Calibri Light" w:hAnsi="Calibri Light" w:cs="Arial"/>
            <w:noProof/>
            <w:webHidden/>
            <w:color w:val="6D2077"/>
          </w:rPr>
          <w:fldChar w:fldCharType="separate"/>
        </w:r>
        <w:r>
          <w:rPr>
            <w:rFonts w:ascii="Calibri Light" w:hAnsi="Calibri Light" w:cs="Arial"/>
            <w:noProof/>
            <w:webHidden/>
            <w:color w:val="6D2077"/>
          </w:rPr>
          <w:t>49</w:t>
        </w:r>
        <w:r w:rsidR="000976CA" w:rsidRPr="009E2B03">
          <w:rPr>
            <w:rFonts w:ascii="Calibri Light" w:hAnsi="Calibri Light" w:cs="Arial"/>
            <w:noProof/>
            <w:webHidden/>
            <w:color w:val="6D2077"/>
          </w:rPr>
          <w:fldChar w:fldCharType="end"/>
        </w:r>
      </w:hyperlink>
    </w:p>
    <w:p w14:paraId="400CBC0E"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31" w:history="1">
        <w:r w:rsidR="000976CA" w:rsidRPr="009E2B03">
          <w:rPr>
            <w:rStyle w:val="Hyperlink"/>
            <w:rFonts w:ascii="Calibri Light" w:hAnsi="Calibri Light"/>
            <w:color w:val="6D2077"/>
            <w:lang w:eastAsia="en-AU"/>
          </w:rPr>
          <w:t>Appendix</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A: Violence against women and their children</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in</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Australia</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_Toc449553531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49</w:t>
        </w:r>
        <w:r w:rsidR="000976CA" w:rsidRPr="009E2B03">
          <w:rPr>
            <w:rFonts w:ascii="Calibri Light" w:hAnsi="Calibri Light"/>
            <w:webHidden/>
            <w:color w:val="6D2077"/>
          </w:rPr>
          <w:fldChar w:fldCharType="end"/>
        </w:r>
      </w:hyperlink>
    </w:p>
    <w:p w14:paraId="439735C9"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32" w:history="1">
        <w:r w:rsidR="000976CA" w:rsidRPr="009E2B03">
          <w:rPr>
            <w:rStyle w:val="Hyperlink"/>
            <w:rFonts w:ascii="Calibri Light" w:hAnsi="Calibri Light"/>
            <w:color w:val="6D2077"/>
            <w:lang w:eastAsia="en-AU"/>
          </w:rPr>
          <w:t>Appendix</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B: Costing methodology</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_Toc449553532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49</w:t>
        </w:r>
        <w:r w:rsidR="000976CA" w:rsidRPr="009E2B03">
          <w:rPr>
            <w:rFonts w:ascii="Calibri Light" w:hAnsi="Calibri Light"/>
            <w:webHidden/>
            <w:color w:val="6D2077"/>
          </w:rPr>
          <w:fldChar w:fldCharType="end"/>
        </w:r>
      </w:hyperlink>
    </w:p>
    <w:p w14:paraId="1AF72B8D"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33" w:history="1">
        <w:r w:rsidR="000976CA" w:rsidRPr="009E2B03">
          <w:rPr>
            <w:rStyle w:val="Hyperlink"/>
            <w:rFonts w:ascii="Calibri Light" w:hAnsi="Calibri Light"/>
            <w:color w:val="6D2077"/>
            <w:lang w:eastAsia="en-AU"/>
          </w:rPr>
          <w:t>Appendix</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C: Illustrative costs for cohorts experiencing violence</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_Toc449553533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49</w:t>
        </w:r>
        <w:r w:rsidR="000976CA" w:rsidRPr="009E2B03">
          <w:rPr>
            <w:rFonts w:ascii="Calibri Light" w:hAnsi="Calibri Light"/>
            <w:webHidden/>
            <w:color w:val="6D2077"/>
          </w:rPr>
          <w:fldChar w:fldCharType="end"/>
        </w:r>
      </w:hyperlink>
    </w:p>
    <w:p w14:paraId="174E774C"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34" w:history="1">
        <w:r w:rsidR="000976CA" w:rsidRPr="009E2B03">
          <w:rPr>
            <w:rStyle w:val="Hyperlink"/>
            <w:rFonts w:ascii="Calibri Light" w:hAnsi="Calibri Light"/>
            <w:color w:val="6D2077"/>
            <w:lang w:eastAsia="en-AU"/>
          </w:rPr>
          <w:t>Appendix</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D: International and domestic research sources</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_Toc449553534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49</w:t>
        </w:r>
        <w:r w:rsidR="000976CA" w:rsidRPr="009E2B03">
          <w:rPr>
            <w:rFonts w:ascii="Calibri Light" w:hAnsi="Calibri Light"/>
            <w:webHidden/>
            <w:color w:val="6D2077"/>
          </w:rPr>
          <w:fldChar w:fldCharType="end"/>
        </w:r>
      </w:hyperlink>
    </w:p>
    <w:p w14:paraId="3843657E" w14:textId="77777777" w:rsidR="000976CA" w:rsidRPr="009E2B03" w:rsidRDefault="00417237" w:rsidP="000976CA">
      <w:pPr>
        <w:pStyle w:val="TOC1"/>
        <w:rPr>
          <w:rFonts w:ascii="Calibri Light" w:eastAsiaTheme="minorEastAsia" w:hAnsi="Calibri Light"/>
          <w:color w:val="6D2077"/>
          <w:szCs w:val="22"/>
          <w:lang w:eastAsia="en-AU"/>
        </w:rPr>
      </w:pPr>
      <w:hyperlink w:anchor="_Toc449553535" w:history="1">
        <w:r w:rsidR="000976CA" w:rsidRPr="009E2B03">
          <w:rPr>
            <w:rStyle w:val="Hyperlink"/>
            <w:rFonts w:ascii="Calibri Light" w:hAnsi="Calibri Light"/>
            <w:color w:val="6D2077"/>
            <w:lang w:eastAsia="en-AU"/>
          </w:rPr>
          <w:t>Appendix</w:t>
        </w:r>
        <w:r w:rsidR="000976CA" w:rsidRPr="009E2B03">
          <w:rPr>
            <w:rStyle w:val="Hyperlink"/>
            <w:rFonts w:ascii="Calibri Light" w:hAnsi="Calibri Light"/>
            <w:color w:val="6D2077"/>
          </w:rPr>
          <w:t xml:space="preserve"> </w:t>
        </w:r>
        <w:r w:rsidR="000976CA" w:rsidRPr="009E2B03">
          <w:rPr>
            <w:rStyle w:val="Hyperlink"/>
            <w:rFonts w:ascii="Calibri Light" w:hAnsi="Calibri Light"/>
            <w:color w:val="6D2077"/>
            <w:lang w:eastAsia="en-AU"/>
          </w:rPr>
          <w:t>E: Data sources</w:t>
        </w:r>
        <w:r w:rsidR="000976CA" w:rsidRPr="009E2B03">
          <w:rPr>
            <w:rFonts w:ascii="Calibri Light" w:hAnsi="Calibri Light"/>
            <w:webHidden/>
            <w:color w:val="6D2077"/>
          </w:rPr>
          <w:tab/>
        </w:r>
        <w:r w:rsidR="000976CA" w:rsidRPr="009E2B03">
          <w:rPr>
            <w:rFonts w:ascii="Calibri Light" w:hAnsi="Calibri Light"/>
            <w:webHidden/>
            <w:color w:val="6D2077"/>
          </w:rPr>
          <w:fldChar w:fldCharType="begin"/>
        </w:r>
        <w:r w:rsidR="000976CA" w:rsidRPr="009E2B03">
          <w:rPr>
            <w:rFonts w:ascii="Calibri Light" w:hAnsi="Calibri Light"/>
            <w:webHidden/>
            <w:color w:val="6D2077"/>
          </w:rPr>
          <w:instrText xml:space="preserve"> PAGEREF _Toc449553535 \h </w:instrText>
        </w:r>
        <w:r w:rsidR="000976CA" w:rsidRPr="009E2B03">
          <w:rPr>
            <w:rFonts w:ascii="Calibri Light" w:hAnsi="Calibri Light"/>
            <w:webHidden/>
            <w:color w:val="6D2077"/>
          </w:rPr>
        </w:r>
        <w:r w:rsidR="000976CA" w:rsidRPr="009E2B03">
          <w:rPr>
            <w:rFonts w:ascii="Calibri Light" w:hAnsi="Calibri Light"/>
            <w:webHidden/>
            <w:color w:val="6D2077"/>
          </w:rPr>
          <w:fldChar w:fldCharType="separate"/>
        </w:r>
        <w:r>
          <w:rPr>
            <w:rFonts w:ascii="Calibri Light" w:hAnsi="Calibri Light"/>
            <w:webHidden/>
            <w:color w:val="6D2077"/>
          </w:rPr>
          <w:t>49</w:t>
        </w:r>
        <w:r w:rsidR="000976CA" w:rsidRPr="009E2B03">
          <w:rPr>
            <w:rFonts w:ascii="Calibri Light" w:hAnsi="Calibri Light"/>
            <w:webHidden/>
            <w:color w:val="6D2077"/>
          </w:rPr>
          <w:fldChar w:fldCharType="end"/>
        </w:r>
      </w:hyperlink>
    </w:p>
    <w:p w14:paraId="396C8BAE" w14:textId="77777777" w:rsidR="007D7C7B" w:rsidRPr="009E2B03" w:rsidRDefault="00EB042B" w:rsidP="00E0358D">
      <w:pPr>
        <w:pStyle w:val="BodyText"/>
        <w:tabs>
          <w:tab w:val="left" w:pos="1883"/>
        </w:tabs>
        <w:rPr>
          <w:rFonts w:ascii="Calibri Light" w:hAnsi="Calibri Light"/>
          <w:color w:val="6D2077"/>
        </w:rPr>
      </w:pPr>
      <w:r w:rsidRPr="009E2B03">
        <w:rPr>
          <w:rFonts w:ascii="Calibri Light" w:hAnsi="Calibri Light"/>
          <w:color w:val="6D2077"/>
        </w:rPr>
        <w:fldChar w:fldCharType="end"/>
      </w:r>
      <w:r w:rsidR="00A06FD2" w:rsidRPr="009E2B03">
        <w:rPr>
          <w:rFonts w:ascii="Calibri Light" w:hAnsi="Calibri Light"/>
          <w:color w:val="6D2077"/>
        </w:rPr>
        <w:tab/>
      </w:r>
    </w:p>
    <w:p w14:paraId="143765E9" w14:textId="77777777" w:rsidR="007D7C7B" w:rsidRPr="009E2B03" w:rsidRDefault="007D7C7B" w:rsidP="007D7C7B">
      <w:pPr>
        <w:spacing w:before="0" w:after="0"/>
        <w:rPr>
          <w:rFonts w:ascii="Calibri Light" w:eastAsia="Batang" w:hAnsi="Calibri Light"/>
          <w:color w:val="6D2077"/>
          <w:sz w:val="22"/>
          <w:lang w:eastAsia="ko-KR"/>
        </w:rPr>
        <w:sectPr w:rsidR="007D7C7B" w:rsidRPr="009E2B03" w:rsidSect="00F8042D">
          <w:pgSz w:w="11906" w:h="16838"/>
          <w:pgMar w:top="1440" w:right="1440" w:bottom="1440" w:left="1440" w:header="680" w:footer="680" w:gutter="0"/>
          <w:cols w:space="720"/>
        </w:sectPr>
      </w:pPr>
    </w:p>
    <w:bookmarkEnd w:id="0"/>
    <w:p w14:paraId="2C4D4B00" w14:textId="0256422E" w:rsidR="005E4E54" w:rsidRPr="009E2B03" w:rsidRDefault="005E4E54" w:rsidP="00EA249F">
      <w:pPr>
        <w:pStyle w:val="Bodytextkeepwithnext"/>
        <w:rPr>
          <w:rFonts w:ascii="Calibri Light" w:hAnsi="Calibri Light"/>
          <w:sz w:val="32"/>
        </w:rPr>
        <w:sectPr w:rsidR="005E4E54" w:rsidRPr="009E2B03" w:rsidSect="00F8042D">
          <w:headerReference w:type="even" r:id="rId15"/>
          <w:headerReference w:type="default" r:id="rId16"/>
          <w:footerReference w:type="default" r:id="rId17"/>
          <w:headerReference w:type="first" r:id="rId18"/>
          <w:pgSz w:w="11906" w:h="16838"/>
          <w:pgMar w:top="1440" w:right="1440" w:bottom="1440" w:left="1440" w:header="708" w:footer="708" w:gutter="0"/>
          <w:cols w:space="708"/>
          <w:titlePg/>
          <w:docGrid w:linePitch="360"/>
        </w:sectPr>
      </w:pPr>
      <w:r w:rsidRPr="009E2B03">
        <w:rPr>
          <w:rFonts w:ascii="Calibri Light" w:hAnsi="Calibri Light"/>
          <w:noProof/>
          <w:sz w:val="22"/>
          <w:lang w:eastAsia="en-AU"/>
        </w:rPr>
        <w:lastRenderedPageBreak/>
        <mc:AlternateContent>
          <mc:Choice Requires="wps">
            <w:drawing>
              <wp:inline distT="0" distB="0" distL="0" distR="0" wp14:anchorId="01C98BC7" wp14:editId="12CCCBB7">
                <wp:extent cx="5946775" cy="4112260"/>
                <wp:effectExtent l="0" t="0" r="15875" b="2159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1122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ED80C0" w14:textId="77777777" w:rsidR="00621BE2" w:rsidRPr="009E2B03" w:rsidRDefault="00621BE2" w:rsidP="005E4E54">
                            <w:pPr>
                              <w:rPr>
                                <w:rStyle w:val="White"/>
                                <w:rFonts w:ascii="Calibri Light" w:hAnsi="Calibri Light"/>
                                <w:b/>
                                <w:color w:val="808080" w:themeColor="background2" w:themeShade="80"/>
                                <w:sz w:val="18"/>
                                <w:szCs w:val="14"/>
                                <w:lang w:val="en-GB"/>
                              </w:rPr>
                            </w:pPr>
                            <w:r w:rsidRPr="009E2B03">
                              <w:rPr>
                                <w:rStyle w:val="White"/>
                                <w:rFonts w:ascii="Calibri Light" w:hAnsi="Calibri Light"/>
                                <w:b/>
                                <w:color w:val="808080" w:themeColor="background2" w:themeShade="80"/>
                                <w:sz w:val="18"/>
                                <w:szCs w:val="14"/>
                                <w:lang w:val="en-GB"/>
                              </w:rPr>
                              <w:t>Inherent Limitations</w:t>
                            </w:r>
                          </w:p>
                          <w:p w14:paraId="42712DFA"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eastAsia="ko-KR"/>
                              </w:rPr>
                              <w:t>This report has been prepared as outlined in the Scope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9E2B03" w:rsidDel="00604D89">
                              <w:rPr>
                                <w:rStyle w:val="White"/>
                                <w:rFonts w:ascii="Calibri Light" w:hAnsi="Calibri Light"/>
                                <w:color w:val="808080" w:themeColor="background2" w:themeShade="80"/>
                                <w:sz w:val="18"/>
                                <w:szCs w:val="14"/>
                                <w:lang w:val="en-GB"/>
                              </w:rPr>
                              <w:t xml:space="preserve"> </w:t>
                            </w:r>
                          </w:p>
                          <w:p w14:paraId="0AFD9CB3"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 xml:space="preserve">No warranty of completeness, accuracy or reliability is given in relation to the statements and representations made by, and the information and documentation provided by, </w:t>
                            </w:r>
                            <w:r w:rsidRPr="009E2B03">
                              <w:rPr>
                                <w:rStyle w:val="White"/>
                                <w:rFonts w:ascii="Calibri Light" w:eastAsia="Batang" w:hAnsi="Calibri Light"/>
                                <w:color w:val="808080" w:themeColor="background2" w:themeShade="80"/>
                                <w:sz w:val="18"/>
                                <w:szCs w:val="14"/>
                                <w:lang w:val="en-GB" w:eastAsia="ko-KR"/>
                              </w:rPr>
                              <w:t>the Department of Social Services</w:t>
                            </w:r>
                            <w:r w:rsidRPr="009E2B03">
                              <w:rPr>
                                <w:rStyle w:val="White"/>
                                <w:rFonts w:ascii="Calibri Light" w:hAnsi="Calibri Light"/>
                                <w:color w:val="808080" w:themeColor="background2" w:themeShade="80"/>
                                <w:sz w:val="18"/>
                                <w:szCs w:val="14"/>
                                <w:lang w:val="en-GB"/>
                              </w:rPr>
                              <w:t xml:space="preserve"> management and personnel consulted as part of the process.</w:t>
                            </w:r>
                          </w:p>
                          <w:p w14:paraId="3E714071"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KPMG have indicated within this report the sources of the information provided.  We have not sought to independently verify those sources unless otherwise noted within the report.</w:t>
                            </w:r>
                          </w:p>
                          <w:p w14:paraId="19C1F87C"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KPMG is under no obligation in any circumstance to update this report, in either oral or written form, for events occurring after the report has been issued in final form.</w:t>
                            </w:r>
                          </w:p>
                          <w:p w14:paraId="416660D3"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The findings in this report have been formed on the above basis.</w:t>
                            </w:r>
                          </w:p>
                          <w:p w14:paraId="0F9D45D6" w14:textId="77777777" w:rsidR="00621BE2" w:rsidRPr="009E2B03" w:rsidRDefault="00621BE2" w:rsidP="005E4E54">
                            <w:pPr>
                              <w:rPr>
                                <w:rStyle w:val="White"/>
                                <w:rFonts w:ascii="Calibri Light" w:eastAsia="Batang" w:hAnsi="Calibri Light"/>
                                <w:b/>
                                <w:color w:val="808080" w:themeColor="background2" w:themeShade="80"/>
                                <w:sz w:val="18"/>
                                <w:szCs w:val="14"/>
                                <w:lang w:val="en-GB" w:eastAsia="ko-KR"/>
                              </w:rPr>
                            </w:pPr>
                            <w:r w:rsidRPr="009E2B03">
                              <w:rPr>
                                <w:rStyle w:val="White"/>
                                <w:rFonts w:ascii="Calibri Light" w:eastAsia="Batang" w:hAnsi="Calibri Light"/>
                                <w:b/>
                                <w:color w:val="808080" w:themeColor="background2" w:themeShade="80"/>
                                <w:sz w:val="18"/>
                                <w:szCs w:val="14"/>
                                <w:lang w:val="en-GB" w:eastAsia="ko-KR"/>
                              </w:rPr>
                              <w:t>Third Party Reliance</w:t>
                            </w:r>
                          </w:p>
                          <w:p w14:paraId="1F8CEBA6" w14:textId="77777777" w:rsidR="00621BE2" w:rsidRPr="009E2B03" w:rsidRDefault="00621BE2" w:rsidP="005E4E54">
                            <w:pPr>
                              <w:rPr>
                                <w:rStyle w:val="White"/>
                                <w:rFonts w:ascii="Calibri Light" w:eastAsia="Batang" w:hAnsi="Calibri Light"/>
                                <w:color w:val="808080" w:themeColor="background2" w:themeShade="80"/>
                                <w:sz w:val="18"/>
                                <w:szCs w:val="14"/>
                                <w:lang w:val="en-GB" w:eastAsia="ko-KR"/>
                              </w:rPr>
                            </w:pPr>
                            <w:r w:rsidRPr="009E2B03">
                              <w:rPr>
                                <w:rStyle w:val="White"/>
                                <w:rFonts w:ascii="Calibri Light" w:eastAsia="Batang" w:hAnsi="Calibri Light"/>
                                <w:color w:val="808080" w:themeColor="background2" w:themeShade="80"/>
                                <w:sz w:val="18"/>
                                <w:szCs w:val="14"/>
                                <w:lang w:val="en-GB" w:eastAsia="ko-KR"/>
                              </w:rPr>
                              <w:t>This report is solely for the purpose set out in the Scope Section and for the Department of Social Services information, and is not to be used for any other purpose or distributed to any other party without KPMG’s prior written consent.</w:t>
                            </w:r>
                          </w:p>
                          <w:p w14:paraId="7C390F06" w14:textId="77777777" w:rsidR="00621BE2" w:rsidRPr="009E2B03" w:rsidRDefault="00621BE2" w:rsidP="005E4E54">
                            <w:pPr>
                              <w:rPr>
                                <w:rStyle w:val="White"/>
                                <w:rFonts w:ascii="Calibri Light" w:eastAsia="Batang" w:hAnsi="Calibri Light"/>
                                <w:color w:val="808080" w:themeColor="background2" w:themeShade="80"/>
                                <w:sz w:val="18"/>
                                <w:szCs w:val="14"/>
                                <w:lang w:val="en-GB" w:eastAsia="ko-KR"/>
                              </w:rPr>
                            </w:pPr>
                            <w:r w:rsidRPr="009E2B03">
                              <w:rPr>
                                <w:rStyle w:val="White"/>
                                <w:rFonts w:ascii="Calibri Light" w:eastAsia="Batang" w:hAnsi="Calibri Light"/>
                                <w:color w:val="808080" w:themeColor="background2" w:themeShade="80"/>
                                <w:sz w:val="18"/>
                                <w:szCs w:val="14"/>
                                <w:lang w:val="en-GB" w:eastAsia="ko-KR"/>
                              </w:rPr>
                              <w:t>This report has been prepared at the request of the Department of Social Services in accordance with the terms of KPMG’s Engagement Letter dated 21 December 2015. Other than our responsibility to the Department of Social Services, neither KPMG nor any member or employee of KPMG undertakes responsibility arising in any way from reliance placed by a third party on this report.  Any reliance placed is that party’s sole responsibility.</w:t>
                            </w:r>
                          </w:p>
                        </w:txbxContent>
                      </wps:txbx>
                      <wps:bodyPr rot="0" vert="horz" wrap="square" lIns="72000" tIns="72000" rIns="72000" bIns="7200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468.25pt;height:3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" filled="f" strokecolor="white [3212]">
                <v:textbox inset="2mm,2mm,2mm,2mm">
                  <w:txbxContent>
                    <w:p w14:paraId="50ED80C0" w14:textId="77777777" w:rsidR="00621BE2" w:rsidRPr="009E2B03" w:rsidRDefault="00621BE2" w:rsidP="005E4E54">
                      <w:pPr>
                        <w:rPr>
                          <w:rStyle w:val="White"/>
                          <w:rFonts w:ascii="Calibri Light" w:hAnsi="Calibri Light"/>
                          <w:b/>
                          <w:color w:val="808080" w:themeColor="background2" w:themeShade="80"/>
                          <w:sz w:val="18"/>
                          <w:szCs w:val="14"/>
                          <w:lang w:val="en-GB"/>
                        </w:rPr>
                      </w:pPr>
                      <w:r w:rsidRPr="009E2B03">
                        <w:rPr>
                          <w:rStyle w:val="White"/>
                          <w:rFonts w:ascii="Calibri Light" w:hAnsi="Calibri Light"/>
                          <w:b/>
                          <w:color w:val="808080" w:themeColor="background2" w:themeShade="80"/>
                          <w:sz w:val="18"/>
                          <w:szCs w:val="14"/>
                          <w:lang w:val="en-GB"/>
                        </w:rPr>
                        <w:t>Inherent Limitations</w:t>
                      </w:r>
                    </w:p>
                    <w:p w14:paraId="42712DFA"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eastAsia="ko-KR"/>
                        </w:rPr>
                        <w:t>This report has been prepared as outlined in the Scope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9E2B03" w:rsidDel="00604D89">
                        <w:rPr>
                          <w:rStyle w:val="White"/>
                          <w:rFonts w:ascii="Calibri Light" w:hAnsi="Calibri Light"/>
                          <w:color w:val="808080" w:themeColor="background2" w:themeShade="80"/>
                          <w:sz w:val="18"/>
                          <w:szCs w:val="14"/>
                          <w:lang w:val="en-GB"/>
                        </w:rPr>
                        <w:t xml:space="preserve"> </w:t>
                      </w:r>
                    </w:p>
                    <w:p w14:paraId="0AFD9CB3"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 xml:space="preserve">No warranty of completeness, accuracy or reliability is given in relation to the statements and representations made by, and the information and documentation provided by, </w:t>
                      </w:r>
                      <w:r w:rsidRPr="009E2B03">
                        <w:rPr>
                          <w:rStyle w:val="White"/>
                          <w:rFonts w:ascii="Calibri Light" w:eastAsia="Batang" w:hAnsi="Calibri Light"/>
                          <w:color w:val="808080" w:themeColor="background2" w:themeShade="80"/>
                          <w:sz w:val="18"/>
                          <w:szCs w:val="14"/>
                          <w:lang w:val="en-GB" w:eastAsia="ko-KR"/>
                        </w:rPr>
                        <w:t>the Department of Social Services</w:t>
                      </w:r>
                      <w:r w:rsidRPr="009E2B03">
                        <w:rPr>
                          <w:rStyle w:val="White"/>
                          <w:rFonts w:ascii="Calibri Light" w:hAnsi="Calibri Light"/>
                          <w:color w:val="808080" w:themeColor="background2" w:themeShade="80"/>
                          <w:sz w:val="18"/>
                          <w:szCs w:val="14"/>
                          <w:lang w:val="en-GB"/>
                        </w:rPr>
                        <w:t xml:space="preserve"> management and personnel consulted as part of the process.</w:t>
                      </w:r>
                    </w:p>
                    <w:p w14:paraId="3E714071"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KPMG have indicated within this report the sources of the information provided.  We have not sought to independently verify those sources unless otherwise noted within the report.</w:t>
                      </w:r>
                    </w:p>
                    <w:p w14:paraId="19C1F87C"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KPMG is under no obligation in any circumstance to update this report, in either oral or written form, for events occurring after the report has been issued in final form.</w:t>
                      </w:r>
                    </w:p>
                    <w:p w14:paraId="416660D3" w14:textId="77777777" w:rsidR="00621BE2" w:rsidRPr="009E2B03" w:rsidRDefault="00621BE2" w:rsidP="005E4E54">
                      <w:pPr>
                        <w:rPr>
                          <w:rStyle w:val="White"/>
                          <w:rFonts w:ascii="Calibri Light" w:hAnsi="Calibri Light"/>
                          <w:color w:val="808080" w:themeColor="background2" w:themeShade="80"/>
                          <w:sz w:val="18"/>
                          <w:szCs w:val="14"/>
                          <w:lang w:val="en-GB"/>
                        </w:rPr>
                      </w:pPr>
                      <w:r w:rsidRPr="009E2B03">
                        <w:rPr>
                          <w:rStyle w:val="White"/>
                          <w:rFonts w:ascii="Calibri Light" w:hAnsi="Calibri Light"/>
                          <w:color w:val="808080" w:themeColor="background2" w:themeShade="80"/>
                          <w:sz w:val="18"/>
                          <w:szCs w:val="14"/>
                          <w:lang w:val="en-GB"/>
                        </w:rPr>
                        <w:t>The findings in this report have been formed on the above basis.</w:t>
                      </w:r>
                    </w:p>
                    <w:p w14:paraId="0F9D45D6" w14:textId="77777777" w:rsidR="00621BE2" w:rsidRPr="009E2B03" w:rsidRDefault="00621BE2" w:rsidP="005E4E54">
                      <w:pPr>
                        <w:rPr>
                          <w:rStyle w:val="White"/>
                          <w:rFonts w:ascii="Calibri Light" w:eastAsia="Batang" w:hAnsi="Calibri Light"/>
                          <w:b/>
                          <w:color w:val="808080" w:themeColor="background2" w:themeShade="80"/>
                          <w:sz w:val="18"/>
                          <w:szCs w:val="14"/>
                          <w:lang w:val="en-GB" w:eastAsia="ko-KR"/>
                        </w:rPr>
                      </w:pPr>
                      <w:r w:rsidRPr="009E2B03">
                        <w:rPr>
                          <w:rStyle w:val="White"/>
                          <w:rFonts w:ascii="Calibri Light" w:eastAsia="Batang" w:hAnsi="Calibri Light"/>
                          <w:b/>
                          <w:color w:val="808080" w:themeColor="background2" w:themeShade="80"/>
                          <w:sz w:val="18"/>
                          <w:szCs w:val="14"/>
                          <w:lang w:val="en-GB" w:eastAsia="ko-KR"/>
                        </w:rPr>
                        <w:t>Third Party Reliance</w:t>
                      </w:r>
                    </w:p>
                    <w:p w14:paraId="1F8CEBA6" w14:textId="77777777" w:rsidR="00621BE2" w:rsidRPr="009E2B03" w:rsidRDefault="00621BE2" w:rsidP="005E4E54">
                      <w:pPr>
                        <w:rPr>
                          <w:rStyle w:val="White"/>
                          <w:rFonts w:ascii="Calibri Light" w:eastAsia="Batang" w:hAnsi="Calibri Light"/>
                          <w:color w:val="808080" w:themeColor="background2" w:themeShade="80"/>
                          <w:sz w:val="18"/>
                          <w:szCs w:val="14"/>
                          <w:lang w:val="en-GB" w:eastAsia="ko-KR"/>
                        </w:rPr>
                      </w:pPr>
                      <w:r w:rsidRPr="009E2B03">
                        <w:rPr>
                          <w:rStyle w:val="White"/>
                          <w:rFonts w:ascii="Calibri Light" w:eastAsia="Batang" w:hAnsi="Calibri Light"/>
                          <w:color w:val="808080" w:themeColor="background2" w:themeShade="80"/>
                          <w:sz w:val="18"/>
                          <w:szCs w:val="14"/>
                          <w:lang w:val="en-GB" w:eastAsia="ko-KR"/>
                        </w:rPr>
                        <w:t>This report is solely for the purpose set out in the Scope Section and for the Department of Social Services information, and is not to be used for any other purpose or distributed to any other party without KPMG’s prior written consent.</w:t>
                      </w:r>
                    </w:p>
                    <w:p w14:paraId="7C390F06" w14:textId="77777777" w:rsidR="00621BE2" w:rsidRPr="009E2B03" w:rsidRDefault="00621BE2" w:rsidP="005E4E54">
                      <w:pPr>
                        <w:rPr>
                          <w:rStyle w:val="White"/>
                          <w:rFonts w:ascii="Calibri Light" w:eastAsia="Batang" w:hAnsi="Calibri Light"/>
                          <w:color w:val="808080" w:themeColor="background2" w:themeShade="80"/>
                          <w:sz w:val="18"/>
                          <w:szCs w:val="14"/>
                          <w:lang w:val="en-GB" w:eastAsia="ko-KR"/>
                        </w:rPr>
                      </w:pPr>
                      <w:r w:rsidRPr="009E2B03">
                        <w:rPr>
                          <w:rStyle w:val="White"/>
                          <w:rFonts w:ascii="Calibri Light" w:eastAsia="Batang" w:hAnsi="Calibri Light"/>
                          <w:color w:val="808080" w:themeColor="background2" w:themeShade="80"/>
                          <w:sz w:val="18"/>
                          <w:szCs w:val="14"/>
                          <w:lang w:val="en-GB" w:eastAsia="ko-KR"/>
                        </w:rPr>
                        <w:t>This report has been prepared at the request of the Department of Social Services in accordance with the terms of KPMG’s Engagement Letter dated 21 December 2015. Other than our responsibility to the Department of Social Services, neither KPMG nor any member or employee of KPMG undertakes responsibility arising in any way from reliance placed by a third party on this report.  Any reliance placed is that party’s sole responsibility.</w:t>
                      </w:r>
                    </w:p>
                  </w:txbxContent>
                </v:textbox>
                <w10:anchorlock/>
              </v:shape>
            </w:pict>
          </mc:Fallback>
        </mc:AlternateContent>
      </w:r>
    </w:p>
    <w:p w14:paraId="7E53BA8B" w14:textId="1EE99C12" w:rsidR="00BC4D85" w:rsidRPr="009E2B03" w:rsidRDefault="00BC4D85" w:rsidP="00424BAE">
      <w:pPr>
        <w:pStyle w:val="Bodytextkeepwithnext"/>
        <w:rPr>
          <w:rFonts w:ascii="Calibri Light" w:hAnsi="Calibri Light"/>
          <w:b/>
          <w:sz w:val="28"/>
        </w:rPr>
      </w:pPr>
    </w:p>
    <w:p w14:paraId="03152CEB" w14:textId="77777777" w:rsidR="00125D57" w:rsidRPr="00D00E36" w:rsidRDefault="00125D57" w:rsidP="00125D57">
      <w:pPr>
        <w:spacing w:before="0"/>
        <w:jc w:val="center"/>
        <w:rPr>
          <w:rFonts w:ascii="Calibri Light" w:hAnsi="Calibri Light"/>
          <w:i/>
          <w:color w:val="7030A0"/>
          <w:sz w:val="42"/>
          <w:szCs w:val="42"/>
        </w:rPr>
      </w:pPr>
      <w:bookmarkStart w:id="3" w:name="_Toc447555977"/>
      <w:bookmarkStart w:id="4" w:name="_Toc447557102"/>
      <w:r w:rsidRPr="00D00E36">
        <w:rPr>
          <w:rFonts w:ascii="Calibri Light" w:hAnsi="Calibri Light"/>
          <w:i/>
          <w:color w:val="7030A0"/>
          <w:sz w:val="42"/>
          <w:szCs w:val="42"/>
        </w:rPr>
        <w:t xml:space="preserve">Violence against women and their children </w:t>
      </w:r>
      <w:r w:rsidRPr="00D00E36">
        <w:rPr>
          <w:rFonts w:ascii="Calibri Light" w:hAnsi="Calibri Light"/>
          <w:i/>
          <w:color w:val="7030A0"/>
          <w:sz w:val="42"/>
          <w:szCs w:val="42"/>
        </w:rPr>
        <w:br/>
        <w:t>is a crime and a</w:t>
      </w:r>
      <w:bookmarkStart w:id="5" w:name="_Toc447555978"/>
      <w:bookmarkStart w:id="6" w:name="_Toc447557103"/>
      <w:bookmarkEnd w:id="3"/>
      <w:bookmarkEnd w:id="4"/>
      <w:r w:rsidRPr="00D00E36">
        <w:rPr>
          <w:rFonts w:ascii="Calibri Light" w:hAnsi="Calibri Light"/>
          <w:i/>
          <w:color w:val="7030A0"/>
          <w:sz w:val="42"/>
          <w:szCs w:val="42"/>
        </w:rPr>
        <w:t xml:space="preserve"> fundamental breach of human rights. </w:t>
      </w:r>
      <w:bookmarkStart w:id="7" w:name="_Toc447555979"/>
      <w:bookmarkStart w:id="8" w:name="_Toc447557104"/>
      <w:bookmarkEnd w:id="5"/>
      <w:bookmarkEnd w:id="6"/>
      <w:r w:rsidRPr="00D00E36">
        <w:rPr>
          <w:rFonts w:ascii="Calibri Light" w:hAnsi="Calibri Light"/>
          <w:i/>
          <w:color w:val="7030A0"/>
          <w:sz w:val="42"/>
          <w:szCs w:val="42"/>
        </w:rPr>
        <w:t>Experiencing violence has significant implications for victims, their</w:t>
      </w:r>
      <w:bookmarkEnd w:id="7"/>
      <w:bookmarkEnd w:id="8"/>
      <w:r w:rsidRPr="00D00E36">
        <w:rPr>
          <w:rFonts w:ascii="Calibri Light" w:hAnsi="Calibri Light"/>
          <w:i/>
          <w:color w:val="7030A0"/>
          <w:sz w:val="42"/>
          <w:szCs w:val="42"/>
        </w:rPr>
        <w:t xml:space="preserve"> </w:t>
      </w:r>
      <w:bookmarkStart w:id="9" w:name="_Toc447555980"/>
      <w:bookmarkStart w:id="10" w:name="_Toc447557105"/>
      <w:r w:rsidRPr="00D00E36">
        <w:rPr>
          <w:rFonts w:ascii="Calibri Light" w:hAnsi="Calibri Light"/>
          <w:i/>
          <w:color w:val="7030A0"/>
          <w:sz w:val="42"/>
          <w:szCs w:val="42"/>
        </w:rPr>
        <w:t>children, families, friends, employers and co-</w:t>
      </w:r>
      <w:bookmarkStart w:id="11" w:name="_Toc447555981"/>
      <w:bookmarkStart w:id="12" w:name="_Toc447557106"/>
      <w:bookmarkEnd w:id="9"/>
      <w:bookmarkEnd w:id="10"/>
      <w:r w:rsidRPr="00D00E36">
        <w:rPr>
          <w:rFonts w:ascii="Calibri Light" w:hAnsi="Calibri Light"/>
          <w:i/>
          <w:color w:val="7030A0"/>
          <w:sz w:val="42"/>
          <w:szCs w:val="42"/>
        </w:rPr>
        <w:t>workers.</w:t>
      </w:r>
      <w:r w:rsidRPr="00D00E36">
        <w:rPr>
          <w:rFonts w:ascii="Calibri Light" w:hAnsi="Calibri Light"/>
          <w:i/>
          <w:color w:val="7030A0"/>
          <w:sz w:val="42"/>
          <w:szCs w:val="42"/>
        </w:rPr>
        <w:br/>
        <w:t>The implications of violence can include long term social, health, psychological,</w:t>
      </w:r>
      <w:bookmarkEnd w:id="11"/>
      <w:bookmarkEnd w:id="12"/>
      <w:r w:rsidRPr="00D00E36">
        <w:rPr>
          <w:rFonts w:ascii="Calibri Light" w:hAnsi="Calibri Light"/>
          <w:i/>
          <w:color w:val="7030A0"/>
          <w:sz w:val="42"/>
          <w:szCs w:val="42"/>
        </w:rPr>
        <w:t xml:space="preserve"> </w:t>
      </w:r>
      <w:bookmarkStart w:id="13" w:name="_Toc447555982"/>
      <w:bookmarkStart w:id="14" w:name="_Toc447557107"/>
      <w:r w:rsidRPr="00D00E36">
        <w:rPr>
          <w:rFonts w:ascii="Calibri Light" w:hAnsi="Calibri Light"/>
          <w:i/>
          <w:color w:val="7030A0"/>
          <w:sz w:val="42"/>
          <w:szCs w:val="42"/>
        </w:rPr>
        <w:t xml:space="preserve">financial, </w:t>
      </w:r>
      <w:r w:rsidRPr="00D00E36">
        <w:rPr>
          <w:rFonts w:ascii="Calibri Light" w:hAnsi="Calibri Light"/>
          <w:i/>
          <w:color w:val="7030A0"/>
          <w:sz w:val="42"/>
          <w:szCs w:val="42"/>
        </w:rPr>
        <w:br/>
        <w:t xml:space="preserve">and economic damage. </w:t>
      </w:r>
      <w:r w:rsidRPr="00D00E36">
        <w:rPr>
          <w:rFonts w:ascii="Calibri Light" w:hAnsi="Calibri Light"/>
          <w:b/>
          <w:i/>
          <w:color w:val="7030A0"/>
          <w:sz w:val="42"/>
          <w:szCs w:val="42"/>
        </w:rPr>
        <w:t>Based on the 2012</w:t>
      </w:r>
      <w:bookmarkStart w:id="15" w:name="_Toc447555983"/>
      <w:bookmarkStart w:id="16" w:name="_Toc447557108"/>
      <w:bookmarkEnd w:id="13"/>
      <w:bookmarkEnd w:id="14"/>
      <w:r w:rsidRPr="00D00E36">
        <w:rPr>
          <w:rFonts w:ascii="Calibri Light" w:hAnsi="Calibri Light"/>
          <w:b/>
          <w:i/>
          <w:color w:val="7030A0"/>
          <w:sz w:val="42"/>
          <w:szCs w:val="42"/>
        </w:rPr>
        <w:t xml:space="preserve"> Personal Safety Survey (PSS), KPMG estimates that</w:t>
      </w:r>
      <w:bookmarkEnd w:id="15"/>
      <w:bookmarkEnd w:id="16"/>
      <w:r w:rsidRPr="00D00E36">
        <w:rPr>
          <w:rFonts w:ascii="Calibri Light" w:hAnsi="Calibri Light"/>
          <w:b/>
          <w:i/>
          <w:color w:val="7030A0"/>
          <w:sz w:val="42"/>
          <w:szCs w:val="42"/>
        </w:rPr>
        <w:t xml:space="preserve"> </w:t>
      </w:r>
      <w:bookmarkStart w:id="17" w:name="_Toc447555984"/>
      <w:bookmarkStart w:id="18" w:name="_Toc447557109"/>
      <w:r w:rsidRPr="00D00E36">
        <w:rPr>
          <w:rFonts w:ascii="Calibri Light" w:hAnsi="Calibri Light"/>
          <w:b/>
          <w:i/>
          <w:color w:val="7030A0"/>
          <w:sz w:val="42"/>
          <w:szCs w:val="42"/>
        </w:rPr>
        <w:t>the total cost of violence against women and their</w:t>
      </w:r>
      <w:bookmarkEnd w:id="17"/>
      <w:bookmarkEnd w:id="18"/>
      <w:r w:rsidRPr="00D00E36">
        <w:rPr>
          <w:rFonts w:ascii="Calibri Light" w:hAnsi="Calibri Light"/>
          <w:b/>
          <w:i/>
          <w:color w:val="7030A0"/>
          <w:sz w:val="42"/>
          <w:szCs w:val="42"/>
        </w:rPr>
        <w:t xml:space="preserve"> </w:t>
      </w:r>
      <w:bookmarkStart w:id="19" w:name="_Toc447555985"/>
      <w:bookmarkStart w:id="20" w:name="_Toc447557110"/>
      <w:r w:rsidRPr="00D00E36">
        <w:rPr>
          <w:rFonts w:ascii="Calibri Light" w:hAnsi="Calibri Light"/>
          <w:b/>
          <w:i/>
          <w:color w:val="7030A0"/>
          <w:sz w:val="42"/>
          <w:szCs w:val="42"/>
        </w:rPr>
        <w:t>children is $22 billion in 2015-16.</w:t>
      </w:r>
    </w:p>
    <w:p w14:paraId="5E68E6B2" w14:textId="77777777" w:rsidR="00125D57" w:rsidRPr="00D00E36" w:rsidRDefault="00125D57" w:rsidP="00125D57">
      <w:pPr>
        <w:spacing w:before="0"/>
        <w:jc w:val="center"/>
        <w:rPr>
          <w:rFonts w:ascii="Calibri Light" w:hAnsi="Calibri Light"/>
          <w:color w:val="7030A0"/>
          <w:sz w:val="40"/>
        </w:rPr>
      </w:pPr>
      <w:r w:rsidRPr="00D00E36">
        <w:rPr>
          <w:rFonts w:ascii="Calibri Light" w:hAnsi="Calibri Light"/>
          <w:i/>
          <w:color w:val="7030A0"/>
          <w:sz w:val="42"/>
          <w:szCs w:val="42"/>
        </w:rPr>
        <w:t xml:space="preserve">However, </w:t>
      </w:r>
      <w:bookmarkStart w:id="21" w:name="_Toc447555987"/>
      <w:bookmarkStart w:id="22" w:name="_Toc447557112"/>
      <w:bookmarkEnd w:id="19"/>
      <w:bookmarkEnd w:id="20"/>
      <w:r w:rsidRPr="00D00E36">
        <w:rPr>
          <w:rFonts w:ascii="Calibri Light" w:hAnsi="Calibri Light"/>
          <w:i/>
          <w:color w:val="7030A0"/>
          <w:sz w:val="42"/>
          <w:szCs w:val="42"/>
        </w:rPr>
        <w:t>Aboriginal and Torres Strait Islander</w:t>
      </w:r>
      <w:bookmarkEnd w:id="21"/>
      <w:bookmarkEnd w:id="22"/>
      <w:r w:rsidRPr="00D00E36">
        <w:rPr>
          <w:rFonts w:ascii="Calibri Light" w:hAnsi="Calibri Light"/>
          <w:i/>
          <w:color w:val="7030A0"/>
          <w:sz w:val="42"/>
          <w:szCs w:val="42"/>
        </w:rPr>
        <w:t xml:space="preserve"> </w:t>
      </w:r>
      <w:bookmarkStart w:id="23" w:name="_Toc447555988"/>
      <w:bookmarkStart w:id="24" w:name="_Toc447557113"/>
      <w:r w:rsidRPr="00D00E36">
        <w:rPr>
          <w:rFonts w:ascii="Calibri Light" w:hAnsi="Calibri Light"/>
          <w:i/>
          <w:color w:val="7030A0"/>
          <w:sz w:val="42"/>
          <w:szCs w:val="42"/>
        </w:rPr>
        <w:t>women, pregnant women, women with disability, and</w:t>
      </w:r>
      <w:bookmarkEnd w:id="23"/>
      <w:bookmarkEnd w:id="24"/>
      <w:r w:rsidRPr="00D00E36">
        <w:rPr>
          <w:rFonts w:ascii="Calibri Light" w:hAnsi="Calibri Light"/>
          <w:i/>
          <w:color w:val="7030A0"/>
          <w:sz w:val="42"/>
          <w:szCs w:val="42"/>
        </w:rPr>
        <w:t xml:space="preserve"> </w:t>
      </w:r>
      <w:bookmarkStart w:id="25" w:name="_Toc447555989"/>
      <w:bookmarkStart w:id="26" w:name="_Toc447557114"/>
      <w:r w:rsidRPr="00D00E36">
        <w:rPr>
          <w:rFonts w:ascii="Calibri Light" w:hAnsi="Calibri Light"/>
          <w:i/>
          <w:color w:val="7030A0"/>
          <w:sz w:val="42"/>
          <w:szCs w:val="42"/>
        </w:rPr>
        <w:t xml:space="preserve">women experiencing homelessness are underrepresented in the PSS. Taking these groups fully into account </w:t>
      </w:r>
      <w:r w:rsidRPr="00D00E36">
        <w:rPr>
          <w:rFonts w:ascii="Calibri Light" w:hAnsi="Calibri Light"/>
          <w:b/>
          <w:i/>
          <w:color w:val="7030A0"/>
          <w:sz w:val="42"/>
          <w:szCs w:val="42"/>
        </w:rPr>
        <w:t xml:space="preserve">may </w:t>
      </w:r>
      <w:bookmarkStart w:id="27" w:name="_Toc447555990"/>
      <w:bookmarkStart w:id="28" w:name="_Toc447557115"/>
      <w:bookmarkEnd w:id="25"/>
      <w:bookmarkEnd w:id="26"/>
      <w:r w:rsidRPr="00D00E36">
        <w:rPr>
          <w:rFonts w:ascii="Calibri Light" w:hAnsi="Calibri Light"/>
          <w:b/>
          <w:i/>
          <w:color w:val="7030A0"/>
          <w:sz w:val="42"/>
          <w:szCs w:val="42"/>
        </w:rPr>
        <w:t>add $4 billion to these costs in 2015</w:t>
      </w:r>
      <w:bookmarkStart w:id="29" w:name="_Toc447555991"/>
      <w:bookmarkStart w:id="30" w:name="_Toc447557116"/>
      <w:bookmarkEnd w:id="27"/>
      <w:bookmarkEnd w:id="28"/>
      <w:r w:rsidRPr="00D00E36">
        <w:rPr>
          <w:rFonts w:ascii="Calibri Light" w:hAnsi="Calibri Light"/>
          <w:b/>
          <w:i/>
          <w:color w:val="7030A0"/>
          <w:sz w:val="42"/>
          <w:szCs w:val="42"/>
        </w:rPr>
        <w:t>-16</w:t>
      </w:r>
      <w:r w:rsidRPr="00D00E36">
        <w:rPr>
          <w:rFonts w:ascii="Calibri Light" w:hAnsi="Calibri Light"/>
          <w:i/>
          <w:color w:val="7030A0"/>
          <w:sz w:val="40"/>
          <w:szCs w:val="40"/>
        </w:rPr>
        <w:t>.</w:t>
      </w:r>
      <w:bookmarkEnd w:id="29"/>
      <w:bookmarkEnd w:id="30"/>
    </w:p>
    <w:p w14:paraId="796724C3" w14:textId="77777777" w:rsidR="00125D57" w:rsidRPr="00D00E36" w:rsidRDefault="00125D57" w:rsidP="00125D57">
      <w:pPr>
        <w:spacing w:before="0"/>
        <w:jc w:val="right"/>
        <w:rPr>
          <w:rFonts w:ascii="Calibri Light" w:hAnsi="Calibri Light"/>
          <w:b/>
          <w:color w:val="7030A0"/>
          <w:sz w:val="32"/>
        </w:rPr>
      </w:pPr>
    </w:p>
    <w:p w14:paraId="04FA457A" w14:textId="77777777" w:rsidR="00125D57" w:rsidRPr="00D00E36" w:rsidRDefault="00125D57" w:rsidP="00125D57">
      <w:pPr>
        <w:spacing w:before="0"/>
        <w:jc w:val="right"/>
        <w:rPr>
          <w:rFonts w:ascii="Calibri Light" w:hAnsi="Calibri Light"/>
          <w:b/>
          <w:color w:val="7030A0"/>
          <w:sz w:val="36"/>
        </w:rPr>
      </w:pPr>
    </w:p>
    <w:p w14:paraId="10481DBC" w14:textId="77777777" w:rsidR="00125D57" w:rsidRPr="00D00E36" w:rsidRDefault="00125D57" w:rsidP="00125D57">
      <w:pPr>
        <w:spacing w:before="0"/>
        <w:jc w:val="right"/>
        <w:rPr>
          <w:rFonts w:ascii="Calibri Light" w:hAnsi="Calibri Light"/>
          <w:color w:val="7030A0"/>
          <w:sz w:val="36"/>
        </w:rPr>
      </w:pPr>
      <w:r w:rsidRPr="00D00E36">
        <w:rPr>
          <w:rFonts w:ascii="Calibri Light" w:hAnsi="Calibri Light"/>
          <w:b/>
          <w:color w:val="7030A0"/>
          <w:sz w:val="40"/>
        </w:rPr>
        <w:t>Liz Forsyth</w:t>
      </w:r>
      <w:r w:rsidRPr="00D00E36">
        <w:rPr>
          <w:rFonts w:ascii="Calibri Light" w:hAnsi="Calibri Light"/>
          <w:color w:val="7030A0"/>
          <w:sz w:val="36"/>
        </w:rPr>
        <w:br/>
      </w:r>
      <w:r w:rsidRPr="00D00E36">
        <w:rPr>
          <w:rFonts w:ascii="Calibri Light" w:hAnsi="Calibri Light"/>
          <w:color w:val="7030A0"/>
          <w:sz w:val="32"/>
          <w:szCs w:val="32"/>
        </w:rPr>
        <w:t>Global Lead: Human and Social Services</w:t>
      </w:r>
      <w:r w:rsidRPr="00D00E36">
        <w:rPr>
          <w:rFonts w:ascii="Calibri Light" w:hAnsi="Calibri Light"/>
          <w:color w:val="7030A0"/>
          <w:sz w:val="32"/>
          <w:szCs w:val="32"/>
        </w:rPr>
        <w:br/>
        <w:t>Deputy Chair, KPMG Australia</w:t>
      </w:r>
    </w:p>
    <w:p w14:paraId="0F1A3E31" w14:textId="435AC033" w:rsidR="00EA249F" w:rsidRPr="009E2B03" w:rsidRDefault="00EA249F" w:rsidP="00424BAE">
      <w:pPr>
        <w:pStyle w:val="Bodytextkeepwithnext"/>
        <w:jc w:val="right"/>
        <w:rPr>
          <w:rFonts w:ascii="Calibri Light" w:hAnsi="Calibri Light"/>
          <w:sz w:val="28"/>
        </w:rPr>
      </w:pPr>
    </w:p>
    <w:p w14:paraId="7CD092EC" w14:textId="3F45C253" w:rsidR="000D211D" w:rsidRPr="009E2B03" w:rsidRDefault="00E23E26" w:rsidP="009E2B03">
      <w:pPr>
        <w:pStyle w:val="Heading1"/>
        <w:numPr>
          <w:ilvl w:val="0"/>
          <w:numId w:val="0"/>
        </w:numPr>
        <w:tabs>
          <w:tab w:val="left" w:pos="6061"/>
        </w:tabs>
        <w:rPr>
          <w:rFonts w:ascii="Calibri Light" w:eastAsiaTheme="minorHAnsi" w:hAnsi="Calibri Light"/>
          <w:b w:val="0"/>
          <w:noProof/>
          <w:color w:val="6D2077"/>
          <w:sz w:val="76"/>
          <w:szCs w:val="76"/>
          <w:lang w:eastAsia="en-AU"/>
        </w:rPr>
      </w:pPr>
      <w:bookmarkStart w:id="31" w:name="_Toc449553505"/>
      <w:r w:rsidRPr="009E2B03">
        <w:rPr>
          <w:rFonts w:ascii="Calibri Light" w:eastAsiaTheme="minorHAnsi" w:hAnsi="Calibri Light"/>
          <w:b w:val="0"/>
          <w:noProof/>
          <w:color w:val="6D2077"/>
          <w:sz w:val="76"/>
          <w:szCs w:val="76"/>
          <w:lang w:eastAsia="en-AU"/>
        </w:rPr>
        <w:lastRenderedPageBreak/>
        <w:t>Glossary</w:t>
      </w:r>
      <w:bookmarkEnd w:id="31"/>
      <w:r w:rsidR="00B0592D" w:rsidRPr="009E2B03">
        <w:rPr>
          <w:rFonts w:ascii="Calibri Light" w:eastAsiaTheme="minorHAnsi" w:hAnsi="Calibri Light"/>
          <w:b w:val="0"/>
          <w:noProof/>
          <w:color w:val="6D2077"/>
          <w:sz w:val="76"/>
          <w:szCs w:val="76"/>
          <w:lang w:eastAsia="en-AU"/>
        </w:rPr>
        <w:t xml:space="preserve"> and Definitions of Terms</w:t>
      </w:r>
    </w:p>
    <w:tbl>
      <w:tblPr>
        <w:tblStyle w:val="KPMGtable12"/>
        <w:tblW w:w="0" w:type="auto"/>
        <w:tblLook w:val="04A0" w:firstRow="1" w:lastRow="0" w:firstColumn="1" w:lastColumn="0" w:noHBand="0" w:noVBand="1"/>
        <w:tblCaption w:val="Glossary and Definitions of Terms"/>
      </w:tblPr>
      <w:tblGrid>
        <w:gridCol w:w="2268"/>
        <w:gridCol w:w="6748"/>
      </w:tblGrid>
      <w:tr w:rsidR="00784EA2" w:rsidRPr="009E2B03" w14:paraId="33D049F6"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6D2077"/>
          </w:tcPr>
          <w:p w14:paraId="13DEAA19" w14:textId="77777777" w:rsidR="00784EA2" w:rsidRPr="009E2B03" w:rsidRDefault="00784EA2" w:rsidP="00EB28EA">
            <w:pPr>
              <w:pStyle w:val="BodyText"/>
              <w:rPr>
                <w:rFonts w:ascii="Calibri Light" w:hAnsi="Calibri Light" w:cs="Arial"/>
                <w:b/>
                <w:sz w:val="22"/>
              </w:rPr>
            </w:pPr>
            <w:r w:rsidRPr="009E2B03">
              <w:rPr>
                <w:rFonts w:ascii="Calibri Light" w:hAnsi="Calibri Light" w:cs="Arial"/>
                <w:b/>
                <w:sz w:val="22"/>
              </w:rPr>
              <w:t>Term</w:t>
            </w:r>
          </w:p>
        </w:tc>
        <w:tc>
          <w:tcPr>
            <w:tcW w:w="6748" w:type="dxa"/>
            <w:shd w:val="clear" w:color="auto" w:fill="6D2077"/>
          </w:tcPr>
          <w:p w14:paraId="603030E2" w14:textId="77777777" w:rsidR="00784EA2" w:rsidRPr="009E2B03" w:rsidRDefault="00784EA2" w:rsidP="00EB28EA">
            <w:pPr>
              <w:pStyle w:val="BodyText"/>
              <w:cnfStyle w:val="100000000000" w:firstRow="1" w:lastRow="0" w:firstColumn="0" w:lastColumn="0" w:oddVBand="0" w:evenVBand="0" w:oddHBand="0" w:evenHBand="0" w:firstRowFirstColumn="0" w:firstRowLastColumn="0" w:lastRowFirstColumn="0" w:lastRowLastColumn="0"/>
              <w:rPr>
                <w:rFonts w:ascii="Calibri Light" w:hAnsi="Calibri Light" w:cs="Arial"/>
                <w:b/>
                <w:sz w:val="22"/>
              </w:rPr>
            </w:pPr>
            <w:r w:rsidRPr="009E2B03">
              <w:rPr>
                <w:rFonts w:ascii="Calibri Light" w:hAnsi="Calibri Light" w:cs="Arial"/>
                <w:b/>
                <w:sz w:val="22"/>
              </w:rPr>
              <w:t>Definition</w:t>
            </w:r>
          </w:p>
        </w:tc>
      </w:tr>
      <w:tr w:rsidR="00784EA2" w:rsidRPr="009E2B03" w14:paraId="096B875E"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8B21F82"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ABS</w:t>
            </w:r>
          </w:p>
        </w:tc>
        <w:tc>
          <w:tcPr>
            <w:tcW w:w="6748" w:type="dxa"/>
          </w:tcPr>
          <w:p w14:paraId="446FA075"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Australian Bureau of Statistics</w:t>
            </w:r>
          </w:p>
        </w:tc>
      </w:tr>
      <w:tr w:rsidR="00784EA2" w:rsidRPr="009E2B03" w14:paraId="6E9C84E7"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7D34D2F9"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Administrative data</w:t>
            </w:r>
          </w:p>
        </w:tc>
        <w:tc>
          <w:tcPr>
            <w:tcW w:w="6748" w:type="dxa"/>
          </w:tcPr>
          <w:p w14:paraId="6E8E92A4"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Information that is recorded when women receive or access social or justice services after a violent incident. The recording process can differ for each state and territory, as well as for different service types. As the objective of these services is to provide varying forms of care, support and assistance, the recording of information is supplementary to this concern resulting in challenges for the consistency of information. </w:t>
            </w:r>
          </w:p>
        </w:tc>
      </w:tr>
      <w:tr w:rsidR="00784EA2" w:rsidRPr="009E2B03" w14:paraId="6DA9D6F2"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05A37E58"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AIC</w:t>
            </w:r>
          </w:p>
        </w:tc>
        <w:tc>
          <w:tcPr>
            <w:tcW w:w="6748" w:type="dxa"/>
          </w:tcPr>
          <w:p w14:paraId="6C32A326"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Australian Institute of Criminology. Australia's national research and knowledge centre on crime and justice.</w:t>
            </w:r>
          </w:p>
        </w:tc>
      </w:tr>
      <w:tr w:rsidR="00784EA2" w:rsidRPr="009E2B03" w14:paraId="1EE68B6D"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27A802B8"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AIHW</w:t>
            </w:r>
          </w:p>
        </w:tc>
        <w:tc>
          <w:tcPr>
            <w:tcW w:w="6748" w:type="dxa"/>
          </w:tcPr>
          <w:p w14:paraId="737D099C"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Australian Institute of Health and Welfare. A national agency set up by the Australian Government </w:t>
            </w:r>
            <w:r w:rsidRPr="009E2B03">
              <w:rPr>
                <w:rFonts w:ascii="Calibri Light" w:hAnsi="Calibri Light" w:cs="Arial"/>
                <w:sz w:val="22"/>
                <w:szCs w:val="22"/>
              </w:rPr>
              <w:t>under the Australian Institute of Health and Welfare Act 1987 to provide</w:t>
            </w:r>
            <w:r w:rsidRPr="009E2B03">
              <w:rPr>
                <w:rFonts w:ascii="Calibri Light" w:hAnsi="Calibri Light" w:cs="Arial"/>
                <w:sz w:val="22"/>
              </w:rPr>
              <w:t xml:space="preserve"> reliable, regular and relevant information and statistics on Australia's health and welfare.</w:t>
            </w:r>
          </w:p>
        </w:tc>
      </w:tr>
      <w:tr w:rsidR="00784EA2" w:rsidRPr="009E2B03" w14:paraId="2A37B52E"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0D7FA1DA"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ANROWS</w:t>
            </w:r>
          </w:p>
        </w:tc>
        <w:tc>
          <w:tcPr>
            <w:tcW w:w="6748" w:type="dxa"/>
          </w:tcPr>
          <w:p w14:paraId="7470E615" w14:textId="3AD342DE" w:rsidR="00784EA2" w:rsidRPr="009E2B03" w:rsidRDefault="00784EA2" w:rsidP="00AE46DF">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Australia’s National Research Organisation for Women’s Safety. An independent, not-for-profit company established as an initiative under Australia’s National Plan to Reduce Violence against Women and their Children 2010-2022. It is jointly funded by the Commonwealth and all state and territory governments of Australia, who are the members of the </w:t>
            </w:r>
            <w:r w:rsidR="00AE46DF" w:rsidRPr="009E2B03">
              <w:rPr>
                <w:rFonts w:ascii="Calibri Light" w:hAnsi="Calibri Light" w:cs="Arial"/>
                <w:sz w:val="22"/>
              </w:rPr>
              <w:t>organisation</w:t>
            </w:r>
            <w:r w:rsidRPr="009E2B03">
              <w:rPr>
                <w:rFonts w:ascii="Calibri Light" w:hAnsi="Calibri Light" w:cs="Arial"/>
                <w:sz w:val="22"/>
              </w:rPr>
              <w:t>.</w:t>
            </w:r>
          </w:p>
        </w:tc>
      </w:tr>
      <w:tr w:rsidR="00784EA2" w:rsidRPr="009E2B03" w14:paraId="26E56DBC"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8E44770"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CALD</w:t>
            </w:r>
          </w:p>
        </w:tc>
        <w:tc>
          <w:tcPr>
            <w:tcW w:w="6748" w:type="dxa"/>
          </w:tcPr>
          <w:p w14:paraId="489568E1"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People with a culturally and linguistically diverse background</w:t>
            </w:r>
          </w:p>
        </w:tc>
      </w:tr>
      <w:tr w:rsidR="00784EA2" w:rsidRPr="009E2B03" w14:paraId="02CFE20A"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4AAF91A6"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COAG</w:t>
            </w:r>
          </w:p>
        </w:tc>
        <w:tc>
          <w:tcPr>
            <w:tcW w:w="6748" w:type="dxa"/>
          </w:tcPr>
          <w:p w14:paraId="4C736AAA"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Council of Australian Governments.</w:t>
            </w:r>
          </w:p>
        </w:tc>
      </w:tr>
      <w:tr w:rsidR="00784EA2" w:rsidRPr="009E2B03" w14:paraId="1FB30841"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7C1F4AC8"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DALY</w:t>
            </w:r>
          </w:p>
        </w:tc>
        <w:tc>
          <w:tcPr>
            <w:tcW w:w="6748" w:type="dxa"/>
          </w:tcPr>
          <w:p w14:paraId="5784E0DB"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Disability Adjusted Life Year. DALYs are published by the United Nations World Health Organisation, and are used to estimate the burden of disease across an entire population.</w:t>
            </w:r>
          </w:p>
        </w:tc>
      </w:tr>
      <w:tr w:rsidR="00784EA2" w:rsidRPr="009E2B03" w14:paraId="7820FC13"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32505F29"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DHS</w:t>
            </w:r>
          </w:p>
        </w:tc>
        <w:tc>
          <w:tcPr>
            <w:tcW w:w="6748" w:type="dxa"/>
          </w:tcPr>
          <w:p w14:paraId="505F6E8D"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Australian Government Department of Human Services.</w:t>
            </w:r>
          </w:p>
        </w:tc>
      </w:tr>
      <w:tr w:rsidR="00784EA2" w:rsidRPr="009E2B03" w14:paraId="402B5E97"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2473517A"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Domestic and family violence</w:t>
            </w:r>
          </w:p>
        </w:tc>
        <w:tc>
          <w:tcPr>
            <w:tcW w:w="6748" w:type="dxa"/>
          </w:tcPr>
          <w:p w14:paraId="77097070" w14:textId="62916569" w:rsidR="00784EA2" w:rsidRPr="009E2B03" w:rsidRDefault="00784EA2" w:rsidP="00AE46DF">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Broadly defined, domestic and family violence encompasses all forms of direct and indirect violence, in the form of physical, sexual and emotional violence and stalking, committed against women and their children in the context of domestic or family relationships. Due to definitional inconsistencies across jurisdictions, references </w:t>
            </w:r>
            <w:r w:rsidR="00AE46DF" w:rsidRPr="009E2B03">
              <w:rPr>
                <w:rFonts w:ascii="Calibri Light" w:hAnsi="Calibri Light" w:cs="Arial"/>
                <w:sz w:val="22"/>
              </w:rPr>
              <w:t>to domestic and</w:t>
            </w:r>
            <w:r w:rsidRPr="009E2B03">
              <w:rPr>
                <w:rFonts w:ascii="Calibri Light" w:hAnsi="Calibri Light" w:cs="Arial"/>
                <w:sz w:val="22"/>
              </w:rPr>
              <w:t xml:space="preserve"> family violence reflect the nuances of their source location, data collection methods and respective organisation of their justice and service systems.</w:t>
            </w:r>
          </w:p>
        </w:tc>
      </w:tr>
      <w:tr w:rsidR="00784EA2" w:rsidRPr="009E2B03" w14:paraId="5BC2C0E2"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AD8A1E4"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Emotional Abuse</w:t>
            </w:r>
          </w:p>
        </w:tc>
        <w:tc>
          <w:tcPr>
            <w:tcW w:w="6748" w:type="dxa"/>
          </w:tcPr>
          <w:p w14:paraId="43C79C44"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Emotional abuse occurs when a person is subjected to certain behaviours or actions that are aimed at preventing or controlling their behaviour with the intent to cause them emotional harm or fear. These behaviours are characterised in nature by their intent to manipulate, control, isolate or intimidate the person they are aimed at. They are generally repeated behaviours and include psychological, social, economic and verbal abuse.</w:t>
            </w:r>
          </w:p>
        </w:tc>
      </w:tr>
      <w:tr w:rsidR="00784EA2" w:rsidRPr="009E2B03" w14:paraId="7F4BA04B"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96E7252"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FDV</w:t>
            </w:r>
          </w:p>
        </w:tc>
        <w:tc>
          <w:tcPr>
            <w:tcW w:w="6748" w:type="dxa"/>
          </w:tcPr>
          <w:p w14:paraId="7D2493EB"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Family and Domestic Violence</w:t>
            </w:r>
          </w:p>
        </w:tc>
      </w:tr>
      <w:tr w:rsidR="00784EA2" w:rsidRPr="009E2B03" w14:paraId="261E14CA"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13515C41"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Incidence</w:t>
            </w:r>
          </w:p>
        </w:tc>
        <w:tc>
          <w:tcPr>
            <w:tcW w:w="6748" w:type="dxa"/>
          </w:tcPr>
          <w:p w14:paraId="334CD898"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The number of violent incidents experienced by women and their children over a given period, irrespective of whether this is reported to </w:t>
            </w:r>
            <w:r w:rsidRPr="009E2B03">
              <w:rPr>
                <w:rFonts w:ascii="Calibri Light" w:hAnsi="Calibri Light" w:cs="Arial"/>
                <w:sz w:val="22"/>
              </w:rPr>
              <w:lastRenderedPageBreak/>
              <w:t>police or recorded by service providers.</w:t>
            </w:r>
          </w:p>
        </w:tc>
      </w:tr>
      <w:tr w:rsidR="00784EA2" w:rsidRPr="009E2B03" w14:paraId="37B69556"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6B104D7E"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lastRenderedPageBreak/>
              <w:t>LGA</w:t>
            </w:r>
          </w:p>
        </w:tc>
        <w:tc>
          <w:tcPr>
            <w:tcW w:w="6748" w:type="dxa"/>
          </w:tcPr>
          <w:p w14:paraId="6B79B8E2"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bCs/>
                <w:sz w:val="22"/>
              </w:rPr>
            </w:pPr>
            <w:r w:rsidRPr="009E2B03">
              <w:rPr>
                <w:rFonts w:ascii="Calibri Light" w:hAnsi="Calibri Light" w:cs="Arial"/>
                <w:bCs/>
                <w:sz w:val="22"/>
              </w:rPr>
              <w:t>Local government area</w:t>
            </w:r>
          </w:p>
        </w:tc>
      </w:tr>
      <w:tr w:rsidR="00784EA2" w:rsidRPr="009E2B03" w14:paraId="58924BF2"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728BD8FC"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LGBTIQ</w:t>
            </w:r>
          </w:p>
        </w:tc>
        <w:tc>
          <w:tcPr>
            <w:tcW w:w="6748" w:type="dxa"/>
          </w:tcPr>
          <w:p w14:paraId="7A102617"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bCs/>
                <w:sz w:val="22"/>
              </w:rPr>
            </w:pPr>
            <w:r w:rsidRPr="009E2B03">
              <w:rPr>
                <w:rFonts w:ascii="Calibri Light" w:hAnsi="Calibri Light" w:cs="Arial"/>
                <w:bCs/>
                <w:sz w:val="22"/>
              </w:rPr>
              <w:t>Lesbian, Gay, Bisexual, Transgender, Bisexual, Intersex and Queer</w:t>
            </w:r>
          </w:p>
        </w:tc>
      </w:tr>
      <w:tr w:rsidR="00784EA2" w:rsidRPr="009E2B03" w14:paraId="20EB3F42"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7F786C09"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OSCAR</w:t>
            </w:r>
          </w:p>
        </w:tc>
        <w:tc>
          <w:tcPr>
            <w:tcW w:w="6748" w:type="dxa"/>
          </w:tcPr>
          <w:p w14:paraId="49D58F67"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bCs/>
                <w:sz w:val="22"/>
              </w:rPr>
            </w:pPr>
            <w:r w:rsidRPr="009E2B03">
              <w:rPr>
                <w:rFonts w:ascii="Calibri Light" w:hAnsi="Calibri Light" w:cs="Arial"/>
                <w:bCs/>
                <w:sz w:val="22"/>
              </w:rPr>
              <w:t>Office of Crime Statistics and Research for South Australia</w:t>
            </w:r>
          </w:p>
        </w:tc>
      </w:tr>
      <w:tr w:rsidR="00784EA2" w:rsidRPr="009E2B03" w14:paraId="082B8114"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7BE67C79"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Partner Violence</w:t>
            </w:r>
          </w:p>
        </w:tc>
        <w:tc>
          <w:tcPr>
            <w:tcW w:w="6748" w:type="dxa"/>
          </w:tcPr>
          <w:p w14:paraId="54422252"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bCs/>
                <w:sz w:val="22"/>
              </w:rPr>
            </w:pPr>
            <w:r w:rsidRPr="009E2B03">
              <w:rPr>
                <w:rFonts w:ascii="Calibri Light" w:hAnsi="Calibri Light" w:cs="Arial"/>
                <w:bCs/>
                <w:sz w:val="22"/>
              </w:rPr>
              <w:t>Partner violence refers to any incident of sexual assault, sexual threat, physical assault or physical threat, emotional abuse or stalking by a current and/or previous partner.</w:t>
            </w:r>
          </w:p>
        </w:tc>
      </w:tr>
      <w:tr w:rsidR="00784EA2" w:rsidRPr="009E2B03" w14:paraId="2895E113"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08039537"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PC</w:t>
            </w:r>
          </w:p>
        </w:tc>
        <w:tc>
          <w:tcPr>
            <w:tcW w:w="6748" w:type="dxa"/>
          </w:tcPr>
          <w:p w14:paraId="0C801442"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bCs/>
                <w:sz w:val="22"/>
              </w:rPr>
            </w:pPr>
            <w:r w:rsidRPr="009E2B03">
              <w:rPr>
                <w:rFonts w:ascii="Calibri Light" w:hAnsi="Calibri Light" w:cs="Arial"/>
                <w:bCs/>
                <w:sz w:val="22"/>
              </w:rPr>
              <w:t>The Australian Government’s Productivity Commission</w:t>
            </w:r>
          </w:p>
        </w:tc>
      </w:tr>
      <w:tr w:rsidR="00784EA2" w:rsidRPr="009E2B03" w14:paraId="7C84A412"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18E8591E"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Physical Assault</w:t>
            </w:r>
          </w:p>
        </w:tc>
        <w:tc>
          <w:tcPr>
            <w:tcW w:w="6748" w:type="dxa"/>
          </w:tcPr>
          <w:p w14:paraId="24AF84C1" w14:textId="0666A26F" w:rsidR="00784EA2" w:rsidRPr="009E2B03" w:rsidRDefault="00784EA2" w:rsidP="00101087">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bCs/>
                <w:sz w:val="22"/>
              </w:rPr>
              <w:t>Physical assault</w:t>
            </w:r>
            <w:r w:rsidRPr="009E2B03">
              <w:rPr>
                <w:rFonts w:ascii="Calibri Light" w:hAnsi="Calibri Light" w:cs="Arial"/>
                <w:sz w:val="22"/>
              </w:rPr>
              <w:t xml:space="preserve"> involves the use of physical force with the intent to harm or frighten a person. Assaults may have occurred in conjunction with a robbery and includes incidents where a person was assaulted in their line of work. This includes being: pushed, grabbed or shoved; slapped; kicked, bitten or hit with a fist; hit with an object or something else that could hurt </w:t>
            </w:r>
            <w:r w:rsidR="00101087" w:rsidRPr="009E2B03">
              <w:rPr>
                <w:rFonts w:ascii="Calibri Light" w:hAnsi="Calibri Light" w:cs="Arial"/>
                <w:sz w:val="22"/>
              </w:rPr>
              <w:t>a women</w:t>
            </w:r>
            <w:r w:rsidRPr="009E2B03">
              <w:rPr>
                <w:rFonts w:ascii="Calibri Light" w:hAnsi="Calibri Light" w:cs="Arial"/>
                <w:sz w:val="22"/>
              </w:rPr>
              <w:t xml:space="preserve">; beaten; choked; stabbed; shot; or any other type of physical assault which involved the use of physical force with the intent to harm or frighten a </w:t>
            </w:r>
            <w:r w:rsidR="00101087" w:rsidRPr="009E2B03">
              <w:rPr>
                <w:rFonts w:ascii="Calibri Light" w:hAnsi="Calibri Light" w:cs="Arial"/>
                <w:sz w:val="22"/>
              </w:rPr>
              <w:t>women</w:t>
            </w:r>
            <w:r w:rsidRPr="009E2B03">
              <w:rPr>
                <w:rFonts w:ascii="Calibri Light" w:hAnsi="Calibri Light" w:cs="Arial"/>
                <w:sz w:val="22"/>
              </w:rPr>
              <w:t xml:space="preserve">. </w:t>
            </w:r>
          </w:p>
        </w:tc>
      </w:tr>
      <w:tr w:rsidR="00784EA2" w:rsidRPr="009E2B03" w14:paraId="6721C1E6"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07973D14"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Physical Violence</w:t>
            </w:r>
          </w:p>
        </w:tc>
        <w:tc>
          <w:tcPr>
            <w:tcW w:w="6748" w:type="dxa"/>
          </w:tcPr>
          <w:p w14:paraId="500EE987"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Comprises of both the definition of physical assault and the threat of physical violence used in the PSS.</w:t>
            </w:r>
          </w:p>
        </w:tc>
      </w:tr>
      <w:tr w:rsidR="00784EA2" w:rsidRPr="009E2B03" w14:paraId="6139F2B5"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151876F0"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PSS</w:t>
            </w:r>
          </w:p>
        </w:tc>
        <w:tc>
          <w:tcPr>
            <w:tcW w:w="6748" w:type="dxa"/>
          </w:tcPr>
          <w:p w14:paraId="66979B9E"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Personal Safety Survey, ABS Category Number 4906.0</w:t>
            </w:r>
          </w:p>
        </w:tc>
      </w:tr>
      <w:tr w:rsidR="00784EA2" w:rsidRPr="009E2B03" w14:paraId="413C1FD8"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072102B1"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Prevalence</w:t>
            </w:r>
          </w:p>
        </w:tc>
        <w:tc>
          <w:tcPr>
            <w:tcW w:w="6748" w:type="dxa"/>
          </w:tcPr>
          <w:p w14:paraId="1870FA39"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The total number of women who have experienced violence in a 12 month period (annual prevalence) or since the age of 15 (lifetime prevalence). Where specified in the report, prevalence can relate to all violence against women, or more specific relationships between the victim and perpetrator, such as partner and non-partner violence.</w:t>
            </w:r>
          </w:p>
        </w:tc>
      </w:tr>
      <w:tr w:rsidR="00784EA2" w:rsidRPr="009E2B03" w14:paraId="4508BEE5"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3A9E71B8"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PTSD</w:t>
            </w:r>
          </w:p>
        </w:tc>
        <w:tc>
          <w:tcPr>
            <w:tcW w:w="6748" w:type="dxa"/>
          </w:tcPr>
          <w:p w14:paraId="6B7D67EC"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Post-Traumatic Stress Disorder</w:t>
            </w:r>
          </w:p>
        </w:tc>
      </w:tr>
      <w:tr w:rsidR="00784EA2" w:rsidRPr="009E2B03" w14:paraId="1E791703"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7B904243"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NCAS</w:t>
            </w:r>
          </w:p>
        </w:tc>
        <w:tc>
          <w:tcPr>
            <w:tcW w:w="6748" w:type="dxa"/>
          </w:tcPr>
          <w:p w14:paraId="684AF3D5"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National Community Attitudes towards Violence Against Women Survey</w:t>
            </w:r>
          </w:p>
        </w:tc>
      </w:tr>
      <w:tr w:rsidR="00784EA2" w:rsidRPr="009E2B03" w14:paraId="0D2B55E5"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26747F65"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NSW BOCSAR</w:t>
            </w:r>
          </w:p>
        </w:tc>
        <w:tc>
          <w:tcPr>
            <w:tcW w:w="6748" w:type="dxa"/>
          </w:tcPr>
          <w:p w14:paraId="5E480D19"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New South Wales Bureau of Crime Statistics and Research </w:t>
            </w:r>
          </w:p>
        </w:tc>
      </w:tr>
      <w:tr w:rsidR="00784EA2" w:rsidRPr="009E2B03" w14:paraId="3456CFF5"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28AF58D"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ROGS</w:t>
            </w:r>
          </w:p>
        </w:tc>
        <w:tc>
          <w:tcPr>
            <w:tcW w:w="6748" w:type="dxa"/>
          </w:tcPr>
          <w:p w14:paraId="37FB0760"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Report on Government Services. The annual report provides information on the equity, effectiveness and efficiency of government services in Australia. </w:t>
            </w:r>
          </w:p>
        </w:tc>
      </w:tr>
      <w:tr w:rsidR="00784EA2" w:rsidRPr="009E2B03" w14:paraId="4285907B"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0174BAEE"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Reported violence (incidence)</w:t>
            </w:r>
          </w:p>
        </w:tc>
        <w:tc>
          <w:tcPr>
            <w:tcW w:w="6748" w:type="dxa"/>
          </w:tcPr>
          <w:p w14:paraId="7633F687"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The number of incidents reported to, and recorded by, police over a given period. Reported incidence can be measured through direct recording processes carried out in the course of police activity, or through survey respondents indicating the reporting of violence to police following an incident.</w:t>
            </w:r>
          </w:p>
        </w:tc>
      </w:tr>
      <w:tr w:rsidR="00784EA2" w:rsidRPr="009E2B03" w14:paraId="19EA7D46"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1904923B"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Sexual Assault</w:t>
            </w:r>
          </w:p>
        </w:tc>
        <w:tc>
          <w:tcPr>
            <w:tcW w:w="6748" w:type="dxa"/>
          </w:tcPr>
          <w:p w14:paraId="5F6AA937"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An act of a sexual nature carried out against a person's will through the use of physical force, intimidation or coercion, and includes any attempts to do this. This includes rape, attempted rape, aggravated sexual assault (assault with a weapon), indecent assault, penetration by objects, forced sexual activity that did not end in penetration and attempts to force a person into sexual activity. Incidents so defined would be an offence under State and Territory criminal law. </w:t>
            </w:r>
          </w:p>
        </w:tc>
      </w:tr>
      <w:tr w:rsidR="00784EA2" w:rsidRPr="009E2B03" w14:paraId="56259CEB"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3D4952F"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Sexual Violence</w:t>
            </w:r>
          </w:p>
        </w:tc>
        <w:tc>
          <w:tcPr>
            <w:tcW w:w="6748" w:type="dxa"/>
          </w:tcPr>
          <w:p w14:paraId="1D6C131A"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Comprises of both the definition of sexual assault and threat of sexual violence used in the PSS.</w:t>
            </w:r>
          </w:p>
        </w:tc>
      </w:tr>
      <w:tr w:rsidR="00784EA2" w:rsidRPr="009E2B03" w14:paraId="4CBA59AE"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7C01C05B"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Stalking</w:t>
            </w:r>
          </w:p>
        </w:tc>
        <w:tc>
          <w:tcPr>
            <w:tcW w:w="6748" w:type="dxa"/>
          </w:tcPr>
          <w:p w14:paraId="6A3D4CDB"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Involves various behaviours, such as loitering and following, which the person believed were being undertaken with the intent to harm or frighten. To be classified as stalking more than one type of behaviour had to occur, or the same type of behaviour had to occur on more than one occasion. The definition of stalking is based on State and Territory </w:t>
            </w:r>
            <w:r w:rsidRPr="009E2B03">
              <w:rPr>
                <w:rFonts w:ascii="Calibri Light" w:hAnsi="Calibri Light" w:cs="Arial"/>
                <w:sz w:val="22"/>
              </w:rPr>
              <w:lastRenderedPageBreak/>
              <w:t>legislation. It is defined by a range of behaviours which the person believed were undertaken with the intent to harm or frighten</w:t>
            </w:r>
          </w:p>
        </w:tc>
      </w:tr>
      <w:tr w:rsidR="00784EA2" w:rsidRPr="009E2B03" w14:paraId="2366C212"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240F462C"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lastRenderedPageBreak/>
              <w:t>Survey data</w:t>
            </w:r>
          </w:p>
        </w:tc>
        <w:tc>
          <w:tcPr>
            <w:tcW w:w="6748" w:type="dxa"/>
          </w:tcPr>
          <w:p w14:paraId="7903D747"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Information about violence collected through national, jurisdictional and local surveys conducted specifically to gather data on domestic violence or vulnerable groups. Relevant national surveys draw on a sample of the broader or targeted population to estimate the prevalence of violence across Australia, in different jurisdictions and across other selected identifiers.</w:t>
            </w:r>
          </w:p>
        </w:tc>
      </w:tr>
      <w:tr w:rsidR="00784EA2" w:rsidRPr="009E2B03" w14:paraId="33CC06E5"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382FE902" w14:textId="7EC3F42C" w:rsidR="00784EA2" w:rsidRPr="009E2B03" w:rsidRDefault="00784EA2" w:rsidP="00101087">
            <w:pPr>
              <w:pStyle w:val="BodyText"/>
              <w:rPr>
                <w:rFonts w:ascii="Calibri Light" w:hAnsi="Calibri Light" w:cs="Arial"/>
                <w:sz w:val="22"/>
              </w:rPr>
            </w:pPr>
            <w:r w:rsidRPr="009E2B03">
              <w:rPr>
                <w:rFonts w:ascii="Calibri Light" w:hAnsi="Calibri Light" w:cs="Arial"/>
                <w:sz w:val="22"/>
              </w:rPr>
              <w:t>Threat of Physical Violence</w:t>
            </w:r>
            <w:r w:rsidR="00101087" w:rsidRPr="009E2B03">
              <w:rPr>
                <w:rFonts w:ascii="Calibri Light" w:hAnsi="Calibri Light" w:cs="Arial"/>
                <w:sz w:val="22"/>
              </w:rPr>
              <w:t xml:space="preserve"> (physical threat)</w:t>
            </w:r>
          </w:p>
        </w:tc>
        <w:tc>
          <w:tcPr>
            <w:tcW w:w="6748" w:type="dxa"/>
          </w:tcPr>
          <w:p w14:paraId="210ABB9C" w14:textId="531123A5" w:rsidR="00784EA2" w:rsidRPr="009E2B03" w:rsidRDefault="00784EA2" w:rsidP="00101087">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An attempt to inflict physical harm or a threat or suggestion of intent to inflict physical harm, </w:t>
            </w:r>
            <w:r w:rsidR="00101087" w:rsidRPr="009E2B03">
              <w:rPr>
                <w:rFonts w:ascii="Calibri Light" w:hAnsi="Calibri Light" w:cs="Arial"/>
                <w:sz w:val="22"/>
              </w:rPr>
              <w:t>which</w:t>
            </w:r>
            <w:r w:rsidRPr="009E2B03">
              <w:rPr>
                <w:rFonts w:ascii="Calibri Light" w:hAnsi="Calibri Light" w:cs="Arial"/>
                <w:sz w:val="22"/>
              </w:rPr>
              <w:t xml:space="preserve"> was made face-to-face where the person believes it was able to and likely to be carried out. Physical threat includes incidents where a person was threatened in their line of work. It excludes: any incident of violence in which the threat was actually carried out and incidents which occurred during the course of play on a sporting field.</w:t>
            </w:r>
          </w:p>
        </w:tc>
      </w:tr>
      <w:tr w:rsidR="00784EA2" w:rsidRPr="009E2B03" w14:paraId="40D8A57B"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35315403" w14:textId="713AFB34" w:rsidR="00784EA2" w:rsidRPr="009E2B03" w:rsidRDefault="00784EA2" w:rsidP="00EB28EA">
            <w:pPr>
              <w:pStyle w:val="BodyText"/>
              <w:rPr>
                <w:rFonts w:ascii="Calibri Light" w:hAnsi="Calibri Light" w:cs="Arial"/>
                <w:sz w:val="22"/>
              </w:rPr>
            </w:pPr>
            <w:r w:rsidRPr="009E2B03">
              <w:rPr>
                <w:rFonts w:ascii="Calibri Light" w:hAnsi="Calibri Light" w:cs="Arial"/>
                <w:sz w:val="22"/>
              </w:rPr>
              <w:t>Threat of Sexual Violence</w:t>
            </w:r>
            <w:r w:rsidR="00101087" w:rsidRPr="009E2B03">
              <w:rPr>
                <w:rFonts w:ascii="Calibri Light" w:hAnsi="Calibri Light" w:cs="Arial"/>
                <w:sz w:val="22"/>
              </w:rPr>
              <w:t xml:space="preserve"> (sexual threat)</w:t>
            </w:r>
          </w:p>
        </w:tc>
        <w:tc>
          <w:tcPr>
            <w:tcW w:w="6748" w:type="dxa"/>
          </w:tcPr>
          <w:p w14:paraId="4070C23E" w14:textId="072E14FF" w:rsidR="00784EA2" w:rsidRPr="009E2B03" w:rsidRDefault="00101087" w:rsidP="00101087">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I</w:t>
            </w:r>
            <w:r w:rsidR="00784EA2" w:rsidRPr="009E2B03">
              <w:rPr>
                <w:rFonts w:ascii="Calibri Light" w:hAnsi="Calibri Light" w:cs="Arial"/>
                <w:sz w:val="22"/>
              </w:rPr>
              <w:t>nvolves the th</w:t>
            </w:r>
            <w:r w:rsidRPr="009E2B03">
              <w:rPr>
                <w:rFonts w:ascii="Calibri Light" w:hAnsi="Calibri Light" w:cs="Arial"/>
                <w:sz w:val="22"/>
              </w:rPr>
              <w:t>reat of acts of a sexual nature, which</w:t>
            </w:r>
            <w:r w:rsidR="00784EA2" w:rsidRPr="009E2B03">
              <w:rPr>
                <w:rFonts w:ascii="Calibri Light" w:hAnsi="Calibri Light" w:cs="Arial"/>
                <w:sz w:val="22"/>
              </w:rPr>
              <w:t xml:space="preserve"> were made face-to-face where the person believes it is able to and likely to be carried out. </w:t>
            </w:r>
          </w:p>
        </w:tc>
      </w:tr>
      <w:tr w:rsidR="00784EA2" w:rsidRPr="009E2B03" w14:paraId="7219BEAD"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2513B2C"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VEMD</w:t>
            </w:r>
          </w:p>
        </w:tc>
        <w:tc>
          <w:tcPr>
            <w:tcW w:w="6748" w:type="dxa"/>
          </w:tcPr>
          <w:p w14:paraId="1157D882"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Victorian Emergency Minimum Dataset</w:t>
            </w:r>
          </w:p>
        </w:tc>
      </w:tr>
      <w:tr w:rsidR="00784EA2" w:rsidRPr="009E2B03" w14:paraId="5A2E9439"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60B4EFAD"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Violence against women and their children</w:t>
            </w:r>
          </w:p>
        </w:tc>
        <w:tc>
          <w:tcPr>
            <w:tcW w:w="6748" w:type="dxa"/>
          </w:tcPr>
          <w:p w14:paraId="185BB15E"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Acts of direct and indirect harm caused to women and their children. As defined by the Australian Bureau of Statistics (ABS), this includes:</w:t>
            </w:r>
          </w:p>
          <w:p w14:paraId="10B01DBF" w14:textId="77777777" w:rsidR="00784EA2" w:rsidRPr="009E2B03" w:rsidRDefault="00784EA2" w:rsidP="00EB28EA">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Physical violence</w:t>
            </w:r>
          </w:p>
          <w:p w14:paraId="4F71DD83" w14:textId="77777777" w:rsidR="00784EA2" w:rsidRPr="009E2B03" w:rsidRDefault="00784EA2" w:rsidP="00EB28EA">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Sexual violence</w:t>
            </w:r>
          </w:p>
          <w:p w14:paraId="5E4BBC1C" w14:textId="77777777" w:rsidR="00784EA2" w:rsidRPr="009E2B03" w:rsidRDefault="00784EA2" w:rsidP="00EB28EA">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Threat of physical violence</w:t>
            </w:r>
          </w:p>
          <w:p w14:paraId="1A7C6FFE" w14:textId="77777777" w:rsidR="00784EA2" w:rsidRPr="009E2B03" w:rsidRDefault="00784EA2" w:rsidP="00EB28EA">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Threat of sexual violence</w:t>
            </w:r>
          </w:p>
          <w:p w14:paraId="32E11361" w14:textId="77777777" w:rsidR="00784EA2" w:rsidRPr="009E2B03" w:rsidRDefault="00784EA2" w:rsidP="00EB28EA">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Emotional abuse</w:t>
            </w:r>
          </w:p>
          <w:p w14:paraId="7FB13B3D" w14:textId="77777777" w:rsidR="00784EA2" w:rsidRPr="009E2B03" w:rsidRDefault="00784EA2" w:rsidP="00EB28EA">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Stalking.</w:t>
            </w:r>
          </w:p>
          <w:p w14:paraId="4D3A8C8B"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The ongoing effects of violence for women and their children are also included within this definition.</w:t>
            </w:r>
          </w:p>
        </w:tc>
      </w:tr>
      <w:tr w:rsidR="00784EA2" w:rsidRPr="009E2B03" w14:paraId="35647A0C"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47F945D8"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WESNET</w:t>
            </w:r>
          </w:p>
        </w:tc>
        <w:tc>
          <w:tcPr>
            <w:tcW w:w="6748" w:type="dxa"/>
          </w:tcPr>
          <w:p w14:paraId="40F941F7"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Women’s Services </w:t>
            </w:r>
            <w:r w:rsidRPr="009E2B03">
              <w:rPr>
                <w:rFonts w:ascii="Calibri Light" w:hAnsi="Calibri Light" w:cs="Arial"/>
                <w:sz w:val="22"/>
                <w:szCs w:val="22"/>
              </w:rPr>
              <w:t xml:space="preserve">Network. </w:t>
            </w:r>
            <w:r w:rsidRPr="009E2B03">
              <w:rPr>
                <w:rFonts w:ascii="Calibri Light" w:hAnsi="Calibri Light" w:cs="Arial"/>
                <w:sz w:val="22"/>
                <w:szCs w:val="22"/>
                <w:shd w:val="clear" w:color="auto" w:fill="FFFFFF"/>
              </w:rPr>
              <w:t>A national women’s peak advocacy body which works on behalf of women and children who are experiencing or have experienced domestic or family violence.</w:t>
            </w:r>
          </w:p>
        </w:tc>
      </w:tr>
      <w:tr w:rsidR="00784EA2" w:rsidRPr="009E2B03" w14:paraId="28257F09"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6AAAE59D"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WHO</w:t>
            </w:r>
          </w:p>
        </w:tc>
        <w:tc>
          <w:tcPr>
            <w:tcW w:w="6748" w:type="dxa"/>
          </w:tcPr>
          <w:p w14:paraId="3937AE46"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United Nations World Health Organisation</w:t>
            </w:r>
          </w:p>
        </w:tc>
      </w:tr>
      <w:tr w:rsidR="00784EA2" w:rsidRPr="009E2B03" w14:paraId="2E825F6C"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41873A4F"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WIRE</w:t>
            </w:r>
          </w:p>
        </w:tc>
        <w:tc>
          <w:tcPr>
            <w:tcW w:w="6748" w:type="dxa"/>
          </w:tcPr>
          <w:p w14:paraId="7BD4D1D2"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Women’s Information and Referral Exchange Inc. A Victoria-wide free generalist information, support and referral service run by women for women</w:t>
            </w:r>
          </w:p>
        </w:tc>
      </w:tr>
      <w:tr w:rsidR="00784EA2" w:rsidRPr="009E2B03" w14:paraId="7E451A6A" w14:textId="77777777" w:rsidTr="00EB28EA">
        <w:tc>
          <w:tcPr>
            <w:cnfStyle w:val="001000000000" w:firstRow="0" w:lastRow="0" w:firstColumn="1" w:lastColumn="0" w:oddVBand="0" w:evenVBand="0" w:oddHBand="0" w:evenHBand="0" w:firstRowFirstColumn="0" w:firstRowLastColumn="0" w:lastRowFirstColumn="0" w:lastRowLastColumn="0"/>
            <w:tcW w:w="2268" w:type="dxa"/>
            <w:shd w:val="clear" w:color="auto" w:fill="F3F0F4"/>
          </w:tcPr>
          <w:p w14:paraId="5A938F12" w14:textId="77777777" w:rsidR="00784EA2" w:rsidRPr="009E2B03" w:rsidRDefault="00784EA2" w:rsidP="00EB28EA">
            <w:pPr>
              <w:pStyle w:val="BodyText"/>
              <w:rPr>
                <w:rFonts w:ascii="Calibri Light" w:hAnsi="Calibri Light" w:cs="Arial"/>
                <w:sz w:val="22"/>
              </w:rPr>
            </w:pPr>
            <w:r w:rsidRPr="009E2B03">
              <w:rPr>
                <w:rFonts w:ascii="Calibri Light" w:hAnsi="Calibri Light" w:cs="Arial"/>
                <w:sz w:val="22"/>
              </w:rPr>
              <w:t>WSS</w:t>
            </w:r>
          </w:p>
        </w:tc>
        <w:tc>
          <w:tcPr>
            <w:tcW w:w="6748" w:type="dxa"/>
          </w:tcPr>
          <w:p w14:paraId="69E48166" w14:textId="77777777" w:rsidR="00784EA2" w:rsidRPr="009E2B03" w:rsidRDefault="00784EA2" w:rsidP="00EB28EA">
            <w:pPr>
              <w:pStyle w:val="BodyText"/>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 xml:space="preserve">Women’s Safety Survey, ABS Category Number 4128.0 </w:t>
            </w:r>
          </w:p>
        </w:tc>
      </w:tr>
    </w:tbl>
    <w:p w14:paraId="1B89E338" w14:textId="77777777" w:rsidR="00784EA2" w:rsidRPr="009E2B03" w:rsidRDefault="00784EA2" w:rsidP="00784EA2">
      <w:pPr>
        <w:pStyle w:val="BodyText"/>
        <w:rPr>
          <w:rFonts w:ascii="Calibri Light" w:hAnsi="Calibri Light"/>
          <w:lang w:eastAsia="en-AU"/>
        </w:rPr>
      </w:pPr>
    </w:p>
    <w:p w14:paraId="78D33D1F" w14:textId="77777777" w:rsidR="00876464" w:rsidRPr="009E2B03" w:rsidRDefault="00876464" w:rsidP="00876464">
      <w:pPr>
        <w:pStyle w:val="Heading1"/>
        <w:numPr>
          <w:ilvl w:val="0"/>
          <w:numId w:val="0"/>
        </w:numPr>
        <w:tabs>
          <w:tab w:val="left" w:pos="6061"/>
        </w:tabs>
        <w:ind w:left="720" w:hanging="720"/>
        <w:rPr>
          <w:rFonts w:ascii="Calibri Light" w:eastAsiaTheme="minorHAnsi" w:hAnsi="Calibri Light"/>
          <w:b w:val="0"/>
          <w:noProof/>
          <w:color w:val="6D2077"/>
          <w:sz w:val="76"/>
          <w:szCs w:val="76"/>
          <w:lang w:eastAsia="en-AU"/>
        </w:rPr>
      </w:pPr>
      <w:bookmarkStart w:id="32" w:name="_Toc449553506"/>
      <w:r w:rsidRPr="009E2B03">
        <w:rPr>
          <w:rFonts w:ascii="Calibri Light" w:eastAsiaTheme="minorHAnsi" w:hAnsi="Calibri Light"/>
          <w:b w:val="0"/>
          <w:noProof/>
          <w:color w:val="6D2077"/>
          <w:sz w:val="76"/>
          <w:szCs w:val="76"/>
          <w:lang w:eastAsia="en-AU"/>
        </w:rPr>
        <w:lastRenderedPageBreak/>
        <w:t>Executive Summary</w:t>
      </w:r>
      <w:bookmarkEnd w:id="32"/>
    </w:p>
    <w:p w14:paraId="5ADCC805" w14:textId="77777777" w:rsidR="00876464" w:rsidRPr="00941A03" w:rsidRDefault="00876464" w:rsidP="0040054B">
      <w:pPr>
        <w:spacing w:before="0"/>
        <w:rPr>
          <w:rFonts w:ascii="Calibri Light" w:hAnsi="Calibri Light"/>
          <w:b/>
          <w:color w:val="7030A0"/>
          <w:sz w:val="28"/>
        </w:rPr>
      </w:pPr>
      <w:r w:rsidRPr="00941A03">
        <w:rPr>
          <w:rFonts w:ascii="Calibri Light" w:hAnsi="Calibri Light"/>
          <w:b/>
          <w:color w:val="7030A0"/>
          <w:sz w:val="28"/>
        </w:rPr>
        <w:t>Understanding the total cost of violence against women and their chil</w:t>
      </w:r>
      <w:r w:rsidR="001E0A8C" w:rsidRPr="00941A03">
        <w:rPr>
          <w:rFonts w:ascii="Calibri Light" w:hAnsi="Calibri Light"/>
          <w:b/>
          <w:color w:val="7030A0"/>
          <w:sz w:val="28"/>
        </w:rPr>
        <w:t>dren is critical to support the i</w:t>
      </w:r>
      <w:r w:rsidRPr="00941A03">
        <w:rPr>
          <w:rFonts w:ascii="Calibri Light" w:hAnsi="Calibri Light"/>
          <w:b/>
          <w:color w:val="7030A0"/>
          <w:sz w:val="28"/>
        </w:rPr>
        <w:t>mpl</w:t>
      </w:r>
      <w:r w:rsidR="007C6898" w:rsidRPr="00941A03">
        <w:rPr>
          <w:rFonts w:ascii="Calibri Light" w:hAnsi="Calibri Light"/>
          <w:b/>
          <w:color w:val="7030A0"/>
          <w:sz w:val="28"/>
        </w:rPr>
        <w:t>ementation of The National Plan to Reduce Violence Against Women and their Children 2010-2022 (the National Plan)</w:t>
      </w:r>
    </w:p>
    <w:p w14:paraId="62F24819" w14:textId="77777777" w:rsidR="00876464" w:rsidRPr="009E2B03" w:rsidRDefault="00876464" w:rsidP="00775ED6">
      <w:pPr>
        <w:pStyle w:val="BodyBullet"/>
        <w:spacing w:before="120" w:line="276" w:lineRule="auto"/>
        <w:rPr>
          <w:rFonts w:ascii="Calibri Light" w:hAnsi="Calibri Light" w:cs="Arial"/>
          <w:sz w:val="22"/>
        </w:rPr>
      </w:pPr>
      <w:r w:rsidRPr="009E2B03">
        <w:rPr>
          <w:rFonts w:ascii="Calibri Light" w:hAnsi="Calibri Light" w:cs="Arial"/>
          <w:b/>
          <w:color w:val="6D2077"/>
          <w:sz w:val="22"/>
        </w:rPr>
        <w:t>Violence against women and their children is a crime and a fundamental breach of human rights. It has significant and far-reaching implications for its victims, their children, their families and friends, and the broader Australian economy.</w:t>
      </w:r>
      <w:r w:rsidRPr="009E2B03">
        <w:rPr>
          <w:rFonts w:ascii="Calibri Light" w:hAnsi="Calibri Light" w:cs="Arial"/>
          <w:color w:val="6D2077"/>
          <w:sz w:val="22"/>
        </w:rPr>
        <w:t xml:space="preserve"> </w:t>
      </w:r>
      <w:r w:rsidRPr="009E2B03">
        <w:rPr>
          <w:rFonts w:ascii="Calibri Light" w:hAnsi="Calibri Light" w:cs="Arial"/>
          <w:sz w:val="22"/>
        </w:rPr>
        <w:t xml:space="preserve">It is estimated that in this year alone, over one million women have or will experience violence, emotional abuse and stalking. The implications of experiencing violence can include long term social, health, and psychosocial impacts, death, and broader financial and the economic impacts on individuals and the broader community and economy. </w:t>
      </w:r>
    </w:p>
    <w:p w14:paraId="03C4D096" w14:textId="77777777" w:rsidR="00876464" w:rsidRPr="009E2B03" w:rsidRDefault="00876464" w:rsidP="00876464">
      <w:pPr>
        <w:pStyle w:val="BodyBullet"/>
        <w:rPr>
          <w:rFonts w:ascii="Calibri Light" w:hAnsi="Calibri Light" w:cs="Arial"/>
          <w:sz w:val="22"/>
        </w:rPr>
      </w:pPr>
      <w:r w:rsidRPr="009E2B03">
        <w:rPr>
          <w:rFonts w:ascii="Calibri Light" w:hAnsi="Calibri Light" w:cs="Arial"/>
          <w:b/>
          <w:color w:val="6D2077"/>
          <w:sz w:val="22"/>
        </w:rPr>
        <w:t>Addressing the issue of violence against women and their children is complex, and will necessitate generational change and ongoing and targeted investment into long term solutions.</w:t>
      </w:r>
      <w:r w:rsidRPr="009E2B03">
        <w:rPr>
          <w:rFonts w:ascii="Calibri Light" w:hAnsi="Calibri Light" w:cs="Arial"/>
          <w:color w:val="6D2077"/>
          <w:sz w:val="22"/>
        </w:rPr>
        <w:t xml:space="preserve"> </w:t>
      </w:r>
      <w:r w:rsidRPr="009E2B03">
        <w:rPr>
          <w:rFonts w:ascii="Calibri Light" w:hAnsi="Calibri Light" w:cs="Arial"/>
          <w:sz w:val="22"/>
        </w:rPr>
        <w:t>The collecti</w:t>
      </w:r>
      <w:r w:rsidR="007C6898" w:rsidRPr="009E2B03">
        <w:rPr>
          <w:rFonts w:ascii="Calibri Light" w:hAnsi="Calibri Light" w:cs="Arial"/>
          <w:sz w:val="22"/>
        </w:rPr>
        <w:t>ve commitment by Commonwealth, state and t</w:t>
      </w:r>
      <w:r w:rsidRPr="009E2B03">
        <w:rPr>
          <w:rFonts w:ascii="Calibri Light" w:hAnsi="Calibri Light" w:cs="Arial"/>
          <w:sz w:val="22"/>
        </w:rPr>
        <w:t>erritory governments made by the Council of Australian Governments (CO</w:t>
      </w:r>
      <w:r w:rsidR="007C6898" w:rsidRPr="009E2B03">
        <w:rPr>
          <w:rFonts w:ascii="Calibri Light" w:hAnsi="Calibri Light" w:cs="Arial"/>
          <w:sz w:val="22"/>
        </w:rPr>
        <w:t>AG) towards the development of t</w:t>
      </w:r>
      <w:r w:rsidRPr="009E2B03">
        <w:rPr>
          <w:rFonts w:ascii="Calibri Light" w:hAnsi="Calibri Light" w:cs="Arial"/>
          <w:sz w:val="22"/>
        </w:rPr>
        <w:t xml:space="preserve">he </w:t>
      </w:r>
      <w:r w:rsidR="007C6898" w:rsidRPr="009E2B03">
        <w:rPr>
          <w:rFonts w:ascii="Calibri Light" w:hAnsi="Calibri Light" w:cs="Arial"/>
          <w:sz w:val="22"/>
        </w:rPr>
        <w:t xml:space="preserve">National Plan </w:t>
      </w:r>
      <w:r w:rsidRPr="009E2B03">
        <w:rPr>
          <w:rFonts w:ascii="Calibri Light" w:hAnsi="Calibri Light" w:cs="Arial"/>
          <w:sz w:val="22"/>
        </w:rPr>
        <w:t>represented an important step towards developing a national approach to reducing the prevalence of violence.</w:t>
      </w:r>
    </w:p>
    <w:p w14:paraId="3082B461" w14:textId="77777777" w:rsidR="00876464" w:rsidRPr="009E2B03" w:rsidRDefault="00876464" w:rsidP="00992024">
      <w:pPr>
        <w:pStyle w:val="BodyBullet"/>
        <w:rPr>
          <w:rFonts w:ascii="Calibri Light" w:hAnsi="Calibri Light" w:cs="Arial"/>
          <w:sz w:val="22"/>
        </w:rPr>
      </w:pPr>
      <w:r w:rsidRPr="009E2B03">
        <w:rPr>
          <w:rFonts w:ascii="Calibri Light" w:hAnsi="Calibri Light" w:cs="Arial"/>
          <w:b/>
          <w:color w:val="6D2077"/>
          <w:sz w:val="22"/>
        </w:rPr>
        <w:t xml:space="preserve">The National Plan identified the importance of establishing a more comprehensive and consistent evidence base to better inform policy decisions on a jurisdictional and national level. </w:t>
      </w:r>
      <w:r w:rsidR="00992024" w:rsidRPr="009E2B03">
        <w:rPr>
          <w:rFonts w:ascii="Calibri Light" w:hAnsi="Calibri Light" w:cs="Arial"/>
          <w:sz w:val="22"/>
        </w:rPr>
        <w:t>Significant momentum for change has also been created by Rosie Batty’s extensive public awareness raising, the 227 recommendations from the Royal Commission into Family Violence (Victoria), and the release of the Queensland Government report and recommendations Not Now, Not Ever – Putting an End to Domestic and Family Violence in Queensland.</w:t>
      </w:r>
    </w:p>
    <w:p w14:paraId="214EB552"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Recent studies have found that there are a number of key challenges to understanding the cost of violence, due to limitations in the data in understanding the prevalence and impacts of violence for specific cohorts, geographies, and forms of violence. </w:t>
      </w:r>
    </w:p>
    <w:p w14:paraId="638EDA96" w14:textId="01B00560"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Our understanding of violence is also evolving – as new research, data and information is made available, the definition of violence is being refined and expanded.</w:t>
      </w:r>
      <w:r w:rsidR="00424BAE">
        <w:rPr>
          <w:rFonts w:ascii="Calibri Light" w:hAnsi="Calibri Light"/>
          <w:sz w:val="22"/>
        </w:rPr>
        <w:t xml:space="preserve">  </w:t>
      </w:r>
    </w:p>
    <w:p w14:paraId="7A64977D" w14:textId="77777777" w:rsidR="00876464" w:rsidRPr="009E2B03" w:rsidRDefault="00876464" w:rsidP="00876464">
      <w:pPr>
        <w:pStyle w:val="BodyBullet"/>
        <w:rPr>
          <w:rFonts w:ascii="Calibri Light" w:hAnsi="Calibri Light" w:cs="Arial"/>
          <w:b/>
          <w:sz w:val="22"/>
        </w:rPr>
      </w:pPr>
      <w:r w:rsidRPr="009E2B03">
        <w:rPr>
          <w:rFonts w:ascii="Calibri Light" w:hAnsi="Calibri Light" w:cs="Arial"/>
          <w:sz w:val="22"/>
        </w:rPr>
        <w:t xml:space="preserve">The purpose of this Technical Report is to progress the development of the evidence base informing The National Plan and the Third Action Plan 2016-2019 – Promising Results. For the purpose of comparability of results, the approach is consistent with previous work undertaken, however, has been expanded and updated to reflect the most recent prevalence information, data and research. </w:t>
      </w:r>
      <w:r w:rsidRPr="009E2B03">
        <w:rPr>
          <w:rFonts w:ascii="Calibri Light" w:hAnsi="Calibri Light" w:cs="Arial"/>
          <w:b/>
          <w:color w:val="6D2077"/>
          <w:sz w:val="22"/>
        </w:rPr>
        <w:t xml:space="preserve">The Report updates and extends KPMG’s 2009 calculations and analysis for </w:t>
      </w:r>
      <w:r w:rsidRPr="009E2B03">
        <w:rPr>
          <w:rFonts w:ascii="Calibri Light" w:hAnsi="Calibri Light" w:cs="Arial"/>
          <w:b/>
          <w:i/>
          <w:color w:val="6D2077"/>
          <w:sz w:val="22"/>
        </w:rPr>
        <w:t>Estimating the Cost of Violence Against Women and their Children</w:t>
      </w:r>
      <w:r w:rsidRPr="009E2B03">
        <w:rPr>
          <w:rFonts w:ascii="Calibri Light" w:hAnsi="Calibri Light" w:cs="Arial"/>
          <w:b/>
          <w:color w:val="6D2077"/>
          <w:sz w:val="22"/>
        </w:rPr>
        <w:t>.</w:t>
      </w:r>
    </w:p>
    <w:p w14:paraId="00147EF0" w14:textId="77777777" w:rsidR="00876464" w:rsidRPr="009E2B03" w:rsidRDefault="00876464" w:rsidP="00876464">
      <w:pPr>
        <w:pStyle w:val="BodyTextkeepwithnext0"/>
        <w:spacing w:before="360" w:after="240"/>
        <w:rPr>
          <w:rFonts w:ascii="Calibri Light" w:hAnsi="Calibri Light"/>
          <w:color w:val="6D2077"/>
          <w:sz w:val="36"/>
          <w:szCs w:val="32"/>
        </w:rPr>
      </w:pPr>
      <w:r w:rsidRPr="009E2B03">
        <w:rPr>
          <w:rFonts w:ascii="Calibri Light" w:hAnsi="Calibri Light"/>
          <w:color w:val="6D2077"/>
          <w:sz w:val="36"/>
          <w:szCs w:val="32"/>
        </w:rPr>
        <w:t xml:space="preserve">Our understanding of violence is evolving – including its forms, the settings within which it can occur, and its impacts </w:t>
      </w:r>
    </w:p>
    <w:p w14:paraId="2D567FA6" w14:textId="77777777" w:rsidR="00876464" w:rsidRPr="009E2B03" w:rsidRDefault="00876464" w:rsidP="00876464">
      <w:pPr>
        <w:pStyle w:val="BodyBullet"/>
        <w:rPr>
          <w:rFonts w:ascii="Calibri Light" w:hAnsi="Calibri Light" w:cs="Arial"/>
          <w:b/>
          <w:color w:val="6D2077"/>
          <w:sz w:val="22"/>
        </w:rPr>
      </w:pPr>
      <w:r w:rsidRPr="009E2B03">
        <w:rPr>
          <w:rFonts w:ascii="Calibri Light" w:hAnsi="Calibri Light" w:cs="Arial"/>
          <w:b/>
          <w:color w:val="6D2077"/>
          <w:sz w:val="22"/>
        </w:rPr>
        <w:t>Developing a greater understanding of trends in violence against women and their children, including its various forms and settings, is crucial to increasing awareness of its impacts and driving the reform agenda.</w:t>
      </w:r>
    </w:p>
    <w:p w14:paraId="6A6BE190"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lastRenderedPageBreak/>
        <w:t xml:space="preserve">Following the publication of the original </w:t>
      </w:r>
      <w:r w:rsidRPr="009E2B03">
        <w:rPr>
          <w:rFonts w:ascii="Calibri Light" w:hAnsi="Calibri Light"/>
          <w:i/>
          <w:sz w:val="22"/>
        </w:rPr>
        <w:t>Women’s Safety Survey</w:t>
      </w:r>
      <w:r w:rsidRPr="009E2B03">
        <w:rPr>
          <w:rFonts w:ascii="Calibri Light" w:hAnsi="Calibri Light"/>
          <w:sz w:val="22"/>
        </w:rPr>
        <w:t xml:space="preserve"> by the Australian Bureau of Statistics (ABS) in 1996, there has been significant developments in the scope and scale of the evidence base, as well as the definition and understanding of ‘violence’ and its impacts on victims, perpetrators, governments, and the community. </w:t>
      </w:r>
    </w:p>
    <w:p w14:paraId="47B94C1F"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Today, the evidence base also benefits from insights from sources such as the 2005 and 2012 ABS Personal Safety Survey, research and publications from the Australian Institute of Health and Welfare (AIHW), the Productivity Commission (PC) </w:t>
      </w:r>
      <w:r w:rsidRPr="009E2B03">
        <w:rPr>
          <w:rFonts w:ascii="Calibri Light" w:hAnsi="Calibri Light"/>
          <w:i/>
          <w:sz w:val="22"/>
        </w:rPr>
        <w:t>Report on Government Services</w:t>
      </w:r>
      <w:r w:rsidRPr="009E2B03">
        <w:rPr>
          <w:rFonts w:ascii="Calibri Light" w:hAnsi="Calibri Light"/>
          <w:sz w:val="22"/>
        </w:rPr>
        <w:t xml:space="preserve"> (ROGS), detailed incidence and serv</w:t>
      </w:r>
      <w:r w:rsidR="007C6898" w:rsidRPr="009E2B03">
        <w:rPr>
          <w:rFonts w:ascii="Calibri Light" w:hAnsi="Calibri Light"/>
          <w:sz w:val="22"/>
        </w:rPr>
        <w:t>ice delivery data collected by state and territory g</w:t>
      </w:r>
      <w:r w:rsidRPr="009E2B03">
        <w:rPr>
          <w:rFonts w:ascii="Calibri Light" w:hAnsi="Calibri Light"/>
          <w:sz w:val="22"/>
        </w:rPr>
        <w:t>overnments, and various academic research and publications. Collectively, these data and information sources provide evidence around:</w:t>
      </w:r>
    </w:p>
    <w:p w14:paraId="2AAA0FF0" w14:textId="77777777" w:rsidR="00876464" w:rsidRPr="00BF236E" w:rsidRDefault="00876464" w:rsidP="00876464">
      <w:pPr>
        <w:pStyle w:val="ListBullet2"/>
        <w:numPr>
          <w:ilvl w:val="1"/>
          <w:numId w:val="18"/>
        </w:numPr>
        <w:tabs>
          <w:tab w:val="num" w:pos="1134"/>
        </w:tabs>
        <w:ind w:left="1134"/>
        <w:rPr>
          <w:rFonts w:ascii="Calibri Light" w:hAnsi="Calibri Light"/>
          <w:iCs/>
          <w:sz w:val="22"/>
        </w:rPr>
      </w:pPr>
      <w:r w:rsidRPr="00BF236E">
        <w:rPr>
          <w:rFonts w:ascii="Calibri Light" w:hAnsi="Calibri Light"/>
          <w:iCs/>
          <w:sz w:val="22"/>
        </w:rPr>
        <w:t xml:space="preserve">the prevalence and incidence of violence against women and their children; </w:t>
      </w:r>
    </w:p>
    <w:p w14:paraId="59323963" w14:textId="77777777" w:rsidR="00876464" w:rsidRPr="00BF236E" w:rsidRDefault="00876464" w:rsidP="00876464">
      <w:pPr>
        <w:pStyle w:val="ListBullet2"/>
        <w:numPr>
          <w:ilvl w:val="1"/>
          <w:numId w:val="18"/>
        </w:numPr>
        <w:tabs>
          <w:tab w:val="num" w:pos="1134"/>
        </w:tabs>
        <w:ind w:left="1134"/>
        <w:rPr>
          <w:rFonts w:ascii="Calibri Light" w:hAnsi="Calibri Light"/>
          <w:iCs/>
          <w:sz w:val="22"/>
        </w:rPr>
      </w:pPr>
      <w:r w:rsidRPr="00BF236E">
        <w:rPr>
          <w:rFonts w:ascii="Calibri Light" w:hAnsi="Calibri Light"/>
          <w:iCs/>
          <w:sz w:val="22"/>
        </w:rPr>
        <w:t>information about different forms of violence and the settings in which violence occurs;</w:t>
      </w:r>
    </w:p>
    <w:p w14:paraId="76D06493" w14:textId="77777777" w:rsidR="00876464" w:rsidRPr="00BF236E" w:rsidRDefault="00876464" w:rsidP="00876464">
      <w:pPr>
        <w:pStyle w:val="ListBullet2"/>
        <w:numPr>
          <w:ilvl w:val="1"/>
          <w:numId w:val="18"/>
        </w:numPr>
        <w:tabs>
          <w:tab w:val="num" w:pos="1134"/>
        </w:tabs>
        <w:ind w:left="1134"/>
        <w:rPr>
          <w:rFonts w:ascii="Calibri Light" w:hAnsi="Calibri Light"/>
          <w:iCs/>
          <w:sz w:val="22"/>
        </w:rPr>
      </w:pPr>
      <w:r w:rsidRPr="00BF236E">
        <w:rPr>
          <w:rFonts w:ascii="Calibri Light" w:hAnsi="Calibri Light"/>
          <w:iCs/>
          <w:sz w:val="22"/>
        </w:rPr>
        <w:t xml:space="preserve">the demographic characteristics and traits of victims and their perpetrators; </w:t>
      </w:r>
    </w:p>
    <w:p w14:paraId="33AF64E6" w14:textId="77777777" w:rsidR="00876464" w:rsidRPr="00BF236E" w:rsidRDefault="00876464" w:rsidP="00876464">
      <w:pPr>
        <w:pStyle w:val="ListBullet2"/>
        <w:numPr>
          <w:ilvl w:val="1"/>
          <w:numId w:val="18"/>
        </w:numPr>
        <w:tabs>
          <w:tab w:val="num" w:pos="1134"/>
        </w:tabs>
        <w:ind w:left="1134"/>
        <w:rPr>
          <w:rFonts w:ascii="Calibri Light" w:hAnsi="Calibri Light"/>
          <w:iCs/>
          <w:sz w:val="22"/>
        </w:rPr>
      </w:pPr>
      <w:r w:rsidRPr="00BF236E">
        <w:rPr>
          <w:rFonts w:ascii="Calibri Light" w:hAnsi="Calibri Light"/>
          <w:iCs/>
          <w:sz w:val="22"/>
        </w:rPr>
        <w:t xml:space="preserve">the impacts of violence; and </w:t>
      </w:r>
    </w:p>
    <w:p w14:paraId="6ABE8B04" w14:textId="77777777" w:rsidR="00876464" w:rsidRPr="00BF236E" w:rsidRDefault="00876464" w:rsidP="00876464">
      <w:pPr>
        <w:pStyle w:val="ListBullet2"/>
        <w:numPr>
          <w:ilvl w:val="1"/>
          <w:numId w:val="18"/>
        </w:numPr>
        <w:tabs>
          <w:tab w:val="num" w:pos="1134"/>
        </w:tabs>
        <w:ind w:left="1134"/>
        <w:rPr>
          <w:rFonts w:ascii="Calibri Light" w:hAnsi="Calibri Light"/>
          <w:iCs/>
          <w:sz w:val="22"/>
        </w:rPr>
      </w:pPr>
      <w:r w:rsidRPr="00BF236E">
        <w:rPr>
          <w:rFonts w:ascii="Calibri Light" w:hAnsi="Calibri Light"/>
          <w:iCs/>
          <w:sz w:val="22"/>
        </w:rPr>
        <w:t>in selected cases, patterns of reporting and non-reporting.</w:t>
      </w:r>
    </w:p>
    <w:p w14:paraId="2AE812E3"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Importantly, there is a ‘hidden’ aspect of violence against women and their children in cases where victims do not report their experiences to the police, other authorities, service providers, or family and friends who can provide support and access to the appropriate services. The ABS </w:t>
      </w:r>
      <w:r w:rsidRPr="009E2B03">
        <w:rPr>
          <w:rFonts w:ascii="Calibri Light" w:hAnsi="Calibri Light"/>
          <w:i/>
          <w:sz w:val="22"/>
        </w:rPr>
        <w:t>Personal Safety Survey</w:t>
      </w:r>
      <w:r w:rsidRPr="009E2B03">
        <w:rPr>
          <w:rFonts w:ascii="Calibri Light" w:hAnsi="Calibri Light"/>
          <w:sz w:val="22"/>
        </w:rPr>
        <w:t xml:space="preserve"> provides limited estimates of the extent of the level of non-reporting, however, other data and information sources (in particular jurisdiction based incidence data) do not capture these hidden aspects of violence. </w:t>
      </w:r>
    </w:p>
    <w:p w14:paraId="242960AA" w14:textId="77777777" w:rsidR="00876464" w:rsidRPr="009E2B03" w:rsidRDefault="00876464" w:rsidP="00876464">
      <w:pPr>
        <w:pStyle w:val="BodyBullet"/>
        <w:rPr>
          <w:rFonts w:ascii="Calibri Light" w:hAnsi="Calibri Light" w:cs="Arial"/>
          <w:sz w:val="22"/>
        </w:rPr>
      </w:pPr>
      <w:r w:rsidRPr="009E2B03">
        <w:rPr>
          <w:rFonts w:ascii="Calibri Light" w:hAnsi="Calibri Light" w:cs="Arial"/>
          <w:b/>
          <w:color w:val="6D2077"/>
          <w:sz w:val="22"/>
        </w:rPr>
        <w:t>Table 1 outlines estimates of prevalence of violence against women and their children, based on the 2012 PSS results over the 12 months prior to the survey.</w:t>
      </w:r>
      <w:r w:rsidRPr="009E2B03">
        <w:rPr>
          <w:rFonts w:ascii="Calibri Light" w:hAnsi="Calibri Light" w:cs="Arial"/>
          <w:color w:val="6D2077"/>
          <w:sz w:val="22"/>
        </w:rPr>
        <w:t xml:space="preserve"> </w:t>
      </w:r>
      <w:r w:rsidR="002C7D37" w:rsidRPr="009E2B03">
        <w:rPr>
          <w:rFonts w:ascii="Calibri Light" w:hAnsi="Calibri Light" w:cs="Arial"/>
          <w:sz w:val="22"/>
        </w:rPr>
        <w:t xml:space="preserve">Consistent with the PSS, the prevalence estimates avoid double counting in order to ascertain the total number of women who have experienced violence in a single year. The PSS has already performed this calculation for the primary categories of violence (identified in table 1 below). To continue this process for Emotional Abuse and Stalking, we </w:t>
      </w:r>
      <w:r w:rsidRPr="009E2B03">
        <w:rPr>
          <w:rFonts w:ascii="Calibri Light" w:hAnsi="Calibri Light" w:cs="Arial"/>
          <w:sz w:val="22"/>
        </w:rPr>
        <w:t>estab</w:t>
      </w:r>
      <w:r w:rsidR="002C7D37" w:rsidRPr="009E2B03">
        <w:rPr>
          <w:rFonts w:ascii="Calibri Light" w:hAnsi="Calibri Light" w:cs="Arial"/>
          <w:sz w:val="22"/>
        </w:rPr>
        <w:t>lish</w:t>
      </w:r>
      <w:r w:rsidRPr="009E2B03">
        <w:rPr>
          <w:rFonts w:ascii="Calibri Light" w:hAnsi="Calibri Light" w:cs="Arial"/>
          <w:sz w:val="22"/>
        </w:rPr>
        <w:t xml:space="preserve"> the overlap between categories (based on d</w:t>
      </w:r>
      <w:r w:rsidR="002C7D37" w:rsidRPr="009E2B03">
        <w:rPr>
          <w:rFonts w:ascii="Calibri Light" w:hAnsi="Calibri Light" w:cs="Arial"/>
          <w:sz w:val="22"/>
        </w:rPr>
        <w:t>ata within the PSS) and applied</w:t>
      </w:r>
      <w:r w:rsidRPr="009E2B03">
        <w:rPr>
          <w:rFonts w:ascii="Calibri Light" w:hAnsi="Calibri Light" w:cs="Arial"/>
          <w:sz w:val="22"/>
        </w:rPr>
        <w:t xml:space="preserve"> a percentage reduction to the respective forms of violence.</w:t>
      </w:r>
    </w:p>
    <w:p w14:paraId="626E1732" w14:textId="77777777" w:rsidR="00876464" w:rsidRPr="009E2B03" w:rsidRDefault="00876464" w:rsidP="00876464">
      <w:pPr>
        <w:pStyle w:val="BodyBullet"/>
        <w:numPr>
          <w:ilvl w:val="0"/>
          <w:numId w:val="0"/>
        </w:numPr>
        <w:rPr>
          <w:rFonts w:ascii="Calibri Light" w:hAnsi="Calibri Light" w:cs="Arial"/>
          <w:i/>
          <w:sz w:val="22"/>
        </w:rPr>
      </w:pPr>
      <w:r w:rsidRPr="009E2B03">
        <w:rPr>
          <w:rFonts w:ascii="Calibri Light" w:hAnsi="Calibri Light" w:cs="Arial"/>
          <w:i/>
          <w:sz w:val="22"/>
        </w:rPr>
        <w:t xml:space="preserve">Table 1: Prevalence estimates, based on the PSS 2012 </w:t>
      </w:r>
    </w:p>
    <w:tbl>
      <w:tblPr>
        <w:tblStyle w:val="KPMGtable1"/>
        <w:tblW w:w="0" w:type="auto"/>
        <w:tblLook w:val="04A0" w:firstRow="1" w:lastRow="0" w:firstColumn="1" w:lastColumn="0" w:noHBand="0" w:noVBand="1"/>
        <w:tblCaption w:val="Table with information on prevalence estimates, based on the PSS 2012"/>
      </w:tblPr>
      <w:tblGrid>
        <w:gridCol w:w="4253"/>
        <w:gridCol w:w="4673"/>
      </w:tblGrid>
      <w:tr w:rsidR="00876464" w:rsidRPr="009E2B03" w14:paraId="2BC408BE" w14:textId="77777777" w:rsidTr="000234A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6D2077"/>
          </w:tcPr>
          <w:p w14:paraId="347CD745" w14:textId="77777777" w:rsidR="00876464" w:rsidRPr="009E2B03" w:rsidRDefault="00876464" w:rsidP="00BC4D85">
            <w:pPr>
              <w:pStyle w:val="BodyText"/>
              <w:spacing w:before="40" w:after="40"/>
              <w:rPr>
                <w:rFonts w:ascii="Calibri Light" w:hAnsi="Calibri Light" w:cs="Arial"/>
                <w:b/>
                <w:sz w:val="22"/>
              </w:rPr>
            </w:pPr>
            <w:r w:rsidRPr="009E2B03">
              <w:rPr>
                <w:rFonts w:ascii="Calibri Light" w:hAnsi="Calibri Light" w:cs="Arial"/>
                <w:b/>
                <w:sz w:val="22"/>
              </w:rPr>
              <w:t>Primary categories of violence</w:t>
            </w:r>
          </w:p>
        </w:tc>
        <w:tc>
          <w:tcPr>
            <w:tcW w:w="4673" w:type="dxa"/>
            <w:shd w:val="clear" w:color="auto" w:fill="6D2077"/>
          </w:tcPr>
          <w:p w14:paraId="345B4071" w14:textId="77777777" w:rsidR="00876464" w:rsidRPr="009E2B03" w:rsidRDefault="00876464" w:rsidP="00BC4D85">
            <w:pPr>
              <w:pStyle w:val="BodyText"/>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sz w:val="22"/>
              </w:rPr>
            </w:pPr>
            <w:r w:rsidRPr="009E2B03">
              <w:rPr>
                <w:rFonts w:ascii="Calibri Light" w:hAnsi="Calibri Light" w:cs="Arial"/>
                <w:b/>
                <w:sz w:val="22"/>
              </w:rPr>
              <w:t>Prevalence estimates</w:t>
            </w:r>
          </w:p>
        </w:tc>
      </w:tr>
      <w:tr w:rsidR="00876464" w:rsidRPr="009E2B03" w14:paraId="5546E7A6"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1A9024C3" w14:textId="77777777" w:rsidR="00876464" w:rsidRPr="009E2B03" w:rsidRDefault="00876464" w:rsidP="00BC4D85">
            <w:pPr>
              <w:pStyle w:val="BodyText"/>
              <w:spacing w:before="40" w:after="40"/>
              <w:rPr>
                <w:rFonts w:ascii="Calibri Light" w:hAnsi="Calibri Light" w:cs="Arial"/>
                <w:sz w:val="22"/>
              </w:rPr>
            </w:pPr>
            <w:r w:rsidRPr="009E2B03">
              <w:rPr>
                <w:rFonts w:ascii="Calibri Light" w:hAnsi="Calibri Light" w:cs="Arial"/>
                <w:sz w:val="22"/>
              </w:rPr>
              <w:t>Physical Assault</w:t>
            </w:r>
          </w:p>
        </w:tc>
        <w:tc>
          <w:tcPr>
            <w:tcW w:w="4673" w:type="dxa"/>
          </w:tcPr>
          <w:p w14:paraId="26DF081C"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263,500</w:t>
            </w:r>
          </w:p>
        </w:tc>
      </w:tr>
      <w:tr w:rsidR="00876464" w:rsidRPr="009E2B03" w14:paraId="117BA635"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1C319E1A" w14:textId="77777777" w:rsidR="00876464" w:rsidRPr="009E2B03" w:rsidRDefault="00876464" w:rsidP="00BC4D85">
            <w:pPr>
              <w:pStyle w:val="BodyText"/>
              <w:spacing w:before="40" w:after="40"/>
              <w:rPr>
                <w:rFonts w:ascii="Calibri Light" w:hAnsi="Calibri Light" w:cs="Arial"/>
                <w:sz w:val="22"/>
              </w:rPr>
            </w:pPr>
            <w:r w:rsidRPr="009E2B03">
              <w:rPr>
                <w:rFonts w:ascii="Calibri Light" w:hAnsi="Calibri Light" w:cs="Arial"/>
                <w:sz w:val="22"/>
              </w:rPr>
              <w:t>Physical Threat</w:t>
            </w:r>
          </w:p>
        </w:tc>
        <w:tc>
          <w:tcPr>
            <w:tcW w:w="4673" w:type="dxa"/>
          </w:tcPr>
          <w:p w14:paraId="368B1A45"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188,900</w:t>
            </w:r>
          </w:p>
        </w:tc>
      </w:tr>
      <w:tr w:rsidR="00876464" w:rsidRPr="009E2B03" w14:paraId="7B32730D"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4FA3EA43" w14:textId="77777777" w:rsidR="00876464" w:rsidRPr="009E2B03" w:rsidRDefault="00876464" w:rsidP="00BC4D85">
            <w:pPr>
              <w:pStyle w:val="BodyText"/>
              <w:spacing w:before="40" w:after="40"/>
              <w:rPr>
                <w:rFonts w:ascii="Calibri Light" w:hAnsi="Calibri Light" w:cs="Arial"/>
                <w:sz w:val="22"/>
              </w:rPr>
            </w:pPr>
            <w:r w:rsidRPr="009E2B03">
              <w:rPr>
                <w:rFonts w:ascii="Calibri Light" w:hAnsi="Calibri Light" w:cs="Arial"/>
                <w:sz w:val="22"/>
              </w:rPr>
              <w:t>Sexual Assault</w:t>
            </w:r>
          </w:p>
        </w:tc>
        <w:tc>
          <w:tcPr>
            <w:tcW w:w="4673" w:type="dxa"/>
          </w:tcPr>
          <w:p w14:paraId="5E5EF038"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87,800</w:t>
            </w:r>
          </w:p>
        </w:tc>
      </w:tr>
      <w:tr w:rsidR="00876464" w:rsidRPr="009E2B03" w14:paraId="7F5E5791"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5974AA57" w14:textId="77777777" w:rsidR="00876464" w:rsidRPr="009E2B03" w:rsidRDefault="00876464" w:rsidP="00BC4D85">
            <w:pPr>
              <w:pStyle w:val="BodyText"/>
              <w:spacing w:before="40" w:after="40"/>
              <w:rPr>
                <w:rFonts w:ascii="Calibri Light" w:hAnsi="Calibri Light" w:cs="Arial"/>
                <w:sz w:val="22"/>
              </w:rPr>
            </w:pPr>
            <w:r w:rsidRPr="009E2B03">
              <w:rPr>
                <w:rFonts w:ascii="Calibri Light" w:hAnsi="Calibri Light" w:cs="Arial"/>
                <w:sz w:val="22"/>
              </w:rPr>
              <w:t>Sexual Threat</w:t>
            </w:r>
          </w:p>
        </w:tc>
        <w:tc>
          <w:tcPr>
            <w:tcW w:w="4673" w:type="dxa"/>
          </w:tcPr>
          <w:p w14:paraId="6BB7A5BE"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17,600</w:t>
            </w:r>
          </w:p>
        </w:tc>
      </w:tr>
      <w:tr w:rsidR="00876464" w:rsidRPr="009E2B03" w14:paraId="03264FE6"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61524518" w14:textId="77777777" w:rsidR="00876464" w:rsidRPr="009E2B03" w:rsidRDefault="00876464" w:rsidP="00BC4D85">
            <w:pPr>
              <w:pStyle w:val="BodyText"/>
              <w:spacing w:before="40" w:after="40"/>
              <w:rPr>
                <w:rFonts w:ascii="Calibri Light" w:hAnsi="Calibri Light" w:cs="Arial"/>
                <w:b/>
                <w:color w:val="6D2077"/>
                <w:sz w:val="22"/>
              </w:rPr>
            </w:pPr>
            <w:r w:rsidRPr="009E2B03">
              <w:rPr>
                <w:rFonts w:ascii="Calibri Light" w:hAnsi="Calibri Light" w:cs="Arial"/>
                <w:b/>
                <w:color w:val="6D2077"/>
                <w:sz w:val="22"/>
              </w:rPr>
              <w:t>Total (sexual and physical)</w:t>
            </w:r>
          </w:p>
        </w:tc>
        <w:tc>
          <w:tcPr>
            <w:tcW w:w="4673" w:type="dxa"/>
          </w:tcPr>
          <w:p w14:paraId="2C318775"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6D2077"/>
                <w:sz w:val="22"/>
              </w:rPr>
            </w:pPr>
            <w:r w:rsidRPr="009E2B03">
              <w:rPr>
                <w:rFonts w:ascii="Calibri Light" w:hAnsi="Calibri Light" w:cs="Arial"/>
                <w:b/>
                <w:color w:val="6D2077"/>
                <w:sz w:val="22"/>
              </w:rPr>
              <w:t xml:space="preserve">467,300 </w:t>
            </w:r>
          </w:p>
        </w:tc>
      </w:tr>
      <w:tr w:rsidR="00876464" w:rsidRPr="009E2B03" w14:paraId="1ABB15B6"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6D2077"/>
          </w:tcPr>
          <w:p w14:paraId="6FD3ED77" w14:textId="77777777" w:rsidR="00876464" w:rsidRPr="009E2B03" w:rsidRDefault="00876464" w:rsidP="00BC4D85">
            <w:pPr>
              <w:pStyle w:val="BodyText"/>
              <w:spacing w:before="40" w:after="40"/>
              <w:rPr>
                <w:rFonts w:ascii="Calibri Light" w:hAnsi="Calibri Light" w:cs="Arial"/>
                <w:b/>
                <w:color w:val="FFFFFF" w:themeColor="background1"/>
                <w:sz w:val="22"/>
              </w:rPr>
            </w:pPr>
            <w:r w:rsidRPr="009E2B03">
              <w:rPr>
                <w:rFonts w:ascii="Calibri Light" w:hAnsi="Calibri Light" w:cs="Arial"/>
                <w:b/>
                <w:color w:val="FFFFFF" w:themeColor="background1"/>
                <w:sz w:val="22"/>
              </w:rPr>
              <w:t>Additional categories of violence</w:t>
            </w:r>
          </w:p>
        </w:tc>
        <w:tc>
          <w:tcPr>
            <w:tcW w:w="4673" w:type="dxa"/>
            <w:shd w:val="clear" w:color="auto" w:fill="6D2077"/>
          </w:tcPr>
          <w:p w14:paraId="3049CFF1"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FFFFFF" w:themeColor="background1"/>
                <w:sz w:val="22"/>
              </w:rPr>
            </w:pPr>
            <w:r w:rsidRPr="009E2B03">
              <w:rPr>
                <w:rFonts w:ascii="Calibri Light" w:hAnsi="Calibri Light" w:cs="Arial"/>
                <w:b/>
                <w:color w:val="FFFFFF" w:themeColor="background1"/>
                <w:sz w:val="22"/>
              </w:rPr>
              <w:t>Prevalence estimates</w:t>
            </w:r>
          </w:p>
        </w:tc>
      </w:tr>
      <w:tr w:rsidR="00876464" w:rsidRPr="009E2B03" w14:paraId="2718B797"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163CB3B2" w14:textId="77777777" w:rsidR="00876464" w:rsidRPr="009E2B03" w:rsidRDefault="00876464" w:rsidP="00BC4D85">
            <w:pPr>
              <w:pStyle w:val="BodyText"/>
              <w:spacing w:before="40" w:after="40"/>
              <w:rPr>
                <w:rFonts w:ascii="Calibri Light" w:hAnsi="Calibri Light" w:cs="Arial"/>
                <w:sz w:val="22"/>
              </w:rPr>
            </w:pPr>
            <w:r w:rsidRPr="009E2B03">
              <w:rPr>
                <w:rFonts w:ascii="Calibri Light" w:hAnsi="Calibri Light" w:cs="Arial"/>
                <w:sz w:val="22"/>
              </w:rPr>
              <w:t>Emotional Abuse</w:t>
            </w:r>
          </w:p>
        </w:tc>
        <w:tc>
          <w:tcPr>
            <w:tcW w:w="4673" w:type="dxa"/>
          </w:tcPr>
          <w:p w14:paraId="31C67F91"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272,650</w:t>
            </w:r>
          </w:p>
        </w:tc>
      </w:tr>
      <w:tr w:rsidR="00876464" w:rsidRPr="009E2B03" w14:paraId="5E204188"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7A47F47E" w14:textId="77777777" w:rsidR="00876464" w:rsidRPr="009E2B03" w:rsidRDefault="00876464" w:rsidP="00BC4D85">
            <w:pPr>
              <w:pStyle w:val="BodyText"/>
              <w:spacing w:before="40" w:after="40"/>
              <w:rPr>
                <w:rFonts w:ascii="Calibri Light" w:hAnsi="Calibri Light" w:cs="Arial"/>
                <w:sz w:val="22"/>
              </w:rPr>
            </w:pPr>
            <w:r w:rsidRPr="009E2B03">
              <w:rPr>
                <w:rFonts w:ascii="Calibri Light" w:hAnsi="Calibri Light" w:cs="Arial"/>
                <w:sz w:val="22"/>
              </w:rPr>
              <w:t>Stalking</w:t>
            </w:r>
          </w:p>
        </w:tc>
        <w:tc>
          <w:tcPr>
            <w:tcW w:w="4673" w:type="dxa"/>
          </w:tcPr>
          <w:p w14:paraId="357B8168"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237,130</w:t>
            </w:r>
          </w:p>
        </w:tc>
      </w:tr>
      <w:tr w:rsidR="00876464" w:rsidRPr="009E2B03" w14:paraId="1B9994B3"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6D2077"/>
          </w:tcPr>
          <w:p w14:paraId="167ED494" w14:textId="77777777" w:rsidR="00876464" w:rsidRPr="009E2B03" w:rsidRDefault="00876464" w:rsidP="00BC4D85">
            <w:pPr>
              <w:pStyle w:val="BodyText"/>
              <w:spacing w:before="40" w:after="40"/>
              <w:rPr>
                <w:rFonts w:ascii="Calibri Light" w:hAnsi="Calibri Light" w:cs="Arial"/>
                <w:sz w:val="22"/>
              </w:rPr>
            </w:pPr>
            <w:r w:rsidRPr="009E2B03">
              <w:rPr>
                <w:rFonts w:ascii="Calibri Light" w:hAnsi="Calibri Light" w:cs="Arial"/>
                <w:b/>
                <w:color w:val="FFFFFF" w:themeColor="background1"/>
                <w:sz w:val="22"/>
              </w:rPr>
              <w:t>Total (including all violence categories)</w:t>
            </w:r>
          </w:p>
        </w:tc>
        <w:tc>
          <w:tcPr>
            <w:tcW w:w="4673" w:type="dxa"/>
            <w:shd w:val="clear" w:color="auto" w:fill="6D2077"/>
          </w:tcPr>
          <w:p w14:paraId="1AADE0E6"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b/>
                <w:color w:val="FFFFFF" w:themeColor="background1"/>
                <w:sz w:val="22"/>
              </w:rPr>
              <w:t>Prevalence estimate without double counting</w:t>
            </w:r>
          </w:p>
        </w:tc>
      </w:tr>
      <w:tr w:rsidR="00876464" w:rsidRPr="009E2B03" w14:paraId="75D79D0F" w14:textId="77777777" w:rsidTr="000234AD">
        <w:trPr>
          <w:cantSplit/>
        </w:trPr>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6DEA52E4" w14:textId="77777777" w:rsidR="00876464" w:rsidRPr="009E2B03" w:rsidRDefault="00876464" w:rsidP="00BC4D85">
            <w:pPr>
              <w:pStyle w:val="BodyText"/>
              <w:spacing w:before="40" w:after="40"/>
              <w:rPr>
                <w:rFonts w:ascii="Calibri Light" w:hAnsi="Calibri Light" w:cs="Arial"/>
                <w:b/>
                <w:color w:val="6D2077"/>
                <w:sz w:val="22"/>
              </w:rPr>
            </w:pPr>
            <w:r w:rsidRPr="009E2B03">
              <w:rPr>
                <w:rFonts w:ascii="Calibri Light" w:hAnsi="Calibri Light" w:cs="Arial"/>
                <w:b/>
                <w:color w:val="6D2077"/>
                <w:sz w:val="22"/>
              </w:rPr>
              <w:t>Total (including all violence categories)</w:t>
            </w:r>
          </w:p>
        </w:tc>
        <w:tc>
          <w:tcPr>
            <w:tcW w:w="4673" w:type="dxa"/>
          </w:tcPr>
          <w:p w14:paraId="517AFA0D" w14:textId="77777777" w:rsidR="00876464" w:rsidRPr="009E2B03" w:rsidRDefault="00876464" w:rsidP="00BC4D85">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6D2077"/>
                <w:sz w:val="22"/>
              </w:rPr>
            </w:pPr>
            <w:r w:rsidRPr="009E2B03">
              <w:rPr>
                <w:rFonts w:ascii="Calibri Light" w:hAnsi="Calibri Light" w:cs="Arial"/>
                <w:b/>
                <w:color w:val="6D2077"/>
                <w:sz w:val="22"/>
              </w:rPr>
              <w:t>1,033,910</w:t>
            </w:r>
          </w:p>
        </w:tc>
      </w:tr>
    </w:tbl>
    <w:p w14:paraId="6BB14E92" w14:textId="77777777" w:rsidR="00876464" w:rsidRPr="009E2B03" w:rsidRDefault="00876464" w:rsidP="00876464">
      <w:pPr>
        <w:pStyle w:val="BodyBullet"/>
        <w:numPr>
          <w:ilvl w:val="0"/>
          <w:numId w:val="0"/>
        </w:numPr>
        <w:rPr>
          <w:rFonts w:ascii="Calibri Light" w:hAnsi="Calibri Light" w:cs="Arial"/>
        </w:rPr>
      </w:pPr>
      <w:r w:rsidRPr="009E2B03">
        <w:rPr>
          <w:rFonts w:ascii="Calibri Light" w:hAnsi="Calibri Light" w:cs="Arial"/>
        </w:rPr>
        <w:t>Source: ABS Personal Safety Survey 2012; KPMG calculations.</w:t>
      </w:r>
    </w:p>
    <w:p w14:paraId="0C201647" w14:textId="77777777" w:rsidR="00876464" w:rsidRPr="009E2B03" w:rsidRDefault="00876464" w:rsidP="00876464">
      <w:pPr>
        <w:pStyle w:val="BodyBullet"/>
        <w:rPr>
          <w:rFonts w:ascii="Calibri Light" w:hAnsi="Calibri Light" w:cs="Arial"/>
          <w:sz w:val="22"/>
        </w:rPr>
      </w:pPr>
      <w:r w:rsidRPr="009E2B03">
        <w:rPr>
          <w:rFonts w:ascii="Calibri Light" w:hAnsi="Calibri Light" w:cs="Arial"/>
          <w:b/>
          <w:color w:val="6D2077"/>
          <w:sz w:val="22"/>
        </w:rPr>
        <w:lastRenderedPageBreak/>
        <w:t xml:space="preserve">There is not one ‘single source of truth’ on the prevalence of violence, and although the PSS provides the most consistent source of information, there are limitations in the potential underrepresentation of different cohorts. </w:t>
      </w:r>
      <w:r w:rsidRPr="009E2B03">
        <w:rPr>
          <w:rFonts w:ascii="Calibri Light" w:hAnsi="Calibri Light" w:cs="Arial"/>
          <w:sz w:val="22"/>
        </w:rPr>
        <w:t>While broad, the research has also identified that there are challenges with the fragmentation and consistency of data collection and reporting methods. This is evident when seeking to compare trends and impacts over time, comparing insights from different publications, and in seeking to understand the representation of specific groups of women and children experiencing violence, for example women of A</w:t>
      </w:r>
      <w:r w:rsidR="007C6898" w:rsidRPr="009E2B03">
        <w:rPr>
          <w:rFonts w:ascii="Calibri Light" w:hAnsi="Calibri Light" w:cs="Arial"/>
          <w:sz w:val="22"/>
        </w:rPr>
        <w:t>boriginal and Torres Strait Islander</w:t>
      </w:r>
      <w:r w:rsidRPr="009E2B03">
        <w:rPr>
          <w:rFonts w:ascii="Calibri Light" w:hAnsi="Calibri Light" w:cs="Arial"/>
          <w:sz w:val="22"/>
        </w:rPr>
        <w:t xml:space="preserve"> descent, </w:t>
      </w:r>
      <w:r w:rsidR="000D3A93" w:rsidRPr="009E2B03">
        <w:rPr>
          <w:rFonts w:ascii="Calibri Light" w:hAnsi="Calibri Light" w:cs="Arial"/>
          <w:sz w:val="22"/>
        </w:rPr>
        <w:t xml:space="preserve">pregnant women, women with disability </w:t>
      </w:r>
      <w:r w:rsidRPr="009E2B03">
        <w:rPr>
          <w:rFonts w:ascii="Calibri Light" w:hAnsi="Calibri Light" w:cs="Arial"/>
          <w:sz w:val="22"/>
        </w:rPr>
        <w:t xml:space="preserve">and women experiencing homelessness. Contributing risk factors that may impact on the risk of women experiencing violence relate to three main areas, namely: </w:t>
      </w:r>
    </w:p>
    <w:p w14:paraId="4603502C"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the relationship between demographic characteristics such as age and the risk of experiencing violence. For example, </w:t>
      </w:r>
      <w:r w:rsidRPr="009E2B03">
        <w:rPr>
          <w:rFonts w:ascii="Calibri Light" w:hAnsi="Calibri Light"/>
          <w:b/>
          <w:color w:val="6D2077"/>
          <w:sz w:val="22"/>
        </w:rPr>
        <w:t>young women between the ages of 18 and 24 face the highest risk of experiencing violence</w:t>
      </w:r>
      <w:r w:rsidRPr="009E2B03">
        <w:rPr>
          <w:rFonts w:ascii="Calibri Light" w:hAnsi="Calibri Light"/>
          <w:sz w:val="22"/>
        </w:rPr>
        <w:t>, with 12.8 per cent of women in this age cohort having experienced violence over the last 12 months;</w:t>
      </w:r>
      <w:r w:rsidRPr="009E2B03">
        <w:rPr>
          <w:rStyle w:val="FootnoteReference"/>
          <w:rFonts w:ascii="Calibri Light" w:hAnsi="Calibri Light"/>
          <w:sz w:val="22"/>
        </w:rPr>
        <w:footnoteReference w:id="1"/>
      </w:r>
    </w:p>
    <w:p w14:paraId="08279289"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the relationship between level of remoteness and geography and the risk of experiencing violence. For example, </w:t>
      </w:r>
      <w:r w:rsidRPr="009E2B03">
        <w:rPr>
          <w:rFonts w:ascii="Calibri Light" w:hAnsi="Calibri Light"/>
          <w:b/>
          <w:color w:val="6D2077"/>
          <w:sz w:val="22"/>
        </w:rPr>
        <w:t>women who live in rural and remote areas of Australia face a higher risk of experiencing violence</w:t>
      </w:r>
      <w:r w:rsidRPr="009E2B03">
        <w:rPr>
          <w:rFonts w:ascii="Calibri Light" w:hAnsi="Calibri Light"/>
          <w:sz w:val="22"/>
        </w:rPr>
        <w:t>, with both the 2012 PSS and the Australian Longitudinal Study on Women’s Health showing that a higher number of women in these areas have experienced partner violence compared to women living in capital cities;</w:t>
      </w:r>
      <w:r w:rsidRPr="009E2B03">
        <w:rPr>
          <w:rStyle w:val="FootnoteReference"/>
          <w:rFonts w:ascii="Calibri Light" w:hAnsi="Calibri Light"/>
          <w:sz w:val="22"/>
        </w:rPr>
        <w:footnoteReference w:id="2"/>
      </w:r>
      <w:r w:rsidRPr="009E2B03">
        <w:rPr>
          <w:rFonts w:ascii="Calibri Light" w:hAnsi="Calibri Light"/>
          <w:sz w:val="22"/>
        </w:rPr>
        <w:t xml:space="preserve"> and</w:t>
      </w:r>
    </w:p>
    <w:p w14:paraId="712D507B" w14:textId="255C43F3"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the experience of socioeconomic advantage and disadvantage and the risk of experiencing violence. For example, there is evidence to suggest that indicators of socioeconomic status such as </w:t>
      </w:r>
      <w:r w:rsidRPr="009E2B03">
        <w:rPr>
          <w:rFonts w:ascii="Calibri Light" w:hAnsi="Calibri Light"/>
          <w:b/>
          <w:sz w:val="22"/>
        </w:rPr>
        <w:t>l</w:t>
      </w:r>
      <w:r w:rsidRPr="009E2B03">
        <w:rPr>
          <w:rFonts w:ascii="Calibri Light" w:hAnsi="Calibri Light"/>
          <w:b/>
          <w:color w:val="6D2077"/>
          <w:sz w:val="22"/>
        </w:rPr>
        <w:t>evel of educational attainment, household income, or employment status may impact on the vulnerability to experiencing violence.</w:t>
      </w:r>
      <w:r w:rsidRPr="009E2B03">
        <w:rPr>
          <w:rFonts w:ascii="Calibri Light" w:hAnsi="Calibri Light"/>
          <w:sz w:val="22"/>
        </w:rPr>
        <w:t xml:space="preserve"> However, the inconsistency of evidence across Australia reinforces that violence can happen to any individual in any circumstance.  </w:t>
      </w:r>
    </w:p>
    <w:p w14:paraId="72758028" w14:textId="77777777" w:rsidR="00876464" w:rsidRPr="009E2B03" w:rsidRDefault="00876464" w:rsidP="00876464">
      <w:pPr>
        <w:pStyle w:val="BodyBullet"/>
        <w:rPr>
          <w:rFonts w:ascii="Calibri Light" w:hAnsi="Calibri Light" w:cs="Arial"/>
          <w:color w:val="6D2077"/>
          <w:sz w:val="22"/>
        </w:rPr>
      </w:pPr>
      <w:r w:rsidRPr="009E2B03">
        <w:rPr>
          <w:rFonts w:ascii="Calibri Light" w:hAnsi="Calibri Light" w:cs="Arial"/>
          <w:b/>
          <w:color w:val="6D2077"/>
          <w:sz w:val="22"/>
        </w:rPr>
        <w:t xml:space="preserve">As a result of the limitations in available data, there are three key areas of consideration in interpreting the cost estimates outlined within this Report. </w:t>
      </w:r>
    </w:p>
    <w:p w14:paraId="20C279F1"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b/>
          <w:color w:val="6D2077"/>
          <w:sz w:val="22"/>
        </w:rPr>
        <w:t>Definition changes between the 2005 and 2012 PSS:</w:t>
      </w:r>
      <w:r w:rsidRPr="009E2B03">
        <w:rPr>
          <w:rFonts w:ascii="Calibri Light" w:hAnsi="Calibri Light"/>
          <w:color w:val="6D2077"/>
          <w:sz w:val="22"/>
        </w:rPr>
        <w:t xml:space="preserve"> </w:t>
      </w:r>
      <w:r w:rsidRPr="009E2B03">
        <w:rPr>
          <w:rFonts w:ascii="Calibri Light" w:hAnsi="Calibri Light"/>
          <w:sz w:val="22"/>
        </w:rPr>
        <w:t xml:space="preserve">The 2012 PSS included an expanded definitional scope relative to 2005 that </w:t>
      </w:r>
      <w:r w:rsidR="007C6898" w:rsidRPr="009E2B03">
        <w:rPr>
          <w:rFonts w:ascii="Calibri Light" w:hAnsi="Calibri Light"/>
          <w:sz w:val="22"/>
        </w:rPr>
        <w:t>drove</w:t>
      </w:r>
      <w:r w:rsidRPr="009E2B03">
        <w:rPr>
          <w:rFonts w:ascii="Calibri Light" w:hAnsi="Calibri Light"/>
          <w:sz w:val="22"/>
        </w:rPr>
        <w:t xml:space="preserve"> </w:t>
      </w:r>
      <w:r w:rsidR="007C6898" w:rsidRPr="009E2B03">
        <w:rPr>
          <w:rFonts w:ascii="Calibri Light" w:hAnsi="Calibri Light"/>
          <w:sz w:val="22"/>
        </w:rPr>
        <w:t>an</w:t>
      </w:r>
      <w:r w:rsidRPr="009E2B03">
        <w:rPr>
          <w:rFonts w:ascii="Calibri Light" w:hAnsi="Calibri Light"/>
          <w:sz w:val="22"/>
        </w:rPr>
        <w:t xml:space="preserve"> increase in prevalence of emotional abuse and stalking (however, due to the reporting approach, it is not possible to attribute the change in emotional abuse and stalking based on the 2005 definition).</w:t>
      </w:r>
    </w:p>
    <w:p w14:paraId="5FCCCC52" w14:textId="42409089"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b/>
          <w:color w:val="6D2077"/>
          <w:sz w:val="22"/>
        </w:rPr>
        <w:t xml:space="preserve">Timeliness of data and information: </w:t>
      </w:r>
      <w:r w:rsidRPr="009E2B03">
        <w:rPr>
          <w:rFonts w:ascii="Calibri Light" w:hAnsi="Calibri Light"/>
          <w:sz w:val="22"/>
        </w:rPr>
        <w:t xml:space="preserve">There are limitations in the timeliness of data reporting around violence against women and their children, with the 2012 PSS representing the most consistent source of prevalence information at a national level. The implication is that the cost estimates may not reflect the most recent trends and experience, and broader evidence should be considered alongside the cost estimates. Timeliness of data is a consistent theme in other research and publications around </w:t>
      </w:r>
      <w:r w:rsidR="00AD583E" w:rsidRPr="009E2B03">
        <w:rPr>
          <w:rFonts w:ascii="Calibri Light" w:hAnsi="Calibri Light"/>
          <w:sz w:val="22"/>
        </w:rPr>
        <w:t>strengthening the evidence base.</w:t>
      </w:r>
      <w:r w:rsidRPr="009E2B03">
        <w:rPr>
          <w:rFonts w:ascii="Calibri Light" w:hAnsi="Calibri Light"/>
          <w:sz w:val="22"/>
        </w:rPr>
        <w:t xml:space="preserve"> </w:t>
      </w:r>
      <w:r w:rsidR="00AD583E" w:rsidRPr="009E2B03">
        <w:rPr>
          <w:rFonts w:ascii="Calibri Light" w:hAnsi="Calibri Light"/>
          <w:sz w:val="22"/>
        </w:rPr>
        <w:t>I</w:t>
      </w:r>
      <w:r w:rsidRPr="009E2B03">
        <w:rPr>
          <w:rFonts w:ascii="Calibri Light" w:hAnsi="Calibri Light"/>
          <w:sz w:val="22"/>
        </w:rPr>
        <w:t>n addition, it is noted that the ABS</w:t>
      </w:r>
      <w:r w:rsidR="007C6898" w:rsidRPr="009E2B03">
        <w:rPr>
          <w:rFonts w:ascii="Calibri Light" w:hAnsi="Calibri Light"/>
          <w:sz w:val="22"/>
        </w:rPr>
        <w:t xml:space="preserve"> is expected to publish the 2016 PSS later in 2017</w:t>
      </w:r>
      <w:r w:rsidRPr="009E2B03">
        <w:rPr>
          <w:rFonts w:ascii="Calibri Light" w:hAnsi="Calibri Light"/>
          <w:sz w:val="22"/>
        </w:rPr>
        <w:t xml:space="preserve">. </w:t>
      </w:r>
    </w:p>
    <w:p w14:paraId="4EC7415A"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b/>
          <w:color w:val="6D2077"/>
          <w:sz w:val="22"/>
        </w:rPr>
        <w:t>Trends in the rate of deaths as a result of violence against women and their children:</w:t>
      </w:r>
      <w:r w:rsidRPr="009E2B03">
        <w:rPr>
          <w:rFonts w:ascii="Calibri Light" w:hAnsi="Calibri Light"/>
          <w:b/>
          <w:sz w:val="22"/>
        </w:rPr>
        <w:t xml:space="preserve"> </w:t>
      </w:r>
      <w:r w:rsidRPr="009E2B03">
        <w:rPr>
          <w:rFonts w:ascii="Calibri Light" w:hAnsi="Calibri Light"/>
          <w:sz w:val="22"/>
        </w:rPr>
        <w:t xml:space="preserve">Within the overall prevalence of violence against women and their children, it is important to also consider the rate of deaths of women and their children that are attributable to violence. </w:t>
      </w:r>
    </w:p>
    <w:p w14:paraId="4D22F22F" w14:textId="77777777" w:rsidR="00876464" w:rsidRPr="00BF236E" w:rsidRDefault="00876464" w:rsidP="00876464">
      <w:pPr>
        <w:pStyle w:val="ListBullet2"/>
        <w:numPr>
          <w:ilvl w:val="1"/>
          <w:numId w:val="18"/>
        </w:numPr>
        <w:tabs>
          <w:tab w:val="num" w:pos="709"/>
          <w:tab w:val="num" w:pos="1134"/>
        </w:tabs>
        <w:ind w:left="1134"/>
        <w:rPr>
          <w:rFonts w:ascii="Calibri Light" w:hAnsi="Calibri Light"/>
          <w:iCs/>
          <w:sz w:val="22"/>
        </w:rPr>
      </w:pPr>
      <w:r w:rsidRPr="00BF236E">
        <w:rPr>
          <w:rFonts w:ascii="Calibri Light" w:hAnsi="Calibri Light"/>
          <w:iCs/>
          <w:sz w:val="22"/>
        </w:rPr>
        <w:t xml:space="preserve">Timeliness of data on deaths of women and their children means that establishing evidence of recent trends is particularly challenging. In 2015, the Australian Institute of </w:t>
      </w:r>
      <w:r w:rsidRPr="00BF236E">
        <w:rPr>
          <w:rFonts w:ascii="Calibri Light" w:hAnsi="Calibri Light"/>
          <w:iCs/>
          <w:sz w:val="22"/>
        </w:rPr>
        <w:lastRenderedPageBreak/>
        <w:t>Criminology (AIC) published data on domestic violence related homicides over the period from 2002-03 to 2011-12. This research found that the rate of homicide was 1.8 per 100,000 of the population in 2001-02, and that this decreased to 1.1 per 100,000 by 2011-12, with the decrease found to be across all relationship types.</w:t>
      </w:r>
      <w:r w:rsidRPr="00BF236E">
        <w:rPr>
          <w:rStyle w:val="FootnoteReference"/>
          <w:rFonts w:ascii="Calibri Light" w:hAnsi="Calibri Light"/>
          <w:iCs/>
          <w:sz w:val="22"/>
        </w:rPr>
        <w:footnoteReference w:id="3"/>
      </w:r>
    </w:p>
    <w:p w14:paraId="50B1E2C5" w14:textId="00E1C6BB" w:rsidR="00876464" w:rsidRPr="00BF236E" w:rsidRDefault="00876464" w:rsidP="00876464">
      <w:pPr>
        <w:pStyle w:val="ListBullet2"/>
        <w:numPr>
          <w:ilvl w:val="1"/>
          <w:numId w:val="18"/>
        </w:numPr>
        <w:tabs>
          <w:tab w:val="num" w:pos="709"/>
          <w:tab w:val="num" w:pos="1134"/>
        </w:tabs>
        <w:ind w:left="1134"/>
        <w:rPr>
          <w:rFonts w:ascii="Calibri Light" w:hAnsi="Calibri Light"/>
          <w:iCs/>
          <w:sz w:val="22"/>
        </w:rPr>
      </w:pPr>
      <w:r w:rsidRPr="00BF236E">
        <w:rPr>
          <w:rFonts w:ascii="Calibri Light" w:hAnsi="Calibri Light"/>
          <w:iCs/>
          <w:sz w:val="22"/>
        </w:rPr>
        <w:t>More recent data and media around the rates of deaths of women and their children is hi</w:t>
      </w:r>
      <w:r w:rsidR="00AD583E" w:rsidRPr="00BF236E">
        <w:rPr>
          <w:rFonts w:ascii="Calibri Light" w:hAnsi="Calibri Light"/>
          <w:iCs/>
          <w:sz w:val="22"/>
        </w:rPr>
        <w:t>ghly limited. Although there have</w:t>
      </w:r>
      <w:r w:rsidRPr="00BF236E">
        <w:rPr>
          <w:rFonts w:ascii="Calibri Light" w:hAnsi="Calibri Light"/>
          <w:iCs/>
          <w:sz w:val="22"/>
        </w:rPr>
        <w:t xml:space="preserve"> not been updates to the AIC data since its 2015 publication, the Chief Executive Officer of Our Watch suggested in 2015 that the rate of deaths was increasing to two women per week, and Destroy the Joint, a com</w:t>
      </w:r>
      <w:r w:rsidR="00AD583E" w:rsidRPr="00BF236E">
        <w:rPr>
          <w:rFonts w:ascii="Calibri Light" w:hAnsi="Calibri Light"/>
          <w:iCs/>
          <w:sz w:val="22"/>
        </w:rPr>
        <w:t>munity based website, estimated</w:t>
      </w:r>
      <w:r w:rsidRPr="00BF236E">
        <w:rPr>
          <w:rFonts w:ascii="Calibri Light" w:hAnsi="Calibri Light"/>
          <w:iCs/>
          <w:sz w:val="22"/>
        </w:rPr>
        <w:t xml:space="preserve"> 79 deaths in 2015 (approximately 1.5 deaths per week) and 17 deaths to</w:t>
      </w:r>
      <w:r w:rsidR="007C6898" w:rsidRPr="00BF236E">
        <w:rPr>
          <w:rFonts w:ascii="Calibri Light" w:hAnsi="Calibri Light"/>
          <w:iCs/>
          <w:sz w:val="22"/>
        </w:rPr>
        <w:t xml:space="preserve"> April</w:t>
      </w:r>
      <w:r w:rsidRPr="00BF236E">
        <w:rPr>
          <w:rFonts w:ascii="Calibri Light" w:hAnsi="Calibri Light"/>
          <w:iCs/>
          <w:sz w:val="22"/>
        </w:rPr>
        <w:t xml:space="preserve"> 2016 (approximately 1.3 deaths per week).</w:t>
      </w:r>
    </w:p>
    <w:p w14:paraId="53557668" w14:textId="77777777" w:rsidR="00876464" w:rsidRPr="009E2B03" w:rsidRDefault="00876464" w:rsidP="00876464">
      <w:pPr>
        <w:pStyle w:val="BodyTextkeepwithnext0"/>
        <w:spacing w:before="360" w:after="240"/>
        <w:rPr>
          <w:rFonts w:ascii="Calibri Light" w:hAnsi="Calibri Light"/>
          <w:color w:val="6D2077"/>
          <w:sz w:val="36"/>
          <w:szCs w:val="32"/>
        </w:rPr>
      </w:pPr>
      <w:r w:rsidRPr="009E2B03">
        <w:rPr>
          <w:rFonts w:ascii="Calibri Light" w:hAnsi="Calibri Light"/>
          <w:color w:val="6D2077"/>
          <w:sz w:val="36"/>
          <w:szCs w:val="32"/>
        </w:rPr>
        <w:t>Based on the prevalence estimated within the 2012 PSS, KPMG estimates that the total cost of violence against women and their children in Australia is $22 billion in 2015-16</w:t>
      </w:r>
    </w:p>
    <w:p w14:paraId="10AC61A1" w14:textId="77777777" w:rsidR="00876464" w:rsidRPr="009E2B03" w:rsidRDefault="00876464" w:rsidP="00876464">
      <w:pPr>
        <w:pStyle w:val="BodyBullet"/>
        <w:rPr>
          <w:rFonts w:ascii="Calibri Light" w:hAnsi="Calibri Light" w:cs="Arial"/>
          <w:i/>
          <w:sz w:val="22"/>
        </w:rPr>
      </w:pPr>
      <w:r w:rsidRPr="009E2B03">
        <w:rPr>
          <w:rFonts w:ascii="Calibri Light" w:hAnsi="Calibri Light" w:cs="Arial"/>
          <w:b/>
          <w:color w:val="6D2077"/>
          <w:sz w:val="22"/>
        </w:rPr>
        <w:t>The cost of violence against women and their children has been estimated at $22 billion</w:t>
      </w:r>
      <w:r w:rsidRPr="009E2B03">
        <w:rPr>
          <w:rFonts w:ascii="Calibri Light" w:hAnsi="Calibri Light" w:cs="Arial"/>
          <w:sz w:val="22"/>
        </w:rPr>
        <w:t xml:space="preserve">, with the costs attributable to the seven core cost categories detailed below. Significantly, this estimate captures the expanded understanding and measurement of emotional abuse and stalking included within the latest ABS PSS, which has resulted in an increase in the overall prevalence of violence. </w:t>
      </w:r>
      <w:r w:rsidRPr="009E2B03">
        <w:rPr>
          <w:rFonts w:ascii="Calibri Light" w:hAnsi="Calibri Light" w:cs="Arial"/>
          <w:sz w:val="22"/>
        </w:rPr>
        <w:fldChar w:fldCharType="begin"/>
      </w:r>
      <w:r w:rsidRPr="009E2B03">
        <w:rPr>
          <w:rFonts w:ascii="Calibri Light" w:hAnsi="Calibri Light" w:cs="Arial"/>
          <w:sz w:val="22"/>
        </w:rPr>
        <w:instrText xml:space="preserve"> REF _Ref447272584 \h  \* MERGEFORMAT </w:instrText>
      </w:r>
      <w:r w:rsidRPr="009E2B03">
        <w:rPr>
          <w:rFonts w:ascii="Calibri Light" w:hAnsi="Calibri Light" w:cs="Arial"/>
          <w:sz w:val="22"/>
        </w:rPr>
      </w:r>
      <w:r w:rsidRPr="009E2B03">
        <w:rPr>
          <w:rFonts w:ascii="Calibri Light" w:hAnsi="Calibri Light" w:cs="Arial"/>
          <w:sz w:val="22"/>
        </w:rPr>
        <w:fldChar w:fldCharType="separate"/>
      </w:r>
      <w:r w:rsidR="00417237" w:rsidRPr="00417237">
        <w:rPr>
          <w:rFonts w:ascii="Calibri Light" w:hAnsi="Calibri Light" w:cs="Arial"/>
          <w:sz w:val="22"/>
        </w:rPr>
        <w:t xml:space="preserve">Figure </w:t>
      </w:r>
      <w:r w:rsidR="00417237" w:rsidRPr="00417237">
        <w:rPr>
          <w:rFonts w:ascii="Calibri Light" w:hAnsi="Calibri Light" w:cs="Arial"/>
          <w:noProof/>
          <w:sz w:val="22"/>
        </w:rPr>
        <w:t>0</w:t>
      </w:r>
      <w:r w:rsidR="00417237" w:rsidRPr="00417237">
        <w:rPr>
          <w:rFonts w:ascii="Calibri Light" w:hAnsi="Calibri Light" w:cs="Arial"/>
          <w:noProof/>
          <w:sz w:val="22"/>
        </w:rPr>
        <w:noBreakHyphen/>
        <w:t>1</w:t>
      </w:r>
      <w:r w:rsidRPr="009E2B03">
        <w:rPr>
          <w:rFonts w:ascii="Calibri Light" w:hAnsi="Calibri Light" w:cs="Arial"/>
          <w:sz w:val="22"/>
        </w:rPr>
        <w:fldChar w:fldCharType="end"/>
      </w:r>
      <w:r w:rsidRPr="009E2B03">
        <w:rPr>
          <w:rFonts w:ascii="Calibri Light" w:hAnsi="Calibri Light" w:cs="Arial"/>
          <w:sz w:val="22"/>
        </w:rPr>
        <w:t xml:space="preserve"> below shows the impact of this expanded definition between the 2005 and 2012 PSS prevalence rates on the estimated costs of violence against women and their children. </w:t>
      </w:r>
    </w:p>
    <w:p w14:paraId="402A1BE7" w14:textId="77777777" w:rsidR="00876464" w:rsidRPr="009E2B03" w:rsidRDefault="00876464" w:rsidP="00876464">
      <w:pPr>
        <w:pStyle w:val="BodyBullet"/>
        <w:numPr>
          <w:ilvl w:val="0"/>
          <w:numId w:val="0"/>
        </w:numPr>
        <w:rPr>
          <w:rFonts w:ascii="Calibri Light" w:hAnsi="Calibri Light" w:cs="Arial"/>
          <w:i/>
          <w:sz w:val="22"/>
        </w:rPr>
      </w:pPr>
      <w:bookmarkStart w:id="33" w:name="_Ref447272584"/>
      <w:r w:rsidRPr="009E2B03">
        <w:rPr>
          <w:rFonts w:ascii="Calibri Light" w:hAnsi="Calibri Light" w:cs="Arial"/>
          <w:i/>
          <w:sz w:val="22"/>
        </w:rPr>
        <w:t xml:space="preserve">Figure </w:t>
      </w:r>
      <w:r w:rsidRPr="009E2B03">
        <w:rPr>
          <w:rFonts w:ascii="Calibri Light" w:hAnsi="Calibri Light" w:cs="Arial"/>
          <w:i/>
          <w:sz w:val="22"/>
        </w:rPr>
        <w:fldChar w:fldCharType="begin"/>
      </w:r>
      <w:r w:rsidRPr="009E2B03">
        <w:rPr>
          <w:rFonts w:ascii="Calibri Light" w:hAnsi="Calibri Light" w:cs="Arial"/>
          <w:i/>
          <w:sz w:val="22"/>
        </w:rPr>
        <w:instrText xml:space="preserve"> STYLEREF 1 \s </w:instrText>
      </w:r>
      <w:r w:rsidRPr="009E2B03">
        <w:rPr>
          <w:rFonts w:ascii="Calibri Light" w:hAnsi="Calibri Light" w:cs="Arial"/>
          <w:i/>
          <w:sz w:val="22"/>
        </w:rPr>
        <w:fldChar w:fldCharType="separate"/>
      </w:r>
      <w:r w:rsidR="00417237">
        <w:rPr>
          <w:rFonts w:ascii="Calibri Light" w:hAnsi="Calibri Light" w:cs="Arial"/>
          <w:i/>
          <w:noProof/>
          <w:sz w:val="22"/>
        </w:rPr>
        <w:t>0</w:t>
      </w:r>
      <w:r w:rsidRPr="009E2B03">
        <w:rPr>
          <w:rFonts w:ascii="Calibri Light" w:hAnsi="Calibri Light" w:cs="Arial"/>
          <w:i/>
          <w:sz w:val="22"/>
        </w:rPr>
        <w:fldChar w:fldCharType="end"/>
      </w:r>
      <w:r w:rsidRPr="009E2B03">
        <w:rPr>
          <w:rFonts w:ascii="Calibri Light" w:hAnsi="Calibri Light" w:cs="Arial"/>
          <w:i/>
          <w:sz w:val="22"/>
        </w:rPr>
        <w:noBreakHyphen/>
      </w:r>
      <w:r w:rsidRPr="009E2B03">
        <w:rPr>
          <w:rFonts w:ascii="Calibri Light" w:hAnsi="Calibri Light" w:cs="Arial"/>
          <w:i/>
          <w:sz w:val="22"/>
        </w:rPr>
        <w:fldChar w:fldCharType="begin"/>
      </w:r>
      <w:r w:rsidRPr="009E2B03">
        <w:rPr>
          <w:rFonts w:ascii="Calibri Light" w:hAnsi="Calibri Light" w:cs="Arial"/>
          <w:i/>
          <w:sz w:val="22"/>
        </w:rPr>
        <w:instrText xml:space="preserve"> SEQ Figure \* ARABIC \s 1 </w:instrText>
      </w:r>
      <w:r w:rsidRPr="009E2B03">
        <w:rPr>
          <w:rFonts w:ascii="Calibri Light" w:hAnsi="Calibri Light" w:cs="Arial"/>
          <w:i/>
          <w:sz w:val="22"/>
        </w:rPr>
        <w:fldChar w:fldCharType="separate"/>
      </w:r>
      <w:r w:rsidR="00417237">
        <w:rPr>
          <w:rFonts w:ascii="Calibri Light" w:hAnsi="Calibri Light" w:cs="Arial"/>
          <w:i/>
          <w:noProof/>
          <w:sz w:val="22"/>
        </w:rPr>
        <w:t>1</w:t>
      </w:r>
      <w:r w:rsidRPr="009E2B03">
        <w:rPr>
          <w:rFonts w:ascii="Calibri Light" w:hAnsi="Calibri Light" w:cs="Arial"/>
          <w:i/>
          <w:sz w:val="22"/>
        </w:rPr>
        <w:fldChar w:fldCharType="end"/>
      </w:r>
      <w:bookmarkEnd w:id="33"/>
      <w:r w:rsidRPr="009E2B03">
        <w:rPr>
          <w:rFonts w:ascii="Calibri Light" w:hAnsi="Calibri Light" w:cs="Arial"/>
          <w:i/>
          <w:sz w:val="22"/>
        </w:rPr>
        <w:t>: Estimated cost of violence based on 2005 and 2012 PSS prevalence rates</w:t>
      </w:r>
    </w:p>
    <w:p w14:paraId="2A7D5286" w14:textId="4002A5B7" w:rsidR="00876464" w:rsidRPr="009E2B03" w:rsidRDefault="009E2B03" w:rsidP="00876464">
      <w:pPr>
        <w:pStyle w:val="BodyBullet"/>
        <w:numPr>
          <w:ilvl w:val="0"/>
          <w:numId w:val="0"/>
        </w:numPr>
        <w:ind w:left="360" w:hanging="360"/>
        <w:rPr>
          <w:rFonts w:ascii="Calibri Light" w:hAnsi="Calibri Light" w:cs="Arial"/>
          <w:sz w:val="22"/>
        </w:rPr>
      </w:pPr>
      <w:r>
        <w:rPr>
          <w:rFonts w:ascii="Calibri Light" w:hAnsi="Calibri Light" w:cs="Arial"/>
          <w:noProof/>
          <w:sz w:val="22"/>
        </w:rPr>
        <w:drawing>
          <wp:inline distT="0" distB="0" distL="0" distR="0" wp14:anchorId="5AC017BF" wp14:editId="445C943A">
            <wp:extent cx="5822315" cy="2615565"/>
            <wp:effectExtent l="0" t="0" r="6985" b="0"/>
            <wp:docPr id="1" name="Picture 1" descr="For further information please see the text above." title="Picture depicting estimated cost of violence based on 2005 and 2012 PSS prevalenc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315" cy="2615565"/>
                    </a:xfrm>
                    <a:prstGeom prst="rect">
                      <a:avLst/>
                    </a:prstGeom>
                    <a:noFill/>
                  </pic:spPr>
                </pic:pic>
              </a:graphicData>
            </a:graphic>
          </wp:inline>
        </w:drawing>
      </w:r>
    </w:p>
    <w:p w14:paraId="24D39DD9" w14:textId="77777777" w:rsidR="00876464" w:rsidRPr="009E2B03" w:rsidRDefault="00876464" w:rsidP="00876464">
      <w:pPr>
        <w:pStyle w:val="BodyBullet"/>
        <w:numPr>
          <w:ilvl w:val="0"/>
          <w:numId w:val="0"/>
        </w:numPr>
        <w:ind w:left="360" w:hanging="360"/>
        <w:rPr>
          <w:rFonts w:ascii="Calibri Light" w:hAnsi="Calibri Light" w:cs="Arial"/>
          <w:b/>
        </w:rPr>
      </w:pPr>
      <w:r w:rsidRPr="009E2B03">
        <w:rPr>
          <w:rFonts w:ascii="Calibri Light" w:hAnsi="Calibri Light" w:cs="Arial"/>
        </w:rPr>
        <w:t>Source: KPMG calculations.</w:t>
      </w:r>
    </w:p>
    <w:p w14:paraId="655B4607" w14:textId="77777777" w:rsidR="00876464" w:rsidRPr="009E2B03" w:rsidRDefault="00876464" w:rsidP="007C6898">
      <w:pPr>
        <w:pStyle w:val="BodyBullet"/>
        <w:numPr>
          <w:ilvl w:val="1"/>
          <w:numId w:val="18"/>
        </w:numPr>
        <w:rPr>
          <w:rFonts w:ascii="Calibri Light" w:hAnsi="Calibri Light" w:cs="Arial"/>
          <w:sz w:val="22"/>
        </w:rPr>
      </w:pPr>
      <w:r w:rsidRPr="009E2B03">
        <w:rPr>
          <w:rFonts w:ascii="Calibri Light" w:hAnsi="Calibri Light" w:cs="Arial"/>
          <w:b/>
          <w:color w:val="6D2077"/>
          <w:sz w:val="22"/>
        </w:rPr>
        <w:t>The most significant cost impact of violence to women and the economy is from pain, suffering and premature mortality, and is estimated at $10.4 billion.</w:t>
      </w:r>
      <w:r w:rsidRPr="009E2B03">
        <w:rPr>
          <w:rFonts w:ascii="Calibri Light" w:hAnsi="Calibri Light" w:cs="Arial"/>
          <w:color w:val="6D2077"/>
          <w:sz w:val="22"/>
        </w:rPr>
        <w:t xml:space="preserve"> </w:t>
      </w:r>
      <w:r w:rsidRPr="009E2B03">
        <w:rPr>
          <w:rFonts w:ascii="Calibri Light" w:hAnsi="Calibri Light" w:cs="Arial"/>
          <w:sz w:val="22"/>
        </w:rPr>
        <w:t>This reflects the significance of the ongoing health impacts of violence, including mental health problems and an increased risk of chronic illness and pain, reproductive health problems, as well as a higher likelihood of smoking, and alcohol and substance abuse.</w:t>
      </w:r>
    </w:p>
    <w:p w14:paraId="799A5D38" w14:textId="77777777" w:rsidR="00876464" w:rsidRPr="009E2B03" w:rsidRDefault="00876464" w:rsidP="007C6898">
      <w:pPr>
        <w:pStyle w:val="BodyBullet"/>
        <w:numPr>
          <w:ilvl w:val="1"/>
          <w:numId w:val="18"/>
        </w:numPr>
        <w:rPr>
          <w:rFonts w:ascii="Calibri Light" w:hAnsi="Calibri Light" w:cs="Arial"/>
          <w:b/>
          <w:sz w:val="22"/>
        </w:rPr>
      </w:pPr>
      <w:r w:rsidRPr="009E2B03">
        <w:rPr>
          <w:rFonts w:ascii="Calibri Light" w:hAnsi="Calibri Light" w:cs="Arial"/>
          <w:b/>
          <w:color w:val="6D2077"/>
          <w:sz w:val="22"/>
        </w:rPr>
        <w:lastRenderedPageBreak/>
        <w:t>The impact of violence on the private and public health systems is estimated to cost victims, their communities and government $1.4 billion.</w:t>
      </w:r>
      <w:r w:rsidRPr="009E2B03">
        <w:rPr>
          <w:rFonts w:ascii="Calibri Light" w:hAnsi="Calibri Light" w:cs="Arial"/>
          <w:color w:val="6D2077"/>
          <w:sz w:val="22"/>
        </w:rPr>
        <w:t xml:space="preserve"> </w:t>
      </w:r>
      <w:r w:rsidRPr="009E2B03">
        <w:rPr>
          <w:rFonts w:ascii="Calibri Light" w:hAnsi="Calibri Light" w:cs="Arial"/>
          <w:sz w:val="22"/>
        </w:rPr>
        <w:t>The increased demand for hospital and other health services can impact on the availability of service provision, as well as workforce requirements and levels of utilisation of facilities. As a result, substantial challenges may arise within the health system in planning and ensuring adequate care for victims, as well as the broader community.</w:t>
      </w:r>
    </w:p>
    <w:p w14:paraId="31F73604" w14:textId="77777777" w:rsidR="00876464" w:rsidRPr="009E2B03" w:rsidRDefault="00876464" w:rsidP="007C6898">
      <w:pPr>
        <w:pStyle w:val="BodyBullet"/>
        <w:numPr>
          <w:ilvl w:val="1"/>
          <w:numId w:val="18"/>
        </w:numPr>
        <w:rPr>
          <w:rFonts w:ascii="Calibri Light" w:hAnsi="Calibri Light" w:cs="Arial"/>
          <w:sz w:val="22"/>
        </w:rPr>
      </w:pPr>
      <w:r w:rsidRPr="009E2B03">
        <w:rPr>
          <w:rFonts w:ascii="Calibri Light" w:hAnsi="Calibri Light" w:cs="Arial"/>
          <w:b/>
          <w:color w:val="6D2077"/>
          <w:sz w:val="22"/>
        </w:rPr>
        <w:t xml:space="preserve">The impact of violence against women and their children on production and the business sector is estimated to cost $1.9 billion. </w:t>
      </w:r>
      <w:r w:rsidRPr="009E2B03">
        <w:rPr>
          <w:rFonts w:ascii="Calibri Light" w:hAnsi="Calibri Light" w:cs="Arial"/>
          <w:sz w:val="22"/>
        </w:rPr>
        <w:t>The most significant proportion of this cost was from victim absenteeism from paid and unpaid work and the inability to perform household tasks and voluntary work, which is estimated at $860 million. In addition, it is estimated that perpetrator absenteeism will cost $443 million and additional management costs, including search, hiring and training replacements, will total $96 million.</w:t>
      </w:r>
    </w:p>
    <w:p w14:paraId="73DFF6EA" w14:textId="4C028D64" w:rsidR="00876464" w:rsidRPr="009E2B03" w:rsidRDefault="00876464" w:rsidP="007C6898">
      <w:pPr>
        <w:pStyle w:val="BodyBullet"/>
        <w:numPr>
          <w:ilvl w:val="1"/>
          <w:numId w:val="18"/>
        </w:numPr>
        <w:rPr>
          <w:rFonts w:ascii="Calibri Light" w:hAnsi="Calibri Light" w:cs="Arial"/>
          <w:b/>
          <w:sz w:val="22"/>
        </w:rPr>
      </w:pPr>
      <w:r w:rsidRPr="009E2B03">
        <w:rPr>
          <w:rFonts w:ascii="Calibri Light" w:hAnsi="Calibri Light" w:cs="Arial"/>
          <w:b/>
          <w:color w:val="6D2077"/>
          <w:sz w:val="22"/>
        </w:rPr>
        <w:t>The experience</w:t>
      </w:r>
      <w:r w:rsidR="00C43BB1" w:rsidRPr="009E2B03">
        <w:rPr>
          <w:rFonts w:ascii="Calibri Light" w:hAnsi="Calibri Light" w:cs="Arial"/>
          <w:b/>
          <w:color w:val="6D2077"/>
          <w:sz w:val="22"/>
        </w:rPr>
        <w:t xml:space="preserve"> of violence can substantially a</w:t>
      </w:r>
      <w:r w:rsidRPr="009E2B03">
        <w:rPr>
          <w:rFonts w:ascii="Calibri Light" w:hAnsi="Calibri Light" w:cs="Arial"/>
          <w:b/>
          <w:color w:val="6D2077"/>
          <w:sz w:val="22"/>
        </w:rPr>
        <w:t>ffect a victim’s economic opportunities, which is reflected in the significance of costs associated with consumption related activities, estimated to cost $4.4 billion.</w:t>
      </w:r>
      <w:r w:rsidRPr="009E2B03">
        <w:rPr>
          <w:rFonts w:ascii="Calibri Light" w:hAnsi="Calibri Light" w:cs="Arial"/>
          <w:color w:val="6D2077"/>
          <w:sz w:val="22"/>
        </w:rPr>
        <w:t xml:space="preserve"> </w:t>
      </w:r>
      <w:r w:rsidRPr="009E2B03">
        <w:rPr>
          <w:rFonts w:ascii="Calibri Light" w:hAnsi="Calibri Light" w:cs="Arial"/>
          <w:sz w:val="22"/>
        </w:rPr>
        <w:t>In particular, the impact of loss of economies of scale due to the breakdown of larger households as well as the financial consequences of substantial property damage can have a compounding effect by increasing disadvantage and financial inequality.</w:t>
      </w:r>
    </w:p>
    <w:p w14:paraId="72106970" w14:textId="77777777" w:rsidR="00876464" w:rsidRPr="009E2B03" w:rsidRDefault="00876464" w:rsidP="007C6898">
      <w:pPr>
        <w:pStyle w:val="ListBullet2"/>
        <w:numPr>
          <w:ilvl w:val="1"/>
          <w:numId w:val="11"/>
        </w:numPr>
        <w:rPr>
          <w:rFonts w:ascii="Calibri Light" w:hAnsi="Calibri Light"/>
          <w:sz w:val="22"/>
        </w:rPr>
      </w:pPr>
      <w:r w:rsidRPr="009E2B03">
        <w:rPr>
          <w:rFonts w:ascii="Calibri Light" w:hAnsi="Calibri Light"/>
          <w:sz w:val="22"/>
        </w:rPr>
        <w:t xml:space="preserve">Emerging research into ‘economic abuse’ also indicates that where economic inequality and financial control within partner relationships exist, the victim (or their family and friends) may bear significant additional consumption costs. The control of economic resources by one partner can impact the long-term financial security and independence of women and their children. </w:t>
      </w:r>
    </w:p>
    <w:p w14:paraId="7AA9E665" w14:textId="77777777" w:rsidR="00876464" w:rsidRPr="009E2B03" w:rsidRDefault="00876464" w:rsidP="007C6898">
      <w:pPr>
        <w:pStyle w:val="BodyBullet"/>
        <w:numPr>
          <w:ilvl w:val="1"/>
          <w:numId w:val="18"/>
        </w:numPr>
        <w:rPr>
          <w:rFonts w:ascii="Calibri Light" w:hAnsi="Calibri Light" w:cs="Arial"/>
          <w:sz w:val="22"/>
        </w:rPr>
      </w:pPr>
      <w:r w:rsidRPr="009E2B03">
        <w:rPr>
          <w:rFonts w:ascii="Calibri Light" w:hAnsi="Calibri Light" w:cs="Arial"/>
          <w:b/>
          <w:color w:val="6D2077"/>
          <w:sz w:val="22"/>
        </w:rPr>
        <w:t xml:space="preserve">The second generational impacts from violence against women and their children is estimated to cost the Australian economy $333 million. </w:t>
      </w:r>
      <w:r w:rsidRPr="009E2B03">
        <w:rPr>
          <w:rFonts w:ascii="Calibri Light" w:hAnsi="Calibri Light" w:cs="Arial"/>
          <w:sz w:val="22"/>
        </w:rPr>
        <w:t xml:space="preserve">Children who are exposed to acts of abuse or violence in the home experience significant lifelong impacts, including potential psychological and behavioural issues, child abuse, health issues, and other impacts on wellbeing and development. Over the longer term, this may contribute to </w:t>
      </w:r>
      <w:r w:rsidRPr="009E2B03">
        <w:rPr>
          <w:rFonts w:ascii="Calibri Light" w:hAnsi="Calibri Light" w:cs="Arial"/>
          <w:sz w:val="22"/>
          <w:lang w:val="en-US"/>
        </w:rPr>
        <w:t>impacts on economic outcomes, including reduced productivity, additional welfare provision, medical costs, and unemployment.</w:t>
      </w:r>
    </w:p>
    <w:p w14:paraId="62F8A281" w14:textId="77777777" w:rsidR="00876464" w:rsidRPr="009E2B03" w:rsidRDefault="00876464" w:rsidP="007C6898">
      <w:pPr>
        <w:pStyle w:val="BodyBullet"/>
        <w:numPr>
          <w:ilvl w:val="1"/>
          <w:numId w:val="18"/>
        </w:numPr>
        <w:rPr>
          <w:rFonts w:ascii="Calibri Light" w:hAnsi="Calibri Light" w:cs="Arial"/>
          <w:b/>
          <w:sz w:val="22"/>
          <w:szCs w:val="20"/>
          <w:lang w:val="en-US"/>
        </w:rPr>
      </w:pPr>
      <w:r w:rsidRPr="009E2B03">
        <w:rPr>
          <w:rFonts w:ascii="Calibri Light" w:hAnsi="Calibri Light" w:cs="Arial"/>
          <w:b/>
          <w:color w:val="6D2077"/>
          <w:sz w:val="22"/>
          <w:szCs w:val="20"/>
          <w:lang w:val="en-US"/>
        </w:rPr>
        <w:t>The impact of violence against women and their children on the justice, services and funeral sectors is estimated to cost the Australian economy $1.7 billion.</w:t>
      </w:r>
      <w:r w:rsidRPr="009E2B03">
        <w:rPr>
          <w:rFonts w:ascii="Calibri Light" w:hAnsi="Calibri Light" w:cs="Arial"/>
          <w:color w:val="6D2077"/>
          <w:sz w:val="22"/>
          <w:szCs w:val="20"/>
          <w:lang w:val="en-US"/>
        </w:rPr>
        <w:t xml:space="preserve"> </w:t>
      </w:r>
      <w:r w:rsidRPr="009E2B03">
        <w:rPr>
          <w:rFonts w:ascii="Calibri Light" w:hAnsi="Calibri Light" w:cs="Arial"/>
          <w:sz w:val="22"/>
          <w:szCs w:val="20"/>
          <w:lang w:val="en-US"/>
        </w:rPr>
        <w:t>These services are critical for reducing the prevalence of violence and promoting preventative approaches. As such the increased cost for these services linked with measurable outcomes can be understood as an important step in effectively punishing perpetrators and providing women with the support they require in times of need.</w:t>
      </w:r>
    </w:p>
    <w:p w14:paraId="777F2BC4" w14:textId="5A190A44" w:rsidR="00876464" w:rsidRPr="009E2B03" w:rsidRDefault="00876464" w:rsidP="007C6898">
      <w:pPr>
        <w:pStyle w:val="BodyBullet"/>
        <w:numPr>
          <w:ilvl w:val="1"/>
          <w:numId w:val="18"/>
        </w:numPr>
        <w:rPr>
          <w:rFonts w:ascii="Calibri Light" w:hAnsi="Calibri Light" w:cs="Arial"/>
          <w:sz w:val="22"/>
          <w:lang w:val="en-US"/>
        </w:rPr>
      </w:pPr>
      <w:r w:rsidRPr="009E2B03">
        <w:rPr>
          <w:rFonts w:ascii="Calibri Light" w:hAnsi="Calibri Light" w:cs="Arial"/>
          <w:b/>
          <w:color w:val="6D2077"/>
          <w:sz w:val="22"/>
        </w:rPr>
        <w:t>Transfer costs resulting from violence aga</w:t>
      </w:r>
      <w:r w:rsidR="00C43BB1" w:rsidRPr="009E2B03">
        <w:rPr>
          <w:rFonts w:ascii="Calibri Light" w:hAnsi="Calibri Light" w:cs="Arial"/>
          <w:b/>
          <w:color w:val="6D2077"/>
          <w:sz w:val="22"/>
        </w:rPr>
        <w:t>inst women and their children are</w:t>
      </w:r>
      <w:r w:rsidRPr="009E2B03">
        <w:rPr>
          <w:rFonts w:ascii="Calibri Light" w:hAnsi="Calibri Light" w:cs="Arial"/>
          <w:b/>
          <w:color w:val="6D2077"/>
          <w:sz w:val="22"/>
        </w:rPr>
        <w:t xml:space="preserve"> estimated to cost the Australian economy $1.6 billion. </w:t>
      </w:r>
      <w:r w:rsidRPr="009E2B03">
        <w:rPr>
          <w:rFonts w:ascii="Calibri Light" w:hAnsi="Calibri Light" w:cs="Arial"/>
          <w:sz w:val="22"/>
        </w:rPr>
        <w:t xml:space="preserve">These costs are associated with </w:t>
      </w:r>
      <w:r w:rsidRPr="009E2B03">
        <w:rPr>
          <w:rFonts w:ascii="Calibri Light" w:hAnsi="Calibri Light" w:cs="Arial"/>
          <w:sz w:val="22"/>
          <w:lang w:val="en-US"/>
        </w:rPr>
        <w:t>transfer payments, and the associated cost to government in administering taxation revenue – these include:</w:t>
      </w:r>
    </w:p>
    <w:p w14:paraId="64BEF689" w14:textId="77777777" w:rsidR="00876464" w:rsidRPr="009E2B03" w:rsidRDefault="00876464" w:rsidP="00876464">
      <w:pPr>
        <w:pStyle w:val="ListBullet2"/>
        <w:tabs>
          <w:tab w:val="clear" w:pos="1664"/>
        </w:tabs>
        <w:ind w:left="709"/>
        <w:rPr>
          <w:rFonts w:ascii="Calibri Light" w:hAnsi="Calibri Light"/>
          <w:sz w:val="22"/>
        </w:rPr>
      </w:pPr>
      <w:r w:rsidRPr="009E2B03">
        <w:rPr>
          <w:rFonts w:ascii="Calibri Light" w:hAnsi="Calibri Light"/>
          <w:sz w:val="22"/>
        </w:rPr>
        <w:t>loss of income tax of victims/survivors, perpetrators and employers;</w:t>
      </w:r>
    </w:p>
    <w:p w14:paraId="0D04DB30" w14:textId="77777777" w:rsidR="00876464" w:rsidRPr="009E2B03" w:rsidRDefault="00876464" w:rsidP="00876464">
      <w:pPr>
        <w:pStyle w:val="ListBullet2"/>
        <w:tabs>
          <w:tab w:val="clear" w:pos="1664"/>
        </w:tabs>
        <w:ind w:left="709"/>
        <w:rPr>
          <w:rFonts w:ascii="Calibri Light" w:hAnsi="Calibri Light"/>
          <w:sz w:val="22"/>
        </w:rPr>
      </w:pPr>
      <w:r w:rsidRPr="009E2B03">
        <w:rPr>
          <w:rFonts w:ascii="Calibri Light" w:hAnsi="Calibri Light"/>
          <w:sz w:val="22"/>
        </w:rPr>
        <w:t>additional induced social welfare payments; and</w:t>
      </w:r>
    </w:p>
    <w:p w14:paraId="0E5965C1" w14:textId="77777777" w:rsidR="00876464" w:rsidRPr="009E2B03" w:rsidRDefault="00876464" w:rsidP="00876464">
      <w:pPr>
        <w:pStyle w:val="ListBullet2"/>
        <w:tabs>
          <w:tab w:val="clear" w:pos="1664"/>
        </w:tabs>
        <w:ind w:left="709"/>
        <w:rPr>
          <w:rFonts w:ascii="Calibri Light" w:hAnsi="Calibri Light"/>
          <w:sz w:val="22"/>
        </w:rPr>
      </w:pPr>
      <w:r w:rsidRPr="009E2B03">
        <w:rPr>
          <w:rFonts w:ascii="Calibri Light" w:hAnsi="Calibri Light"/>
          <w:sz w:val="22"/>
        </w:rPr>
        <w:t>victim compensation payments and other government services.</w:t>
      </w:r>
    </w:p>
    <w:p w14:paraId="16A16220" w14:textId="7DBB9A82" w:rsidR="00876464" w:rsidRPr="009E2B03" w:rsidRDefault="00876464" w:rsidP="00876464">
      <w:pPr>
        <w:pStyle w:val="BodyBullet"/>
        <w:tabs>
          <w:tab w:val="left" w:pos="3119"/>
        </w:tabs>
        <w:rPr>
          <w:rFonts w:ascii="Calibri Light" w:hAnsi="Calibri Light" w:cs="Arial"/>
          <w:sz w:val="22"/>
          <w:lang w:val="en-US"/>
        </w:rPr>
      </w:pPr>
      <w:r w:rsidRPr="009E2B03">
        <w:rPr>
          <w:rFonts w:ascii="Calibri Light" w:hAnsi="Calibri Light" w:cs="Arial"/>
          <w:b/>
          <w:color w:val="6D2077"/>
          <w:sz w:val="22"/>
        </w:rPr>
        <w:t>The distribution of the total estimated costs of violence against women and their children differs across States and Territories</w:t>
      </w:r>
      <w:r w:rsidR="00C43BB1" w:rsidRPr="009E2B03">
        <w:rPr>
          <w:rFonts w:ascii="Calibri Light" w:hAnsi="Calibri Light" w:cs="Arial"/>
          <w:b/>
          <w:color w:val="6D2077"/>
          <w:sz w:val="22"/>
        </w:rPr>
        <w:t>. However, based on the prevalence estimates for each jurisdiction with the PSS, this difference is broadly consistent with population levels.</w:t>
      </w:r>
      <w:r w:rsidRPr="009E2B03">
        <w:rPr>
          <w:rFonts w:ascii="Calibri Light" w:hAnsi="Calibri Light" w:cs="Arial"/>
          <w:b/>
          <w:sz w:val="22"/>
        </w:rPr>
        <w:t xml:space="preserve"> </w:t>
      </w:r>
      <w:r w:rsidRPr="009E2B03">
        <w:rPr>
          <w:rFonts w:ascii="Calibri Light" w:hAnsi="Calibri Light" w:cs="Arial"/>
          <w:sz w:val="22"/>
        </w:rPr>
        <w:t xml:space="preserve">Chart 1 below summarises the estimated </w:t>
      </w:r>
      <w:r w:rsidRPr="009E2B03">
        <w:rPr>
          <w:rFonts w:ascii="Calibri Light" w:hAnsi="Calibri Light" w:cs="Arial"/>
          <w:sz w:val="22"/>
          <w:lang w:val="en-US"/>
        </w:rPr>
        <w:t>cost of violence across the jurisdictions.</w:t>
      </w:r>
    </w:p>
    <w:p w14:paraId="483E2444" w14:textId="77777777" w:rsidR="00876464" w:rsidRPr="009E2B03" w:rsidRDefault="00876464" w:rsidP="00876464">
      <w:pPr>
        <w:pStyle w:val="Caption"/>
        <w:rPr>
          <w:rFonts w:ascii="Calibri Light" w:hAnsi="Calibri Light" w:cs="Arial"/>
          <w:sz w:val="22"/>
        </w:rPr>
      </w:pPr>
      <w:bookmarkStart w:id="34" w:name="_Ref447266490"/>
      <w:r w:rsidRPr="009E2B03">
        <w:rPr>
          <w:rFonts w:ascii="Calibri Light" w:hAnsi="Calibri Light" w:cs="Arial"/>
          <w:sz w:val="22"/>
        </w:rPr>
        <w:lastRenderedPageBreak/>
        <w:t xml:space="preserve">Chart </w:t>
      </w:r>
      <w:bookmarkEnd w:id="34"/>
      <w:r w:rsidRPr="009E2B03">
        <w:rPr>
          <w:rFonts w:ascii="Calibri Light" w:hAnsi="Calibri Light" w:cs="Arial"/>
          <w:sz w:val="22"/>
        </w:rPr>
        <w:t>1: The estimated cost of violence against women and their children, by jurisdiction ($ million)</w:t>
      </w:r>
    </w:p>
    <w:p w14:paraId="130218DA" w14:textId="77777777" w:rsidR="00876464" w:rsidRPr="009E2B03" w:rsidRDefault="00D7246C" w:rsidP="00876464">
      <w:pPr>
        <w:rPr>
          <w:rFonts w:ascii="Calibri Light" w:hAnsi="Calibri Light"/>
          <w:sz w:val="22"/>
          <w:lang w:eastAsia="ko-KR"/>
        </w:rPr>
      </w:pPr>
      <w:r w:rsidRPr="009E2B03">
        <w:rPr>
          <w:rFonts w:ascii="Calibri Light" w:hAnsi="Calibri Light"/>
          <w:noProof/>
          <w:lang w:eastAsia="en-AU"/>
        </w:rPr>
        <w:drawing>
          <wp:inline distT="0" distB="0" distL="0" distR="0" wp14:anchorId="7B09263B" wp14:editId="2EDCEBAA">
            <wp:extent cx="4447540" cy="2778760"/>
            <wp:effectExtent l="0" t="0" r="0" b="0"/>
            <wp:docPr id="18" name="Picture 18" descr="In New South Wales, the cost is estimated to be approximately $6.02 billion.&#10;&#10;In Victoria, the cost is estimated to be approximately $5.3 billion.&#10;&#10;In Queensland, the cost is estimated to be approximately $4.7 billion.&#10;&#10;In Western Australia, the cost is estimated to be approximately $2.8 billion.&#10;&#10;In South Australia, the cost is estimated to be approximately $1.6 billion.&#10;&#10;In Tasmania, the cost is estimated to be approximately $500 million.&#10;&#10;In the Australian Capital Territory, the cost is estimated to be approximately $410 million.&#10;&#10;In the Northern Territory, the cost is estimated to be approximately $230 million.&#10;&#10;&#10;&#10;&#10;" title="Chart depicting the estimated cost of violence against women and their childre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7540" cy="2778760"/>
                    </a:xfrm>
                    <a:prstGeom prst="rect">
                      <a:avLst/>
                    </a:prstGeom>
                    <a:noFill/>
                    <a:ln>
                      <a:noFill/>
                    </a:ln>
                  </pic:spPr>
                </pic:pic>
              </a:graphicData>
            </a:graphic>
          </wp:inline>
        </w:drawing>
      </w:r>
    </w:p>
    <w:p w14:paraId="528015FF" w14:textId="77777777" w:rsidR="00876464" w:rsidRPr="009E2B03" w:rsidRDefault="00876464" w:rsidP="00876464">
      <w:pPr>
        <w:pStyle w:val="ListBullet2"/>
        <w:numPr>
          <w:ilvl w:val="0"/>
          <w:numId w:val="0"/>
        </w:numPr>
        <w:rPr>
          <w:rFonts w:ascii="Calibri Light" w:hAnsi="Calibri Light"/>
          <w:lang w:val="en-US"/>
        </w:rPr>
      </w:pPr>
      <w:r w:rsidRPr="009E2B03">
        <w:rPr>
          <w:rFonts w:ascii="Calibri Light" w:hAnsi="Calibri Light"/>
          <w:lang w:val="en-US"/>
        </w:rPr>
        <w:t>Source: KPMG</w:t>
      </w:r>
      <w:r w:rsidRPr="009E2B03">
        <w:rPr>
          <w:rFonts w:ascii="Calibri Light" w:hAnsi="Calibri Light"/>
        </w:rPr>
        <w:t xml:space="preserve"> calculations</w:t>
      </w:r>
      <w:r w:rsidRPr="009E2B03">
        <w:rPr>
          <w:rFonts w:ascii="Calibri Light" w:hAnsi="Calibri Light"/>
          <w:lang w:val="en-US"/>
        </w:rPr>
        <w:t xml:space="preserve">. </w:t>
      </w:r>
    </w:p>
    <w:p w14:paraId="16D8B753" w14:textId="77777777" w:rsidR="00876464" w:rsidRPr="009E2B03" w:rsidRDefault="00876464" w:rsidP="000234AD">
      <w:pPr>
        <w:pStyle w:val="BodyTextkeepwithnext0"/>
        <w:spacing w:before="360" w:after="240"/>
        <w:rPr>
          <w:rFonts w:ascii="Calibri Light" w:hAnsi="Calibri Light"/>
          <w:color w:val="6D2077"/>
          <w:sz w:val="36"/>
          <w:szCs w:val="32"/>
        </w:rPr>
      </w:pPr>
      <w:r w:rsidRPr="009E2B03">
        <w:rPr>
          <w:rFonts w:ascii="Calibri Light" w:hAnsi="Calibri Light"/>
          <w:color w:val="6D2077"/>
          <w:sz w:val="36"/>
          <w:szCs w:val="32"/>
        </w:rPr>
        <w:t>Accounting for potential underrepresentation of prevalence within the PSS for Aboriginal and Torres Strait Islander women, pregnant women, women with disability, and women experiencing homelessness, may result in an additional $4 billion to the cost of violence against women and their children in Australia in 2015-16.</w:t>
      </w:r>
    </w:p>
    <w:p w14:paraId="12FD9CE8" w14:textId="77777777" w:rsidR="00876464" w:rsidRPr="009E2B03" w:rsidRDefault="00876464" w:rsidP="00876464">
      <w:pPr>
        <w:pStyle w:val="BodyBullet"/>
        <w:rPr>
          <w:rFonts w:ascii="Calibri Light" w:hAnsi="Calibri Light" w:cs="Arial"/>
          <w:b/>
          <w:color w:val="6D2077"/>
          <w:sz w:val="22"/>
        </w:rPr>
      </w:pPr>
      <w:r w:rsidRPr="009E2B03">
        <w:rPr>
          <w:rFonts w:ascii="Calibri Light" w:hAnsi="Calibri Light" w:cs="Arial"/>
          <w:b/>
          <w:color w:val="6D2077"/>
          <w:sz w:val="22"/>
        </w:rPr>
        <w:t xml:space="preserve">To provide a greater evidence base around the different patterns of experience across cohorts, KPMG has undertaken supplementary research and analysis, including the preparation of high level analysis to illustrate the cost implications of potential underrepresentation of these cohorts within the ABS PSS. </w:t>
      </w:r>
    </w:p>
    <w:p w14:paraId="26793B23"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While women across all cohorts, geographies, and settings can experience violence, more recent developments in research and data suggest that women across specific cohorts, geographies, and settings may face a higher risk of experiencing violence over their lifetime.</w:t>
      </w:r>
      <w:r w:rsidRPr="009E2B03">
        <w:rPr>
          <w:rStyle w:val="FootnoteReference"/>
          <w:rFonts w:ascii="Calibri Light" w:hAnsi="Calibri Light"/>
          <w:sz w:val="22"/>
        </w:rPr>
        <w:footnoteReference w:id="4"/>
      </w:r>
      <w:r w:rsidRPr="009E2B03">
        <w:rPr>
          <w:rFonts w:ascii="Calibri Light" w:hAnsi="Calibri Light"/>
          <w:sz w:val="22"/>
        </w:rPr>
        <w:t xml:space="preserve"> These cohorts include, but are not limited to, women of Aboriginal and Torres Strait Islander background, women who are homeless, women from culturally and linguistically diverse (CALD) backgrounds, and pregnant women. </w:t>
      </w:r>
    </w:p>
    <w:p w14:paraId="13DE72CD"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Importantly, in some cases, the scope and scale of the prevalence estimates within the ABS PSS may not fully represent these heightened risks across particular cohorts of women. This </w:t>
      </w:r>
      <w:r w:rsidRPr="009E2B03">
        <w:rPr>
          <w:rFonts w:ascii="Calibri Light" w:hAnsi="Calibri Light"/>
          <w:sz w:val="22"/>
        </w:rPr>
        <w:lastRenderedPageBreak/>
        <w:t xml:space="preserve">means that the central cost estimates may underestimate the full extent of costs associated with violence against women and their children in Australia. </w:t>
      </w:r>
    </w:p>
    <w:p w14:paraId="57E6E814"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As part of the development of this Report, KPMG has undertaken a package of detailed supplementary analysis with the objective of providing a more comprehensive view of prevalence and impacts across these different cohorts and settings, as a means to complement the main costing analysis and the estimates of prevalence within the ABS PSS. This has involved a number of key packages of work, including:</w:t>
      </w:r>
    </w:p>
    <w:p w14:paraId="50623DA7" w14:textId="77777777" w:rsidR="00876464" w:rsidRPr="009E2B03" w:rsidRDefault="00876464" w:rsidP="00876464">
      <w:pPr>
        <w:pStyle w:val="ListBullet2"/>
        <w:numPr>
          <w:ilvl w:val="1"/>
          <w:numId w:val="18"/>
        </w:numPr>
        <w:tabs>
          <w:tab w:val="num" w:pos="709"/>
          <w:tab w:val="num" w:pos="1134"/>
        </w:tabs>
        <w:ind w:left="1134"/>
        <w:rPr>
          <w:rFonts w:ascii="Calibri Light" w:hAnsi="Calibri Light"/>
          <w:iCs/>
          <w:sz w:val="22"/>
        </w:rPr>
      </w:pPr>
      <w:r w:rsidRPr="009E2B03">
        <w:rPr>
          <w:rFonts w:ascii="Calibri Light" w:hAnsi="Calibri Light"/>
          <w:iCs/>
          <w:sz w:val="22"/>
        </w:rPr>
        <w:t>supplementary data collection and research to highlight differential experience in the prevalence of violence against women and their children, as a means to compare and contrast across cohorts and relative to the ABS PSS;</w:t>
      </w:r>
    </w:p>
    <w:p w14:paraId="63E40935" w14:textId="77777777" w:rsidR="00876464" w:rsidRPr="009E2B03" w:rsidRDefault="00876464" w:rsidP="00876464">
      <w:pPr>
        <w:pStyle w:val="ListBullet2"/>
        <w:numPr>
          <w:ilvl w:val="1"/>
          <w:numId w:val="18"/>
        </w:numPr>
        <w:tabs>
          <w:tab w:val="num" w:pos="709"/>
          <w:tab w:val="num" w:pos="1134"/>
        </w:tabs>
        <w:ind w:left="1134"/>
        <w:rPr>
          <w:rFonts w:ascii="Calibri Light" w:hAnsi="Calibri Light"/>
          <w:iCs/>
          <w:sz w:val="22"/>
        </w:rPr>
      </w:pPr>
      <w:r w:rsidRPr="009E2B03">
        <w:rPr>
          <w:rFonts w:ascii="Calibri Light" w:hAnsi="Calibri Light"/>
          <w:iCs/>
          <w:sz w:val="22"/>
        </w:rPr>
        <w:t xml:space="preserve">consideration of the potential impacts and drivers of this experience, drawing on broader domestic and international research; and </w:t>
      </w:r>
    </w:p>
    <w:p w14:paraId="3E42126B" w14:textId="77777777" w:rsidR="00876464" w:rsidRPr="009E2B03" w:rsidRDefault="00876464" w:rsidP="00876464">
      <w:pPr>
        <w:pStyle w:val="ListBullet2"/>
        <w:numPr>
          <w:ilvl w:val="1"/>
          <w:numId w:val="18"/>
        </w:numPr>
        <w:tabs>
          <w:tab w:val="num" w:pos="709"/>
          <w:tab w:val="num" w:pos="1134"/>
        </w:tabs>
        <w:ind w:left="1134"/>
        <w:rPr>
          <w:rFonts w:ascii="Calibri Light" w:hAnsi="Calibri Light"/>
          <w:iCs/>
          <w:sz w:val="22"/>
        </w:rPr>
      </w:pPr>
      <w:r w:rsidRPr="009E2B03">
        <w:rPr>
          <w:rFonts w:ascii="Calibri Light" w:hAnsi="Calibri Light"/>
          <w:iCs/>
          <w:sz w:val="22"/>
        </w:rPr>
        <w:t>the preparation of illustrative estimates of the extent to which the costs of violence against women in these cohorts may be underrepresented, based on the difference between the prevalence identified within the broader research, and that which is implied through the ABS PSS.</w:t>
      </w:r>
    </w:p>
    <w:p w14:paraId="07C95663"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Illustrative estimates of the additional costs, based on available evidence of underrepresentation of prevalence within the PSS, has been undertaken for Aboriginal and Torres Strait Islander women, pregnant women, women with disability, and women experiencing homelessness.</w:t>
      </w:r>
      <w:r w:rsidRPr="009E2B03">
        <w:rPr>
          <w:rStyle w:val="FootnoteReference"/>
          <w:rFonts w:ascii="Calibri Light" w:hAnsi="Calibri Light"/>
          <w:sz w:val="22"/>
        </w:rPr>
        <w:footnoteReference w:id="5"/>
      </w:r>
      <w:r w:rsidRPr="009E2B03">
        <w:rPr>
          <w:rFonts w:ascii="Calibri Light" w:hAnsi="Calibri Light"/>
          <w:sz w:val="22"/>
        </w:rPr>
        <w:t xml:space="preserve"> In addition, qualitative research is also provided within the main body of the report around broader cohorts where data was insufficient to estimate these additional costs. </w:t>
      </w:r>
    </w:p>
    <w:p w14:paraId="5203BA54"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The supplementary cost estimates should be considered preliminary, and in conjunction with the supporting research and the limitations outlined in the main body of the report. However, it is suggested that they are conservative estimates, specifically, because they do not consider: </w:t>
      </w:r>
    </w:p>
    <w:p w14:paraId="7410025A" w14:textId="77777777" w:rsidR="00876464" w:rsidRPr="009E2B03" w:rsidRDefault="00876464" w:rsidP="00876464">
      <w:pPr>
        <w:pStyle w:val="ListBullet2"/>
        <w:numPr>
          <w:ilvl w:val="1"/>
          <w:numId w:val="18"/>
        </w:numPr>
        <w:tabs>
          <w:tab w:val="num" w:pos="709"/>
          <w:tab w:val="num" w:pos="1134"/>
        </w:tabs>
        <w:ind w:left="1134"/>
        <w:rPr>
          <w:rFonts w:ascii="Calibri Light" w:hAnsi="Calibri Light"/>
          <w:iCs/>
          <w:sz w:val="22"/>
        </w:rPr>
      </w:pPr>
      <w:r w:rsidRPr="009E2B03">
        <w:rPr>
          <w:rFonts w:ascii="Calibri Light" w:hAnsi="Calibri Light"/>
          <w:iCs/>
          <w:sz w:val="22"/>
        </w:rPr>
        <w:t xml:space="preserve">the extent of potential underreporting of violence; </w:t>
      </w:r>
    </w:p>
    <w:p w14:paraId="25372EBB" w14:textId="77777777" w:rsidR="00876464" w:rsidRPr="009E2B03" w:rsidRDefault="00876464" w:rsidP="00876464">
      <w:pPr>
        <w:pStyle w:val="ListBullet2"/>
        <w:numPr>
          <w:ilvl w:val="1"/>
          <w:numId w:val="18"/>
        </w:numPr>
        <w:tabs>
          <w:tab w:val="num" w:pos="709"/>
          <w:tab w:val="num" w:pos="1134"/>
        </w:tabs>
        <w:ind w:left="1134"/>
        <w:rPr>
          <w:rFonts w:ascii="Calibri Light" w:hAnsi="Calibri Light"/>
          <w:iCs/>
          <w:sz w:val="22"/>
        </w:rPr>
      </w:pPr>
      <w:r w:rsidRPr="009E2B03">
        <w:rPr>
          <w:rFonts w:ascii="Calibri Light" w:hAnsi="Calibri Light"/>
          <w:iCs/>
          <w:sz w:val="22"/>
        </w:rPr>
        <w:t xml:space="preserve">the potential need for more intensive service provision and support in the event of experiencing violence; and </w:t>
      </w:r>
    </w:p>
    <w:p w14:paraId="51089579" w14:textId="77777777" w:rsidR="00876464" w:rsidRPr="009E2B03" w:rsidRDefault="00876464" w:rsidP="00876464">
      <w:pPr>
        <w:pStyle w:val="ListBullet2"/>
        <w:numPr>
          <w:ilvl w:val="1"/>
          <w:numId w:val="18"/>
        </w:numPr>
        <w:tabs>
          <w:tab w:val="num" w:pos="709"/>
          <w:tab w:val="num" w:pos="1134"/>
        </w:tabs>
        <w:ind w:left="1134"/>
        <w:rPr>
          <w:rFonts w:ascii="Calibri Light" w:hAnsi="Calibri Light"/>
          <w:iCs/>
          <w:sz w:val="22"/>
        </w:rPr>
      </w:pPr>
      <w:r w:rsidRPr="009E2B03">
        <w:rPr>
          <w:rFonts w:ascii="Calibri Light" w:hAnsi="Calibri Light"/>
          <w:iCs/>
          <w:sz w:val="22"/>
        </w:rPr>
        <w:t>potential underrepresentation of broader cohorts where data was not sufficient to undertake a similar estimation, for example women from culturally and linguistically diverse (CALD) backgrounds, and women who identify as LGBTIQ.</w:t>
      </w:r>
    </w:p>
    <w:p w14:paraId="515B1F1E" w14:textId="40F00223"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Going forward, it will be critical that there is additional work undertaken by governments and the sector to improve the understanding of these differential pattern</w:t>
      </w:r>
      <w:r w:rsidR="00985164" w:rsidRPr="009E2B03">
        <w:rPr>
          <w:rFonts w:ascii="Calibri Light" w:hAnsi="Calibri Light"/>
          <w:sz w:val="22"/>
        </w:rPr>
        <w:t>s of violence</w:t>
      </w:r>
      <w:r w:rsidRPr="009E2B03">
        <w:rPr>
          <w:rFonts w:ascii="Calibri Light" w:hAnsi="Calibri Light"/>
          <w:sz w:val="22"/>
        </w:rPr>
        <w:t xml:space="preserve"> and the associated impacts</w:t>
      </w:r>
      <w:r w:rsidR="00985164" w:rsidRPr="009E2B03">
        <w:rPr>
          <w:rFonts w:ascii="Calibri Light" w:hAnsi="Calibri Light"/>
          <w:sz w:val="22"/>
        </w:rPr>
        <w:t>.</w:t>
      </w:r>
      <w:r w:rsidRPr="009E2B03">
        <w:rPr>
          <w:rFonts w:ascii="Calibri Light" w:hAnsi="Calibri Light"/>
          <w:sz w:val="22"/>
        </w:rPr>
        <w:t xml:space="preserve"> </w:t>
      </w:r>
    </w:p>
    <w:p w14:paraId="2FC5ABC6" w14:textId="77777777" w:rsidR="00876464" w:rsidRPr="009E2B03" w:rsidRDefault="00876464" w:rsidP="00876464">
      <w:pPr>
        <w:pStyle w:val="BodyBullet"/>
        <w:rPr>
          <w:rFonts w:ascii="Calibri Light" w:hAnsi="Calibri Light" w:cs="Arial"/>
          <w:color w:val="6D2077"/>
          <w:sz w:val="22"/>
        </w:rPr>
      </w:pPr>
      <w:r w:rsidRPr="009E2B03">
        <w:rPr>
          <w:rFonts w:ascii="Calibri Light" w:hAnsi="Calibri Light" w:cs="Arial"/>
          <w:b/>
          <w:color w:val="6D2077"/>
          <w:sz w:val="22"/>
        </w:rPr>
        <w:t>Aboriginal and Torres Strait Islander women are at a significantly higher risk of experiencing violence over the course of their life. Underrepresentation in the prevalence of physical and sexual violence against Aboriginal and Torres Strait Islander women within the PSS may result in an additional $</w:t>
      </w:r>
      <w:r w:rsidR="000B49B3" w:rsidRPr="009E2B03">
        <w:rPr>
          <w:rFonts w:ascii="Calibri Light" w:hAnsi="Calibri Light" w:cs="Arial"/>
          <w:b/>
          <w:color w:val="6D2077"/>
          <w:sz w:val="22"/>
        </w:rPr>
        <w:t>1.2 billion</w:t>
      </w:r>
      <w:r w:rsidRPr="009E2B03">
        <w:rPr>
          <w:rFonts w:ascii="Calibri Light" w:hAnsi="Calibri Light" w:cs="Arial"/>
          <w:b/>
          <w:color w:val="6D2077"/>
          <w:sz w:val="22"/>
        </w:rPr>
        <w:t xml:space="preserve"> in costs. </w:t>
      </w:r>
    </w:p>
    <w:p w14:paraId="4D5B97A8"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The 2008 ABS National Aboriginal and Torres Strait Islander Social Survey found that Aboriginal and Torres Strait Islander women are at least four times more likely to experience </w:t>
      </w:r>
      <w:r w:rsidRPr="009E2B03">
        <w:rPr>
          <w:rFonts w:ascii="Calibri Light" w:hAnsi="Calibri Light"/>
          <w:sz w:val="22"/>
        </w:rPr>
        <w:lastRenderedPageBreak/>
        <w:t>violence than the rest of the population, with approximately 23 per cent of Aboriginal and Torres Strait Islander women experiencing physical violence in a 12 month period, as opposed to 4.6 per cent for non-Aboriginal and Torres Strait Islander women.</w:t>
      </w:r>
      <w:r w:rsidRPr="009E2B03">
        <w:rPr>
          <w:rStyle w:val="FootnoteReference"/>
          <w:rFonts w:ascii="Calibri Light" w:hAnsi="Calibri Light"/>
          <w:sz w:val="22"/>
        </w:rPr>
        <w:footnoteReference w:id="6"/>
      </w:r>
      <w:r w:rsidRPr="009E2B03">
        <w:rPr>
          <w:rFonts w:ascii="Calibri Light" w:hAnsi="Calibri Light"/>
          <w:sz w:val="22"/>
        </w:rPr>
        <w:t xml:space="preserve"> </w:t>
      </w:r>
    </w:p>
    <w:p w14:paraId="4DD5E1DF"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There is also significant underreporting of sexual and physical assault among Aboriginal and Torres Strait Islander women. Research suggests that approximately 88 per cent of violence experienced by Aboriginal and Torres Strait Islander women is not disclosed to police, with a further study suggesting non-reporting may be as high as 90 per cent.</w:t>
      </w:r>
      <w:r w:rsidRPr="009E2B03">
        <w:rPr>
          <w:rStyle w:val="FootnoteReference"/>
          <w:rFonts w:ascii="Calibri Light" w:hAnsi="Calibri Light"/>
          <w:sz w:val="22"/>
        </w:rPr>
        <w:footnoteReference w:id="7"/>
      </w:r>
    </w:p>
    <w:p w14:paraId="2146F9B0" w14:textId="77777777" w:rsidR="00876464" w:rsidRPr="009E2B03" w:rsidRDefault="00876464" w:rsidP="00876464">
      <w:pPr>
        <w:pStyle w:val="BodyBullet"/>
        <w:rPr>
          <w:rFonts w:ascii="Calibri Light" w:hAnsi="Calibri Light" w:cs="Arial"/>
          <w:b/>
          <w:color w:val="6D2077"/>
          <w:sz w:val="22"/>
        </w:rPr>
      </w:pPr>
      <w:r w:rsidRPr="009E2B03">
        <w:rPr>
          <w:rFonts w:ascii="Calibri Light" w:hAnsi="Calibri Light" w:cs="Arial"/>
          <w:b/>
          <w:color w:val="6D2077"/>
          <w:sz w:val="22"/>
          <w:lang w:val="en-US"/>
        </w:rPr>
        <w:t xml:space="preserve">Research has found that the risk of violence against women is higher for women during pregnancy and in the period after childbirth. It is estimated the cost of violence against pregnant women is approximately </w:t>
      </w:r>
      <w:r w:rsidR="000B49B3" w:rsidRPr="009E2B03">
        <w:rPr>
          <w:rFonts w:ascii="Calibri Light" w:hAnsi="Calibri Light" w:cs="Arial"/>
          <w:b/>
          <w:color w:val="6D2077"/>
          <w:sz w:val="22"/>
        </w:rPr>
        <w:t>$821</w:t>
      </w:r>
      <w:r w:rsidR="007C6898" w:rsidRPr="009E2B03">
        <w:rPr>
          <w:rFonts w:ascii="Calibri Light" w:hAnsi="Calibri Light" w:cs="Arial"/>
          <w:b/>
          <w:color w:val="6D2077"/>
          <w:sz w:val="22"/>
        </w:rPr>
        <w:t xml:space="preserve"> million</w:t>
      </w:r>
      <w:r w:rsidRPr="009E2B03">
        <w:rPr>
          <w:rFonts w:ascii="Calibri Light" w:hAnsi="Calibri Light" w:cs="Arial"/>
          <w:b/>
          <w:color w:val="6D2077"/>
          <w:sz w:val="22"/>
          <w:lang w:val="en-US"/>
        </w:rPr>
        <w:t>.</w:t>
      </w:r>
    </w:p>
    <w:p w14:paraId="3AE587F7" w14:textId="273F084C"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lang w:val="en-US"/>
        </w:rPr>
        <w:t>The 2012 PSS found that 21.7 per cent of women reported experiencing violence during pregnancy, and that for 13.3 per cent of women, the violence occurred for the first time during pregnancy.</w:t>
      </w:r>
      <w:r w:rsidRPr="009E2B03">
        <w:rPr>
          <w:rFonts w:ascii="Calibri Light" w:hAnsi="Calibri Light"/>
          <w:sz w:val="22"/>
          <w:vertAlign w:val="superscript"/>
          <w:lang w:val="en-US"/>
        </w:rPr>
        <w:footnoteReference w:id="8"/>
      </w:r>
      <w:r w:rsidRPr="009E2B03">
        <w:rPr>
          <w:rFonts w:ascii="Calibri Light" w:hAnsi="Calibri Light"/>
          <w:sz w:val="22"/>
          <w:lang w:val="en-US"/>
        </w:rPr>
        <w:t xml:space="preserve"> While this figure is relatively high, it re</w:t>
      </w:r>
      <w:r w:rsidR="008F2E30" w:rsidRPr="009E2B03">
        <w:rPr>
          <w:rFonts w:ascii="Calibri Light" w:hAnsi="Calibri Light"/>
          <w:sz w:val="22"/>
          <w:lang w:val="en-US"/>
        </w:rPr>
        <w:t>presents a decrease from the 200</w:t>
      </w:r>
      <w:r w:rsidRPr="009E2B03">
        <w:rPr>
          <w:rFonts w:ascii="Calibri Light" w:hAnsi="Calibri Light"/>
          <w:sz w:val="22"/>
          <w:lang w:val="en-US"/>
        </w:rPr>
        <w:t>5 rate of 16.8 per cent.</w:t>
      </w:r>
      <w:r w:rsidRPr="009E2B03">
        <w:rPr>
          <w:rStyle w:val="FootnoteReference"/>
          <w:rFonts w:ascii="Calibri Light" w:hAnsi="Calibri Light"/>
          <w:sz w:val="22"/>
          <w:lang w:val="en-US"/>
        </w:rPr>
        <w:footnoteReference w:id="9"/>
      </w:r>
      <w:r w:rsidRPr="009E2B03">
        <w:rPr>
          <w:rFonts w:ascii="Calibri Light" w:hAnsi="Calibri Light"/>
          <w:sz w:val="22"/>
          <w:lang w:val="en-US"/>
        </w:rPr>
        <w:t xml:space="preserve"> </w:t>
      </w:r>
    </w:p>
    <w:p w14:paraId="129DDCF5"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lang w:val="en-US"/>
        </w:rPr>
        <w:t xml:space="preserve">These results are significant, given that the presence of domestic violence during pregnancy and childbirth heightens the vulnerability of pregnant women. In these cases, violence against women may also have critical implications on the health and safety of the pregnant mother, the unborn child, and the long term physical and psychological health of the mother and child. </w:t>
      </w:r>
    </w:p>
    <w:p w14:paraId="4D326EC2" w14:textId="77777777" w:rsidR="00876464" w:rsidRPr="009E2B03" w:rsidRDefault="00876464" w:rsidP="00876464">
      <w:pPr>
        <w:pStyle w:val="BodyBullet"/>
        <w:rPr>
          <w:rFonts w:ascii="Calibri Light" w:hAnsi="Calibri Light" w:cs="Arial"/>
          <w:color w:val="6D2077"/>
          <w:sz w:val="22"/>
        </w:rPr>
      </w:pPr>
      <w:r w:rsidRPr="009E2B03">
        <w:rPr>
          <w:rFonts w:ascii="Calibri Light" w:hAnsi="Calibri Light" w:cs="Arial"/>
          <w:b/>
          <w:color w:val="6D2077"/>
          <w:sz w:val="22"/>
        </w:rPr>
        <w:t xml:space="preserve">Women with disability face a higher risk of experiencing violence, and are also likely to experience violence at a more severe level and over a longer period. It is estimated that the cost of violence against women with disability is approximately </w:t>
      </w:r>
      <w:r w:rsidR="000B49B3" w:rsidRPr="009E2B03">
        <w:rPr>
          <w:rFonts w:ascii="Calibri Light" w:hAnsi="Calibri Light" w:cs="Arial"/>
          <w:b/>
          <w:color w:val="6D2077"/>
          <w:sz w:val="22"/>
        </w:rPr>
        <w:t>$1.7 billion</w:t>
      </w:r>
      <w:r w:rsidRPr="009E2B03">
        <w:rPr>
          <w:rFonts w:ascii="Calibri Light" w:hAnsi="Calibri Light" w:cs="Arial"/>
          <w:b/>
          <w:color w:val="6D2077"/>
          <w:sz w:val="22"/>
        </w:rPr>
        <w:t>.</w:t>
      </w:r>
    </w:p>
    <w:p w14:paraId="22CFD475"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Broadly speaking, people with a disability are more vulnerable in society, due to diminished or limited physical, cognitive, and intellectual capacity, as well as greater dependence on others for financial and physical support. It has been suggested that women with disabilities are 40 per cent more likely to be the victims of domestic violence than women without disabilities, and more than 70 per cent of women with disabilities have been victims of violent sexual encounters at some time in their lives.</w:t>
      </w:r>
      <w:r w:rsidRPr="009E2B03">
        <w:rPr>
          <w:rStyle w:val="FootnoteReference"/>
          <w:rFonts w:ascii="Calibri Light" w:hAnsi="Calibri Light"/>
          <w:sz w:val="22"/>
        </w:rPr>
        <w:footnoteReference w:id="10"/>
      </w:r>
      <w:r w:rsidRPr="009E2B03">
        <w:rPr>
          <w:rFonts w:ascii="Calibri Light" w:hAnsi="Calibri Light"/>
          <w:sz w:val="22"/>
        </w:rPr>
        <w:t xml:space="preserve"> </w:t>
      </w:r>
    </w:p>
    <w:p w14:paraId="1A164707" w14:textId="77777777" w:rsidR="000B49B3" w:rsidRPr="009E2B03" w:rsidRDefault="00876464" w:rsidP="000B49B3">
      <w:pPr>
        <w:pStyle w:val="ListBullet2"/>
        <w:tabs>
          <w:tab w:val="clear" w:pos="1664"/>
          <w:tab w:val="num" w:pos="709"/>
        </w:tabs>
        <w:ind w:left="709"/>
        <w:rPr>
          <w:rFonts w:ascii="Calibri Light" w:hAnsi="Calibri Light"/>
          <w:sz w:val="22"/>
        </w:rPr>
      </w:pPr>
      <w:r w:rsidRPr="009E2B03">
        <w:rPr>
          <w:rFonts w:ascii="Calibri Light" w:hAnsi="Calibri Light"/>
          <w:sz w:val="22"/>
        </w:rPr>
        <w:t>Research suggests that women with disability may also face barriers to reporting violence and seeking support, with contributing factors likely to include financial or care dependency, or limited ability to access appropriate services without the interventi</w:t>
      </w:r>
      <w:r w:rsidR="000B49B3" w:rsidRPr="009E2B03">
        <w:rPr>
          <w:rFonts w:ascii="Calibri Light" w:hAnsi="Calibri Light"/>
          <w:sz w:val="22"/>
        </w:rPr>
        <w:t>on of a carer or family member.</w:t>
      </w:r>
    </w:p>
    <w:p w14:paraId="63AF85B2" w14:textId="77777777" w:rsidR="00294F11" w:rsidRPr="009E2B03" w:rsidRDefault="00C75DC7" w:rsidP="00294F11">
      <w:pPr>
        <w:pStyle w:val="BodyBullet"/>
        <w:rPr>
          <w:rFonts w:ascii="Calibri Light" w:hAnsi="Calibri Light" w:cs="Arial"/>
          <w:color w:val="6D2077"/>
          <w:sz w:val="22"/>
        </w:rPr>
      </w:pPr>
      <w:r w:rsidRPr="009E2B03">
        <w:rPr>
          <w:rFonts w:ascii="Calibri Light" w:hAnsi="Calibri Light" w:cs="Arial"/>
          <w:b/>
          <w:color w:val="6D2077"/>
          <w:sz w:val="22"/>
        </w:rPr>
        <w:t xml:space="preserve">One out of three individuals who seek specialist homelessness services results from experiencing domestic violence. </w:t>
      </w:r>
      <w:r w:rsidR="00294F11" w:rsidRPr="009E2B03">
        <w:rPr>
          <w:rFonts w:ascii="Calibri Light" w:hAnsi="Calibri Light" w:cs="Arial"/>
          <w:b/>
          <w:color w:val="6D2077"/>
          <w:sz w:val="22"/>
        </w:rPr>
        <w:t xml:space="preserve">It is estimated that women with </w:t>
      </w:r>
      <w:r w:rsidRPr="009E2B03">
        <w:rPr>
          <w:rFonts w:ascii="Calibri Light" w:hAnsi="Calibri Light" w:cs="Arial"/>
          <w:b/>
          <w:color w:val="6D2077"/>
          <w:sz w:val="22"/>
        </w:rPr>
        <w:t>who experience homelessness as a result of violence</w:t>
      </w:r>
      <w:r w:rsidR="00294F11" w:rsidRPr="009E2B03">
        <w:rPr>
          <w:rFonts w:ascii="Calibri Light" w:hAnsi="Calibri Light" w:cs="Arial"/>
          <w:b/>
          <w:color w:val="6D2077"/>
          <w:sz w:val="22"/>
        </w:rPr>
        <w:t xml:space="preserve"> </w:t>
      </w:r>
      <w:r w:rsidRPr="009E2B03">
        <w:rPr>
          <w:rFonts w:ascii="Calibri Light" w:hAnsi="Calibri Light" w:cs="Arial"/>
          <w:b/>
          <w:color w:val="6D2077"/>
          <w:sz w:val="22"/>
        </w:rPr>
        <w:t>costs the victim, their communities and the Australian economy</w:t>
      </w:r>
      <w:r w:rsidR="00294F11" w:rsidRPr="009E2B03">
        <w:rPr>
          <w:rFonts w:ascii="Calibri Light" w:hAnsi="Calibri Light" w:cs="Arial"/>
          <w:b/>
          <w:color w:val="6D2077"/>
          <w:sz w:val="22"/>
        </w:rPr>
        <w:t xml:space="preserve"> approximately </w:t>
      </w:r>
      <w:r w:rsidRPr="009E2B03">
        <w:rPr>
          <w:rFonts w:ascii="Calibri Light" w:hAnsi="Calibri Light" w:cs="Arial"/>
          <w:b/>
          <w:color w:val="6D2077"/>
          <w:sz w:val="22"/>
        </w:rPr>
        <w:t>$407 m</w:t>
      </w:r>
      <w:r w:rsidR="00294F11" w:rsidRPr="009E2B03">
        <w:rPr>
          <w:rFonts w:ascii="Calibri Light" w:hAnsi="Calibri Light" w:cs="Arial"/>
          <w:b/>
          <w:color w:val="6D2077"/>
          <w:sz w:val="22"/>
        </w:rPr>
        <w:t>illion.</w:t>
      </w:r>
    </w:p>
    <w:p w14:paraId="5FA8F9AB" w14:textId="77777777" w:rsidR="00C75DC7" w:rsidRPr="009E2B03" w:rsidRDefault="00C75DC7" w:rsidP="00C75DC7">
      <w:pPr>
        <w:pStyle w:val="ListBullet2"/>
        <w:tabs>
          <w:tab w:val="clear" w:pos="1664"/>
          <w:tab w:val="num" w:pos="709"/>
        </w:tabs>
        <w:ind w:left="709"/>
        <w:rPr>
          <w:rFonts w:ascii="Calibri Light" w:hAnsi="Calibri Light"/>
          <w:sz w:val="22"/>
        </w:rPr>
      </w:pPr>
      <w:r w:rsidRPr="009E2B03">
        <w:rPr>
          <w:rFonts w:ascii="Calibri Light" w:hAnsi="Calibri Light"/>
          <w:sz w:val="22"/>
        </w:rPr>
        <w:t>Detailed service data from AIHW which identifies the reason for women accessing women’s homeless shelters and refuges established that one in three individuals required assistance from specialist homelessness service organisations due to domestic violence, with 64 per cent of victims being female.</w:t>
      </w:r>
    </w:p>
    <w:p w14:paraId="707F068F" w14:textId="77777777" w:rsidR="00C75DC7" w:rsidRPr="009E2B03" w:rsidRDefault="00C75DC7" w:rsidP="00C75DC7">
      <w:pPr>
        <w:pStyle w:val="ListBullet2"/>
        <w:tabs>
          <w:tab w:val="clear" w:pos="1664"/>
          <w:tab w:val="num" w:pos="709"/>
        </w:tabs>
        <w:ind w:left="709"/>
        <w:rPr>
          <w:rFonts w:ascii="Calibri Light" w:hAnsi="Calibri Light"/>
          <w:sz w:val="22"/>
        </w:rPr>
      </w:pPr>
      <w:r w:rsidRPr="009E2B03">
        <w:rPr>
          <w:rFonts w:ascii="Calibri Light" w:hAnsi="Calibri Light"/>
          <w:sz w:val="22"/>
        </w:rPr>
        <w:lastRenderedPageBreak/>
        <w:t>Between 2011-12 and 2014-15, the number of women accessing community services increased by 16 per cent. This is partly the result of an increase in service provision, particularly in Victoria. Across the same time period, single parent households with a child or children accounted for the majority of this increase in the request for services. The most common reason why women accessed community services was for short term or emergency accommodation (42 per cent), followed by material and aid brokerage (37 per cent).</w:t>
      </w:r>
    </w:p>
    <w:p w14:paraId="542B9C4D" w14:textId="77777777" w:rsidR="00876464" w:rsidRPr="009E2B03" w:rsidRDefault="00876464" w:rsidP="00876464">
      <w:pPr>
        <w:pStyle w:val="BodyTextkeepwithnext0"/>
        <w:spacing w:before="360" w:after="240"/>
        <w:rPr>
          <w:rFonts w:ascii="Calibri Light" w:hAnsi="Calibri Light"/>
          <w:color w:val="6D2077"/>
          <w:sz w:val="36"/>
          <w:szCs w:val="32"/>
        </w:rPr>
      </w:pPr>
      <w:r w:rsidRPr="009E2B03">
        <w:rPr>
          <w:rFonts w:ascii="Calibri Light" w:hAnsi="Calibri Light"/>
          <w:color w:val="6D2077"/>
          <w:sz w:val="36"/>
          <w:szCs w:val="32"/>
        </w:rPr>
        <w:t xml:space="preserve">Continued focus on improvements to the scope and scale of the evidence base is required to support the reform agenda </w:t>
      </w:r>
    </w:p>
    <w:p w14:paraId="281815A8" w14:textId="77777777" w:rsidR="00876464" w:rsidRPr="009E2B03" w:rsidRDefault="00876464" w:rsidP="00876464">
      <w:pPr>
        <w:pStyle w:val="BodyBullet"/>
        <w:rPr>
          <w:rFonts w:ascii="Calibri Light" w:hAnsi="Calibri Light" w:cs="Arial"/>
          <w:sz w:val="24"/>
        </w:rPr>
      </w:pPr>
      <w:r w:rsidRPr="009E2B03">
        <w:rPr>
          <w:rFonts w:ascii="Calibri Light" w:hAnsi="Calibri Light" w:cs="Arial"/>
          <w:b/>
          <w:color w:val="6D2077"/>
          <w:sz w:val="22"/>
        </w:rPr>
        <w:t>On the basis of the analysis undertaken in this Report, KPMG has prepared a high level roadmap of key considerations to assist the D</w:t>
      </w:r>
      <w:r w:rsidR="00CF0F96" w:rsidRPr="009E2B03">
        <w:rPr>
          <w:rFonts w:ascii="Calibri Light" w:hAnsi="Calibri Light" w:cs="Arial"/>
          <w:b/>
          <w:color w:val="6D2077"/>
          <w:sz w:val="22"/>
        </w:rPr>
        <w:t xml:space="preserve">epartment of </w:t>
      </w:r>
      <w:r w:rsidRPr="009E2B03">
        <w:rPr>
          <w:rFonts w:ascii="Calibri Light" w:hAnsi="Calibri Light" w:cs="Arial"/>
          <w:b/>
          <w:color w:val="6D2077"/>
          <w:sz w:val="22"/>
        </w:rPr>
        <w:t>S</w:t>
      </w:r>
      <w:r w:rsidR="00CF0F96" w:rsidRPr="009E2B03">
        <w:rPr>
          <w:rFonts w:ascii="Calibri Light" w:hAnsi="Calibri Light" w:cs="Arial"/>
          <w:b/>
          <w:color w:val="6D2077"/>
          <w:sz w:val="22"/>
        </w:rPr>
        <w:t xml:space="preserve">ocial </w:t>
      </w:r>
      <w:r w:rsidRPr="009E2B03">
        <w:rPr>
          <w:rFonts w:ascii="Calibri Light" w:hAnsi="Calibri Light" w:cs="Arial"/>
          <w:b/>
          <w:color w:val="6D2077"/>
          <w:sz w:val="22"/>
        </w:rPr>
        <w:t>S</w:t>
      </w:r>
      <w:r w:rsidR="00CF0F96" w:rsidRPr="009E2B03">
        <w:rPr>
          <w:rFonts w:ascii="Calibri Light" w:hAnsi="Calibri Light" w:cs="Arial"/>
          <w:b/>
          <w:color w:val="6D2077"/>
          <w:sz w:val="22"/>
        </w:rPr>
        <w:t>ervices (DSS)</w:t>
      </w:r>
      <w:r w:rsidRPr="009E2B03">
        <w:rPr>
          <w:rFonts w:ascii="Calibri Light" w:hAnsi="Calibri Light" w:cs="Arial"/>
          <w:b/>
          <w:color w:val="6D2077"/>
          <w:sz w:val="22"/>
        </w:rPr>
        <w:t xml:space="preserve"> in identifying the steps required to support the continued implementation of the National Plan and the development of the Third Action Plan</w:t>
      </w:r>
      <w:r w:rsidRPr="009E2B03">
        <w:rPr>
          <w:rFonts w:ascii="Calibri Light" w:hAnsi="Calibri Light" w:cs="Arial"/>
          <w:sz w:val="22"/>
        </w:rPr>
        <w:t xml:space="preserve">. The roadmap considers </w:t>
      </w:r>
      <w:r w:rsidR="00CF0F96" w:rsidRPr="009E2B03">
        <w:rPr>
          <w:rFonts w:ascii="Calibri Light" w:hAnsi="Calibri Light" w:cs="Arial"/>
          <w:sz w:val="22"/>
        </w:rPr>
        <w:t>five</w:t>
      </w:r>
      <w:r w:rsidRPr="009E2B03">
        <w:rPr>
          <w:rFonts w:ascii="Calibri Light" w:hAnsi="Calibri Light" w:cs="Arial"/>
          <w:sz w:val="22"/>
        </w:rPr>
        <w:t xml:space="preserve"> areas for consideration in expanding and strengthening the evidence base over time.</w:t>
      </w:r>
    </w:p>
    <w:p w14:paraId="3F03A626" w14:textId="77777777" w:rsidR="00876464" w:rsidRPr="009E2B03" w:rsidRDefault="00876464" w:rsidP="000F39E7">
      <w:pPr>
        <w:pStyle w:val="BodyBullet"/>
        <w:numPr>
          <w:ilvl w:val="0"/>
          <w:numId w:val="21"/>
        </w:numPr>
        <w:rPr>
          <w:rFonts w:ascii="Calibri Light" w:hAnsi="Calibri Light" w:cs="Arial"/>
          <w:sz w:val="22"/>
        </w:rPr>
      </w:pPr>
      <w:r w:rsidRPr="009E2B03">
        <w:rPr>
          <w:rFonts w:ascii="Calibri Light" w:hAnsi="Calibri Light" w:cs="Arial"/>
          <w:b/>
          <w:color w:val="6D2077"/>
          <w:sz w:val="22"/>
        </w:rPr>
        <w:t>Collaboration and integration of reporting across jurisdictions</w:t>
      </w:r>
      <w:r w:rsidRPr="009E2B03">
        <w:rPr>
          <w:rFonts w:ascii="Calibri Light" w:hAnsi="Calibri Light" w:cs="Arial"/>
          <w:color w:val="6D2077"/>
          <w:sz w:val="22"/>
        </w:rPr>
        <w:t xml:space="preserve"> </w:t>
      </w:r>
      <w:r w:rsidRPr="009E2B03">
        <w:rPr>
          <w:rFonts w:ascii="Calibri Light" w:hAnsi="Calibri Light" w:cs="Arial"/>
          <w:sz w:val="22"/>
        </w:rPr>
        <w:t xml:space="preserve">– </w:t>
      </w:r>
      <w:r w:rsidR="00C44227" w:rsidRPr="009E2B03">
        <w:rPr>
          <w:rFonts w:ascii="Calibri Light" w:hAnsi="Calibri Light" w:cs="Arial"/>
          <w:sz w:val="22"/>
        </w:rPr>
        <w:t>there are substantial differences in the reporting of violence and administrative data collection between states and territories which largely reflects their respective legal and social services systems. While it is important to consider the needs of local reporting requirements, it is critical that more consistent data collection and collation activities across the States and Territories is in place, including the identification and measurement of violence to better underpin comparative analysis of the nature, risk and impact of violence across areas. Specifically:</w:t>
      </w:r>
    </w:p>
    <w:p w14:paraId="0A09CAA9"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a more consistent understanding of both the prevalence and incidence of violence against women is pivotal to understanding the trends in violence and the individual and societal cost of violence; and</w:t>
      </w:r>
    </w:p>
    <w:p w14:paraId="34B07A7B"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greater consistency of definitions, reporting methods, and the collection of data across the jurisdictions will improve the comparability of trends over time.</w:t>
      </w:r>
    </w:p>
    <w:p w14:paraId="7157864A" w14:textId="77777777" w:rsidR="00876464" w:rsidRPr="009E2B03" w:rsidRDefault="00876464" w:rsidP="000F39E7">
      <w:pPr>
        <w:pStyle w:val="BodyBullet"/>
        <w:numPr>
          <w:ilvl w:val="0"/>
          <w:numId w:val="21"/>
        </w:numPr>
        <w:rPr>
          <w:rFonts w:ascii="Calibri Light" w:hAnsi="Calibri Light" w:cs="Arial"/>
          <w:sz w:val="22"/>
        </w:rPr>
      </w:pPr>
      <w:r w:rsidRPr="009E2B03">
        <w:rPr>
          <w:rFonts w:ascii="Calibri Light" w:hAnsi="Calibri Light" w:cs="Arial"/>
          <w:b/>
          <w:color w:val="6D2077"/>
          <w:sz w:val="22"/>
        </w:rPr>
        <w:t xml:space="preserve">Strengthening our understanding of the economic impacts of violence </w:t>
      </w:r>
      <w:r w:rsidRPr="009E2B03">
        <w:rPr>
          <w:rFonts w:ascii="Calibri Light" w:hAnsi="Calibri Light" w:cs="Arial"/>
          <w:b/>
          <w:sz w:val="22"/>
        </w:rPr>
        <w:t xml:space="preserve">– </w:t>
      </w:r>
      <w:r w:rsidRPr="009E2B03">
        <w:rPr>
          <w:rFonts w:ascii="Calibri Light" w:hAnsi="Calibri Light" w:cs="Arial"/>
          <w:sz w:val="22"/>
        </w:rPr>
        <w:t>understanding the prevalence and incidence of violence, as well as opportunities to further refine and extend methodological approaches to estimating the cost of violence will be important to supporting evidence-based policy decisions. Over time, this can include:</w:t>
      </w:r>
    </w:p>
    <w:p w14:paraId="45C7BB45"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refinements to sector specific costs as data of greater consistency is made available across the jurisdictions on the cost of delivering health care and justice services;</w:t>
      </w:r>
    </w:p>
    <w:p w14:paraId="1A681F9C"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understanding the impact on economic abuse on the financial security and independence on women experiencing violence; and</w:t>
      </w:r>
    </w:p>
    <w:p w14:paraId="27915979"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ongoing refinements to the costing approach to determine cost differentials for vulnerable and diverse cohorts of women experiencing violence.</w:t>
      </w:r>
    </w:p>
    <w:p w14:paraId="0E223A79" w14:textId="77777777" w:rsidR="00876464" w:rsidRPr="009E2B03" w:rsidRDefault="00876464" w:rsidP="000F39E7">
      <w:pPr>
        <w:pStyle w:val="BodyBullet"/>
        <w:numPr>
          <w:ilvl w:val="0"/>
          <w:numId w:val="21"/>
        </w:numPr>
        <w:rPr>
          <w:rFonts w:ascii="Calibri Light" w:hAnsi="Calibri Light" w:cs="Arial"/>
          <w:b/>
          <w:sz w:val="22"/>
        </w:rPr>
      </w:pPr>
      <w:r w:rsidRPr="009E2B03">
        <w:rPr>
          <w:rFonts w:ascii="Calibri Light" w:hAnsi="Calibri Light" w:cs="Arial"/>
          <w:b/>
          <w:color w:val="6D2077"/>
          <w:sz w:val="22"/>
        </w:rPr>
        <w:t xml:space="preserve">Strengthening our understanding of the impact of socio-demographic and geographic characteristics </w:t>
      </w:r>
      <w:r w:rsidRPr="009E2B03">
        <w:rPr>
          <w:rFonts w:ascii="Calibri Light" w:hAnsi="Calibri Light" w:cs="Arial"/>
          <w:b/>
          <w:sz w:val="22"/>
        </w:rPr>
        <w:t xml:space="preserve">– </w:t>
      </w:r>
      <w:r w:rsidRPr="009E2B03">
        <w:rPr>
          <w:rFonts w:ascii="Calibri Light" w:hAnsi="Calibri Light" w:cs="Arial"/>
          <w:sz w:val="22"/>
        </w:rPr>
        <w:t>understanding the interdependencies between socio-demographic and geographic factors is pivotal to mapping the experience and impact of violence across cohorts. This can include:</w:t>
      </w:r>
    </w:p>
    <w:p w14:paraId="5229DA52"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the identification of key demographic cohorts and relationship between socio-demographic characteristics, geography, and the experience of violence; and</w:t>
      </w:r>
    </w:p>
    <w:p w14:paraId="2AA955A1"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developing an understanding of optimal services and supports for women experiencing violence in these cohorts. </w:t>
      </w:r>
    </w:p>
    <w:p w14:paraId="3D46D329" w14:textId="77777777" w:rsidR="00876464" w:rsidRPr="009E2B03" w:rsidRDefault="00876464" w:rsidP="000F39E7">
      <w:pPr>
        <w:pStyle w:val="BodyBullet"/>
        <w:numPr>
          <w:ilvl w:val="0"/>
          <w:numId w:val="21"/>
        </w:numPr>
        <w:rPr>
          <w:rFonts w:ascii="Calibri Light" w:hAnsi="Calibri Light" w:cs="Arial"/>
          <w:sz w:val="22"/>
        </w:rPr>
      </w:pPr>
      <w:r w:rsidRPr="009E2B03">
        <w:rPr>
          <w:rFonts w:ascii="Calibri Light" w:hAnsi="Calibri Light" w:cs="Arial"/>
          <w:b/>
          <w:color w:val="6D2077"/>
          <w:sz w:val="22"/>
        </w:rPr>
        <w:lastRenderedPageBreak/>
        <w:t xml:space="preserve">Strengthening our understanding of the risk of experiencing violence by vulnerable groups </w:t>
      </w:r>
      <w:r w:rsidRPr="009E2B03">
        <w:rPr>
          <w:rFonts w:ascii="Calibri Light" w:hAnsi="Calibri Light" w:cs="Arial"/>
          <w:b/>
          <w:sz w:val="22"/>
        </w:rPr>
        <w:t xml:space="preserve">– </w:t>
      </w:r>
      <w:r w:rsidRPr="009E2B03">
        <w:rPr>
          <w:rFonts w:ascii="Calibri Light" w:hAnsi="Calibri Light" w:cs="Arial"/>
          <w:sz w:val="22"/>
        </w:rPr>
        <w:t>recognition of the different level of risk faced by vulnerable cohorts in experiencing violence over the course of their life is important to developing opportunities for targeted services and more informed policy making. This can include:</w:t>
      </w:r>
    </w:p>
    <w:p w14:paraId="611FA548"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further analysis into the cohorts that have been found to face a higher risk of experiencing violence, while acknowledging that for many of these cohorts, the heightened risk is in line with trends for other areas of demand within the human services sector; and </w:t>
      </w:r>
    </w:p>
    <w:p w14:paraId="1614AFBF" w14:textId="77777777" w:rsidR="00876464" w:rsidRPr="009E2B03" w:rsidRDefault="00876464" w:rsidP="00876464">
      <w:pPr>
        <w:pStyle w:val="ListBullet2"/>
        <w:tabs>
          <w:tab w:val="clear" w:pos="1664"/>
          <w:tab w:val="num" w:pos="709"/>
        </w:tabs>
        <w:ind w:left="709"/>
        <w:rPr>
          <w:rFonts w:ascii="Calibri Light" w:hAnsi="Calibri Light"/>
          <w:sz w:val="22"/>
        </w:rPr>
      </w:pPr>
      <w:r w:rsidRPr="009E2B03">
        <w:rPr>
          <w:rFonts w:ascii="Calibri Light" w:hAnsi="Calibri Light"/>
          <w:sz w:val="22"/>
        </w:rPr>
        <w:t>ongoing research into the experience of violence for vulnerable cohorts, with each of these groups requiring targeted research, data and analysis to determine relevant drivers, impacts and trends.</w:t>
      </w:r>
    </w:p>
    <w:p w14:paraId="32A6FE24" w14:textId="77777777" w:rsidR="00876464" w:rsidRPr="009E2B03" w:rsidRDefault="00876464" w:rsidP="000F39E7">
      <w:pPr>
        <w:pStyle w:val="BodyBullet"/>
        <w:numPr>
          <w:ilvl w:val="0"/>
          <w:numId w:val="21"/>
        </w:numPr>
        <w:rPr>
          <w:rFonts w:ascii="Calibri Light" w:hAnsi="Calibri Light" w:cs="Arial"/>
          <w:sz w:val="22"/>
        </w:rPr>
      </w:pPr>
      <w:r w:rsidRPr="009E2B03">
        <w:rPr>
          <w:rFonts w:ascii="Calibri Light" w:hAnsi="Calibri Light" w:cs="Arial"/>
          <w:b/>
          <w:color w:val="6D2077"/>
          <w:sz w:val="22"/>
        </w:rPr>
        <w:t xml:space="preserve">Strengthening our understanding of the linkages and impacts on the broader services system </w:t>
      </w:r>
      <w:r w:rsidRPr="009E2B03">
        <w:rPr>
          <w:rFonts w:ascii="Calibri Light" w:hAnsi="Calibri Light" w:cs="Arial"/>
          <w:b/>
          <w:sz w:val="22"/>
        </w:rPr>
        <w:t xml:space="preserve">– </w:t>
      </w:r>
      <w:r w:rsidRPr="009E2B03">
        <w:rPr>
          <w:rFonts w:ascii="Calibri Light" w:hAnsi="Calibri Light" w:cs="Arial"/>
          <w:sz w:val="22"/>
        </w:rPr>
        <w:t xml:space="preserve">recognition of the intersections the experience of violence has with other areas of the service system, for example service provision for homelessness, mental health, and the justice sector is important to better inform holistic policy decision making. </w:t>
      </w:r>
    </w:p>
    <w:p w14:paraId="4B70770E" w14:textId="32ED458A" w:rsidR="003308D7" w:rsidRPr="009E2B03" w:rsidRDefault="00036345" w:rsidP="003308D7">
      <w:pPr>
        <w:pStyle w:val="Heading1"/>
        <w:numPr>
          <w:ilvl w:val="0"/>
          <w:numId w:val="14"/>
        </w:numPr>
        <w:rPr>
          <w:rFonts w:ascii="Calibri Light" w:eastAsiaTheme="minorHAnsi" w:hAnsi="Calibri Light"/>
          <w:b w:val="0"/>
          <w:noProof/>
          <w:color w:val="6D2077"/>
          <w:sz w:val="76"/>
          <w:szCs w:val="76"/>
          <w:lang w:eastAsia="en-AU"/>
        </w:rPr>
      </w:pPr>
      <w:bookmarkStart w:id="35" w:name="_Toc449553507"/>
      <w:r>
        <w:rPr>
          <w:rFonts w:ascii="Calibri Light" w:eastAsiaTheme="minorHAnsi" w:hAnsi="Calibri Light"/>
          <w:b w:val="0"/>
          <w:noProof/>
          <w:color w:val="6D2077"/>
          <w:sz w:val="76"/>
          <w:szCs w:val="76"/>
          <w:lang w:eastAsia="en-AU"/>
        </w:rPr>
        <w:lastRenderedPageBreak/>
        <w:t xml:space="preserve">. </w:t>
      </w:r>
      <w:r w:rsidR="00CE4E2A" w:rsidRPr="009E2B03">
        <w:rPr>
          <w:rFonts w:ascii="Calibri Light" w:eastAsiaTheme="minorHAnsi" w:hAnsi="Calibri Light"/>
          <w:b w:val="0"/>
          <w:noProof/>
          <w:color w:val="6D2077"/>
          <w:sz w:val="76"/>
          <w:szCs w:val="76"/>
          <w:lang w:eastAsia="en-AU"/>
        </w:rPr>
        <w:t>Introducti</w:t>
      </w:r>
      <w:r w:rsidR="003308D7" w:rsidRPr="009E2B03">
        <w:rPr>
          <w:rFonts w:ascii="Calibri Light" w:eastAsiaTheme="minorHAnsi" w:hAnsi="Calibri Light"/>
          <w:b w:val="0"/>
          <w:noProof/>
          <w:color w:val="6D2077"/>
          <w:sz w:val="76"/>
          <w:szCs w:val="76"/>
          <w:lang w:eastAsia="en-AU"/>
        </w:rPr>
        <w:t>on</w:t>
      </w:r>
      <w:bookmarkEnd w:id="35"/>
    </w:p>
    <w:p w14:paraId="349434F8" w14:textId="77777777" w:rsidR="003308D7" w:rsidRPr="009E2B03" w:rsidRDefault="003308D7" w:rsidP="003308D7">
      <w:pPr>
        <w:pStyle w:val="Heading2"/>
        <w:rPr>
          <w:rFonts w:ascii="Calibri Light" w:hAnsi="Calibri Light"/>
          <w:color w:val="6D2077"/>
          <w:sz w:val="36"/>
        </w:rPr>
      </w:pPr>
      <w:bookmarkStart w:id="36" w:name="_Toc449553508"/>
      <w:r w:rsidRPr="009E2B03">
        <w:rPr>
          <w:rFonts w:ascii="Calibri Light" w:hAnsi="Calibri Light"/>
          <w:color w:val="6D2077"/>
          <w:sz w:val="36"/>
        </w:rPr>
        <w:t>Background</w:t>
      </w:r>
      <w:bookmarkEnd w:id="36"/>
    </w:p>
    <w:p w14:paraId="34C0E29D" w14:textId="77777777" w:rsidR="003308D7" w:rsidRPr="009E2B03" w:rsidRDefault="003308D7" w:rsidP="003308D7">
      <w:pPr>
        <w:rPr>
          <w:rFonts w:ascii="Calibri Light" w:hAnsi="Calibri Light"/>
          <w:sz w:val="22"/>
        </w:rPr>
      </w:pPr>
      <w:r w:rsidRPr="009E2B03">
        <w:rPr>
          <w:rFonts w:ascii="Calibri Light" w:hAnsi="Calibri Light"/>
          <w:sz w:val="22"/>
        </w:rPr>
        <w:t>Violence against women and their children is a crime and a fundamental breach of human rights.</w:t>
      </w:r>
      <w:r w:rsidRPr="009E2B03">
        <w:rPr>
          <w:rFonts w:ascii="Calibri Light" w:hAnsi="Calibri Light"/>
          <w:sz w:val="22"/>
          <w:vertAlign w:val="superscript"/>
        </w:rPr>
        <w:footnoteReference w:id="11"/>
      </w:r>
      <w:r w:rsidRPr="009E2B03">
        <w:rPr>
          <w:rFonts w:ascii="Calibri Light" w:hAnsi="Calibri Light"/>
          <w:sz w:val="22"/>
        </w:rPr>
        <w:t xml:space="preserve"> It is a social harm that continues to persist in Australia and around the world</w:t>
      </w:r>
      <w:r w:rsidR="003B6430" w:rsidRPr="009E2B03">
        <w:rPr>
          <w:rFonts w:ascii="Calibri Light" w:hAnsi="Calibri Light"/>
          <w:sz w:val="22"/>
        </w:rPr>
        <w:t xml:space="preserve">. </w:t>
      </w:r>
      <w:r w:rsidRPr="009E2B03">
        <w:rPr>
          <w:rFonts w:ascii="Calibri Light" w:hAnsi="Calibri Light"/>
          <w:sz w:val="22"/>
        </w:rPr>
        <w:t>In Australia, around one in three women has experienced physical violence, and almost one in five has experienced sexual violence since the age of 15.</w:t>
      </w:r>
      <w:r w:rsidRPr="009E2B03">
        <w:rPr>
          <w:rFonts w:ascii="Calibri Light" w:hAnsi="Calibri Light"/>
          <w:sz w:val="22"/>
          <w:vertAlign w:val="superscript"/>
        </w:rPr>
        <w:footnoteReference w:id="12"/>
      </w:r>
      <w:r w:rsidRPr="009E2B03">
        <w:rPr>
          <w:rFonts w:ascii="Calibri Light" w:hAnsi="Calibri Light"/>
          <w:sz w:val="22"/>
        </w:rPr>
        <w:t xml:space="preserve"> Violence can </w:t>
      </w:r>
      <w:r w:rsidR="003B6430" w:rsidRPr="009E2B03">
        <w:rPr>
          <w:rFonts w:ascii="Calibri Light" w:hAnsi="Calibri Light"/>
          <w:sz w:val="22"/>
        </w:rPr>
        <w:t>take place</w:t>
      </w:r>
      <w:r w:rsidRPr="009E2B03">
        <w:rPr>
          <w:rFonts w:ascii="Calibri Light" w:hAnsi="Calibri Light"/>
          <w:sz w:val="22"/>
        </w:rPr>
        <w:t xml:space="preserve"> </w:t>
      </w:r>
      <w:r w:rsidR="003B6430" w:rsidRPr="009E2B03">
        <w:rPr>
          <w:rFonts w:ascii="Calibri Light" w:hAnsi="Calibri Light"/>
          <w:sz w:val="22"/>
        </w:rPr>
        <w:t xml:space="preserve">in </w:t>
      </w:r>
      <w:r w:rsidRPr="009E2B03">
        <w:rPr>
          <w:rFonts w:ascii="Calibri Light" w:hAnsi="Calibri Light"/>
          <w:sz w:val="22"/>
        </w:rPr>
        <w:t xml:space="preserve">a range of different settings and forms, and includes (but is not limited to) physical and sexual abuse and assault, threats of physical and sexual abuse and assault, emotional abuse, economic abuse, and stalking. </w:t>
      </w:r>
    </w:p>
    <w:p w14:paraId="66C276AD" w14:textId="77777777" w:rsidR="003308D7" w:rsidRPr="009E2B03" w:rsidRDefault="003B6430" w:rsidP="003308D7">
      <w:pPr>
        <w:rPr>
          <w:rFonts w:ascii="Calibri Light" w:hAnsi="Calibri Light"/>
          <w:sz w:val="22"/>
        </w:rPr>
      </w:pPr>
      <w:r w:rsidRPr="009E2B03">
        <w:rPr>
          <w:rFonts w:ascii="Calibri Light" w:hAnsi="Calibri Light"/>
          <w:sz w:val="22"/>
        </w:rPr>
        <w:t>The implications of experiencing violence are</w:t>
      </w:r>
      <w:r w:rsidR="003308D7" w:rsidRPr="009E2B03">
        <w:rPr>
          <w:rFonts w:ascii="Calibri Light" w:hAnsi="Calibri Light"/>
          <w:sz w:val="22"/>
        </w:rPr>
        <w:t xml:space="preserve"> significant and far-reaching for its victims, their children, families</w:t>
      </w:r>
      <w:r w:rsidR="008D1552" w:rsidRPr="009E2B03">
        <w:rPr>
          <w:rFonts w:ascii="Calibri Light" w:hAnsi="Calibri Light"/>
          <w:sz w:val="22"/>
        </w:rPr>
        <w:t>,</w:t>
      </w:r>
      <w:r w:rsidR="003308D7" w:rsidRPr="009E2B03">
        <w:rPr>
          <w:rFonts w:ascii="Calibri Light" w:hAnsi="Calibri Light"/>
          <w:sz w:val="22"/>
        </w:rPr>
        <w:t xml:space="preserve"> friends, employers and co-workers</w:t>
      </w:r>
      <w:r w:rsidR="008D1552" w:rsidRPr="009E2B03">
        <w:rPr>
          <w:rFonts w:ascii="Calibri Light" w:hAnsi="Calibri Light"/>
          <w:sz w:val="22"/>
        </w:rPr>
        <w:t>. Experiencing violence can result in</w:t>
      </w:r>
      <w:r w:rsidRPr="009E2B03">
        <w:rPr>
          <w:rFonts w:ascii="Calibri Light" w:hAnsi="Calibri Light"/>
          <w:sz w:val="22"/>
        </w:rPr>
        <w:t xml:space="preserve"> </w:t>
      </w:r>
      <w:r w:rsidR="003308D7" w:rsidRPr="009E2B03">
        <w:rPr>
          <w:rFonts w:ascii="Calibri Light" w:hAnsi="Calibri Light"/>
          <w:sz w:val="22"/>
        </w:rPr>
        <w:t xml:space="preserve">long term social, health, </w:t>
      </w:r>
      <w:r w:rsidRPr="009E2B03">
        <w:rPr>
          <w:rFonts w:ascii="Calibri Light" w:hAnsi="Calibri Light"/>
          <w:sz w:val="22"/>
        </w:rPr>
        <w:t>psychological</w:t>
      </w:r>
      <w:r w:rsidR="003308D7" w:rsidRPr="009E2B03">
        <w:rPr>
          <w:rFonts w:ascii="Calibri Light" w:hAnsi="Calibri Light"/>
          <w:sz w:val="22"/>
        </w:rPr>
        <w:t>, financial</w:t>
      </w:r>
      <w:r w:rsidRPr="009E2B03">
        <w:rPr>
          <w:rFonts w:ascii="Calibri Light" w:hAnsi="Calibri Light"/>
          <w:sz w:val="22"/>
        </w:rPr>
        <w:t>,</w:t>
      </w:r>
      <w:r w:rsidR="003308D7" w:rsidRPr="009E2B03">
        <w:rPr>
          <w:rFonts w:ascii="Calibri Light" w:hAnsi="Calibri Light"/>
          <w:sz w:val="22"/>
        </w:rPr>
        <w:t xml:space="preserve"> and economic </w:t>
      </w:r>
      <w:r w:rsidRPr="009E2B03">
        <w:rPr>
          <w:rFonts w:ascii="Calibri Light" w:hAnsi="Calibri Light"/>
          <w:sz w:val="22"/>
        </w:rPr>
        <w:t>impacts on</w:t>
      </w:r>
      <w:r w:rsidR="003308D7" w:rsidRPr="009E2B03">
        <w:rPr>
          <w:rFonts w:ascii="Calibri Light" w:hAnsi="Calibri Light"/>
          <w:sz w:val="22"/>
        </w:rPr>
        <w:t xml:space="preserve"> individuals.</w:t>
      </w:r>
      <w:r w:rsidR="003308D7" w:rsidRPr="009E2B03">
        <w:rPr>
          <w:rFonts w:ascii="Calibri Light" w:hAnsi="Calibri Light"/>
          <w:sz w:val="22"/>
          <w:vertAlign w:val="superscript"/>
        </w:rPr>
        <w:footnoteReference w:id="13"/>
      </w:r>
      <w:r w:rsidR="003308D7" w:rsidRPr="009E2B03">
        <w:rPr>
          <w:rFonts w:ascii="Calibri Light" w:hAnsi="Calibri Light"/>
          <w:sz w:val="22"/>
        </w:rPr>
        <w:t xml:space="preserve"> While some impacts of violence can be directly measured, there are also significant </w:t>
      </w:r>
      <w:r w:rsidR="008D1552" w:rsidRPr="009E2B03">
        <w:rPr>
          <w:rFonts w:ascii="Calibri Light" w:hAnsi="Calibri Light"/>
          <w:sz w:val="22"/>
        </w:rPr>
        <w:t xml:space="preserve">indirect </w:t>
      </w:r>
      <w:r w:rsidR="003308D7" w:rsidRPr="009E2B03">
        <w:rPr>
          <w:rFonts w:ascii="Calibri Light" w:hAnsi="Calibri Light"/>
          <w:sz w:val="22"/>
        </w:rPr>
        <w:t>impacts. Many women and their families experience social, health, and psychological suffering in the years and decades that follow violence and abuse, with higher levels of anxiety, depression and fear often continuing to impact the lives of women on a daily basis.</w:t>
      </w:r>
      <w:r w:rsidR="003308D7" w:rsidRPr="009E2B03">
        <w:rPr>
          <w:rFonts w:ascii="Calibri Light" w:hAnsi="Calibri Light"/>
          <w:sz w:val="22"/>
          <w:vertAlign w:val="superscript"/>
        </w:rPr>
        <w:footnoteReference w:id="14"/>
      </w:r>
      <w:r w:rsidR="003308D7" w:rsidRPr="009E2B03">
        <w:rPr>
          <w:rFonts w:ascii="Calibri Light" w:hAnsi="Calibri Light"/>
          <w:sz w:val="22"/>
          <w:vertAlign w:val="superscript"/>
        </w:rPr>
        <w:t xml:space="preserve"> </w:t>
      </w:r>
      <w:r w:rsidR="003308D7" w:rsidRPr="009E2B03">
        <w:rPr>
          <w:rFonts w:ascii="Calibri Light" w:hAnsi="Calibri Light"/>
          <w:sz w:val="22"/>
        </w:rPr>
        <w:t xml:space="preserve">There are also significant second generation impacts as the children of victimised women become the ‘silent victims’ of violence. </w:t>
      </w:r>
    </w:p>
    <w:p w14:paraId="4D4FBC4A" w14:textId="77777777" w:rsidR="003308D7" w:rsidRPr="009E2B03" w:rsidRDefault="003B6430" w:rsidP="003308D7">
      <w:pPr>
        <w:pStyle w:val="ListBullet2"/>
        <w:numPr>
          <w:ilvl w:val="0"/>
          <w:numId w:val="0"/>
        </w:numPr>
        <w:rPr>
          <w:rFonts w:ascii="Calibri Light" w:hAnsi="Calibri Light"/>
          <w:sz w:val="22"/>
        </w:rPr>
      </w:pPr>
      <w:r w:rsidRPr="009E2B03">
        <w:rPr>
          <w:rFonts w:ascii="Calibri Light" w:hAnsi="Calibri Light"/>
          <w:sz w:val="22"/>
        </w:rPr>
        <w:t>Importantly, t</w:t>
      </w:r>
      <w:r w:rsidR="003308D7" w:rsidRPr="009E2B03">
        <w:rPr>
          <w:rFonts w:ascii="Calibri Light" w:hAnsi="Calibri Light"/>
          <w:sz w:val="22"/>
        </w:rPr>
        <w:t xml:space="preserve">he experience of violence is not identical across </w:t>
      </w:r>
      <w:r w:rsidRPr="009E2B03">
        <w:rPr>
          <w:rFonts w:ascii="Calibri Light" w:hAnsi="Calibri Light"/>
          <w:sz w:val="22"/>
        </w:rPr>
        <w:t>cohorts and geographies</w:t>
      </w:r>
      <w:r w:rsidR="008D1552" w:rsidRPr="009E2B03">
        <w:rPr>
          <w:rFonts w:ascii="Calibri Light" w:hAnsi="Calibri Light"/>
          <w:sz w:val="22"/>
        </w:rPr>
        <w:t>. There is</w:t>
      </w:r>
      <w:r w:rsidR="003308D7" w:rsidRPr="009E2B03">
        <w:rPr>
          <w:rFonts w:ascii="Calibri Light" w:hAnsi="Calibri Light"/>
          <w:sz w:val="22"/>
        </w:rPr>
        <w:t xml:space="preserve"> a growing body of evidence suggesting that the risk and impact of violence is, in many cases, more significant among vulnerable women</w:t>
      </w:r>
      <w:r w:rsidRPr="009E2B03">
        <w:rPr>
          <w:rFonts w:ascii="Calibri Light" w:hAnsi="Calibri Light"/>
          <w:sz w:val="22"/>
        </w:rPr>
        <w:t>. Wom</w:t>
      </w:r>
      <w:r w:rsidR="00075842" w:rsidRPr="009E2B03">
        <w:rPr>
          <w:rFonts w:ascii="Calibri Light" w:hAnsi="Calibri Light"/>
          <w:sz w:val="22"/>
        </w:rPr>
        <w:t>e</w:t>
      </w:r>
      <w:r w:rsidRPr="009E2B03">
        <w:rPr>
          <w:rFonts w:ascii="Calibri Light" w:hAnsi="Calibri Light"/>
          <w:sz w:val="22"/>
        </w:rPr>
        <w:t>n identified as vulnerable include</w:t>
      </w:r>
      <w:r w:rsidR="003308D7" w:rsidRPr="009E2B03">
        <w:rPr>
          <w:rFonts w:ascii="Calibri Light" w:hAnsi="Calibri Light"/>
          <w:sz w:val="22"/>
        </w:rPr>
        <w:t xml:space="preserve"> </w:t>
      </w:r>
      <w:r w:rsidRPr="009E2B03">
        <w:rPr>
          <w:rFonts w:ascii="Calibri Light" w:hAnsi="Calibri Light"/>
          <w:sz w:val="22"/>
        </w:rPr>
        <w:t>Aboriginal and Torres Strait Islander women</w:t>
      </w:r>
      <w:r w:rsidR="00F22EDD" w:rsidRPr="009E2B03">
        <w:rPr>
          <w:rFonts w:ascii="Calibri Light" w:hAnsi="Calibri Light"/>
          <w:sz w:val="22"/>
          <w:vertAlign w:val="superscript"/>
        </w:rPr>
        <w:footnoteReference w:id="15"/>
      </w:r>
      <w:r w:rsidRPr="009E2B03">
        <w:rPr>
          <w:rFonts w:ascii="Calibri Light" w:hAnsi="Calibri Light"/>
          <w:sz w:val="22"/>
        </w:rPr>
        <w:t xml:space="preserve">, women from a culturally and linguistically </w:t>
      </w:r>
      <w:r w:rsidR="008D1552" w:rsidRPr="009E2B03">
        <w:rPr>
          <w:rFonts w:ascii="Calibri Light" w:hAnsi="Calibri Light"/>
          <w:sz w:val="22"/>
        </w:rPr>
        <w:t xml:space="preserve">diverse </w:t>
      </w:r>
      <w:r w:rsidRPr="009E2B03">
        <w:rPr>
          <w:rFonts w:ascii="Calibri Light" w:hAnsi="Calibri Light"/>
          <w:sz w:val="22"/>
        </w:rPr>
        <w:t>(CALD) background</w:t>
      </w:r>
      <w:r w:rsidR="00F22EDD" w:rsidRPr="009E2B03">
        <w:rPr>
          <w:rFonts w:ascii="Calibri Light" w:hAnsi="Calibri Light"/>
          <w:sz w:val="22"/>
          <w:vertAlign w:val="superscript"/>
        </w:rPr>
        <w:footnoteReference w:id="16"/>
      </w:r>
      <w:r w:rsidRPr="009E2B03">
        <w:rPr>
          <w:rFonts w:ascii="Calibri Light" w:hAnsi="Calibri Light"/>
          <w:sz w:val="22"/>
        </w:rPr>
        <w:t xml:space="preserve">, </w:t>
      </w:r>
      <w:r w:rsidR="00CF0F96" w:rsidRPr="009E2B03">
        <w:rPr>
          <w:rFonts w:ascii="Calibri Light" w:hAnsi="Calibri Light"/>
          <w:sz w:val="22"/>
        </w:rPr>
        <w:t xml:space="preserve">pregnant women, women with disability </w:t>
      </w:r>
      <w:r w:rsidRPr="009E2B03">
        <w:rPr>
          <w:rFonts w:ascii="Calibri Light" w:hAnsi="Calibri Light"/>
          <w:sz w:val="22"/>
        </w:rPr>
        <w:t>and women who have experienced homelessness</w:t>
      </w:r>
      <w:r w:rsidR="00CF0F96" w:rsidRPr="009E2B03">
        <w:rPr>
          <w:rFonts w:ascii="Calibri Light" w:hAnsi="Calibri Light"/>
          <w:sz w:val="22"/>
        </w:rPr>
        <w:t xml:space="preserve"> as a result of violence</w:t>
      </w:r>
      <w:r w:rsidRPr="009E2B03">
        <w:rPr>
          <w:rFonts w:ascii="Calibri Light" w:hAnsi="Calibri Light"/>
          <w:sz w:val="22"/>
        </w:rPr>
        <w:t>.</w:t>
      </w:r>
      <w:r w:rsidR="003308D7" w:rsidRPr="009E2B03">
        <w:rPr>
          <w:rFonts w:ascii="Calibri Light" w:hAnsi="Calibri Light"/>
          <w:sz w:val="22"/>
          <w:vertAlign w:val="superscript"/>
        </w:rPr>
        <w:footnoteReference w:id="17"/>
      </w:r>
      <w:r w:rsidR="003308D7" w:rsidRPr="009E2B03">
        <w:rPr>
          <w:rFonts w:ascii="Calibri Light" w:hAnsi="Calibri Light"/>
          <w:sz w:val="22"/>
        </w:rPr>
        <w:t xml:space="preserve"> </w:t>
      </w:r>
    </w:p>
    <w:p w14:paraId="06F73CE0" w14:textId="77777777" w:rsidR="00F15732" w:rsidRPr="009E2B03" w:rsidRDefault="005A7224" w:rsidP="00F15732">
      <w:pPr>
        <w:rPr>
          <w:rFonts w:ascii="Calibri Light" w:hAnsi="Calibri Light"/>
          <w:sz w:val="22"/>
        </w:rPr>
      </w:pPr>
      <w:r w:rsidRPr="009E2B03">
        <w:rPr>
          <w:rFonts w:ascii="Calibri Light" w:hAnsi="Calibri Light"/>
          <w:sz w:val="22"/>
        </w:rPr>
        <w:t>A</w:t>
      </w:r>
      <w:r w:rsidR="00F22EDD" w:rsidRPr="009E2B03">
        <w:rPr>
          <w:rFonts w:ascii="Calibri Light" w:hAnsi="Calibri Light"/>
          <w:sz w:val="22"/>
        </w:rPr>
        <w:t xml:space="preserve"> number of </w:t>
      </w:r>
      <w:r w:rsidRPr="009E2B03">
        <w:rPr>
          <w:rFonts w:ascii="Calibri Light" w:hAnsi="Calibri Light"/>
          <w:sz w:val="22"/>
        </w:rPr>
        <w:t xml:space="preserve">recent </w:t>
      </w:r>
      <w:r w:rsidR="00F22EDD" w:rsidRPr="009E2B03">
        <w:rPr>
          <w:rFonts w:ascii="Calibri Light" w:hAnsi="Calibri Light"/>
          <w:sz w:val="22"/>
        </w:rPr>
        <w:t>studies have estimated the cost of violence against women and their children on individuals, governments, and the broader society. However, despite</w:t>
      </w:r>
      <w:r w:rsidR="003308D7" w:rsidRPr="009E2B03">
        <w:rPr>
          <w:rFonts w:ascii="Calibri Light" w:hAnsi="Calibri Light"/>
          <w:sz w:val="22"/>
        </w:rPr>
        <w:t xml:space="preserve"> substantial developments in research and analysis around the </w:t>
      </w:r>
      <w:r w:rsidR="00F22EDD" w:rsidRPr="009E2B03">
        <w:rPr>
          <w:rFonts w:ascii="Calibri Light" w:hAnsi="Calibri Light"/>
          <w:sz w:val="22"/>
        </w:rPr>
        <w:t xml:space="preserve">nature, risk and </w:t>
      </w:r>
      <w:r w:rsidR="003308D7" w:rsidRPr="009E2B03">
        <w:rPr>
          <w:rFonts w:ascii="Calibri Light" w:hAnsi="Calibri Light"/>
          <w:sz w:val="22"/>
        </w:rPr>
        <w:t xml:space="preserve">impact of violence, there remains scope for </w:t>
      </w:r>
      <w:r w:rsidRPr="009E2B03">
        <w:rPr>
          <w:rFonts w:ascii="Calibri Light" w:hAnsi="Calibri Light"/>
          <w:sz w:val="22"/>
        </w:rPr>
        <w:t xml:space="preserve">more </w:t>
      </w:r>
      <w:r w:rsidR="003308D7" w:rsidRPr="009E2B03">
        <w:rPr>
          <w:rFonts w:ascii="Calibri Light" w:hAnsi="Calibri Light"/>
          <w:sz w:val="22"/>
        </w:rPr>
        <w:t>work</w:t>
      </w:r>
      <w:r w:rsidRPr="009E2B03">
        <w:rPr>
          <w:rFonts w:ascii="Calibri Light" w:hAnsi="Calibri Light"/>
          <w:sz w:val="22"/>
        </w:rPr>
        <w:t>.</w:t>
      </w:r>
      <w:r w:rsidR="003308D7" w:rsidRPr="009E2B03">
        <w:rPr>
          <w:rFonts w:ascii="Calibri Light" w:hAnsi="Calibri Light"/>
          <w:sz w:val="22"/>
        </w:rPr>
        <w:t xml:space="preserve"> </w:t>
      </w:r>
      <w:r w:rsidRPr="009E2B03">
        <w:rPr>
          <w:rFonts w:ascii="Calibri Light" w:hAnsi="Calibri Light"/>
          <w:sz w:val="22"/>
        </w:rPr>
        <w:t>Additional work could create a</w:t>
      </w:r>
      <w:r w:rsidR="003308D7" w:rsidRPr="009E2B03">
        <w:rPr>
          <w:rFonts w:ascii="Calibri Light" w:hAnsi="Calibri Light"/>
          <w:sz w:val="22"/>
        </w:rPr>
        <w:t xml:space="preserve"> better understand</w:t>
      </w:r>
      <w:r w:rsidRPr="009E2B03">
        <w:rPr>
          <w:rFonts w:ascii="Calibri Light" w:hAnsi="Calibri Light"/>
          <w:sz w:val="22"/>
        </w:rPr>
        <w:t>ing of</w:t>
      </w:r>
      <w:r w:rsidR="003308D7" w:rsidRPr="009E2B03">
        <w:rPr>
          <w:rFonts w:ascii="Calibri Light" w:hAnsi="Calibri Light"/>
          <w:sz w:val="22"/>
        </w:rPr>
        <w:t xml:space="preserve"> the prevalence of violence among different cohorts, </w:t>
      </w:r>
      <w:r w:rsidR="00F22EDD" w:rsidRPr="009E2B03">
        <w:rPr>
          <w:rFonts w:ascii="Calibri Light" w:hAnsi="Calibri Light"/>
          <w:sz w:val="22"/>
        </w:rPr>
        <w:t>key contributing risk factors that may increase vulnerability to experiencing violence, as well as the extent of unreported violence and the barriers that may prevent women from seeking help and support.</w:t>
      </w:r>
    </w:p>
    <w:p w14:paraId="55E7169F" w14:textId="77777777" w:rsidR="003308D7" w:rsidRPr="009E2B03" w:rsidRDefault="00F15732" w:rsidP="00F15732">
      <w:pPr>
        <w:rPr>
          <w:rFonts w:ascii="Calibri Light" w:hAnsi="Calibri Light"/>
          <w:sz w:val="22"/>
        </w:rPr>
      </w:pPr>
      <w:r w:rsidRPr="009E2B03">
        <w:rPr>
          <w:rFonts w:ascii="Calibri Light" w:hAnsi="Calibri Light"/>
          <w:sz w:val="22"/>
        </w:rPr>
        <w:lastRenderedPageBreak/>
        <w:t>Addressing the issue of violence against women and their children is complex, and will necessitate generational change and ongoing and targeted investment into long term solutions. The collecti</w:t>
      </w:r>
      <w:r w:rsidR="00CF0F96" w:rsidRPr="009E2B03">
        <w:rPr>
          <w:rFonts w:ascii="Calibri Light" w:hAnsi="Calibri Light"/>
          <w:sz w:val="22"/>
        </w:rPr>
        <w:t>ve commitment by Commonwealth, state and t</w:t>
      </w:r>
      <w:r w:rsidRPr="009E2B03">
        <w:rPr>
          <w:rFonts w:ascii="Calibri Light" w:hAnsi="Calibri Light"/>
          <w:sz w:val="22"/>
        </w:rPr>
        <w:t xml:space="preserve">erritory governments made in recent Council of Australian Governments (COAG) meetings towards reducing the extent of violence across Australia has been well recognised by key stakeholders as an important step towards achieving this outcome. </w:t>
      </w:r>
    </w:p>
    <w:p w14:paraId="1D5BA2E9" w14:textId="77777777" w:rsidR="006528CB" w:rsidRPr="009E2B03" w:rsidRDefault="006528CB" w:rsidP="003308D7">
      <w:pPr>
        <w:pStyle w:val="Heading2"/>
        <w:rPr>
          <w:rFonts w:ascii="Calibri Light" w:hAnsi="Calibri Light"/>
          <w:color w:val="6D2077"/>
          <w:sz w:val="36"/>
        </w:rPr>
      </w:pPr>
      <w:bookmarkStart w:id="37" w:name="_Toc449553509"/>
      <w:r w:rsidRPr="009E2B03">
        <w:rPr>
          <w:rFonts w:ascii="Calibri Light" w:hAnsi="Calibri Light"/>
          <w:color w:val="6D2077"/>
          <w:sz w:val="36"/>
        </w:rPr>
        <w:t>The policy context in Australia</w:t>
      </w:r>
      <w:bookmarkEnd w:id="37"/>
    </w:p>
    <w:p w14:paraId="5F85939E" w14:textId="77777777" w:rsidR="00785387" w:rsidRPr="009E2B03" w:rsidRDefault="00785387" w:rsidP="00785387">
      <w:pPr>
        <w:pStyle w:val="BodyText"/>
        <w:rPr>
          <w:rFonts w:ascii="Calibri Light" w:hAnsi="Calibri Light"/>
          <w:sz w:val="22"/>
        </w:rPr>
      </w:pPr>
      <w:r w:rsidRPr="009E2B03">
        <w:rPr>
          <w:rFonts w:ascii="Calibri Light" w:hAnsi="Calibri Light"/>
          <w:sz w:val="22"/>
        </w:rPr>
        <w:t>Recognition of the significant and lifelong impacts of violence against women and their children, has driven a number of important policy developments to help address this issue. The National Plan</w:t>
      </w:r>
      <w:r w:rsidR="00C50B2D" w:rsidRPr="009E2B03">
        <w:rPr>
          <w:rFonts w:ascii="Calibri Light" w:hAnsi="Calibri Light"/>
          <w:sz w:val="22"/>
        </w:rPr>
        <w:t xml:space="preserve"> to Reduce Violence against Women and their Children 2010-2022 (‘the National Plan’)</w:t>
      </w:r>
      <w:r w:rsidR="001700FE" w:rsidRPr="009E2B03">
        <w:rPr>
          <w:rFonts w:ascii="Calibri Light" w:hAnsi="Calibri Light"/>
          <w:sz w:val="22"/>
        </w:rPr>
        <w:t xml:space="preserve"> represents the most significant recent reform.</w:t>
      </w:r>
      <w:r w:rsidRPr="009E2B03">
        <w:rPr>
          <w:rFonts w:ascii="Calibri Light" w:hAnsi="Calibri Light"/>
          <w:sz w:val="22"/>
        </w:rPr>
        <w:t xml:space="preserve"> </w:t>
      </w:r>
      <w:r w:rsidR="001700FE" w:rsidRPr="009E2B03">
        <w:rPr>
          <w:rFonts w:ascii="Calibri Light" w:hAnsi="Calibri Light"/>
          <w:sz w:val="22"/>
        </w:rPr>
        <w:t>T</w:t>
      </w:r>
      <w:r w:rsidRPr="009E2B03">
        <w:rPr>
          <w:rFonts w:ascii="Calibri Light" w:hAnsi="Calibri Light"/>
          <w:sz w:val="22"/>
        </w:rPr>
        <w:t xml:space="preserve">he </w:t>
      </w:r>
      <w:r w:rsidR="001700FE" w:rsidRPr="009E2B03">
        <w:rPr>
          <w:rFonts w:ascii="Calibri Light" w:hAnsi="Calibri Light"/>
          <w:sz w:val="22"/>
        </w:rPr>
        <w:t xml:space="preserve">National Plan is the </w:t>
      </w:r>
      <w:r w:rsidRPr="009E2B03">
        <w:rPr>
          <w:rFonts w:ascii="Calibri Light" w:hAnsi="Calibri Light"/>
          <w:sz w:val="22"/>
        </w:rPr>
        <w:t xml:space="preserve">first plan to coordinate the individual </w:t>
      </w:r>
      <w:r w:rsidR="00CF0F96" w:rsidRPr="009E2B03">
        <w:rPr>
          <w:rFonts w:ascii="Calibri Light" w:hAnsi="Calibri Light"/>
          <w:sz w:val="22"/>
        </w:rPr>
        <w:t>approaches of individual state</w:t>
      </w:r>
      <w:r w:rsidRPr="009E2B03">
        <w:rPr>
          <w:rFonts w:ascii="Calibri Light" w:hAnsi="Calibri Light"/>
          <w:sz w:val="22"/>
        </w:rPr>
        <w:t xml:space="preserve"> and </w:t>
      </w:r>
      <w:r w:rsidR="00CF0F96" w:rsidRPr="009E2B03">
        <w:rPr>
          <w:rFonts w:ascii="Calibri Light" w:hAnsi="Calibri Light"/>
          <w:sz w:val="22"/>
        </w:rPr>
        <w:t>t</w:t>
      </w:r>
      <w:r w:rsidRPr="009E2B03">
        <w:rPr>
          <w:rFonts w:ascii="Calibri Light" w:hAnsi="Calibri Light"/>
          <w:sz w:val="22"/>
        </w:rPr>
        <w:t>erritory governments across Australia. The National Plan consists of four discrete three-year plans, with an overarching strategy and set of directives to be implemented in the period from 2010 to 2022.</w:t>
      </w:r>
    </w:p>
    <w:p w14:paraId="227CFF79" w14:textId="77777777" w:rsidR="00785387" w:rsidRPr="009E2B03" w:rsidRDefault="00785387" w:rsidP="00785387">
      <w:pPr>
        <w:pStyle w:val="BodyText"/>
        <w:rPr>
          <w:rFonts w:ascii="Calibri Light" w:hAnsi="Calibri Light"/>
          <w:sz w:val="22"/>
        </w:rPr>
      </w:pPr>
      <w:r w:rsidRPr="009E2B03">
        <w:rPr>
          <w:rFonts w:ascii="Calibri Light" w:hAnsi="Calibri Light"/>
          <w:sz w:val="22"/>
        </w:rPr>
        <w:t>The National Plan and the Second Action Plan (2013-</w:t>
      </w:r>
      <w:r w:rsidR="001700FE" w:rsidRPr="009E2B03">
        <w:rPr>
          <w:rFonts w:ascii="Calibri Light" w:hAnsi="Calibri Light"/>
          <w:sz w:val="22"/>
        </w:rPr>
        <w:t>20</w:t>
      </w:r>
      <w:r w:rsidRPr="009E2B03">
        <w:rPr>
          <w:rFonts w:ascii="Calibri Light" w:hAnsi="Calibri Light"/>
          <w:sz w:val="22"/>
        </w:rPr>
        <w:t>16) both recognise the far-reaching impacts, and the substantial costs, of violence and abuse against women and their children in Australia. These two plans also represent significant steps towards addressing issues within the broader system of services and support for women experiencing violence.</w:t>
      </w:r>
      <w:r w:rsidRPr="009E2B03" w:rsidDel="00FB33A0">
        <w:rPr>
          <w:rFonts w:ascii="Calibri Light" w:hAnsi="Calibri Light"/>
          <w:sz w:val="22"/>
        </w:rPr>
        <w:t xml:space="preserve"> </w:t>
      </w:r>
      <w:r w:rsidRPr="009E2B03">
        <w:rPr>
          <w:rFonts w:ascii="Calibri Light" w:hAnsi="Calibri Light"/>
          <w:sz w:val="22"/>
        </w:rPr>
        <w:t>The five key national priorities identified in the Second Action Plan are:</w:t>
      </w:r>
    </w:p>
    <w:p w14:paraId="30618E17" w14:textId="77777777" w:rsidR="00785387" w:rsidRPr="009E2B03" w:rsidRDefault="00785387" w:rsidP="00785387">
      <w:pPr>
        <w:pStyle w:val="BodyBullet"/>
        <w:rPr>
          <w:rFonts w:ascii="Calibri Light" w:hAnsi="Calibri Light" w:cs="Arial"/>
          <w:sz w:val="22"/>
        </w:rPr>
      </w:pPr>
      <w:r w:rsidRPr="009E2B03">
        <w:rPr>
          <w:rFonts w:ascii="Calibri Light" w:hAnsi="Calibri Light" w:cs="Arial"/>
          <w:sz w:val="22"/>
        </w:rPr>
        <w:t>driving whole-of-community action to prevent violence</w:t>
      </w:r>
    </w:p>
    <w:p w14:paraId="2994C69F" w14:textId="77777777" w:rsidR="00785387" w:rsidRPr="009E2B03" w:rsidRDefault="00785387" w:rsidP="00785387">
      <w:pPr>
        <w:pStyle w:val="BodyBullet"/>
        <w:rPr>
          <w:rFonts w:ascii="Calibri Light" w:hAnsi="Calibri Light" w:cs="Arial"/>
          <w:sz w:val="22"/>
        </w:rPr>
      </w:pPr>
      <w:r w:rsidRPr="009E2B03">
        <w:rPr>
          <w:rFonts w:ascii="Calibri Light" w:hAnsi="Calibri Light" w:cs="Arial"/>
          <w:sz w:val="22"/>
        </w:rPr>
        <w:t>understanding diverse experiences of violence</w:t>
      </w:r>
    </w:p>
    <w:p w14:paraId="4B94996D" w14:textId="77777777" w:rsidR="00785387" w:rsidRPr="009E2B03" w:rsidRDefault="00785387" w:rsidP="00785387">
      <w:pPr>
        <w:pStyle w:val="BodyBullet"/>
        <w:rPr>
          <w:rFonts w:ascii="Calibri Light" w:hAnsi="Calibri Light" w:cs="Arial"/>
          <w:sz w:val="22"/>
        </w:rPr>
      </w:pPr>
      <w:r w:rsidRPr="009E2B03">
        <w:rPr>
          <w:rFonts w:ascii="Calibri Light" w:hAnsi="Calibri Light" w:cs="Arial"/>
          <w:sz w:val="22"/>
        </w:rPr>
        <w:t>supporting innovative services and integrated systems</w:t>
      </w:r>
    </w:p>
    <w:p w14:paraId="1ECED85F" w14:textId="77777777" w:rsidR="00785387" w:rsidRPr="009E2B03" w:rsidRDefault="00785387" w:rsidP="00785387">
      <w:pPr>
        <w:pStyle w:val="BodyBullet"/>
        <w:rPr>
          <w:rFonts w:ascii="Calibri Light" w:hAnsi="Calibri Light" w:cs="Arial"/>
          <w:sz w:val="22"/>
        </w:rPr>
      </w:pPr>
      <w:r w:rsidRPr="009E2B03">
        <w:rPr>
          <w:rFonts w:ascii="Calibri Light" w:hAnsi="Calibri Light" w:cs="Arial"/>
          <w:sz w:val="22"/>
        </w:rPr>
        <w:t>improving perpetrator interventions</w:t>
      </w:r>
    </w:p>
    <w:p w14:paraId="004F6BF6" w14:textId="77777777" w:rsidR="00785387" w:rsidRPr="009E2B03" w:rsidRDefault="00785387" w:rsidP="00785387">
      <w:pPr>
        <w:pStyle w:val="BodyBullet"/>
        <w:rPr>
          <w:rFonts w:ascii="Calibri Light" w:hAnsi="Calibri Light" w:cs="Arial"/>
          <w:sz w:val="22"/>
        </w:rPr>
      </w:pPr>
      <w:r w:rsidRPr="009E2B03">
        <w:rPr>
          <w:rFonts w:ascii="Calibri Light" w:hAnsi="Calibri Light" w:cs="Arial"/>
          <w:sz w:val="22"/>
        </w:rPr>
        <w:t>continuing to build the evidence base.</w:t>
      </w:r>
    </w:p>
    <w:p w14:paraId="01ED7FBB" w14:textId="77777777" w:rsidR="00785387" w:rsidRPr="009E2B03" w:rsidRDefault="00785387" w:rsidP="00785387">
      <w:pPr>
        <w:rPr>
          <w:rFonts w:ascii="Calibri Light" w:hAnsi="Calibri Light"/>
          <w:sz w:val="22"/>
        </w:rPr>
      </w:pPr>
      <w:r w:rsidRPr="009E2B03">
        <w:rPr>
          <w:rFonts w:ascii="Calibri Light" w:hAnsi="Calibri Light"/>
          <w:sz w:val="22"/>
        </w:rPr>
        <w:t xml:space="preserve">In particular, the Second Action Plan aims to consolidate the evidence base around the strategies undertaken prior to, and within, the First Action Plan. </w:t>
      </w:r>
    </w:p>
    <w:p w14:paraId="0F49E7BA" w14:textId="1DEF1D64" w:rsidR="00785387" w:rsidRPr="009E2B03" w:rsidRDefault="00785387" w:rsidP="00785387">
      <w:pPr>
        <w:rPr>
          <w:rFonts w:ascii="Calibri Light" w:hAnsi="Calibri Light"/>
          <w:sz w:val="22"/>
        </w:rPr>
      </w:pPr>
      <w:r w:rsidRPr="009E2B03">
        <w:rPr>
          <w:rFonts w:ascii="Calibri Light" w:hAnsi="Calibri Light"/>
          <w:sz w:val="22"/>
        </w:rPr>
        <w:t xml:space="preserve">In addition to the National Plan, </w:t>
      </w:r>
      <w:r w:rsidR="006E30D9" w:rsidRPr="009E2B03">
        <w:rPr>
          <w:rFonts w:ascii="Calibri Light" w:hAnsi="Calibri Light"/>
          <w:sz w:val="22"/>
        </w:rPr>
        <w:t xml:space="preserve">additional </w:t>
      </w:r>
      <w:r w:rsidRPr="009E2B03">
        <w:rPr>
          <w:rFonts w:ascii="Calibri Light" w:hAnsi="Calibri Light"/>
          <w:sz w:val="22"/>
        </w:rPr>
        <w:t xml:space="preserve">funding packages were announced </w:t>
      </w:r>
      <w:r w:rsidR="006E30D9" w:rsidRPr="009E2B03">
        <w:rPr>
          <w:rFonts w:ascii="Calibri Light" w:hAnsi="Calibri Light"/>
          <w:sz w:val="22"/>
        </w:rPr>
        <w:t>during</w:t>
      </w:r>
      <w:r w:rsidRPr="009E2B03">
        <w:rPr>
          <w:rFonts w:ascii="Calibri Light" w:hAnsi="Calibri Light"/>
          <w:sz w:val="22"/>
        </w:rPr>
        <w:t xml:space="preserve"> 2015. In March 2015, </w:t>
      </w:r>
      <w:r w:rsidR="006E30D9" w:rsidRPr="009E2B03">
        <w:rPr>
          <w:rFonts w:ascii="Calibri Light" w:hAnsi="Calibri Light"/>
          <w:sz w:val="22"/>
        </w:rPr>
        <w:t xml:space="preserve">the Commonwealth and state governments announced </w:t>
      </w:r>
      <w:r w:rsidRPr="009E2B03">
        <w:rPr>
          <w:rFonts w:ascii="Calibri Light" w:hAnsi="Calibri Light"/>
          <w:sz w:val="22"/>
        </w:rPr>
        <w:t xml:space="preserve">a jointly-funded </w:t>
      </w:r>
      <w:r w:rsidR="006E30D9" w:rsidRPr="009E2B03">
        <w:rPr>
          <w:rFonts w:ascii="Calibri Light" w:hAnsi="Calibri Light"/>
          <w:sz w:val="22"/>
        </w:rPr>
        <w:br/>
      </w:r>
      <w:r w:rsidRPr="009E2B03">
        <w:rPr>
          <w:rFonts w:ascii="Calibri Light" w:hAnsi="Calibri Light"/>
          <w:sz w:val="22"/>
        </w:rPr>
        <w:t>$30 million awareness campaign</w:t>
      </w:r>
      <w:r w:rsidR="006E30D9" w:rsidRPr="009E2B03">
        <w:rPr>
          <w:rFonts w:ascii="Calibri Light" w:hAnsi="Calibri Light"/>
          <w:sz w:val="22"/>
        </w:rPr>
        <w:t>. I</w:t>
      </w:r>
      <w:r w:rsidRPr="009E2B03">
        <w:rPr>
          <w:rFonts w:ascii="Calibri Light" w:hAnsi="Calibri Light"/>
          <w:sz w:val="22"/>
        </w:rPr>
        <w:t xml:space="preserve">n September of the same year, the </w:t>
      </w:r>
      <w:r w:rsidR="008F2E30" w:rsidRPr="009E2B03">
        <w:rPr>
          <w:rFonts w:ascii="Calibri Light" w:hAnsi="Calibri Light"/>
          <w:sz w:val="22"/>
        </w:rPr>
        <w:t>Government</w:t>
      </w:r>
      <w:r w:rsidRPr="009E2B03">
        <w:rPr>
          <w:rFonts w:ascii="Calibri Light" w:hAnsi="Calibri Light"/>
          <w:sz w:val="22"/>
        </w:rPr>
        <w:t xml:space="preserve"> outlined an additional $100 million funding package for women and children with a high risk of experiencing violence. This package result</w:t>
      </w:r>
      <w:r w:rsidR="006E30D9" w:rsidRPr="009E2B03">
        <w:rPr>
          <w:rFonts w:ascii="Calibri Light" w:hAnsi="Calibri Light"/>
          <w:sz w:val="22"/>
        </w:rPr>
        <w:t>ed from</w:t>
      </w:r>
      <w:r w:rsidRPr="009E2B03">
        <w:rPr>
          <w:rFonts w:ascii="Calibri Light" w:hAnsi="Calibri Light"/>
          <w:sz w:val="22"/>
        </w:rPr>
        <w:t xml:space="preserve"> the recommendations of the COAG Advisory Panel of Reducing Violence against Women and their Children</w:t>
      </w:r>
      <w:r w:rsidR="006E30D9" w:rsidRPr="009E2B03">
        <w:rPr>
          <w:rFonts w:ascii="Calibri Light" w:hAnsi="Calibri Light"/>
          <w:sz w:val="22"/>
        </w:rPr>
        <w:t>. The package</w:t>
      </w:r>
      <w:r w:rsidRPr="009E2B03">
        <w:rPr>
          <w:rFonts w:ascii="Calibri Light" w:hAnsi="Calibri Light"/>
          <w:sz w:val="22"/>
        </w:rPr>
        <w:t xml:space="preserve"> includes investments in frontline support services and resources for community education to change attitudes</w:t>
      </w:r>
      <w:r w:rsidR="00CF0F96" w:rsidRPr="009E2B03">
        <w:rPr>
          <w:rFonts w:ascii="Calibri Light" w:hAnsi="Calibri Light"/>
          <w:sz w:val="22"/>
        </w:rPr>
        <w:t xml:space="preserve"> to violence and abuse. At the state and t</w:t>
      </w:r>
      <w:r w:rsidRPr="009E2B03">
        <w:rPr>
          <w:rFonts w:ascii="Calibri Light" w:hAnsi="Calibri Light"/>
          <w:sz w:val="22"/>
        </w:rPr>
        <w:t xml:space="preserve">erritory level, a number of initiatives were also established in conjunction with the National Plan, including the </w:t>
      </w:r>
      <w:r w:rsidR="00CF0F96" w:rsidRPr="009E2B03">
        <w:rPr>
          <w:rFonts w:ascii="Calibri Light" w:hAnsi="Calibri Light"/>
          <w:sz w:val="22"/>
        </w:rPr>
        <w:t>following:</w:t>
      </w:r>
    </w:p>
    <w:p w14:paraId="214B94AA" w14:textId="77777777" w:rsidR="00785387" w:rsidRPr="009E2B03" w:rsidRDefault="00785387" w:rsidP="00785387">
      <w:pPr>
        <w:pStyle w:val="BodyBullet"/>
        <w:rPr>
          <w:rFonts w:ascii="Calibri Light" w:hAnsi="Calibri Light" w:cs="Arial"/>
          <w:sz w:val="22"/>
          <w:lang w:val="en"/>
        </w:rPr>
      </w:pPr>
      <w:r w:rsidRPr="009E2B03">
        <w:rPr>
          <w:rFonts w:ascii="Calibri Light" w:hAnsi="Calibri Light" w:cs="Arial"/>
          <w:sz w:val="22"/>
          <w:lang w:val="en"/>
        </w:rPr>
        <w:t xml:space="preserve">In 2014, the NSW Government announced the It Stops Here: Domestic and Family Violence Framework, aiming to improve the way government agencies and non-government organisations respond to, and prevent domestic and family violence in NSW. This was supported with additional funding and was implemented in conjunction with the Domestic Violence Justice Strategy. </w:t>
      </w:r>
    </w:p>
    <w:p w14:paraId="6B9309FF" w14:textId="77777777" w:rsidR="00AF04EF" w:rsidRPr="009E2B03" w:rsidRDefault="00785387" w:rsidP="00AF04EF">
      <w:pPr>
        <w:pStyle w:val="BodyBullet"/>
        <w:rPr>
          <w:rFonts w:ascii="Calibri Light" w:hAnsi="Calibri Light" w:cs="Arial"/>
          <w:sz w:val="22"/>
          <w:lang w:val="en"/>
        </w:rPr>
      </w:pPr>
      <w:r w:rsidRPr="009E2B03">
        <w:rPr>
          <w:rFonts w:ascii="Calibri Light" w:hAnsi="Calibri Light" w:cs="Arial"/>
          <w:sz w:val="22"/>
          <w:lang w:val="en"/>
        </w:rPr>
        <w:t>The National Community Attitudes towards Violence against Women Survey (NCAS) was based on a questionnaire developed and implemented in 1987 and 1995 by the then Commonwealth Office of the Status of Women. It was adapted by VicHealth for implementation in Victoria in 2006 and nationally in 2009 (the latter in partnership with the Australian Government). The Australian Government funded the last two surveys in 2009 and 2013 and is funding the 2017 survey.</w:t>
      </w:r>
      <w:r w:rsidR="00AF04EF" w:rsidRPr="009E2B03">
        <w:rPr>
          <w:rFonts w:ascii="Calibri Light" w:hAnsi="Calibri Light" w:cs="Arial"/>
          <w:sz w:val="22"/>
          <w:lang w:val="en"/>
        </w:rPr>
        <w:t xml:space="preserve"> </w:t>
      </w:r>
    </w:p>
    <w:p w14:paraId="02F361BB" w14:textId="77777777" w:rsidR="00AF04EF" w:rsidRPr="009E2B03" w:rsidRDefault="00AF04EF" w:rsidP="00AF04EF">
      <w:pPr>
        <w:pStyle w:val="BodyBullet"/>
        <w:rPr>
          <w:rFonts w:ascii="Calibri Light" w:hAnsi="Calibri Light" w:cs="Arial"/>
          <w:sz w:val="22"/>
          <w:lang w:val="en"/>
        </w:rPr>
      </w:pPr>
      <w:r w:rsidRPr="009E2B03">
        <w:rPr>
          <w:rFonts w:ascii="Calibri Light" w:hAnsi="Calibri Light" w:cs="Arial"/>
          <w:sz w:val="22"/>
          <w:lang w:val="en"/>
        </w:rPr>
        <w:lastRenderedPageBreak/>
        <w:t>Increased public awareness about violence against women and their children also prompted the 2015 Royal Commission into Family Violence in Victoria. The Royal Commission submitted its report on 30 March 2016, putting forward 227 recommendations “directed at improving the foundations of the current system, seizing opportunities to transform the way that we respond to family violence, and building the structures that will guide and oversee a long-term reform program that deals with all aspects of family violence.”</w:t>
      </w:r>
      <w:r w:rsidRPr="009E2B03">
        <w:rPr>
          <w:rStyle w:val="FootnoteReference"/>
          <w:rFonts w:ascii="Calibri Light" w:hAnsi="Calibri Light" w:cs="Arial"/>
          <w:sz w:val="22"/>
          <w:lang w:val="en"/>
        </w:rPr>
        <w:footnoteReference w:id="18"/>
      </w:r>
      <w:r w:rsidRPr="009E2B03">
        <w:rPr>
          <w:rFonts w:ascii="Calibri Light" w:hAnsi="Calibri Light" w:cs="Arial"/>
          <w:sz w:val="22"/>
          <w:lang w:val="en"/>
        </w:rPr>
        <w:t xml:space="preserve"> The Victorian Premier</w:t>
      </w:r>
      <w:r w:rsidR="003D04C2" w:rsidRPr="009E2B03">
        <w:rPr>
          <w:rFonts w:ascii="Calibri Light" w:hAnsi="Calibri Light" w:cs="Arial"/>
          <w:sz w:val="22"/>
          <w:lang w:val="en"/>
        </w:rPr>
        <w:t>,</w:t>
      </w:r>
      <w:r w:rsidRPr="009E2B03">
        <w:rPr>
          <w:rFonts w:ascii="Calibri Light" w:hAnsi="Calibri Light" w:cs="Arial"/>
          <w:sz w:val="22"/>
          <w:lang w:val="en"/>
        </w:rPr>
        <w:t xml:space="preserve"> Daniel Andrews</w:t>
      </w:r>
      <w:r w:rsidR="003D04C2" w:rsidRPr="009E2B03">
        <w:rPr>
          <w:rFonts w:ascii="Calibri Light" w:hAnsi="Calibri Light" w:cs="Arial"/>
          <w:sz w:val="22"/>
          <w:lang w:val="en"/>
        </w:rPr>
        <w:t>,</w:t>
      </w:r>
      <w:r w:rsidRPr="009E2B03">
        <w:rPr>
          <w:rFonts w:ascii="Calibri Light" w:hAnsi="Calibri Light" w:cs="Arial"/>
          <w:sz w:val="22"/>
          <w:lang w:val="en"/>
        </w:rPr>
        <w:t xml:space="preserve"> has promised to implement all of the recommendations.</w:t>
      </w:r>
    </w:p>
    <w:p w14:paraId="4DF8F5F6" w14:textId="77777777" w:rsidR="00785387" w:rsidRPr="009E2B03" w:rsidRDefault="00AF04EF" w:rsidP="00AF04EF">
      <w:pPr>
        <w:pStyle w:val="BodyBullet"/>
        <w:rPr>
          <w:rFonts w:ascii="Calibri Light" w:hAnsi="Calibri Light" w:cs="Arial"/>
          <w:sz w:val="22"/>
          <w:lang w:val="en"/>
        </w:rPr>
      </w:pPr>
      <w:r w:rsidRPr="009E2B03">
        <w:rPr>
          <w:rFonts w:ascii="Calibri Light" w:hAnsi="Calibri Light" w:cs="Arial"/>
          <w:sz w:val="22"/>
          <w:lang w:val="en"/>
        </w:rPr>
        <w:t xml:space="preserve">In 2015, the Queensland Government announced the release of the Special Taskforce on Domestic Violence in Queensland report </w:t>
      </w:r>
      <w:r w:rsidRPr="009E2B03">
        <w:rPr>
          <w:rFonts w:ascii="Calibri Light" w:hAnsi="Calibri Light" w:cs="Arial"/>
          <w:i/>
          <w:sz w:val="22"/>
          <w:lang w:val="en"/>
        </w:rPr>
        <w:t>Not Now, Not Ever</w:t>
      </w:r>
      <w:r w:rsidRPr="009E2B03">
        <w:rPr>
          <w:rFonts w:ascii="Calibri Light" w:hAnsi="Calibri Light" w:cs="Arial"/>
          <w:sz w:val="22"/>
          <w:lang w:val="en"/>
        </w:rPr>
        <w:t xml:space="preserve">. Chaired by </w:t>
      </w:r>
      <w:r w:rsidR="003D04C2" w:rsidRPr="009E2B03">
        <w:rPr>
          <w:rFonts w:ascii="Calibri Light" w:hAnsi="Calibri Light" w:cs="Arial"/>
          <w:sz w:val="22"/>
          <w:lang w:val="en"/>
        </w:rPr>
        <w:br/>
      </w:r>
      <w:r w:rsidRPr="009E2B03">
        <w:rPr>
          <w:rFonts w:ascii="Calibri Light" w:hAnsi="Calibri Light" w:cs="Arial"/>
          <w:sz w:val="22"/>
          <w:lang w:val="en"/>
        </w:rPr>
        <w:t xml:space="preserve">Quintin Bryce, the Taskforce undertook extensive consultation, research and community engagement activities to identify the </w:t>
      </w:r>
      <w:r w:rsidR="001E0A8C" w:rsidRPr="009E2B03">
        <w:rPr>
          <w:rFonts w:ascii="Calibri Light" w:hAnsi="Calibri Light" w:cs="Arial"/>
          <w:sz w:val="22"/>
          <w:lang w:val="en"/>
        </w:rPr>
        <w:t xml:space="preserve">scope and </w:t>
      </w:r>
      <w:r w:rsidRPr="009E2B03">
        <w:rPr>
          <w:rFonts w:ascii="Calibri Light" w:hAnsi="Calibri Light" w:cs="Arial"/>
          <w:sz w:val="22"/>
          <w:lang w:val="en"/>
        </w:rPr>
        <w:t>structure of the problem of violence and provide comprehensive recommendations for a state wide prevention model.</w:t>
      </w:r>
    </w:p>
    <w:p w14:paraId="6300AC98" w14:textId="77777777" w:rsidR="00785387" w:rsidRPr="009E2B03" w:rsidRDefault="00785387" w:rsidP="00785387">
      <w:pPr>
        <w:rPr>
          <w:rFonts w:ascii="Calibri Light" w:hAnsi="Calibri Light"/>
          <w:sz w:val="22"/>
        </w:rPr>
      </w:pPr>
      <w:r w:rsidRPr="009E2B03">
        <w:rPr>
          <w:rFonts w:ascii="Calibri Light" w:hAnsi="Calibri Light"/>
          <w:sz w:val="22"/>
        </w:rPr>
        <w:t xml:space="preserve">The National Plan, in conjunction with </w:t>
      </w:r>
      <w:r w:rsidR="00CF0F96" w:rsidRPr="009E2B03">
        <w:rPr>
          <w:rFonts w:ascii="Calibri Light" w:hAnsi="Calibri Light"/>
          <w:sz w:val="22"/>
        </w:rPr>
        <w:t>s</w:t>
      </w:r>
      <w:r w:rsidR="00C50B2D" w:rsidRPr="009E2B03">
        <w:rPr>
          <w:rFonts w:ascii="Calibri Light" w:hAnsi="Calibri Light"/>
          <w:sz w:val="22"/>
        </w:rPr>
        <w:t xml:space="preserve">tate and </w:t>
      </w:r>
      <w:r w:rsidR="00CF0F96" w:rsidRPr="009E2B03">
        <w:rPr>
          <w:rFonts w:ascii="Calibri Light" w:hAnsi="Calibri Light"/>
          <w:sz w:val="22"/>
        </w:rPr>
        <w:t>t</w:t>
      </w:r>
      <w:r w:rsidR="00C50B2D" w:rsidRPr="009E2B03">
        <w:rPr>
          <w:rFonts w:ascii="Calibri Light" w:hAnsi="Calibri Light"/>
          <w:sz w:val="22"/>
        </w:rPr>
        <w:t>erritory-based initiatives</w:t>
      </w:r>
      <w:r w:rsidRPr="009E2B03">
        <w:rPr>
          <w:rFonts w:ascii="Calibri Light" w:hAnsi="Calibri Light"/>
          <w:sz w:val="22"/>
        </w:rPr>
        <w:t xml:space="preserve">, speaks to, and further influences, the changing nature of attitudes to violence against women and their children, and the public impetus for change as a key driver for addressing the problem. This growing public understanding of violence against women and their children is particularly relevant given the </w:t>
      </w:r>
      <w:r w:rsidR="003D04C2" w:rsidRPr="009E2B03">
        <w:rPr>
          <w:rFonts w:ascii="Calibri Light" w:hAnsi="Calibri Light"/>
          <w:sz w:val="22"/>
        </w:rPr>
        <w:t xml:space="preserve">importance </w:t>
      </w:r>
      <w:r w:rsidRPr="009E2B03">
        <w:rPr>
          <w:rFonts w:ascii="Calibri Light" w:hAnsi="Calibri Light"/>
          <w:sz w:val="22"/>
        </w:rPr>
        <w:t>of shifting cultural attitudes to successfully address violence against women and their children.</w:t>
      </w:r>
      <w:r w:rsidRPr="009E2B03">
        <w:rPr>
          <w:rStyle w:val="FootnoteReference"/>
          <w:rFonts w:ascii="Calibri Light" w:hAnsi="Calibri Light"/>
          <w:sz w:val="22"/>
        </w:rPr>
        <w:footnoteReference w:id="19"/>
      </w:r>
      <w:r w:rsidRPr="009E2B03">
        <w:rPr>
          <w:rFonts w:ascii="Calibri Light" w:hAnsi="Calibri Light"/>
          <w:sz w:val="22"/>
        </w:rPr>
        <w:t xml:space="preserve"> </w:t>
      </w:r>
    </w:p>
    <w:p w14:paraId="2BEA25FA" w14:textId="77777777" w:rsidR="003308D7" w:rsidRPr="009E2B03" w:rsidRDefault="003308D7" w:rsidP="003308D7">
      <w:pPr>
        <w:pStyle w:val="Heading2"/>
        <w:rPr>
          <w:rFonts w:ascii="Calibri Light" w:hAnsi="Calibri Light"/>
          <w:color w:val="6D2077"/>
          <w:sz w:val="36"/>
        </w:rPr>
      </w:pPr>
      <w:bookmarkStart w:id="38" w:name="_Toc449553510"/>
      <w:r w:rsidRPr="009E2B03">
        <w:rPr>
          <w:rFonts w:ascii="Calibri Light" w:hAnsi="Calibri Light"/>
          <w:color w:val="6D2077"/>
          <w:sz w:val="36"/>
        </w:rPr>
        <w:t xml:space="preserve">Purpose and scope of this </w:t>
      </w:r>
      <w:r w:rsidR="00C8494E" w:rsidRPr="009E2B03">
        <w:rPr>
          <w:rFonts w:ascii="Calibri Light" w:hAnsi="Calibri Light"/>
          <w:color w:val="6D2077"/>
          <w:sz w:val="36"/>
        </w:rPr>
        <w:t>Report</w:t>
      </w:r>
      <w:bookmarkEnd w:id="38"/>
      <w:r w:rsidR="00C8494E" w:rsidRPr="009E2B03">
        <w:rPr>
          <w:rFonts w:ascii="Calibri Light" w:hAnsi="Calibri Light"/>
          <w:color w:val="6D2077"/>
          <w:sz w:val="36"/>
        </w:rPr>
        <w:t xml:space="preserve"> </w:t>
      </w:r>
    </w:p>
    <w:p w14:paraId="50BFAABB" w14:textId="77777777" w:rsidR="003308D7" w:rsidRPr="009E2B03" w:rsidRDefault="003308D7" w:rsidP="003308D7">
      <w:pPr>
        <w:rPr>
          <w:rFonts w:ascii="Calibri Light" w:hAnsi="Calibri Light"/>
          <w:sz w:val="22"/>
        </w:rPr>
      </w:pPr>
      <w:r w:rsidRPr="009E2B03">
        <w:rPr>
          <w:rFonts w:ascii="Calibri Light" w:hAnsi="Calibri Light"/>
          <w:sz w:val="22"/>
        </w:rPr>
        <w:t xml:space="preserve">The purpose of this </w:t>
      </w:r>
      <w:r w:rsidR="00C8494E" w:rsidRPr="009E2B03">
        <w:rPr>
          <w:rFonts w:ascii="Calibri Light" w:hAnsi="Calibri Light"/>
          <w:sz w:val="22"/>
        </w:rPr>
        <w:t xml:space="preserve">Report </w:t>
      </w:r>
      <w:r w:rsidRPr="009E2B03">
        <w:rPr>
          <w:rFonts w:ascii="Calibri Light" w:hAnsi="Calibri Light"/>
          <w:sz w:val="22"/>
        </w:rPr>
        <w:t>is to updat</w:t>
      </w:r>
      <w:r w:rsidR="00C8494E" w:rsidRPr="009E2B03">
        <w:rPr>
          <w:rFonts w:ascii="Calibri Light" w:hAnsi="Calibri Light"/>
          <w:sz w:val="22"/>
        </w:rPr>
        <w:t>e</w:t>
      </w:r>
      <w:r w:rsidRPr="009E2B03">
        <w:rPr>
          <w:rFonts w:ascii="Calibri Light" w:hAnsi="Calibri Light"/>
          <w:sz w:val="22"/>
        </w:rPr>
        <w:t xml:space="preserve"> KPMG’s 2009 report and analysis, </w:t>
      </w:r>
      <w:r w:rsidRPr="009E2B03">
        <w:rPr>
          <w:rFonts w:ascii="Calibri Light" w:hAnsi="Calibri Light"/>
          <w:i/>
          <w:sz w:val="22"/>
        </w:rPr>
        <w:t>The Cost of Violence against Women and their Children</w:t>
      </w:r>
      <w:r w:rsidRPr="009E2B03">
        <w:rPr>
          <w:rFonts w:ascii="Calibri Light" w:hAnsi="Calibri Light"/>
          <w:sz w:val="22"/>
        </w:rPr>
        <w:t xml:space="preserve">. This </w:t>
      </w:r>
      <w:r w:rsidR="00C8494E" w:rsidRPr="009E2B03">
        <w:rPr>
          <w:rFonts w:ascii="Calibri Light" w:hAnsi="Calibri Light"/>
          <w:sz w:val="22"/>
        </w:rPr>
        <w:t>Report also s</w:t>
      </w:r>
      <w:r w:rsidR="003D04C2" w:rsidRPr="009E2B03">
        <w:rPr>
          <w:rFonts w:ascii="Calibri Light" w:hAnsi="Calibri Light"/>
          <w:sz w:val="22"/>
        </w:rPr>
        <w:t>eeks</w:t>
      </w:r>
      <w:r w:rsidR="00C8494E" w:rsidRPr="009E2B03">
        <w:rPr>
          <w:rFonts w:ascii="Calibri Light" w:hAnsi="Calibri Light"/>
          <w:sz w:val="22"/>
        </w:rPr>
        <w:t xml:space="preserve"> to </w:t>
      </w:r>
      <w:r w:rsidR="003D04C2" w:rsidRPr="009E2B03">
        <w:rPr>
          <w:rFonts w:ascii="Calibri Light" w:hAnsi="Calibri Light"/>
          <w:sz w:val="22"/>
        </w:rPr>
        <w:t>enhance</w:t>
      </w:r>
      <w:r w:rsidR="00C8494E" w:rsidRPr="009E2B03">
        <w:rPr>
          <w:rFonts w:ascii="Calibri Light" w:hAnsi="Calibri Light"/>
          <w:sz w:val="22"/>
        </w:rPr>
        <w:t xml:space="preserve">, refine, and </w:t>
      </w:r>
      <w:r w:rsidR="007A3A68" w:rsidRPr="009E2B03">
        <w:rPr>
          <w:rFonts w:ascii="Calibri Light" w:hAnsi="Calibri Light"/>
          <w:sz w:val="22"/>
        </w:rPr>
        <w:t>extend</w:t>
      </w:r>
      <w:r w:rsidR="00C8494E" w:rsidRPr="009E2B03">
        <w:rPr>
          <w:rFonts w:ascii="Calibri Light" w:hAnsi="Calibri Light"/>
          <w:sz w:val="22"/>
        </w:rPr>
        <w:t xml:space="preserve"> the previous approach to </w:t>
      </w:r>
      <w:r w:rsidRPr="009E2B03">
        <w:rPr>
          <w:rFonts w:ascii="Calibri Light" w:hAnsi="Calibri Light"/>
          <w:sz w:val="22"/>
        </w:rPr>
        <w:t xml:space="preserve">better contribute to the evidence base for the implementation of the National Plan and the development of the Third Action Plan 2016-2019 – Promising Results (‘the Third Action Plan’). </w:t>
      </w:r>
    </w:p>
    <w:p w14:paraId="6405A9A3" w14:textId="77777777" w:rsidR="003308D7" w:rsidRPr="009E2B03" w:rsidRDefault="003308D7" w:rsidP="00C50B2D">
      <w:pPr>
        <w:tabs>
          <w:tab w:val="left" w:pos="5580"/>
        </w:tabs>
        <w:rPr>
          <w:rFonts w:ascii="Calibri Light" w:hAnsi="Calibri Light"/>
          <w:sz w:val="22"/>
        </w:rPr>
      </w:pPr>
      <w:r w:rsidRPr="009E2B03">
        <w:rPr>
          <w:rFonts w:ascii="Calibri Light" w:hAnsi="Calibri Light"/>
          <w:sz w:val="22"/>
        </w:rPr>
        <w:t xml:space="preserve">Specifically, this Report seeks to: </w:t>
      </w:r>
      <w:r w:rsidR="00C50B2D" w:rsidRPr="009E2B03">
        <w:rPr>
          <w:rFonts w:ascii="Calibri Light" w:hAnsi="Calibri Light"/>
          <w:sz w:val="22"/>
        </w:rPr>
        <w:tab/>
      </w:r>
    </w:p>
    <w:p w14:paraId="4849CD06" w14:textId="77777777" w:rsidR="004274D6" w:rsidRPr="009E2B03" w:rsidRDefault="004274D6" w:rsidP="004274D6">
      <w:pPr>
        <w:pStyle w:val="BodyBullet"/>
        <w:rPr>
          <w:rFonts w:ascii="Calibri Light" w:hAnsi="Calibri Light" w:cs="Arial"/>
          <w:i/>
          <w:sz w:val="22"/>
        </w:rPr>
      </w:pPr>
      <w:r w:rsidRPr="009E2B03">
        <w:rPr>
          <w:rFonts w:ascii="Calibri Light" w:hAnsi="Calibri Light" w:cs="Arial"/>
          <w:sz w:val="22"/>
        </w:rPr>
        <w:t>discuss the strengths and limitations of earlier approaches, and outline the</w:t>
      </w:r>
      <w:r w:rsidR="00F15732" w:rsidRPr="009E2B03">
        <w:rPr>
          <w:rFonts w:ascii="Calibri Light" w:hAnsi="Calibri Light" w:cs="Arial"/>
          <w:sz w:val="22"/>
        </w:rPr>
        <w:t xml:space="preserve"> methodological</w:t>
      </w:r>
      <w:r w:rsidRPr="009E2B03">
        <w:rPr>
          <w:rFonts w:ascii="Calibri Light" w:hAnsi="Calibri Light" w:cs="Arial"/>
          <w:sz w:val="22"/>
        </w:rPr>
        <w:t xml:space="preserve"> refinements that have been made to better account for the complexity of the issues and the scope of available data and information</w:t>
      </w:r>
    </w:p>
    <w:p w14:paraId="524B2DDB" w14:textId="77777777" w:rsidR="004274D6" w:rsidRPr="009E2B03" w:rsidRDefault="004274D6" w:rsidP="004274D6">
      <w:pPr>
        <w:pStyle w:val="BodyBullet"/>
        <w:rPr>
          <w:rFonts w:ascii="Calibri Light" w:hAnsi="Calibri Light" w:cs="Arial"/>
          <w:i/>
          <w:sz w:val="22"/>
        </w:rPr>
      </w:pPr>
      <w:r w:rsidRPr="009E2B03">
        <w:rPr>
          <w:rFonts w:ascii="Calibri Light" w:hAnsi="Calibri Light" w:cs="Arial"/>
          <w:sz w:val="22"/>
        </w:rPr>
        <w:t xml:space="preserve">outline all available </w:t>
      </w:r>
      <w:r w:rsidR="00F15732" w:rsidRPr="009E2B03">
        <w:rPr>
          <w:rFonts w:ascii="Calibri Light" w:hAnsi="Calibri Light" w:cs="Arial"/>
          <w:sz w:val="22"/>
        </w:rPr>
        <w:t xml:space="preserve">sources of </w:t>
      </w:r>
      <w:r w:rsidRPr="009E2B03">
        <w:rPr>
          <w:rFonts w:ascii="Calibri Light" w:hAnsi="Calibri Light" w:cs="Arial"/>
          <w:sz w:val="22"/>
        </w:rPr>
        <w:t>data and information, including key limitations in the nature, scope and scale of data for the costing exercise</w:t>
      </w:r>
    </w:p>
    <w:p w14:paraId="292AF9C2" w14:textId="77777777" w:rsidR="003308D7" w:rsidRPr="009E2B03" w:rsidRDefault="00C8494E">
      <w:pPr>
        <w:pStyle w:val="BodyBullet"/>
        <w:rPr>
          <w:rFonts w:ascii="Calibri Light" w:hAnsi="Calibri Light" w:cs="Arial"/>
          <w:sz w:val="22"/>
        </w:rPr>
      </w:pPr>
      <w:r w:rsidRPr="009E2B03">
        <w:rPr>
          <w:rFonts w:ascii="Calibri Light" w:hAnsi="Calibri Light" w:cs="Arial"/>
          <w:sz w:val="22"/>
        </w:rPr>
        <w:t>document the</w:t>
      </w:r>
      <w:r w:rsidR="003308D7" w:rsidRPr="009E2B03">
        <w:rPr>
          <w:rFonts w:ascii="Calibri Light" w:hAnsi="Calibri Light" w:cs="Arial"/>
          <w:sz w:val="22"/>
        </w:rPr>
        <w:t xml:space="preserve"> research undertaken to date to support the development of the evidence base, including, but not limited to</w:t>
      </w:r>
      <w:r w:rsidR="003D04C2" w:rsidRPr="009E2B03">
        <w:rPr>
          <w:rFonts w:ascii="Calibri Light" w:hAnsi="Calibri Light" w:cs="Arial"/>
          <w:sz w:val="22"/>
        </w:rPr>
        <w:t>,</w:t>
      </w:r>
      <w:r w:rsidR="003308D7" w:rsidRPr="009E2B03">
        <w:rPr>
          <w:rFonts w:ascii="Calibri Light" w:hAnsi="Calibri Light" w:cs="Arial"/>
          <w:sz w:val="22"/>
        </w:rPr>
        <w:t xml:space="preserve"> targeted </w:t>
      </w:r>
      <w:r w:rsidR="00F15732" w:rsidRPr="009E2B03">
        <w:rPr>
          <w:rFonts w:ascii="Calibri Light" w:hAnsi="Calibri Light" w:cs="Arial"/>
          <w:sz w:val="22"/>
        </w:rPr>
        <w:t xml:space="preserve">case studies </w:t>
      </w:r>
      <w:r w:rsidR="003308D7" w:rsidRPr="009E2B03">
        <w:rPr>
          <w:rFonts w:ascii="Calibri Light" w:hAnsi="Calibri Light" w:cs="Arial"/>
          <w:sz w:val="22"/>
        </w:rPr>
        <w:t xml:space="preserve">on vulnerable and </w:t>
      </w:r>
      <w:r w:rsidRPr="009E2B03">
        <w:rPr>
          <w:rFonts w:ascii="Calibri Light" w:hAnsi="Calibri Light" w:cs="Arial"/>
          <w:sz w:val="22"/>
        </w:rPr>
        <w:t>at-</w:t>
      </w:r>
      <w:r w:rsidR="003308D7" w:rsidRPr="009E2B03">
        <w:rPr>
          <w:rFonts w:ascii="Calibri Light" w:hAnsi="Calibri Light" w:cs="Arial"/>
          <w:sz w:val="22"/>
        </w:rPr>
        <w:t>risk cohorts of women</w:t>
      </w:r>
    </w:p>
    <w:p w14:paraId="70BC6117" w14:textId="2B1D36A8" w:rsidR="00036345" w:rsidRDefault="004274D6">
      <w:pPr>
        <w:pStyle w:val="BodyBullet"/>
        <w:rPr>
          <w:rFonts w:ascii="Calibri Light" w:hAnsi="Calibri Light" w:cs="Arial"/>
          <w:sz w:val="22"/>
        </w:rPr>
      </w:pPr>
      <w:r w:rsidRPr="009E2B03">
        <w:rPr>
          <w:rFonts w:ascii="Calibri Light" w:hAnsi="Calibri Light" w:cs="Arial"/>
          <w:sz w:val="22"/>
        </w:rPr>
        <w:t xml:space="preserve">develop an evidence base to understand the impacts of violence, and the costs that are borne by individuals, the broader community, and governments over time, through an update of the cost estimates developed in the 2009 report. </w:t>
      </w:r>
      <w:r w:rsidR="00036345">
        <w:rPr>
          <w:rFonts w:ascii="Calibri Light" w:hAnsi="Calibri Light" w:cs="Arial"/>
          <w:sz w:val="22"/>
        </w:rPr>
        <w:br w:type="page"/>
      </w:r>
    </w:p>
    <w:p w14:paraId="05E5927D" w14:textId="77777777" w:rsidR="003308D7" w:rsidRPr="009E2B03" w:rsidRDefault="003308D7" w:rsidP="003308D7">
      <w:pPr>
        <w:pStyle w:val="Heading2"/>
        <w:rPr>
          <w:rFonts w:ascii="Calibri Light" w:hAnsi="Calibri Light"/>
          <w:color w:val="6D2077"/>
          <w:sz w:val="36"/>
        </w:rPr>
      </w:pPr>
      <w:bookmarkStart w:id="39" w:name="_Toc449553511"/>
      <w:r w:rsidRPr="009E2B03">
        <w:rPr>
          <w:rFonts w:ascii="Calibri Light" w:hAnsi="Calibri Light"/>
          <w:color w:val="6D2077"/>
          <w:sz w:val="36"/>
        </w:rPr>
        <w:lastRenderedPageBreak/>
        <w:t>Structure of this Report</w:t>
      </w:r>
      <w:bookmarkEnd w:id="39"/>
    </w:p>
    <w:p w14:paraId="533184E0" w14:textId="77777777" w:rsidR="003308D7" w:rsidRPr="009E2B03" w:rsidRDefault="003308D7" w:rsidP="003308D7">
      <w:pPr>
        <w:rPr>
          <w:rFonts w:ascii="Calibri Light" w:hAnsi="Calibri Light"/>
          <w:sz w:val="22"/>
        </w:rPr>
      </w:pPr>
      <w:r w:rsidRPr="009E2B03">
        <w:rPr>
          <w:rFonts w:ascii="Calibri Light" w:hAnsi="Calibri Light"/>
          <w:sz w:val="22"/>
        </w:rPr>
        <w:t xml:space="preserve">The remainder of the Report is structured as follows: </w:t>
      </w:r>
    </w:p>
    <w:p w14:paraId="2DC35972" w14:textId="77777777" w:rsidR="003308D7" w:rsidRPr="009E2B03" w:rsidRDefault="003308D7" w:rsidP="003308D7">
      <w:pPr>
        <w:pStyle w:val="BodyBullet"/>
        <w:rPr>
          <w:rFonts w:ascii="Calibri Light" w:hAnsi="Calibri Light" w:cs="Arial"/>
          <w:sz w:val="22"/>
        </w:rPr>
      </w:pPr>
      <w:r w:rsidRPr="009E2B03">
        <w:rPr>
          <w:rFonts w:ascii="Calibri Light" w:hAnsi="Calibri Light" w:cs="Arial"/>
          <w:sz w:val="22"/>
        </w:rPr>
        <w:t xml:space="preserve">Section </w:t>
      </w:r>
      <w:r w:rsidR="00F15732" w:rsidRPr="009E2B03">
        <w:rPr>
          <w:rFonts w:ascii="Calibri Light" w:hAnsi="Calibri Light" w:cs="Arial"/>
          <w:sz w:val="22"/>
        </w:rPr>
        <w:t>2</w:t>
      </w:r>
      <w:r w:rsidRPr="009E2B03">
        <w:rPr>
          <w:rFonts w:ascii="Calibri Light" w:hAnsi="Calibri Light" w:cs="Arial"/>
          <w:sz w:val="22"/>
        </w:rPr>
        <w:t xml:space="preserve"> provides an overview of the approach, including key considerations in the development of the methodology and key inputs required</w:t>
      </w:r>
      <w:r w:rsidR="003D04C2" w:rsidRPr="009E2B03">
        <w:rPr>
          <w:rFonts w:ascii="Calibri Light" w:hAnsi="Calibri Light" w:cs="Arial"/>
          <w:sz w:val="22"/>
        </w:rPr>
        <w:t>.</w:t>
      </w:r>
    </w:p>
    <w:p w14:paraId="3A4B3C9C" w14:textId="77777777" w:rsidR="003308D7" w:rsidRPr="009E2B03" w:rsidRDefault="003308D7" w:rsidP="003308D7">
      <w:pPr>
        <w:pStyle w:val="BodyBullet"/>
        <w:rPr>
          <w:rFonts w:ascii="Calibri Light" w:hAnsi="Calibri Light" w:cs="Arial"/>
          <w:sz w:val="22"/>
        </w:rPr>
      </w:pPr>
      <w:r w:rsidRPr="009E2B03">
        <w:rPr>
          <w:rFonts w:ascii="Calibri Light" w:hAnsi="Calibri Light" w:cs="Arial"/>
          <w:sz w:val="22"/>
        </w:rPr>
        <w:t xml:space="preserve">Section </w:t>
      </w:r>
      <w:r w:rsidR="00F15732" w:rsidRPr="009E2B03">
        <w:rPr>
          <w:rFonts w:ascii="Calibri Light" w:hAnsi="Calibri Light" w:cs="Arial"/>
          <w:sz w:val="22"/>
        </w:rPr>
        <w:t>3</w:t>
      </w:r>
      <w:r w:rsidRPr="009E2B03">
        <w:rPr>
          <w:rFonts w:ascii="Calibri Light" w:hAnsi="Calibri Light" w:cs="Arial"/>
          <w:sz w:val="22"/>
        </w:rPr>
        <w:t xml:space="preserve"> outlines the </w:t>
      </w:r>
      <w:r w:rsidR="00F15732" w:rsidRPr="009E2B03">
        <w:rPr>
          <w:rFonts w:ascii="Calibri Light" w:hAnsi="Calibri Light" w:cs="Arial"/>
          <w:sz w:val="22"/>
        </w:rPr>
        <w:t>costs of violence against women and their children across seven core cost categories, and includes detailed analysis for the drivers for each</w:t>
      </w:r>
      <w:r w:rsidR="003D04C2" w:rsidRPr="009E2B03">
        <w:rPr>
          <w:rFonts w:ascii="Calibri Light" w:hAnsi="Calibri Light" w:cs="Arial"/>
          <w:sz w:val="22"/>
        </w:rPr>
        <w:t>.</w:t>
      </w:r>
    </w:p>
    <w:p w14:paraId="73611079" w14:textId="77777777" w:rsidR="003308D7" w:rsidRPr="009E2B03" w:rsidRDefault="003308D7" w:rsidP="003308D7">
      <w:pPr>
        <w:pStyle w:val="BodyBullet"/>
        <w:rPr>
          <w:rFonts w:ascii="Calibri Light" w:hAnsi="Calibri Light" w:cs="Arial"/>
          <w:sz w:val="22"/>
        </w:rPr>
      </w:pPr>
      <w:r w:rsidRPr="009E2B03">
        <w:rPr>
          <w:rFonts w:ascii="Calibri Light" w:hAnsi="Calibri Light" w:cs="Arial"/>
          <w:sz w:val="22"/>
        </w:rPr>
        <w:t xml:space="preserve">Section 4 </w:t>
      </w:r>
      <w:r w:rsidR="00F15732" w:rsidRPr="009E2B03">
        <w:rPr>
          <w:rFonts w:ascii="Calibri Light" w:hAnsi="Calibri Light" w:cs="Arial"/>
          <w:sz w:val="22"/>
        </w:rPr>
        <w:t>discusses the experience of violence across different cohorts and geographies, and includes detailed case studies on cohorts identified to be of greater vulnerability to experiencing violence, as well as the contributing risk factors that may increase the risk of experiencing violence</w:t>
      </w:r>
      <w:r w:rsidR="003D04C2" w:rsidRPr="009E2B03">
        <w:rPr>
          <w:rFonts w:ascii="Calibri Light" w:hAnsi="Calibri Light" w:cs="Arial"/>
          <w:sz w:val="22"/>
        </w:rPr>
        <w:t>.</w:t>
      </w:r>
    </w:p>
    <w:p w14:paraId="6DC1F00F" w14:textId="77777777" w:rsidR="008C0E71" w:rsidRPr="009E2B03" w:rsidRDefault="003308D7" w:rsidP="003308D7">
      <w:pPr>
        <w:pStyle w:val="BodyBullet"/>
        <w:rPr>
          <w:rFonts w:ascii="Calibri Light" w:hAnsi="Calibri Light" w:cs="Arial"/>
          <w:sz w:val="22"/>
        </w:rPr>
      </w:pPr>
      <w:r w:rsidRPr="009E2B03">
        <w:rPr>
          <w:rFonts w:ascii="Calibri Light" w:hAnsi="Calibri Light" w:cs="Arial"/>
          <w:sz w:val="22"/>
        </w:rPr>
        <w:t xml:space="preserve">Section </w:t>
      </w:r>
      <w:r w:rsidR="00F15732" w:rsidRPr="009E2B03">
        <w:rPr>
          <w:rFonts w:ascii="Calibri Light" w:hAnsi="Calibri Light" w:cs="Arial"/>
          <w:sz w:val="22"/>
        </w:rPr>
        <w:t>5</w:t>
      </w:r>
      <w:r w:rsidRPr="009E2B03">
        <w:rPr>
          <w:rFonts w:ascii="Calibri Light" w:hAnsi="Calibri Light" w:cs="Arial"/>
          <w:sz w:val="22"/>
        </w:rPr>
        <w:t xml:space="preserve"> </w:t>
      </w:r>
      <w:r w:rsidR="0063664C" w:rsidRPr="009E2B03">
        <w:rPr>
          <w:rFonts w:ascii="Calibri Light" w:hAnsi="Calibri Light" w:cs="Arial"/>
          <w:sz w:val="22"/>
        </w:rPr>
        <w:t>provides a roadmap of key considerations for the D</w:t>
      </w:r>
      <w:r w:rsidR="00C50B2D" w:rsidRPr="009E2B03">
        <w:rPr>
          <w:rFonts w:ascii="Calibri Light" w:hAnsi="Calibri Light" w:cs="Arial"/>
          <w:sz w:val="22"/>
        </w:rPr>
        <w:t>epartment of Social Services (DSS)</w:t>
      </w:r>
      <w:r w:rsidR="0063664C" w:rsidRPr="009E2B03">
        <w:rPr>
          <w:rFonts w:ascii="Calibri Light" w:hAnsi="Calibri Light" w:cs="Arial"/>
          <w:sz w:val="22"/>
        </w:rPr>
        <w:t xml:space="preserve"> and other key government stakeholders to support the continued implementation of the National Plan and the development of the Third Action Plan</w:t>
      </w:r>
      <w:r w:rsidR="003D04C2" w:rsidRPr="009E2B03">
        <w:rPr>
          <w:rFonts w:ascii="Calibri Light" w:hAnsi="Calibri Light" w:cs="Arial"/>
          <w:sz w:val="22"/>
        </w:rPr>
        <w:t>.</w:t>
      </w:r>
    </w:p>
    <w:p w14:paraId="2DB4ACEF" w14:textId="4820A31A" w:rsidR="00D731EE" w:rsidRPr="00424BAE" w:rsidRDefault="003D04C2" w:rsidP="00424BAE">
      <w:pPr>
        <w:pStyle w:val="BodyBullet"/>
        <w:rPr>
          <w:rFonts w:ascii="Calibri Light" w:hAnsi="Calibri Light" w:cs="Arial"/>
          <w:sz w:val="22"/>
        </w:rPr>
      </w:pPr>
      <w:r w:rsidRPr="009E2B03">
        <w:rPr>
          <w:rFonts w:ascii="Calibri Light" w:hAnsi="Calibri Light" w:cs="Arial"/>
          <w:sz w:val="22"/>
        </w:rPr>
        <w:t>A</w:t>
      </w:r>
      <w:r w:rsidR="0063664C" w:rsidRPr="009E2B03">
        <w:rPr>
          <w:rFonts w:ascii="Calibri Light" w:hAnsi="Calibri Light" w:cs="Arial"/>
          <w:sz w:val="22"/>
        </w:rPr>
        <w:t xml:space="preserve"> series of appendices provide additional detail on the trends in violence against women in Australia and the Australian policy context, as well as a full list of data sources, an overview of the domestic and international literature reviewed, and the set of core assumptions used in the costing exercise.</w:t>
      </w:r>
      <w:bookmarkStart w:id="40" w:name="_Toc445368588"/>
      <w:bookmarkStart w:id="41" w:name="_Toc445368589"/>
      <w:bookmarkEnd w:id="40"/>
      <w:bookmarkEnd w:id="41"/>
    </w:p>
    <w:p w14:paraId="075B1728" w14:textId="77777777" w:rsidR="00D731EE" w:rsidRPr="009E2B03" w:rsidRDefault="00D731EE">
      <w:pPr>
        <w:rPr>
          <w:rFonts w:ascii="Calibri Light" w:hAnsi="Calibri Light"/>
          <w:sz w:val="22"/>
        </w:rPr>
      </w:pPr>
    </w:p>
    <w:p w14:paraId="4C941433" w14:textId="345EC661" w:rsidR="007F5DA9" w:rsidRPr="009E2B03" w:rsidRDefault="00036345" w:rsidP="0045135B">
      <w:pPr>
        <w:pStyle w:val="Heading1"/>
        <w:numPr>
          <w:ilvl w:val="0"/>
          <w:numId w:val="14"/>
        </w:numPr>
        <w:rPr>
          <w:rFonts w:ascii="Calibri Light" w:hAnsi="Calibri Light"/>
          <w:sz w:val="48"/>
        </w:rPr>
      </w:pPr>
      <w:bookmarkStart w:id="42" w:name="_Toc445402040"/>
      <w:bookmarkStart w:id="43" w:name="_Toc445403015"/>
      <w:bookmarkStart w:id="44" w:name="_Toc445402041"/>
      <w:bookmarkStart w:id="45" w:name="_Toc445403016"/>
      <w:bookmarkStart w:id="46" w:name="_Toc445402042"/>
      <w:bookmarkStart w:id="47" w:name="_Toc445403017"/>
      <w:bookmarkStart w:id="48" w:name="_Toc445402043"/>
      <w:bookmarkStart w:id="49" w:name="_Toc445403018"/>
      <w:bookmarkStart w:id="50" w:name="_Toc449553512"/>
      <w:bookmarkStart w:id="51" w:name="_Ref445399657"/>
      <w:bookmarkEnd w:id="42"/>
      <w:bookmarkEnd w:id="43"/>
      <w:bookmarkEnd w:id="44"/>
      <w:bookmarkEnd w:id="45"/>
      <w:bookmarkEnd w:id="46"/>
      <w:bookmarkEnd w:id="47"/>
      <w:bookmarkEnd w:id="48"/>
      <w:bookmarkEnd w:id="49"/>
      <w:r>
        <w:rPr>
          <w:rFonts w:ascii="Calibri Light" w:eastAsiaTheme="minorHAnsi" w:hAnsi="Calibri Light"/>
          <w:b w:val="0"/>
          <w:noProof/>
          <w:color w:val="6D2077"/>
          <w:sz w:val="76"/>
          <w:szCs w:val="76"/>
          <w:lang w:eastAsia="en-AU"/>
        </w:rPr>
        <w:lastRenderedPageBreak/>
        <w:t xml:space="preserve">. </w:t>
      </w:r>
      <w:r w:rsidR="007F5DA9" w:rsidRPr="009E2B03">
        <w:rPr>
          <w:rFonts w:ascii="Calibri Light" w:eastAsiaTheme="minorHAnsi" w:hAnsi="Calibri Light"/>
          <w:b w:val="0"/>
          <w:noProof/>
          <w:color w:val="6D2077"/>
          <w:sz w:val="76"/>
          <w:szCs w:val="76"/>
          <w:lang w:eastAsia="en-AU"/>
        </w:rPr>
        <w:t>Overview</w:t>
      </w:r>
      <w:r w:rsidR="007F5DA9" w:rsidRPr="009E2B03">
        <w:rPr>
          <w:rFonts w:ascii="Calibri Light" w:hAnsi="Calibri Light"/>
          <w:sz w:val="48"/>
        </w:rPr>
        <w:t xml:space="preserve"> </w:t>
      </w:r>
      <w:r w:rsidR="007F5DA9" w:rsidRPr="009E2B03">
        <w:rPr>
          <w:rFonts w:ascii="Calibri Light" w:eastAsiaTheme="minorHAnsi" w:hAnsi="Calibri Light"/>
          <w:b w:val="0"/>
          <w:noProof/>
          <w:color w:val="6D2077"/>
          <w:sz w:val="76"/>
          <w:szCs w:val="76"/>
          <w:lang w:eastAsia="en-AU"/>
        </w:rPr>
        <w:t>of</w:t>
      </w:r>
      <w:r w:rsidR="007F5DA9" w:rsidRPr="009E2B03">
        <w:rPr>
          <w:rFonts w:ascii="Calibri Light" w:hAnsi="Calibri Light"/>
          <w:sz w:val="48"/>
        </w:rPr>
        <w:t xml:space="preserve"> </w:t>
      </w:r>
      <w:r w:rsidR="007F5DA9" w:rsidRPr="009E2B03">
        <w:rPr>
          <w:rFonts w:ascii="Calibri Light" w:eastAsiaTheme="minorHAnsi" w:hAnsi="Calibri Light"/>
          <w:b w:val="0"/>
          <w:noProof/>
          <w:color w:val="6D2077"/>
          <w:sz w:val="76"/>
          <w:szCs w:val="76"/>
          <w:lang w:eastAsia="en-AU"/>
        </w:rPr>
        <w:t>the</w:t>
      </w:r>
      <w:r w:rsidR="007F5DA9" w:rsidRPr="009E2B03">
        <w:rPr>
          <w:rFonts w:ascii="Calibri Light" w:hAnsi="Calibri Light"/>
          <w:sz w:val="48"/>
        </w:rPr>
        <w:t xml:space="preserve"> </w:t>
      </w:r>
      <w:r w:rsidR="007F5DA9" w:rsidRPr="009E2B03">
        <w:rPr>
          <w:rFonts w:ascii="Calibri Light" w:eastAsiaTheme="minorHAnsi" w:hAnsi="Calibri Light"/>
          <w:b w:val="0"/>
          <w:noProof/>
          <w:color w:val="6D2077"/>
          <w:sz w:val="76"/>
          <w:szCs w:val="76"/>
          <w:lang w:eastAsia="en-AU"/>
        </w:rPr>
        <w:t>approach</w:t>
      </w:r>
      <w:bookmarkEnd w:id="50"/>
      <w:r w:rsidR="007F5DA9" w:rsidRPr="009E2B03">
        <w:rPr>
          <w:rFonts w:ascii="Calibri Light" w:hAnsi="Calibri Light"/>
          <w:sz w:val="48"/>
        </w:rPr>
        <w:t xml:space="preserve"> </w:t>
      </w:r>
    </w:p>
    <w:p w14:paraId="67D7CAFB" w14:textId="77777777" w:rsidR="007F5DA9" w:rsidRPr="009E2B03" w:rsidRDefault="007F5DA9" w:rsidP="00E127F4">
      <w:pPr>
        <w:pStyle w:val="Heading2"/>
        <w:numPr>
          <w:ilvl w:val="1"/>
          <w:numId w:val="19"/>
        </w:numPr>
        <w:rPr>
          <w:rFonts w:ascii="Calibri Light" w:hAnsi="Calibri Light"/>
          <w:color w:val="6D2077"/>
          <w:sz w:val="36"/>
        </w:rPr>
      </w:pPr>
      <w:bookmarkStart w:id="52" w:name="_Toc449553513"/>
      <w:r w:rsidRPr="009E2B03">
        <w:rPr>
          <w:rFonts w:ascii="Calibri Light" w:hAnsi="Calibri Light"/>
          <w:color w:val="6D2077"/>
          <w:sz w:val="36"/>
        </w:rPr>
        <w:t>Overview</w:t>
      </w:r>
      <w:bookmarkEnd w:id="52"/>
    </w:p>
    <w:p w14:paraId="5C92F2F2" w14:textId="77777777" w:rsidR="007F5DA9" w:rsidRPr="009E2B03" w:rsidRDefault="007F5DA9" w:rsidP="007F5DA9">
      <w:pPr>
        <w:rPr>
          <w:rFonts w:ascii="Calibri Light" w:hAnsi="Calibri Light"/>
          <w:sz w:val="22"/>
        </w:rPr>
      </w:pPr>
      <w:r w:rsidRPr="009E2B03">
        <w:rPr>
          <w:rFonts w:ascii="Calibri Light" w:hAnsi="Calibri Light"/>
          <w:sz w:val="22"/>
        </w:rPr>
        <w:t xml:space="preserve">There is increasing public awareness of the occurrence of violence against women and their children, and the </w:t>
      </w:r>
      <w:r w:rsidR="0069564C" w:rsidRPr="009E2B03">
        <w:rPr>
          <w:rFonts w:ascii="Calibri Light" w:hAnsi="Calibri Light"/>
          <w:sz w:val="22"/>
        </w:rPr>
        <w:t xml:space="preserve">consequent </w:t>
      </w:r>
      <w:r w:rsidRPr="009E2B03">
        <w:rPr>
          <w:rFonts w:ascii="Calibri Light" w:hAnsi="Calibri Light"/>
          <w:sz w:val="22"/>
        </w:rPr>
        <w:t>social and economic costs to victims and the broader community. This is a result of major developments in the reform agenda over recent years, in addition to high profile visibility across the community and in the corporate and government sectors. Events such as Rosie Batty’s Australian of the Year Award in 2015 and her extensive efforts in raising public awareness, have contributed to this increasing profile. At the same time,</w:t>
      </w:r>
      <w:r w:rsidR="001A3745" w:rsidRPr="009E2B03">
        <w:rPr>
          <w:rFonts w:ascii="Calibri Light" w:hAnsi="Calibri Light"/>
          <w:sz w:val="22"/>
        </w:rPr>
        <w:t xml:space="preserve"> Commonwealth and state and t</w:t>
      </w:r>
      <w:r w:rsidRPr="009E2B03">
        <w:rPr>
          <w:rFonts w:ascii="Calibri Light" w:hAnsi="Calibri Light"/>
          <w:sz w:val="22"/>
        </w:rPr>
        <w:t xml:space="preserve">erritory leaders have provided endorsement and support through a number of channels. </w:t>
      </w:r>
      <w:r w:rsidR="001A3745" w:rsidRPr="009E2B03">
        <w:rPr>
          <w:rFonts w:ascii="Calibri Light" w:hAnsi="Calibri Light"/>
          <w:sz w:val="22"/>
        </w:rPr>
        <w:t>These</w:t>
      </w:r>
      <w:r w:rsidRPr="009E2B03">
        <w:rPr>
          <w:rFonts w:ascii="Calibri Light" w:hAnsi="Calibri Light"/>
          <w:sz w:val="22"/>
        </w:rPr>
        <w:t xml:space="preserve"> include the National Research Agenda, a significant body of research to inform the development of a national campaign in November 2015, the family and domestic violence strategy for the Department of Human Services</w:t>
      </w:r>
      <w:r w:rsidR="00C50B2D" w:rsidRPr="009E2B03">
        <w:rPr>
          <w:rFonts w:ascii="Calibri Light" w:hAnsi="Calibri Light"/>
          <w:sz w:val="22"/>
        </w:rPr>
        <w:t xml:space="preserve"> (DHS)</w:t>
      </w:r>
      <w:r w:rsidRPr="009E2B03">
        <w:rPr>
          <w:rFonts w:ascii="Calibri Light" w:hAnsi="Calibri Light"/>
          <w:sz w:val="22"/>
        </w:rPr>
        <w:t xml:space="preserve">, and the Male Champions of Change Program. </w:t>
      </w:r>
    </w:p>
    <w:p w14:paraId="0C7F201C" w14:textId="77777777" w:rsidR="007F5DA9" w:rsidRPr="009E2B03" w:rsidRDefault="001A3745" w:rsidP="007F5DA9">
      <w:pPr>
        <w:rPr>
          <w:rFonts w:ascii="Calibri Light" w:hAnsi="Calibri Light"/>
          <w:sz w:val="22"/>
        </w:rPr>
      </w:pPr>
      <w:r w:rsidRPr="009E2B03">
        <w:rPr>
          <w:rFonts w:ascii="Calibri Light" w:hAnsi="Calibri Light"/>
          <w:sz w:val="22"/>
        </w:rPr>
        <w:t>These developments</w:t>
      </w:r>
      <w:r w:rsidR="007F5DA9" w:rsidRPr="009E2B03">
        <w:rPr>
          <w:rFonts w:ascii="Calibri Light" w:hAnsi="Calibri Light"/>
          <w:sz w:val="22"/>
        </w:rPr>
        <w:t xml:space="preserve"> have added significant momentum to the case for reform and underscore the approach across governments to the development and implementation of short and long term reform initiatives. They have contributed to developments in the community’s understanding of different forms of violence and abuse, and their impacts. Continuing to support and inform the reform efforts will require continual developments in the underlying evidence base to ensure that policies and programs are well-informed and targeted to areas and cohorts of women and children most in need of support. </w:t>
      </w:r>
    </w:p>
    <w:p w14:paraId="03FF7EC2" w14:textId="77777777" w:rsidR="007F5DA9" w:rsidRPr="009E2B03" w:rsidRDefault="007F5DA9" w:rsidP="007F5DA9">
      <w:pPr>
        <w:rPr>
          <w:rFonts w:ascii="Calibri Light" w:hAnsi="Calibri Light"/>
          <w:sz w:val="22"/>
        </w:rPr>
      </w:pPr>
      <w:r w:rsidRPr="009E2B03">
        <w:rPr>
          <w:rFonts w:ascii="Calibri Light" w:hAnsi="Calibri Light"/>
          <w:sz w:val="22"/>
        </w:rPr>
        <w:t xml:space="preserve">Within this context, KPMG has sought to develop a comprehensive approach to the analysis of the costs of violence against women and their children as part of this study. The following sections provide details on the analytical approach, limitations, and key considerations. Where relevant, additional detail – in particular data sources and key assumptions – is provided in supporting appendices. </w:t>
      </w:r>
    </w:p>
    <w:p w14:paraId="7BAE8EDF" w14:textId="77777777" w:rsidR="007F5DA9" w:rsidRPr="009E2B03" w:rsidRDefault="007F5DA9" w:rsidP="00E127F4">
      <w:pPr>
        <w:pStyle w:val="Heading2"/>
        <w:numPr>
          <w:ilvl w:val="1"/>
          <w:numId w:val="19"/>
        </w:numPr>
        <w:rPr>
          <w:rFonts w:ascii="Calibri Light" w:hAnsi="Calibri Light"/>
          <w:color w:val="6D2077"/>
          <w:sz w:val="36"/>
        </w:rPr>
      </w:pPr>
      <w:bookmarkStart w:id="53" w:name="_Toc449553514"/>
      <w:r w:rsidRPr="009E2B03">
        <w:rPr>
          <w:rFonts w:ascii="Calibri Light" w:hAnsi="Calibri Light"/>
          <w:color w:val="6D2077"/>
          <w:sz w:val="36"/>
        </w:rPr>
        <w:t>Development of the methodology</w:t>
      </w:r>
      <w:bookmarkEnd w:id="53"/>
      <w:r w:rsidRPr="009E2B03">
        <w:rPr>
          <w:rFonts w:ascii="Calibri Light" w:hAnsi="Calibri Light"/>
          <w:color w:val="6D2077"/>
          <w:sz w:val="36"/>
        </w:rPr>
        <w:t xml:space="preserve">  </w:t>
      </w:r>
    </w:p>
    <w:p w14:paraId="72ABFC44" w14:textId="77777777" w:rsidR="007F5DA9" w:rsidRPr="009E2B03" w:rsidRDefault="007F5DA9" w:rsidP="007F5DA9">
      <w:pPr>
        <w:rPr>
          <w:rFonts w:ascii="Calibri Light" w:hAnsi="Calibri Light"/>
          <w:sz w:val="22"/>
        </w:rPr>
      </w:pPr>
      <w:r w:rsidRPr="009E2B03">
        <w:rPr>
          <w:rFonts w:ascii="Calibri Light" w:hAnsi="Calibri Light"/>
          <w:sz w:val="22"/>
        </w:rPr>
        <w:t>In recognition of the challenges and limitations in the evidence base, and with the objective of building on the outcomes of previous research and analysis, KPMG undert</w:t>
      </w:r>
      <w:r w:rsidR="0069564C" w:rsidRPr="009E2B03">
        <w:rPr>
          <w:rFonts w:ascii="Calibri Light" w:hAnsi="Calibri Light"/>
          <w:sz w:val="22"/>
        </w:rPr>
        <w:t>ook</w:t>
      </w:r>
      <w:r w:rsidRPr="009E2B03">
        <w:rPr>
          <w:rFonts w:ascii="Calibri Light" w:hAnsi="Calibri Light"/>
          <w:sz w:val="22"/>
        </w:rPr>
        <w:t xml:space="preserve"> a series of detailed packages of research and consultation to support the development of the approach to this study. Throughout these activities, </w:t>
      </w:r>
      <w:r w:rsidR="000C5E2B" w:rsidRPr="009E2B03">
        <w:rPr>
          <w:rFonts w:ascii="Calibri Light" w:hAnsi="Calibri Light"/>
          <w:sz w:val="22"/>
        </w:rPr>
        <w:t>we</w:t>
      </w:r>
      <w:r w:rsidRPr="009E2B03">
        <w:rPr>
          <w:rFonts w:ascii="Calibri Light" w:hAnsi="Calibri Light"/>
          <w:sz w:val="22"/>
        </w:rPr>
        <w:t xml:space="preserve"> ensure</w:t>
      </w:r>
      <w:r w:rsidR="000C5E2B" w:rsidRPr="009E2B03">
        <w:rPr>
          <w:rFonts w:ascii="Calibri Light" w:hAnsi="Calibri Light"/>
          <w:sz w:val="22"/>
        </w:rPr>
        <w:t>d</w:t>
      </w:r>
      <w:r w:rsidRPr="009E2B03">
        <w:rPr>
          <w:rFonts w:ascii="Calibri Light" w:hAnsi="Calibri Light"/>
          <w:sz w:val="22"/>
        </w:rPr>
        <w:t xml:space="preserve"> that the approach and the analysis outcomes fully reflect </w:t>
      </w:r>
      <w:r w:rsidR="0069564C" w:rsidRPr="009E2B03">
        <w:rPr>
          <w:rFonts w:ascii="Calibri Light" w:hAnsi="Calibri Light"/>
          <w:sz w:val="22"/>
        </w:rPr>
        <w:t>t</w:t>
      </w:r>
      <w:r w:rsidRPr="009E2B03">
        <w:rPr>
          <w:rFonts w:ascii="Calibri Light" w:hAnsi="Calibri Light"/>
          <w:sz w:val="22"/>
        </w:rPr>
        <w:t xml:space="preserve">he available evidence base, whilst also enabling comparisons to previous research, and recognising and responding to the limitations in this evidence. </w:t>
      </w:r>
    </w:p>
    <w:p w14:paraId="4AF9B543" w14:textId="77777777" w:rsidR="007F5DA9" w:rsidRPr="009E2B03" w:rsidRDefault="007F5DA9" w:rsidP="007F5DA9">
      <w:pPr>
        <w:rPr>
          <w:rFonts w:ascii="Calibri Light" w:hAnsi="Calibri Light"/>
          <w:sz w:val="22"/>
        </w:rPr>
      </w:pPr>
      <w:r w:rsidRPr="009E2B03">
        <w:rPr>
          <w:rFonts w:ascii="Calibri Light" w:hAnsi="Calibri Light"/>
          <w:sz w:val="22"/>
        </w:rPr>
        <w:t xml:space="preserve">Specifically, </w:t>
      </w:r>
      <w:r w:rsidR="000C5E2B" w:rsidRPr="009E2B03">
        <w:rPr>
          <w:rFonts w:ascii="Calibri Light" w:hAnsi="Calibri Light"/>
          <w:sz w:val="22"/>
        </w:rPr>
        <w:t xml:space="preserve">we undertook </w:t>
      </w:r>
      <w:r w:rsidRPr="009E2B03">
        <w:rPr>
          <w:rFonts w:ascii="Calibri Light" w:hAnsi="Calibri Light"/>
          <w:sz w:val="22"/>
        </w:rPr>
        <w:t xml:space="preserve">three key packages of work with the support of, and in consultation with, </w:t>
      </w:r>
      <w:r w:rsidR="000C5E2B" w:rsidRPr="009E2B03">
        <w:rPr>
          <w:rFonts w:ascii="Calibri Light" w:hAnsi="Calibri Light"/>
          <w:sz w:val="22"/>
        </w:rPr>
        <w:t>the Department</w:t>
      </w:r>
      <w:r w:rsidRPr="009E2B03">
        <w:rPr>
          <w:rFonts w:ascii="Calibri Light" w:hAnsi="Calibri Light"/>
          <w:sz w:val="22"/>
        </w:rPr>
        <w:t xml:space="preserve">, including: </w:t>
      </w:r>
    </w:p>
    <w:p w14:paraId="68ABAF38" w14:textId="77777777" w:rsidR="007F5DA9" w:rsidRPr="009E2B03" w:rsidRDefault="000C5E2B" w:rsidP="007F5DA9">
      <w:pPr>
        <w:pStyle w:val="BodyBullet"/>
        <w:rPr>
          <w:rFonts w:ascii="Calibri Light" w:hAnsi="Calibri Light" w:cs="Arial"/>
          <w:sz w:val="22"/>
        </w:rPr>
      </w:pPr>
      <w:r w:rsidRPr="009E2B03">
        <w:rPr>
          <w:rFonts w:ascii="Calibri Light" w:hAnsi="Calibri Light" w:cs="Arial"/>
          <w:sz w:val="22"/>
        </w:rPr>
        <w:t>A</w:t>
      </w:r>
      <w:r w:rsidR="007F5DA9" w:rsidRPr="009E2B03">
        <w:rPr>
          <w:rFonts w:ascii="Calibri Light" w:hAnsi="Calibri Light" w:cs="Arial"/>
          <w:sz w:val="22"/>
        </w:rPr>
        <w:t xml:space="preserve"> comprehensive stocktake of the data and information sources used in previous studies, as well as an appraisal of the strengths and limitations of these sources</w:t>
      </w:r>
      <w:r w:rsidR="00136091" w:rsidRPr="009E2B03">
        <w:rPr>
          <w:rFonts w:ascii="Calibri Light" w:hAnsi="Calibri Light" w:cs="Arial"/>
          <w:sz w:val="22"/>
        </w:rPr>
        <w:t>.</w:t>
      </w:r>
    </w:p>
    <w:p w14:paraId="1D6DD60E" w14:textId="77777777" w:rsidR="007F5DA9" w:rsidRPr="009E2B03" w:rsidRDefault="000C5E2B" w:rsidP="007F5DA9">
      <w:pPr>
        <w:pStyle w:val="BodyBullet"/>
        <w:rPr>
          <w:rFonts w:ascii="Calibri Light" w:hAnsi="Calibri Light" w:cs="Arial"/>
          <w:sz w:val="22"/>
        </w:rPr>
      </w:pPr>
      <w:r w:rsidRPr="009E2B03">
        <w:rPr>
          <w:rFonts w:ascii="Calibri Light" w:hAnsi="Calibri Light" w:cs="Arial"/>
          <w:sz w:val="22"/>
        </w:rPr>
        <w:t>C</w:t>
      </w:r>
      <w:r w:rsidR="007F5DA9" w:rsidRPr="009E2B03">
        <w:rPr>
          <w:rFonts w:ascii="Calibri Light" w:hAnsi="Calibri Light" w:cs="Arial"/>
          <w:sz w:val="22"/>
        </w:rPr>
        <w:t>onsultations with key stakehol</w:t>
      </w:r>
      <w:r w:rsidR="001A3745" w:rsidRPr="009E2B03">
        <w:rPr>
          <w:rFonts w:ascii="Calibri Light" w:hAnsi="Calibri Light" w:cs="Arial"/>
          <w:sz w:val="22"/>
        </w:rPr>
        <w:t>ders from the Commonwealth and s</w:t>
      </w:r>
      <w:r w:rsidR="007F5DA9" w:rsidRPr="009E2B03">
        <w:rPr>
          <w:rFonts w:ascii="Calibri Light" w:hAnsi="Calibri Light" w:cs="Arial"/>
          <w:sz w:val="22"/>
        </w:rPr>
        <w:t xml:space="preserve">tate and </w:t>
      </w:r>
      <w:r w:rsidR="001A3745" w:rsidRPr="009E2B03">
        <w:rPr>
          <w:rFonts w:ascii="Calibri Light" w:hAnsi="Calibri Light" w:cs="Arial"/>
          <w:sz w:val="22"/>
        </w:rPr>
        <w:t>t</w:t>
      </w:r>
      <w:r w:rsidR="007F5DA9" w:rsidRPr="009E2B03">
        <w:rPr>
          <w:rFonts w:ascii="Calibri Light" w:hAnsi="Calibri Light" w:cs="Arial"/>
          <w:sz w:val="22"/>
        </w:rPr>
        <w:t xml:space="preserve">erritory </w:t>
      </w:r>
      <w:r w:rsidRPr="009E2B03">
        <w:rPr>
          <w:rFonts w:ascii="Calibri Light" w:hAnsi="Calibri Light" w:cs="Arial"/>
          <w:sz w:val="22"/>
        </w:rPr>
        <w:t>g</w:t>
      </w:r>
      <w:r w:rsidR="007F5DA9" w:rsidRPr="009E2B03">
        <w:rPr>
          <w:rFonts w:ascii="Calibri Light" w:hAnsi="Calibri Light" w:cs="Arial"/>
          <w:sz w:val="22"/>
        </w:rPr>
        <w:t>overnments, as well as relevant data agencies (including the A</w:t>
      </w:r>
      <w:r w:rsidR="00C50B2D" w:rsidRPr="009E2B03">
        <w:rPr>
          <w:rFonts w:ascii="Calibri Light" w:hAnsi="Calibri Light" w:cs="Arial"/>
          <w:sz w:val="22"/>
        </w:rPr>
        <w:t>ustralian Bureau of Statistics (A</w:t>
      </w:r>
      <w:r w:rsidR="007F5DA9" w:rsidRPr="009E2B03">
        <w:rPr>
          <w:rFonts w:ascii="Calibri Light" w:hAnsi="Calibri Light" w:cs="Arial"/>
          <w:sz w:val="22"/>
        </w:rPr>
        <w:t>BS</w:t>
      </w:r>
      <w:r w:rsidR="00C50B2D" w:rsidRPr="009E2B03">
        <w:rPr>
          <w:rFonts w:ascii="Calibri Light" w:hAnsi="Calibri Light" w:cs="Arial"/>
          <w:sz w:val="22"/>
        </w:rPr>
        <w:t>)</w:t>
      </w:r>
      <w:r w:rsidR="007F5DA9" w:rsidRPr="009E2B03">
        <w:rPr>
          <w:rFonts w:ascii="Calibri Light" w:hAnsi="Calibri Light" w:cs="Arial"/>
          <w:sz w:val="22"/>
        </w:rPr>
        <w:t>,</w:t>
      </w:r>
      <w:r w:rsidR="00C50B2D" w:rsidRPr="009E2B03">
        <w:rPr>
          <w:rFonts w:ascii="Calibri Light" w:hAnsi="Calibri Light" w:cs="Arial"/>
          <w:sz w:val="22"/>
        </w:rPr>
        <w:t xml:space="preserve"> the Australian Institute of Health and Welfare (AIHW)</w:t>
      </w:r>
      <w:r w:rsidR="007F5DA9" w:rsidRPr="009E2B03">
        <w:rPr>
          <w:rFonts w:ascii="Calibri Light" w:hAnsi="Calibri Light" w:cs="Arial"/>
          <w:sz w:val="22"/>
        </w:rPr>
        <w:t>, and</w:t>
      </w:r>
      <w:r w:rsidR="00C50B2D" w:rsidRPr="009E2B03">
        <w:rPr>
          <w:rFonts w:ascii="Calibri Light" w:hAnsi="Calibri Light" w:cs="Arial"/>
          <w:sz w:val="22"/>
        </w:rPr>
        <w:t xml:space="preserve"> Australia’s National Research </w:t>
      </w:r>
      <w:r w:rsidR="00C50B2D" w:rsidRPr="009E2B03">
        <w:rPr>
          <w:rFonts w:ascii="Calibri Light" w:hAnsi="Calibri Light" w:cs="Arial"/>
          <w:sz w:val="22"/>
        </w:rPr>
        <w:lastRenderedPageBreak/>
        <w:t>Organisation for Women’s Safety (</w:t>
      </w:r>
      <w:r w:rsidR="007F5DA9" w:rsidRPr="009E2B03">
        <w:rPr>
          <w:rFonts w:ascii="Calibri Light" w:hAnsi="Calibri Light" w:cs="Arial"/>
          <w:sz w:val="22"/>
        </w:rPr>
        <w:t>ANROWS</w:t>
      </w:r>
      <w:r w:rsidR="00C50B2D" w:rsidRPr="009E2B03">
        <w:rPr>
          <w:rFonts w:ascii="Calibri Light" w:hAnsi="Calibri Light" w:cs="Arial"/>
          <w:sz w:val="22"/>
        </w:rPr>
        <w:t>)</w:t>
      </w:r>
      <w:r w:rsidRPr="009E2B03">
        <w:rPr>
          <w:rFonts w:ascii="Calibri Light" w:hAnsi="Calibri Light" w:cs="Arial"/>
          <w:sz w:val="22"/>
        </w:rPr>
        <w:t>. The consultations resulted in a</w:t>
      </w:r>
      <w:r w:rsidR="007F5DA9" w:rsidRPr="009E2B03">
        <w:rPr>
          <w:rFonts w:ascii="Calibri Light" w:hAnsi="Calibri Light" w:cs="Arial"/>
          <w:sz w:val="22"/>
        </w:rPr>
        <w:t xml:space="preserve"> better understand</w:t>
      </w:r>
      <w:r w:rsidRPr="009E2B03">
        <w:rPr>
          <w:rFonts w:ascii="Calibri Light" w:hAnsi="Calibri Light" w:cs="Arial"/>
          <w:sz w:val="22"/>
        </w:rPr>
        <w:t>ing of</w:t>
      </w:r>
      <w:r w:rsidR="007F5DA9" w:rsidRPr="009E2B03">
        <w:rPr>
          <w:rFonts w:ascii="Calibri Light" w:hAnsi="Calibri Light" w:cs="Arial"/>
          <w:sz w:val="22"/>
        </w:rPr>
        <w:t xml:space="preserve">: </w:t>
      </w:r>
    </w:p>
    <w:p w14:paraId="19B9A158" w14:textId="77777777" w:rsidR="007F5DA9" w:rsidRPr="009E2B03" w:rsidRDefault="007F5DA9" w:rsidP="007F5DA9">
      <w:pPr>
        <w:pStyle w:val="ListBullet2"/>
        <w:tabs>
          <w:tab w:val="clear" w:pos="1664"/>
          <w:tab w:val="num" w:pos="709"/>
        </w:tabs>
        <w:ind w:left="709"/>
        <w:rPr>
          <w:rFonts w:ascii="Calibri Light" w:hAnsi="Calibri Light"/>
          <w:sz w:val="22"/>
        </w:rPr>
      </w:pPr>
      <w:r w:rsidRPr="009E2B03">
        <w:rPr>
          <w:rFonts w:ascii="Calibri Light" w:hAnsi="Calibri Light"/>
          <w:sz w:val="22"/>
        </w:rPr>
        <w:t>the scope and scale of available data (including potential sources of unpublished data)</w:t>
      </w:r>
    </w:p>
    <w:p w14:paraId="016F60AC" w14:textId="77777777" w:rsidR="007F5DA9" w:rsidRPr="009E2B03" w:rsidRDefault="007F5DA9" w:rsidP="007F5DA9">
      <w:pPr>
        <w:pStyle w:val="ListBullet2"/>
        <w:tabs>
          <w:tab w:val="clear" w:pos="1664"/>
          <w:tab w:val="num" w:pos="709"/>
        </w:tabs>
        <w:ind w:left="709"/>
        <w:rPr>
          <w:rFonts w:ascii="Calibri Light" w:hAnsi="Calibri Light"/>
          <w:sz w:val="22"/>
        </w:rPr>
      </w:pPr>
      <w:r w:rsidRPr="009E2B03">
        <w:rPr>
          <w:rFonts w:ascii="Calibri Light" w:hAnsi="Calibri Light"/>
          <w:sz w:val="22"/>
        </w:rPr>
        <w:t>the comparability and consistency of measures across agencies and across jurisdictions</w:t>
      </w:r>
    </w:p>
    <w:p w14:paraId="28DC66B3" w14:textId="77777777" w:rsidR="007F5DA9" w:rsidRPr="009E2B03" w:rsidRDefault="00C50B2D" w:rsidP="007F5DA9">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the </w:t>
      </w:r>
      <w:r w:rsidR="007F5DA9" w:rsidRPr="009E2B03">
        <w:rPr>
          <w:rFonts w:ascii="Calibri Light" w:hAnsi="Calibri Light"/>
          <w:sz w:val="22"/>
        </w:rPr>
        <w:t xml:space="preserve">strengths and limitations </w:t>
      </w:r>
      <w:r w:rsidRPr="009E2B03">
        <w:rPr>
          <w:rFonts w:ascii="Calibri Light" w:hAnsi="Calibri Light"/>
          <w:sz w:val="22"/>
        </w:rPr>
        <w:t>of</w:t>
      </w:r>
      <w:r w:rsidR="007F5DA9" w:rsidRPr="009E2B03">
        <w:rPr>
          <w:rFonts w:ascii="Calibri Light" w:hAnsi="Calibri Light"/>
          <w:sz w:val="22"/>
        </w:rPr>
        <w:t xml:space="preserve"> the available data and potential data collection or data management initiatives underway within and/or across agencies.</w:t>
      </w:r>
    </w:p>
    <w:p w14:paraId="2A5CAE0E" w14:textId="77777777" w:rsidR="007F5DA9" w:rsidRPr="009E2B03" w:rsidRDefault="000C5E2B" w:rsidP="007F5DA9">
      <w:pPr>
        <w:pStyle w:val="BodyBullet"/>
        <w:rPr>
          <w:rFonts w:ascii="Calibri Light" w:hAnsi="Calibri Light" w:cs="Arial"/>
          <w:sz w:val="22"/>
        </w:rPr>
      </w:pPr>
      <w:r w:rsidRPr="009E2B03">
        <w:rPr>
          <w:rFonts w:ascii="Calibri Light" w:hAnsi="Calibri Light" w:cs="Arial"/>
          <w:sz w:val="22"/>
        </w:rPr>
        <w:t>A</w:t>
      </w:r>
      <w:r w:rsidR="007F5DA9" w:rsidRPr="009E2B03">
        <w:rPr>
          <w:rFonts w:ascii="Calibri Light" w:hAnsi="Calibri Light" w:cs="Arial"/>
          <w:sz w:val="22"/>
        </w:rPr>
        <w:t xml:space="preserve"> scan of domestic and international literature and research with a particular focus on recent emerging research, to identify additional areas of consideration, and support </w:t>
      </w:r>
      <w:r w:rsidRPr="009E2B03">
        <w:rPr>
          <w:rFonts w:ascii="Calibri Light" w:hAnsi="Calibri Light" w:cs="Arial"/>
          <w:sz w:val="22"/>
        </w:rPr>
        <w:t>and</w:t>
      </w:r>
      <w:r w:rsidR="007F5DA9" w:rsidRPr="009E2B03">
        <w:rPr>
          <w:rFonts w:ascii="Calibri Light" w:hAnsi="Calibri Light" w:cs="Arial"/>
          <w:sz w:val="22"/>
        </w:rPr>
        <w:t xml:space="preserve"> update </w:t>
      </w:r>
      <w:r w:rsidRPr="009E2B03">
        <w:rPr>
          <w:rFonts w:ascii="Calibri Light" w:hAnsi="Calibri Light" w:cs="Arial"/>
          <w:sz w:val="22"/>
        </w:rPr>
        <w:t>important</w:t>
      </w:r>
      <w:r w:rsidR="007F5DA9" w:rsidRPr="009E2B03">
        <w:rPr>
          <w:rFonts w:ascii="Calibri Light" w:hAnsi="Calibri Light" w:cs="Arial"/>
          <w:sz w:val="22"/>
        </w:rPr>
        <w:t xml:space="preserve"> assumptions within the analysis. </w:t>
      </w:r>
      <w:r w:rsidR="00136091" w:rsidRPr="009E2B03">
        <w:rPr>
          <w:rFonts w:ascii="Calibri Light" w:hAnsi="Calibri Light" w:cs="Arial"/>
          <w:sz w:val="22"/>
        </w:rPr>
        <w:t>A list of the sources is contained in Appendix</w:t>
      </w:r>
      <w:r w:rsidR="00C50B2D" w:rsidRPr="009E2B03">
        <w:rPr>
          <w:rFonts w:ascii="Calibri Light" w:hAnsi="Calibri Light" w:cs="Arial"/>
          <w:sz w:val="22"/>
        </w:rPr>
        <w:t xml:space="preserve"> E</w:t>
      </w:r>
      <w:r w:rsidR="00136091" w:rsidRPr="009E2B03">
        <w:rPr>
          <w:rFonts w:ascii="Calibri Light" w:hAnsi="Calibri Light" w:cs="Arial"/>
          <w:sz w:val="22"/>
        </w:rPr>
        <w:t>.</w:t>
      </w:r>
    </w:p>
    <w:p w14:paraId="408E29F0" w14:textId="77777777" w:rsidR="007F5DA9" w:rsidRPr="009E2B03" w:rsidRDefault="007F5DA9" w:rsidP="007F5DA9">
      <w:pPr>
        <w:pStyle w:val="BodyBullet"/>
        <w:numPr>
          <w:ilvl w:val="0"/>
          <w:numId w:val="0"/>
        </w:numPr>
        <w:rPr>
          <w:rFonts w:ascii="Calibri Light" w:hAnsi="Calibri Light" w:cs="Arial"/>
          <w:sz w:val="22"/>
        </w:rPr>
      </w:pPr>
      <w:r w:rsidRPr="009E2B03">
        <w:rPr>
          <w:rFonts w:ascii="Calibri Light" w:hAnsi="Calibri Light" w:cs="Arial"/>
          <w:sz w:val="22"/>
        </w:rPr>
        <w:t>Together, these packages of work have shaped and underpinned all aspects of the approach and outcomes of this study, and are summarised</w:t>
      </w:r>
      <w:r w:rsidRPr="009E2B03">
        <w:rPr>
          <w:rFonts w:ascii="Calibri Light" w:hAnsi="Calibri Light" w:cs="Arial"/>
          <w:sz w:val="22"/>
        </w:rPr>
        <w:fldChar w:fldCharType="begin"/>
      </w:r>
      <w:r w:rsidRPr="009E2B03">
        <w:rPr>
          <w:rFonts w:ascii="Calibri Light" w:hAnsi="Calibri Light" w:cs="Arial"/>
          <w:sz w:val="22"/>
        </w:rPr>
        <w:instrText xml:space="preserve"> REF _Ref447117970 \h </w:instrText>
      </w:r>
      <w:r w:rsidR="009B0258" w:rsidRPr="009E2B03">
        <w:rPr>
          <w:rFonts w:ascii="Calibri Light" w:hAnsi="Calibri Light" w:cs="Arial"/>
          <w:sz w:val="22"/>
        </w:rPr>
        <w:instrText xml:space="preserve"> \* MERGEFORMAT </w:instrText>
      </w:r>
      <w:r w:rsidR="00417237">
        <w:rPr>
          <w:rFonts w:ascii="Calibri Light" w:hAnsi="Calibri Light" w:cs="Arial"/>
          <w:sz w:val="22"/>
        </w:rPr>
        <w:fldChar w:fldCharType="separate"/>
      </w:r>
      <w:r w:rsidR="00417237">
        <w:rPr>
          <w:rFonts w:ascii="Calibri Light" w:hAnsi="Calibri Light" w:cs="Arial"/>
          <w:b/>
          <w:bCs/>
          <w:sz w:val="22"/>
          <w:lang w:val="en-US"/>
        </w:rPr>
        <w:t>Error! Reference source not found.</w:t>
      </w:r>
      <w:r w:rsidRPr="009E2B03">
        <w:rPr>
          <w:rFonts w:ascii="Calibri Light" w:hAnsi="Calibri Light" w:cs="Arial"/>
          <w:sz w:val="22"/>
        </w:rPr>
        <w:fldChar w:fldCharType="end"/>
      </w:r>
      <w:r w:rsidRPr="009E2B03">
        <w:rPr>
          <w:rFonts w:ascii="Calibri Light" w:hAnsi="Calibri Light" w:cs="Arial"/>
          <w:sz w:val="22"/>
        </w:rPr>
        <w:t xml:space="preserve"> below. </w:t>
      </w:r>
    </w:p>
    <w:p w14:paraId="28EBAC06" w14:textId="77777777" w:rsidR="007F5DA9" w:rsidRPr="009E2B03" w:rsidRDefault="007F5DA9" w:rsidP="007F5DA9">
      <w:pPr>
        <w:pStyle w:val="Caption"/>
        <w:rPr>
          <w:rFonts w:ascii="Calibri Light" w:hAnsi="Calibri Light" w:cs="Arial"/>
          <w:sz w:val="22"/>
        </w:rPr>
      </w:pPr>
      <w:r w:rsidRPr="009E2B03">
        <w:rPr>
          <w:rFonts w:ascii="Calibri Light" w:hAnsi="Calibri Light" w:cs="Arial"/>
          <w:sz w:val="22"/>
        </w:rPr>
        <w:t xml:space="preserve">Figure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r w:rsidR="00FF03F6"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Figure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r w:rsidRPr="009E2B03">
        <w:rPr>
          <w:rFonts w:ascii="Calibri Light" w:hAnsi="Calibri Light" w:cs="Arial"/>
          <w:noProof/>
          <w:sz w:val="22"/>
        </w:rPr>
        <w:t>:</w:t>
      </w:r>
      <w:r w:rsidRPr="009E2B03">
        <w:rPr>
          <w:rFonts w:ascii="Calibri Light" w:hAnsi="Calibri Light" w:cs="Arial"/>
          <w:sz w:val="22"/>
        </w:rPr>
        <w:t xml:space="preserve"> Overview of </w:t>
      </w:r>
      <w:r w:rsidR="007678C7" w:rsidRPr="009E2B03">
        <w:rPr>
          <w:rFonts w:ascii="Calibri Light" w:hAnsi="Calibri Light" w:cs="Arial"/>
          <w:sz w:val="22"/>
        </w:rPr>
        <w:t>our method</w:t>
      </w:r>
    </w:p>
    <w:p w14:paraId="74333D71" w14:textId="2E8FB57A" w:rsidR="007F5DA9" w:rsidRPr="009E2B03" w:rsidRDefault="00A147B6" w:rsidP="007F5DA9">
      <w:pPr>
        <w:rPr>
          <w:rFonts w:ascii="Calibri Light" w:hAnsi="Calibri Light"/>
          <w:sz w:val="22"/>
        </w:rPr>
      </w:pPr>
      <w:r w:rsidRPr="009E2B03">
        <w:rPr>
          <w:rFonts w:ascii="Calibri Light" w:hAnsi="Calibri Light"/>
          <w:noProof/>
          <w:lang w:eastAsia="en-AU"/>
        </w:rPr>
        <w:drawing>
          <wp:inline distT="0" distB="0" distL="0" distR="0" wp14:anchorId="7038E800" wp14:editId="3482B924">
            <wp:extent cx="5731510" cy="4047115"/>
            <wp:effectExtent l="0" t="0" r="2540" b="0"/>
            <wp:docPr id="8" name="Picture 8" descr="For more informationplease see the text below." title="Diagram depicting an overview of KPMG'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47115"/>
                    </a:xfrm>
                    <a:prstGeom prst="rect">
                      <a:avLst/>
                    </a:prstGeom>
                    <a:noFill/>
                    <a:ln>
                      <a:noFill/>
                    </a:ln>
                  </pic:spPr>
                </pic:pic>
              </a:graphicData>
            </a:graphic>
          </wp:inline>
        </w:drawing>
      </w:r>
    </w:p>
    <w:p w14:paraId="6CC8FB07" w14:textId="77777777" w:rsidR="007F5DA9" w:rsidRPr="009E2B03" w:rsidRDefault="007F5DA9" w:rsidP="007F5DA9">
      <w:pPr>
        <w:rPr>
          <w:rFonts w:ascii="Calibri Light" w:hAnsi="Calibri Light"/>
        </w:rPr>
      </w:pPr>
      <w:r w:rsidRPr="009E2B03">
        <w:rPr>
          <w:rFonts w:ascii="Calibri Light" w:hAnsi="Calibri Light"/>
        </w:rPr>
        <w:t>Source: KPMG.</w:t>
      </w:r>
    </w:p>
    <w:p w14:paraId="755339CB" w14:textId="77777777" w:rsidR="007F5DA9" w:rsidRPr="009E2B03" w:rsidRDefault="007F5DA9" w:rsidP="007F5DA9">
      <w:pPr>
        <w:rPr>
          <w:rFonts w:ascii="Calibri Light" w:hAnsi="Calibri Light"/>
          <w:sz w:val="22"/>
        </w:rPr>
      </w:pPr>
      <w:r w:rsidRPr="009E2B03">
        <w:rPr>
          <w:rFonts w:ascii="Calibri Light" w:hAnsi="Calibri Light"/>
          <w:sz w:val="22"/>
        </w:rPr>
        <w:fldChar w:fldCharType="begin"/>
      </w:r>
      <w:r w:rsidRPr="009E2B03">
        <w:rPr>
          <w:rFonts w:ascii="Calibri Light" w:hAnsi="Calibri Light"/>
          <w:sz w:val="22"/>
        </w:rPr>
        <w:instrText xml:space="preserve"> REF _Ref447200883 \h </w:instrText>
      </w:r>
      <w:r w:rsidR="009B0258" w:rsidRPr="009E2B03">
        <w:rPr>
          <w:rFonts w:ascii="Calibri Light" w:hAnsi="Calibri Light"/>
          <w:sz w:val="22"/>
        </w:rPr>
        <w:instrText xml:space="preserve"> \* MERGEFORMAT </w:instrText>
      </w:r>
      <w:r w:rsidRPr="009E2B03">
        <w:rPr>
          <w:rFonts w:ascii="Calibri Light" w:hAnsi="Calibri Light"/>
          <w:sz w:val="22"/>
        </w:rPr>
        <w:fldChar w:fldCharType="separate"/>
      </w:r>
      <w:r w:rsidR="00417237">
        <w:rPr>
          <w:rFonts w:ascii="Calibri Light" w:hAnsi="Calibri Light"/>
          <w:b/>
          <w:bCs/>
          <w:sz w:val="22"/>
          <w:lang w:val="en-US"/>
        </w:rPr>
        <w:t>Error! Reference source not found.</w:t>
      </w:r>
      <w:r w:rsidRPr="009E2B03">
        <w:rPr>
          <w:rFonts w:ascii="Calibri Light" w:hAnsi="Calibri Light"/>
          <w:sz w:val="22"/>
        </w:rPr>
        <w:fldChar w:fldCharType="end"/>
      </w:r>
      <w:r w:rsidRPr="009E2B03">
        <w:rPr>
          <w:rFonts w:ascii="Calibri Light" w:hAnsi="Calibri Light"/>
          <w:sz w:val="22"/>
        </w:rPr>
        <w:t xml:space="preserve"> provides a summary of the</w:t>
      </w:r>
      <w:r w:rsidR="007678C7" w:rsidRPr="009E2B03">
        <w:rPr>
          <w:rFonts w:ascii="Calibri Light" w:hAnsi="Calibri Light"/>
          <w:sz w:val="22"/>
        </w:rPr>
        <w:t xml:space="preserve"> primary</w:t>
      </w:r>
      <w:r w:rsidRPr="009E2B03">
        <w:rPr>
          <w:rFonts w:ascii="Calibri Light" w:hAnsi="Calibri Light"/>
          <w:sz w:val="22"/>
        </w:rPr>
        <w:t xml:space="preserve"> insights from the background work undertaken to support the development of the approach. </w:t>
      </w:r>
      <w:r w:rsidR="007678C7" w:rsidRPr="009E2B03">
        <w:rPr>
          <w:rFonts w:ascii="Calibri Light" w:hAnsi="Calibri Light"/>
          <w:sz w:val="22"/>
        </w:rPr>
        <w:t>The appendices contain d</w:t>
      </w:r>
      <w:r w:rsidRPr="009E2B03">
        <w:rPr>
          <w:rFonts w:ascii="Calibri Light" w:hAnsi="Calibri Light"/>
          <w:sz w:val="22"/>
        </w:rPr>
        <w:t xml:space="preserve">etailed supplementary information </w:t>
      </w:r>
      <w:r w:rsidR="007678C7" w:rsidRPr="009E2B03">
        <w:rPr>
          <w:rFonts w:ascii="Calibri Light" w:hAnsi="Calibri Light"/>
          <w:sz w:val="22"/>
        </w:rPr>
        <w:t>relating to</w:t>
      </w:r>
      <w:r w:rsidRPr="009E2B03">
        <w:rPr>
          <w:rFonts w:ascii="Calibri Light" w:hAnsi="Calibri Light"/>
          <w:sz w:val="22"/>
        </w:rPr>
        <w:t xml:space="preserve"> the various packages of background work. </w:t>
      </w:r>
    </w:p>
    <w:p w14:paraId="13B966CF" w14:textId="77777777" w:rsidR="007B44AA" w:rsidRDefault="007B44AA" w:rsidP="007B44AA">
      <w:pPr>
        <w:rPr>
          <w:rFonts w:ascii="Calibri Light" w:hAnsi="Calibri Light"/>
          <w:b/>
          <w:sz w:val="24"/>
        </w:rPr>
      </w:pPr>
      <w:bookmarkStart w:id="54" w:name="_Toc449553515"/>
      <w:r>
        <w:rPr>
          <w:rFonts w:ascii="Calibri Light" w:hAnsi="Calibri Light"/>
          <w:b/>
          <w:sz w:val="24"/>
        </w:rPr>
        <w:br w:type="page"/>
      </w:r>
    </w:p>
    <w:p w14:paraId="1AF06EA4" w14:textId="01B4E4C7" w:rsidR="007B44AA" w:rsidRPr="007B44AA" w:rsidRDefault="007B44AA" w:rsidP="007B44AA">
      <w:pPr>
        <w:rPr>
          <w:rFonts w:ascii="Calibri Light" w:hAnsi="Calibri Light"/>
          <w:b/>
          <w:sz w:val="24"/>
        </w:rPr>
      </w:pPr>
      <w:r w:rsidRPr="007B44AA">
        <w:rPr>
          <w:rFonts w:ascii="Calibri Light" w:hAnsi="Calibri Light"/>
          <w:b/>
          <w:sz w:val="24"/>
        </w:rPr>
        <w:lastRenderedPageBreak/>
        <w:t xml:space="preserve">Box </w:t>
      </w:r>
      <w:r w:rsidRPr="007B44AA">
        <w:rPr>
          <w:rFonts w:ascii="Calibri Light" w:hAnsi="Calibri Light"/>
          <w:b/>
          <w:sz w:val="24"/>
        </w:rPr>
        <w:fldChar w:fldCharType="begin"/>
      </w:r>
      <w:r w:rsidRPr="007B44AA">
        <w:rPr>
          <w:rFonts w:ascii="Calibri Light" w:hAnsi="Calibri Light"/>
          <w:b/>
          <w:sz w:val="24"/>
        </w:rPr>
        <w:instrText xml:space="preserve"> STYLEREF 1 \s </w:instrText>
      </w:r>
      <w:r w:rsidRPr="007B44AA">
        <w:rPr>
          <w:rFonts w:ascii="Calibri Light" w:hAnsi="Calibri Light"/>
          <w:b/>
          <w:sz w:val="24"/>
        </w:rPr>
        <w:fldChar w:fldCharType="separate"/>
      </w:r>
      <w:r w:rsidR="00417237">
        <w:rPr>
          <w:rFonts w:ascii="Calibri Light" w:hAnsi="Calibri Light"/>
          <w:b/>
          <w:noProof/>
          <w:sz w:val="24"/>
        </w:rPr>
        <w:t>2</w:t>
      </w:r>
      <w:r w:rsidRPr="007B44AA">
        <w:rPr>
          <w:rFonts w:ascii="Calibri Light" w:hAnsi="Calibri Light"/>
          <w:b/>
          <w:noProof/>
          <w:sz w:val="24"/>
        </w:rPr>
        <w:fldChar w:fldCharType="end"/>
      </w:r>
      <w:r w:rsidRPr="007B44AA">
        <w:rPr>
          <w:rFonts w:ascii="Calibri Light" w:hAnsi="Calibri Light"/>
          <w:b/>
          <w:sz w:val="24"/>
        </w:rPr>
        <w:noBreakHyphen/>
      </w:r>
      <w:r w:rsidRPr="007B44AA">
        <w:rPr>
          <w:rFonts w:ascii="Calibri Light" w:hAnsi="Calibri Light"/>
          <w:b/>
          <w:sz w:val="24"/>
        </w:rPr>
        <w:fldChar w:fldCharType="begin"/>
      </w:r>
      <w:r w:rsidRPr="007B44AA">
        <w:rPr>
          <w:rFonts w:ascii="Calibri Light" w:hAnsi="Calibri Light"/>
          <w:b/>
          <w:sz w:val="24"/>
        </w:rPr>
        <w:instrText xml:space="preserve"> SEQ Box \* ARABIC \s 1 </w:instrText>
      </w:r>
      <w:r w:rsidRPr="007B44AA">
        <w:rPr>
          <w:rFonts w:ascii="Calibri Light" w:hAnsi="Calibri Light"/>
          <w:b/>
          <w:sz w:val="24"/>
        </w:rPr>
        <w:fldChar w:fldCharType="separate"/>
      </w:r>
      <w:r w:rsidR="00417237">
        <w:rPr>
          <w:rFonts w:ascii="Calibri Light" w:hAnsi="Calibri Light"/>
          <w:b/>
          <w:noProof/>
          <w:sz w:val="24"/>
        </w:rPr>
        <w:t>1</w:t>
      </w:r>
      <w:r w:rsidRPr="007B44AA">
        <w:rPr>
          <w:rFonts w:ascii="Calibri Light" w:hAnsi="Calibri Light"/>
          <w:b/>
          <w:noProof/>
          <w:sz w:val="24"/>
        </w:rPr>
        <w:fldChar w:fldCharType="end"/>
      </w:r>
      <w:r w:rsidRPr="007B44AA">
        <w:rPr>
          <w:rFonts w:ascii="Calibri Light" w:hAnsi="Calibri Light"/>
          <w:b/>
          <w:sz w:val="24"/>
        </w:rPr>
        <w:t>: Important insights from the evidence base development</w:t>
      </w:r>
    </w:p>
    <w:p w14:paraId="14D14227" w14:textId="77777777" w:rsidR="007B44AA" w:rsidRPr="007B44AA" w:rsidRDefault="007B44AA" w:rsidP="007B44AA">
      <w:pPr>
        <w:rPr>
          <w:rFonts w:ascii="Calibri Light" w:hAnsi="Calibri Light"/>
          <w:sz w:val="22"/>
          <w:szCs w:val="22"/>
        </w:rPr>
      </w:pPr>
      <w:r w:rsidRPr="007B44AA">
        <w:rPr>
          <w:rFonts w:ascii="Calibri Light" w:hAnsi="Calibri Light"/>
          <w:sz w:val="22"/>
          <w:szCs w:val="22"/>
        </w:rPr>
        <w:t>As outlined above, KPMG undertook a broad package of work in consultation with the Department and other key stakeholders. We gathered available domestic and international evidence, assessed its strengths and limitations, and developed a comprehensive approach that recognised and responded to critical issues. The following points summarise the most critical considerations identified as part of this work.</w:t>
      </w:r>
    </w:p>
    <w:p w14:paraId="3AE38AF7" w14:textId="77777777" w:rsidR="007B44AA" w:rsidRPr="007B44AA" w:rsidRDefault="007B44AA" w:rsidP="007B44AA">
      <w:pPr>
        <w:pStyle w:val="BodyBullet"/>
        <w:numPr>
          <w:ilvl w:val="0"/>
          <w:numId w:val="0"/>
        </w:numPr>
        <w:rPr>
          <w:rFonts w:ascii="Calibri Light" w:hAnsi="Calibri Light" w:cs="Arial"/>
          <w:sz w:val="22"/>
          <w:szCs w:val="22"/>
        </w:rPr>
      </w:pPr>
      <w:r w:rsidRPr="007B44AA">
        <w:rPr>
          <w:rFonts w:ascii="Calibri Light" w:hAnsi="Calibri Light" w:cs="Arial"/>
          <w:sz w:val="22"/>
          <w:szCs w:val="22"/>
        </w:rPr>
        <w:t xml:space="preserve">There is not a ‘single source of truth’ within the evidence base that provides sufficient detail on the prevalence and impacts of violence associated with specific cohorts, geographies, and forms of violence. </w:t>
      </w:r>
    </w:p>
    <w:p w14:paraId="4656F36E" w14:textId="77777777" w:rsidR="007B44AA" w:rsidRPr="007B44AA" w:rsidRDefault="007B44AA" w:rsidP="007B44AA">
      <w:pPr>
        <w:pStyle w:val="ListBullet2"/>
        <w:numPr>
          <w:ilvl w:val="0"/>
          <w:numId w:val="22"/>
        </w:numPr>
        <w:rPr>
          <w:rFonts w:ascii="Calibri Light" w:hAnsi="Calibri Light"/>
          <w:sz w:val="22"/>
          <w:szCs w:val="22"/>
        </w:rPr>
      </w:pPr>
      <w:r w:rsidRPr="007B44AA">
        <w:rPr>
          <w:rFonts w:ascii="Calibri Light" w:hAnsi="Calibri Light"/>
          <w:sz w:val="22"/>
          <w:szCs w:val="22"/>
        </w:rPr>
        <w:t xml:space="preserve">There have also been changes in the understanding, definition, and measurement of different forms of violence and abuse over time, making it difficult to make consistent comparisons of changes in prevalence rates observed over time. For example, the definitional change for emotional abuse and stalking in the ABS Personal Safety Survey 2012 (PSS), creates challenges when comparing the results of the 2005 and 2012 PSS.  </w:t>
      </w:r>
    </w:p>
    <w:p w14:paraId="10C5AAAA" w14:textId="77777777" w:rsidR="007B44AA" w:rsidRPr="007B44AA" w:rsidRDefault="007B44AA" w:rsidP="007B44AA">
      <w:pPr>
        <w:pStyle w:val="ListBullet2"/>
        <w:numPr>
          <w:ilvl w:val="0"/>
          <w:numId w:val="22"/>
        </w:numPr>
        <w:rPr>
          <w:rFonts w:ascii="Calibri Light" w:hAnsi="Calibri Light"/>
          <w:sz w:val="22"/>
          <w:szCs w:val="22"/>
        </w:rPr>
      </w:pPr>
      <w:r w:rsidRPr="007B44AA">
        <w:rPr>
          <w:rFonts w:ascii="Calibri Light" w:hAnsi="Calibri Light"/>
          <w:sz w:val="22"/>
          <w:szCs w:val="22"/>
        </w:rPr>
        <w:t xml:space="preserve">Different forms of violence are not mutually exclusive. There is evidence that women can often experience different forms of abuse and threats, and that the impacts of different forms of abuse and threats can be interdependent and self-reinforcing. </w:t>
      </w:r>
    </w:p>
    <w:p w14:paraId="0A30FE39" w14:textId="77777777" w:rsidR="007B44AA" w:rsidRPr="007B44AA" w:rsidRDefault="007B44AA" w:rsidP="007B44AA">
      <w:pPr>
        <w:pStyle w:val="ListBullet2"/>
        <w:numPr>
          <w:ilvl w:val="0"/>
          <w:numId w:val="22"/>
        </w:numPr>
        <w:rPr>
          <w:rFonts w:ascii="Calibri Light" w:hAnsi="Calibri Light"/>
          <w:sz w:val="22"/>
          <w:szCs w:val="22"/>
        </w:rPr>
      </w:pPr>
      <w:r w:rsidRPr="007B44AA">
        <w:rPr>
          <w:rFonts w:ascii="Calibri Light" w:hAnsi="Calibri Light"/>
          <w:sz w:val="22"/>
          <w:szCs w:val="22"/>
        </w:rPr>
        <w:t xml:space="preserve">In some circumstances, women experiencing violence may not report incidents to police or other authorities. Women may also self-censor information provided to surveys conducted for statistical publications such as the PSS, the National Aboriginal and Torres Strait Islander Social Survey, and other research studies. Although there are some estimates available of non-reporting, these are difficult to both verify in aggregate, and estimate for specific cohorts of women.  </w:t>
      </w:r>
    </w:p>
    <w:p w14:paraId="1495889B" w14:textId="77777777" w:rsidR="007B44AA" w:rsidRPr="007B44AA" w:rsidRDefault="007B44AA" w:rsidP="007B44AA">
      <w:pPr>
        <w:pStyle w:val="ListBullet2"/>
        <w:numPr>
          <w:ilvl w:val="0"/>
          <w:numId w:val="22"/>
        </w:numPr>
        <w:rPr>
          <w:rFonts w:ascii="Calibri Light" w:hAnsi="Calibri Light"/>
          <w:sz w:val="22"/>
          <w:szCs w:val="22"/>
        </w:rPr>
      </w:pPr>
      <w:r w:rsidRPr="007B44AA">
        <w:rPr>
          <w:rFonts w:ascii="Calibri Light" w:hAnsi="Calibri Light"/>
          <w:sz w:val="22"/>
          <w:szCs w:val="22"/>
        </w:rPr>
        <w:t xml:space="preserve">Prevalence and incidence are captured and reported separately and in different ways across different datasets. This means there are significant challenges in reconciling these different measures to understand the concentration of violence across different cohorts and geographies, and how this has changed over time. Specifically, prevalence data is based on population-level studies across Australia, while incidence data is primarily based on reported crime data collected at a jurisdictional level. </w:t>
      </w:r>
    </w:p>
    <w:p w14:paraId="47A6691E" w14:textId="77777777" w:rsidR="007B44AA" w:rsidRPr="007B44AA" w:rsidRDefault="007B44AA" w:rsidP="007B44AA">
      <w:pPr>
        <w:pStyle w:val="BodyBullet"/>
        <w:numPr>
          <w:ilvl w:val="0"/>
          <w:numId w:val="0"/>
        </w:numPr>
        <w:rPr>
          <w:rFonts w:ascii="Calibri Light" w:hAnsi="Calibri Light" w:cs="Arial"/>
          <w:sz w:val="22"/>
          <w:szCs w:val="22"/>
        </w:rPr>
      </w:pPr>
      <w:r w:rsidRPr="007B44AA">
        <w:rPr>
          <w:rFonts w:ascii="Calibri Light" w:hAnsi="Calibri Light" w:cs="Arial"/>
          <w:sz w:val="22"/>
          <w:szCs w:val="22"/>
        </w:rPr>
        <w:t xml:space="preserve">Notwithstanding the above, we conducted a set of consultations with key stakeholders to test and confirm the findings of the data analysis. We conducted consultations with ABS, AIHW, ANROWS, the Crime Statistics Agency Victoria, the Justice and Community Safety Directorate for the Australian Capital Territory (ACT), and the Office for Women in South Australia. Through the consultations, we developed a number of important insights aimed at better leveraging the evidence base within this study and in similar research. Our insights include the following: </w:t>
      </w:r>
    </w:p>
    <w:p w14:paraId="6EA68629"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The PSS, funded by the Department and undertaken by the ABS, is cited as a source providing some of the most consistent information on violence against women across Australia. However, considering the length and complexity of the survey, there are limitations to the PSS associated with the representation of particular cohorts of women (e.g. Aboriginal and Torres Strait Islander women and women from a CALD background) within the statistics. This is due to the significance of the sample size underpinning the survey development, the difficulty in gaining effective access to communities and vulnerable individuals, and language and cultural challenges that can mean there are communication barriers with researchers.</w:t>
      </w:r>
    </w:p>
    <w:p w14:paraId="0575B9ED"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As a result of the limitations of the PSS, we undertook additional exploration of other data and information sources, and supporting research, relevant to specific cohorts and geographies. We intended to identify the available evidence and assess how best to leverage this evidence in expanding and refining the insights from the PSS.</w:t>
      </w:r>
    </w:p>
    <w:p w14:paraId="5C6FA51C" w14:textId="7F0D4D20"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lastRenderedPageBreak/>
        <w:t xml:space="preserve">Through the above approach, we identified additional data and evidence to explore the prevalence, nature and impact of violence against women and children for the following cohorts: </w:t>
      </w:r>
    </w:p>
    <w:p w14:paraId="421E08DA" w14:textId="77777777" w:rsidR="007B44AA" w:rsidRPr="007B44AA" w:rsidRDefault="007B44AA" w:rsidP="007B44AA">
      <w:pPr>
        <w:pStyle w:val="ListBullet2"/>
        <w:numPr>
          <w:ilvl w:val="0"/>
          <w:numId w:val="30"/>
        </w:numPr>
        <w:ind w:left="1718" w:hanging="357"/>
        <w:rPr>
          <w:rFonts w:ascii="Calibri Light" w:hAnsi="Calibri Light"/>
          <w:sz w:val="22"/>
          <w:szCs w:val="22"/>
        </w:rPr>
      </w:pPr>
      <w:r w:rsidRPr="007B44AA">
        <w:rPr>
          <w:rFonts w:ascii="Calibri Light" w:hAnsi="Calibri Light"/>
          <w:sz w:val="22"/>
          <w:szCs w:val="22"/>
        </w:rPr>
        <w:t>Aboriginal and Torres Strait Islander women</w:t>
      </w:r>
    </w:p>
    <w:p w14:paraId="15465955" w14:textId="77777777" w:rsidR="007B44AA" w:rsidRPr="007B44AA" w:rsidRDefault="007B44AA" w:rsidP="007B44AA">
      <w:pPr>
        <w:pStyle w:val="ListBullet2"/>
        <w:numPr>
          <w:ilvl w:val="0"/>
          <w:numId w:val="30"/>
        </w:numPr>
        <w:ind w:left="1718" w:hanging="357"/>
        <w:rPr>
          <w:rFonts w:ascii="Calibri Light" w:hAnsi="Calibri Light"/>
          <w:sz w:val="22"/>
          <w:szCs w:val="22"/>
        </w:rPr>
      </w:pPr>
      <w:r w:rsidRPr="007B44AA">
        <w:rPr>
          <w:rFonts w:ascii="Calibri Light" w:hAnsi="Calibri Light"/>
          <w:sz w:val="22"/>
          <w:szCs w:val="22"/>
        </w:rPr>
        <w:t>women from a CALD background</w:t>
      </w:r>
    </w:p>
    <w:p w14:paraId="46DDC5F4" w14:textId="77777777" w:rsidR="007B44AA" w:rsidRPr="007B44AA" w:rsidRDefault="007B44AA" w:rsidP="007B44AA">
      <w:pPr>
        <w:pStyle w:val="ListBullet2"/>
        <w:numPr>
          <w:ilvl w:val="0"/>
          <w:numId w:val="30"/>
        </w:numPr>
        <w:ind w:left="1718" w:hanging="357"/>
        <w:rPr>
          <w:rFonts w:ascii="Calibri Light" w:hAnsi="Calibri Light"/>
          <w:sz w:val="22"/>
          <w:szCs w:val="22"/>
        </w:rPr>
      </w:pPr>
      <w:r w:rsidRPr="007B44AA">
        <w:rPr>
          <w:rFonts w:ascii="Calibri Light" w:hAnsi="Calibri Light"/>
          <w:sz w:val="22"/>
          <w:szCs w:val="22"/>
        </w:rPr>
        <w:t>pregnant women</w:t>
      </w:r>
    </w:p>
    <w:p w14:paraId="450004B2" w14:textId="77777777" w:rsidR="007B44AA" w:rsidRPr="007B44AA" w:rsidRDefault="007B44AA" w:rsidP="007B44AA">
      <w:pPr>
        <w:pStyle w:val="ListBullet2"/>
        <w:numPr>
          <w:ilvl w:val="0"/>
          <w:numId w:val="30"/>
        </w:numPr>
        <w:ind w:left="1718" w:hanging="357"/>
        <w:rPr>
          <w:rFonts w:ascii="Calibri Light" w:hAnsi="Calibri Light"/>
          <w:sz w:val="22"/>
          <w:szCs w:val="22"/>
        </w:rPr>
      </w:pPr>
      <w:r w:rsidRPr="007B44AA">
        <w:rPr>
          <w:rFonts w:ascii="Calibri Light" w:hAnsi="Calibri Light"/>
          <w:sz w:val="22"/>
          <w:szCs w:val="22"/>
        </w:rPr>
        <w:t>women identifying as lesbian, gay, bisexual, transgender, intersex or queer (LGBTIQ)</w:t>
      </w:r>
    </w:p>
    <w:p w14:paraId="2CC0FF73" w14:textId="77777777" w:rsidR="007B44AA" w:rsidRPr="007B44AA" w:rsidRDefault="007B44AA" w:rsidP="007B44AA">
      <w:pPr>
        <w:pStyle w:val="ListBullet2"/>
        <w:numPr>
          <w:ilvl w:val="0"/>
          <w:numId w:val="30"/>
        </w:numPr>
        <w:ind w:left="1718" w:hanging="357"/>
        <w:rPr>
          <w:rFonts w:ascii="Calibri Light" w:hAnsi="Calibri Light"/>
          <w:sz w:val="22"/>
          <w:szCs w:val="22"/>
        </w:rPr>
      </w:pPr>
      <w:r w:rsidRPr="007B44AA">
        <w:rPr>
          <w:rFonts w:ascii="Calibri Light" w:hAnsi="Calibri Light"/>
          <w:sz w:val="22"/>
          <w:szCs w:val="22"/>
        </w:rPr>
        <w:t>women with disability.</w:t>
      </w:r>
    </w:p>
    <w:p w14:paraId="0314B001"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 xml:space="preserve">We identified further opportunities for data analysis through key reports developed by state and territory crime statistics bureaus e.g. the NSW Bureau of Crime Statistics and Research (BOCSAR) and Victorian Crime Statistics Agency and relevant government agencies, particularly in relation to available information within family violence databases. This data provides insights into such areas as hospital visitation in emergency departments, victim helplines and counselling programs and men’s behaviour change programs. Where possible and appropriate, we leveraged this data to provide additional insights into the programs and services provided at a jurisdictional level to women who have experienced violence. </w:t>
      </w:r>
    </w:p>
    <w:p w14:paraId="4BB0C5F1" w14:textId="77777777" w:rsidR="007B44AA" w:rsidRPr="007B44AA" w:rsidRDefault="007B44AA" w:rsidP="007B44AA">
      <w:pPr>
        <w:pStyle w:val="BodyBullet"/>
        <w:numPr>
          <w:ilvl w:val="0"/>
          <w:numId w:val="0"/>
        </w:numPr>
        <w:rPr>
          <w:rFonts w:ascii="Calibri Light" w:hAnsi="Calibri Light" w:cs="Arial"/>
          <w:sz w:val="22"/>
          <w:szCs w:val="22"/>
        </w:rPr>
      </w:pPr>
      <w:r w:rsidRPr="007B44AA">
        <w:rPr>
          <w:rFonts w:ascii="Calibri Light" w:hAnsi="Calibri Light" w:cs="Arial"/>
          <w:sz w:val="22"/>
          <w:szCs w:val="22"/>
        </w:rPr>
        <w:t>There are significant variations in the level of reported incidence of violence to police across different geographic cohorts, with different jurisdictions experiencing varied levels of increase in reported incidence and rates of violence per 100,000 persons. It is important to identify the different trends, drivers and targeted characteristics of violence in each state and territory. For example:</w:t>
      </w:r>
      <w:r w:rsidRPr="007B44AA">
        <w:rPr>
          <w:rStyle w:val="FootnoteReference"/>
          <w:rFonts w:ascii="Calibri Light" w:hAnsi="Calibri Light" w:cs="Arial"/>
          <w:sz w:val="22"/>
          <w:szCs w:val="22"/>
        </w:rPr>
        <w:footnoteReference w:id="20"/>
      </w:r>
    </w:p>
    <w:p w14:paraId="57A69581" w14:textId="77777777" w:rsidR="007B44AA" w:rsidRPr="007B44AA" w:rsidRDefault="007B44AA" w:rsidP="007B44AA">
      <w:pPr>
        <w:pStyle w:val="ListBullet2"/>
        <w:numPr>
          <w:ilvl w:val="0"/>
          <w:numId w:val="24"/>
        </w:numPr>
        <w:rPr>
          <w:rFonts w:ascii="Calibri Light" w:hAnsi="Calibri Light"/>
          <w:sz w:val="22"/>
          <w:szCs w:val="22"/>
        </w:rPr>
      </w:pPr>
      <w:r w:rsidRPr="007B44AA">
        <w:rPr>
          <w:rFonts w:ascii="Calibri Light" w:hAnsi="Calibri Light"/>
          <w:sz w:val="22"/>
          <w:szCs w:val="22"/>
        </w:rPr>
        <w:t>Northern Territory’s reported criminal incidents of violence involving domestic violence increased from approximately 3,480 in 2010 to 3,970 in 2015, with a peak in 2013 of 4,840, with over half of all domestic violence involving alcohol.</w:t>
      </w:r>
    </w:p>
    <w:p w14:paraId="2CC2565F" w14:textId="77777777" w:rsidR="007B44AA" w:rsidRPr="007B44AA" w:rsidRDefault="007B44AA" w:rsidP="007B44AA">
      <w:pPr>
        <w:pStyle w:val="ListBullet2"/>
        <w:numPr>
          <w:ilvl w:val="0"/>
          <w:numId w:val="24"/>
        </w:numPr>
        <w:rPr>
          <w:rFonts w:ascii="Calibri Light" w:hAnsi="Calibri Light"/>
          <w:sz w:val="22"/>
          <w:szCs w:val="22"/>
        </w:rPr>
      </w:pPr>
      <w:r w:rsidRPr="007B44AA">
        <w:rPr>
          <w:rFonts w:ascii="Calibri Light" w:hAnsi="Calibri Light"/>
          <w:sz w:val="22"/>
          <w:szCs w:val="22"/>
        </w:rPr>
        <w:t xml:space="preserve">Victoria’s recorded family incidents of violence against women has increased from 31,590 in 2010-11 to 54,376 in 2014-15, with a 9.2 per cent increase in the previous 12 months. Importantly, this does not necessarily reflect a higher level of violence across the state, but rather an increase in violence </w:t>
      </w:r>
      <w:r w:rsidRPr="007B44AA">
        <w:rPr>
          <w:rFonts w:ascii="Calibri Light" w:hAnsi="Calibri Light"/>
          <w:i/>
          <w:sz w:val="22"/>
          <w:szCs w:val="22"/>
        </w:rPr>
        <w:t>reported</w:t>
      </w:r>
      <w:r w:rsidRPr="007B44AA">
        <w:rPr>
          <w:rFonts w:ascii="Calibri Light" w:hAnsi="Calibri Light"/>
          <w:sz w:val="22"/>
          <w:szCs w:val="22"/>
        </w:rPr>
        <w:t xml:space="preserve"> to the police. This variation likely reflect changes in the Victoria Police’s business practices during this period.</w:t>
      </w:r>
    </w:p>
    <w:p w14:paraId="277835E1" w14:textId="77777777" w:rsidR="007B44AA" w:rsidRPr="007B44AA" w:rsidRDefault="007B44AA" w:rsidP="007B44AA">
      <w:pPr>
        <w:pStyle w:val="ListBullet2"/>
        <w:numPr>
          <w:ilvl w:val="0"/>
          <w:numId w:val="24"/>
        </w:numPr>
        <w:rPr>
          <w:rFonts w:ascii="Calibri Light" w:hAnsi="Calibri Light"/>
          <w:sz w:val="22"/>
          <w:szCs w:val="22"/>
        </w:rPr>
      </w:pPr>
      <w:r w:rsidRPr="007B44AA">
        <w:rPr>
          <w:rFonts w:ascii="Calibri Light" w:hAnsi="Calibri Light"/>
          <w:sz w:val="22"/>
          <w:szCs w:val="22"/>
        </w:rPr>
        <w:t>NSW’s reported criminal incidence of domestic violence related assault has marginally increased from 26,748 incidents in 2010-11 to 28,939 in 2014-15, however in the same time period, the incidence of sexual assault has increased from 557 to 865 with an 11.6 per cent increase in the previous two years.</w:t>
      </w:r>
    </w:p>
    <w:p w14:paraId="49B7C936" w14:textId="77777777" w:rsidR="007B44AA" w:rsidRPr="007B44AA" w:rsidRDefault="007B44AA" w:rsidP="007B44AA">
      <w:pPr>
        <w:pStyle w:val="ListBullet2"/>
        <w:keepNext/>
        <w:numPr>
          <w:ilvl w:val="0"/>
          <w:numId w:val="24"/>
        </w:numPr>
        <w:rPr>
          <w:rFonts w:ascii="Calibri Light" w:hAnsi="Calibri Light"/>
          <w:sz w:val="22"/>
          <w:szCs w:val="22"/>
        </w:rPr>
      </w:pPr>
      <w:r w:rsidRPr="007B44AA">
        <w:rPr>
          <w:rFonts w:ascii="Calibri Light" w:hAnsi="Calibri Light"/>
          <w:sz w:val="22"/>
          <w:szCs w:val="22"/>
        </w:rPr>
        <w:lastRenderedPageBreak/>
        <w:t xml:space="preserve">Across states and territories, there is a relationship between different indicators of socioeconomic status (e.g. the level of household income and the level of educational attainment) and the incidence for domestic violence assaults. However, the data is not consistent across cohorts and geographies. As a result, there are challenges to defining and understanding the relationship between socioeconomic status and the incidence of violence. Further, it is important to understand that higher correlation between areas of lower socioeconomic status and rates of domestic violence assaults may reflect greater relative need for services, and that people of lower socioeconomic status may live in areas of high population density, which is an indicator of domestic violence. Importantly, violence affects women across all groups within society, including women who are experiencing socioeconomic disadvantage and socioeconomic advantage. </w:t>
      </w:r>
    </w:p>
    <w:p w14:paraId="2AAF051B" w14:textId="77777777" w:rsidR="007B44AA" w:rsidRPr="007B44AA" w:rsidRDefault="007B44AA" w:rsidP="007B44AA">
      <w:pPr>
        <w:pStyle w:val="BodyBullet"/>
        <w:numPr>
          <w:ilvl w:val="0"/>
          <w:numId w:val="0"/>
        </w:numPr>
        <w:rPr>
          <w:rFonts w:ascii="Calibri Light" w:hAnsi="Calibri Light" w:cs="Arial"/>
          <w:sz w:val="22"/>
          <w:szCs w:val="22"/>
        </w:rPr>
      </w:pPr>
      <w:r w:rsidRPr="007B44AA">
        <w:rPr>
          <w:rFonts w:ascii="Calibri Light" w:hAnsi="Calibri Light" w:cs="Arial"/>
          <w:sz w:val="22"/>
          <w:szCs w:val="22"/>
        </w:rPr>
        <w:t xml:space="preserve">The costing approaches used to estimate the economic impact of violence across Australia have consistently shown the scope and scale of violence as a social and economic problem. However, there is also an opportunity to identify the economic impact of abuse against vulnerable groups and different geographical areas. </w:t>
      </w:r>
    </w:p>
    <w:p w14:paraId="1763AEEF" w14:textId="77777777" w:rsidR="007B44AA" w:rsidRPr="007B44AA" w:rsidRDefault="007B44AA" w:rsidP="007B44AA">
      <w:pPr>
        <w:pStyle w:val="ListBullet2"/>
        <w:numPr>
          <w:ilvl w:val="0"/>
          <w:numId w:val="25"/>
        </w:numPr>
        <w:rPr>
          <w:rFonts w:ascii="Calibri Light" w:hAnsi="Calibri Light"/>
          <w:sz w:val="22"/>
          <w:szCs w:val="22"/>
        </w:rPr>
      </w:pPr>
      <w:r w:rsidRPr="007B44AA">
        <w:rPr>
          <w:rFonts w:ascii="Calibri Light" w:hAnsi="Calibri Light"/>
          <w:sz w:val="22"/>
          <w:szCs w:val="22"/>
        </w:rPr>
        <w:t>In order to identify important trends in violence against women to better inform evidence based policy development, large scale costing studies have taken into consideration surveys, datasets and targeted research into disadvantaged groups that may be underrepresented in high level data holdings.</w:t>
      </w:r>
    </w:p>
    <w:p w14:paraId="663ABD4C" w14:textId="77777777" w:rsidR="007B44AA" w:rsidRPr="007B44AA" w:rsidRDefault="007B44AA" w:rsidP="007B44AA">
      <w:pPr>
        <w:pStyle w:val="ListBullet2"/>
        <w:numPr>
          <w:ilvl w:val="0"/>
          <w:numId w:val="25"/>
        </w:numPr>
        <w:rPr>
          <w:rFonts w:ascii="Calibri Light" w:hAnsi="Calibri Light"/>
          <w:sz w:val="22"/>
          <w:szCs w:val="22"/>
        </w:rPr>
      </w:pPr>
      <w:r w:rsidRPr="007B44AA">
        <w:rPr>
          <w:rFonts w:ascii="Calibri Light" w:hAnsi="Calibri Light"/>
          <w:sz w:val="22"/>
          <w:szCs w:val="22"/>
        </w:rPr>
        <w:t xml:space="preserve">Costing methods are shaped by the availability of data and the publication of new research and studies, particularly with regards to key assumptions underpinning the estimations of costs. </w:t>
      </w:r>
    </w:p>
    <w:p w14:paraId="767CE878" w14:textId="77777777" w:rsidR="007B44AA" w:rsidRPr="007B44AA" w:rsidRDefault="007B44AA" w:rsidP="007B44AA">
      <w:pPr>
        <w:pStyle w:val="ListBullet2"/>
        <w:numPr>
          <w:ilvl w:val="0"/>
          <w:numId w:val="25"/>
        </w:numPr>
        <w:rPr>
          <w:rFonts w:ascii="Calibri Light" w:hAnsi="Calibri Light"/>
          <w:sz w:val="22"/>
          <w:szCs w:val="22"/>
        </w:rPr>
      </w:pPr>
      <w:r w:rsidRPr="007B44AA">
        <w:rPr>
          <w:rFonts w:ascii="Calibri Light" w:hAnsi="Calibri Light"/>
          <w:sz w:val="22"/>
          <w:szCs w:val="22"/>
        </w:rPr>
        <w:t>New research can be leveraged to identify new cost categories that reflect current issues and policy problems, such as the impact of economic abuse on women who also experience physical and sexual violence. Research identifies that financial inequality and the control of financial resources by one partner in a relationship can significantly impact on the opportunities, wellbeing and autonomy of women. Additionally, it can also reinforce and heighten the impact of violent behaviour by limiting the opportunity for women to seek help or leave an abusive relationship.</w:t>
      </w:r>
    </w:p>
    <w:p w14:paraId="30EF37F5" w14:textId="77777777" w:rsidR="007B44AA" w:rsidRPr="007B44AA" w:rsidRDefault="007B44AA" w:rsidP="007B44AA">
      <w:pPr>
        <w:pStyle w:val="ListBullet2"/>
        <w:numPr>
          <w:ilvl w:val="0"/>
          <w:numId w:val="25"/>
        </w:numPr>
        <w:rPr>
          <w:rFonts w:ascii="Calibri Light" w:hAnsi="Calibri Light"/>
          <w:sz w:val="22"/>
          <w:szCs w:val="22"/>
        </w:rPr>
      </w:pPr>
      <w:r w:rsidRPr="007B44AA">
        <w:rPr>
          <w:rFonts w:ascii="Calibri Light" w:hAnsi="Calibri Light"/>
          <w:sz w:val="22"/>
          <w:szCs w:val="22"/>
        </w:rPr>
        <w:t xml:space="preserve">The high level of unreported violence also has implications on the interpretation of data and the developing of costing estimates. While the prevalence data on violence against women takes into account reported and unreported violence, the incidence data collated through reported crime statistics focuses only on reported violence. Without a comprehensive understanding of the socio-demographic characteristics of women who experience violence, and the frequency of the incidences of violence, there may be challenges to attributing the costs in a systematic method.  </w:t>
      </w:r>
    </w:p>
    <w:p w14:paraId="4AA9D5BD" w14:textId="77777777" w:rsidR="007B44AA" w:rsidRPr="007B44AA" w:rsidRDefault="007B44AA" w:rsidP="007B44AA">
      <w:pPr>
        <w:pStyle w:val="BodyBullet"/>
        <w:numPr>
          <w:ilvl w:val="0"/>
          <w:numId w:val="0"/>
        </w:numPr>
        <w:rPr>
          <w:rFonts w:ascii="Calibri Light" w:hAnsi="Calibri Light" w:cs="Arial"/>
          <w:sz w:val="22"/>
          <w:szCs w:val="22"/>
        </w:rPr>
      </w:pPr>
      <w:r w:rsidRPr="007B44AA">
        <w:rPr>
          <w:rFonts w:ascii="Calibri Light" w:hAnsi="Calibri Light" w:cs="Arial"/>
          <w:sz w:val="22"/>
          <w:szCs w:val="22"/>
        </w:rPr>
        <w:t xml:space="preserve">The impacts of violence against women are significant. Across the costing studies examined, the costs of violence against women have been separated into seven cost categories that seek to provide a holistic view of the lifelong impact of violence, including: </w:t>
      </w:r>
    </w:p>
    <w:p w14:paraId="70798986"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the cost impacts of the pain and suffering experienced by the victim, which can lead to long term effects on psychological and physical health</w:t>
      </w:r>
    </w:p>
    <w:p w14:paraId="019DE008"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increased demand for access to the health system for delivering treatment and care to victims</w:t>
      </w:r>
    </w:p>
    <w:p w14:paraId="20A83A3F"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increased costs on business due to absenteeism, presenteeism and retraining</w:t>
      </w:r>
    </w:p>
    <w:p w14:paraId="70CF4439"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additional police, court and incarceration costs to manage the perpetrators through the justice system, as well as men’s behaviour programs</w:t>
      </w:r>
    </w:p>
    <w:p w14:paraId="5A793308" w14:textId="77777777" w:rsidR="007B44AA" w:rsidRPr="007B44AA" w:rsidRDefault="007B44AA" w:rsidP="007B44AA">
      <w:pPr>
        <w:pStyle w:val="ListBullet2"/>
        <w:numPr>
          <w:ilvl w:val="0"/>
          <w:numId w:val="23"/>
        </w:numPr>
        <w:rPr>
          <w:rFonts w:ascii="Calibri Light" w:hAnsi="Calibri Light"/>
          <w:sz w:val="22"/>
          <w:szCs w:val="22"/>
        </w:rPr>
      </w:pPr>
      <w:r w:rsidRPr="007B44AA">
        <w:rPr>
          <w:rFonts w:ascii="Calibri Light" w:hAnsi="Calibri Light"/>
          <w:sz w:val="22"/>
          <w:szCs w:val="22"/>
        </w:rPr>
        <w:t>greater demand on government programs as well as mainstream and targeted services delivered by the community and non-government sectors, including specialist homelessness and information and linkages services.</w:t>
      </w:r>
    </w:p>
    <w:p w14:paraId="5B97EE87" w14:textId="76A7A6C6" w:rsidR="007B44AA" w:rsidRPr="007B44AA" w:rsidRDefault="007B44AA" w:rsidP="007B44AA">
      <w:pPr>
        <w:pStyle w:val="ListBullet2"/>
        <w:numPr>
          <w:ilvl w:val="0"/>
          <w:numId w:val="0"/>
        </w:numPr>
        <w:rPr>
          <w:rFonts w:ascii="Calibri Light" w:hAnsi="Calibri Light"/>
          <w:sz w:val="22"/>
          <w:szCs w:val="22"/>
        </w:rPr>
      </w:pPr>
      <w:r w:rsidRPr="007B44AA">
        <w:rPr>
          <w:rFonts w:ascii="Calibri Light" w:hAnsi="Calibri Light"/>
          <w:sz w:val="22"/>
          <w:szCs w:val="22"/>
        </w:rPr>
        <w:lastRenderedPageBreak/>
        <w:t>For the purposes of consistency and comparability with previous costing studies undertaken by Access Economics, KPMG, and PwC, this Report presents a central set of cost estimates drawing on the 2012 PSS prevalence estimates and the latest available data and research. However, in recognition of the limitations in the available data, we undertook supporting packages of analysis to provide greater insight to the differences in experience of violence across different cohorts and geographies.</w:t>
      </w:r>
    </w:p>
    <w:p w14:paraId="4427582D" w14:textId="77777777" w:rsidR="007F5DA9" w:rsidRPr="009E2B03" w:rsidRDefault="007F5DA9" w:rsidP="00E127F4">
      <w:pPr>
        <w:pStyle w:val="Heading2"/>
        <w:numPr>
          <w:ilvl w:val="1"/>
          <w:numId w:val="19"/>
        </w:numPr>
        <w:rPr>
          <w:rFonts w:ascii="Calibri Light" w:hAnsi="Calibri Light"/>
          <w:color w:val="6D2077"/>
          <w:sz w:val="36"/>
        </w:rPr>
      </w:pPr>
      <w:r w:rsidRPr="009E2B03">
        <w:rPr>
          <w:rFonts w:ascii="Calibri Light" w:hAnsi="Calibri Light"/>
          <w:color w:val="6D2077"/>
          <w:sz w:val="36"/>
        </w:rPr>
        <w:t>Estimation approach</w:t>
      </w:r>
      <w:bookmarkEnd w:id="54"/>
      <w:r w:rsidRPr="009E2B03">
        <w:rPr>
          <w:rFonts w:ascii="Calibri Light" w:hAnsi="Calibri Light"/>
          <w:color w:val="6D2077"/>
          <w:sz w:val="36"/>
        </w:rPr>
        <w:t xml:space="preserve"> </w:t>
      </w:r>
    </w:p>
    <w:p w14:paraId="346E7CDB" w14:textId="77777777" w:rsidR="007F5DA9" w:rsidRPr="009E2B03" w:rsidRDefault="008B4878" w:rsidP="007F5DA9">
      <w:pPr>
        <w:rPr>
          <w:rFonts w:ascii="Calibri Light" w:hAnsi="Calibri Light"/>
          <w:sz w:val="22"/>
        </w:rPr>
      </w:pPr>
      <w:r w:rsidRPr="009E2B03">
        <w:rPr>
          <w:rFonts w:ascii="Calibri Light" w:hAnsi="Calibri Light"/>
          <w:sz w:val="22"/>
        </w:rPr>
        <w:t>T</w:t>
      </w:r>
      <w:r w:rsidR="007F5DA9" w:rsidRPr="009E2B03">
        <w:rPr>
          <w:rFonts w:ascii="Calibri Light" w:hAnsi="Calibri Light"/>
          <w:sz w:val="22"/>
        </w:rPr>
        <w:t xml:space="preserve">he approach for estimating the cost of violence against women and their children consists of two critical components, namely: </w:t>
      </w:r>
    </w:p>
    <w:p w14:paraId="0DB8B47B" w14:textId="77777777" w:rsidR="007F5DA9" w:rsidRPr="009E2B03" w:rsidRDefault="00F95A83" w:rsidP="007F5DA9">
      <w:pPr>
        <w:pStyle w:val="BodyBullet"/>
        <w:rPr>
          <w:rFonts w:ascii="Calibri Light" w:hAnsi="Calibri Light" w:cs="Arial"/>
          <w:sz w:val="22"/>
        </w:rPr>
      </w:pPr>
      <w:r w:rsidRPr="009E2B03">
        <w:rPr>
          <w:rFonts w:ascii="Calibri Light" w:hAnsi="Calibri Light" w:cs="Arial"/>
          <w:sz w:val="22"/>
        </w:rPr>
        <w:t>T</w:t>
      </w:r>
      <w:r w:rsidR="007F5DA9" w:rsidRPr="009E2B03">
        <w:rPr>
          <w:rFonts w:ascii="Calibri Light" w:hAnsi="Calibri Light" w:cs="Arial"/>
          <w:sz w:val="22"/>
        </w:rPr>
        <w:t>he prevalence of violence – this draws on the prevalence information available within the 2012 PSS for the main cost estimates (and this evidence is expanded in later sections of th</w:t>
      </w:r>
      <w:r w:rsidR="008B4878" w:rsidRPr="009E2B03">
        <w:rPr>
          <w:rFonts w:ascii="Calibri Light" w:hAnsi="Calibri Light" w:cs="Arial"/>
          <w:sz w:val="22"/>
        </w:rPr>
        <w:t>is</w:t>
      </w:r>
      <w:r w:rsidR="007F5DA9" w:rsidRPr="009E2B03">
        <w:rPr>
          <w:rFonts w:ascii="Calibri Light" w:hAnsi="Calibri Light" w:cs="Arial"/>
          <w:sz w:val="22"/>
        </w:rPr>
        <w:t xml:space="preserve"> </w:t>
      </w:r>
      <w:r w:rsidR="008B4878" w:rsidRPr="009E2B03">
        <w:rPr>
          <w:rFonts w:ascii="Calibri Light" w:hAnsi="Calibri Light" w:cs="Arial"/>
          <w:sz w:val="22"/>
        </w:rPr>
        <w:t>R</w:t>
      </w:r>
      <w:r w:rsidR="007F5DA9" w:rsidRPr="009E2B03">
        <w:rPr>
          <w:rFonts w:ascii="Calibri Light" w:hAnsi="Calibri Light" w:cs="Arial"/>
          <w:sz w:val="22"/>
        </w:rPr>
        <w:t>eport to illustrate the differential trends and experience across different cohorts, geographies, and settings)</w:t>
      </w:r>
      <w:r w:rsidRPr="009E2B03">
        <w:rPr>
          <w:rFonts w:ascii="Calibri Light" w:hAnsi="Calibri Light" w:cs="Arial"/>
          <w:sz w:val="22"/>
        </w:rPr>
        <w:t>.</w:t>
      </w:r>
    </w:p>
    <w:p w14:paraId="01F07AC6" w14:textId="77777777" w:rsidR="007F5DA9" w:rsidRPr="009E2B03" w:rsidRDefault="00F95A83" w:rsidP="007F5DA9">
      <w:pPr>
        <w:pStyle w:val="BodyBullet"/>
        <w:rPr>
          <w:rFonts w:ascii="Calibri Light" w:hAnsi="Calibri Light" w:cs="Arial"/>
          <w:sz w:val="22"/>
        </w:rPr>
      </w:pPr>
      <w:r w:rsidRPr="009E2B03">
        <w:rPr>
          <w:rFonts w:ascii="Calibri Light" w:hAnsi="Calibri Light" w:cs="Arial"/>
          <w:sz w:val="22"/>
        </w:rPr>
        <w:t>T</w:t>
      </w:r>
      <w:r w:rsidR="007F5DA9" w:rsidRPr="009E2B03">
        <w:rPr>
          <w:rFonts w:ascii="Calibri Light" w:hAnsi="Calibri Light" w:cs="Arial"/>
          <w:sz w:val="22"/>
        </w:rPr>
        <w:t>he cost of violence – the costing method</w:t>
      </w:r>
      <w:r w:rsidRPr="009E2B03">
        <w:rPr>
          <w:rFonts w:ascii="Calibri Light" w:hAnsi="Calibri Light" w:cs="Arial"/>
          <w:sz w:val="22"/>
        </w:rPr>
        <w:t xml:space="preserve"> </w:t>
      </w:r>
      <w:r w:rsidR="007F5DA9" w:rsidRPr="009E2B03">
        <w:rPr>
          <w:rFonts w:ascii="Calibri Light" w:hAnsi="Calibri Light" w:cs="Arial"/>
          <w:sz w:val="22"/>
        </w:rPr>
        <w:t>applied is consistent with previous approaches developed by Access Economics, KPMG, and PwC, and where relevant, these have been updated to reflect the latest available data and research.</w:t>
      </w:r>
    </w:p>
    <w:p w14:paraId="01A2B83A" w14:textId="77777777" w:rsidR="007F5DA9" w:rsidRPr="009E2B03" w:rsidRDefault="007F5DA9" w:rsidP="007F5DA9">
      <w:pPr>
        <w:rPr>
          <w:rFonts w:ascii="Calibri Light" w:hAnsi="Calibri Light"/>
          <w:sz w:val="22"/>
        </w:rPr>
      </w:pPr>
      <w:r w:rsidRPr="009E2B03">
        <w:rPr>
          <w:rFonts w:ascii="Calibri Light" w:hAnsi="Calibri Light"/>
          <w:sz w:val="22"/>
        </w:rPr>
        <w:t>The following sub sections summarise the two core components of the estimation approach, with supporting detail on the requisite data, assumptions, and limitations</w:t>
      </w:r>
      <w:r w:rsidR="00F73D26" w:rsidRPr="009E2B03">
        <w:rPr>
          <w:rFonts w:ascii="Calibri Light" w:hAnsi="Calibri Light"/>
          <w:sz w:val="22"/>
        </w:rPr>
        <w:t xml:space="preserve">. </w:t>
      </w:r>
    </w:p>
    <w:p w14:paraId="5A8248AF" w14:textId="77777777" w:rsidR="007F5DA9" w:rsidRPr="009E2B03" w:rsidRDefault="007F5DA9" w:rsidP="00E127F4">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Prevalence of violence</w:t>
      </w:r>
    </w:p>
    <w:p w14:paraId="532B5A94" w14:textId="77777777" w:rsidR="007F5DA9" w:rsidRPr="009E2B03" w:rsidRDefault="007F5DA9" w:rsidP="007F5DA9">
      <w:pPr>
        <w:pStyle w:val="BodyText"/>
        <w:rPr>
          <w:rFonts w:ascii="Calibri Light" w:hAnsi="Calibri Light"/>
          <w:sz w:val="22"/>
        </w:rPr>
      </w:pPr>
      <w:r w:rsidRPr="009E2B03">
        <w:rPr>
          <w:rFonts w:ascii="Calibri Light" w:hAnsi="Calibri Light"/>
          <w:sz w:val="22"/>
        </w:rPr>
        <w:t xml:space="preserve">Developing an understanding of the trends and variation in the prevalence and incidence of violence against women and children, as well as how these have changed over time, is critical to estimating the </w:t>
      </w:r>
      <w:r w:rsidR="008B4878" w:rsidRPr="009E2B03">
        <w:rPr>
          <w:rFonts w:ascii="Calibri Light" w:hAnsi="Calibri Light"/>
          <w:sz w:val="22"/>
        </w:rPr>
        <w:t>impact of violence.</w:t>
      </w:r>
      <w:r w:rsidRPr="009E2B03">
        <w:rPr>
          <w:rFonts w:ascii="Calibri Light" w:hAnsi="Calibri Light"/>
          <w:sz w:val="22"/>
        </w:rPr>
        <w:t xml:space="preserve"> </w:t>
      </w:r>
      <w:r w:rsidR="008B4878" w:rsidRPr="009E2B03">
        <w:rPr>
          <w:rFonts w:ascii="Calibri Light" w:hAnsi="Calibri Light"/>
          <w:sz w:val="22"/>
        </w:rPr>
        <w:t>While the</w:t>
      </w:r>
      <w:r w:rsidRPr="009E2B03">
        <w:rPr>
          <w:rFonts w:ascii="Calibri Light" w:hAnsi="Calibri Light"/>
          <w:sz w:val="22"/>
        </w:rPr>
        <w:t xml:space="preserve"> evidence base associated with</w:t>
      </w:r>
      <w:r w:rsidR="008B4878" w:rsidRPr="009E2B03">
        <w:rPr>
          <w:rFonts w:ascii="Calibri Light" w:hAnsi="Calibri Light"/>
          <w:sz w:val="22"/>
        </w:rPr>
        <w:t xml:space="preserve"> the</w:t>
      </w:r>
      <w:r w:rsidRPr="009E2B03">
        <w:rPr>
          <w:rFonts w:ascii="Calibri Light" w:hAnsi="Calibri Light"/>
          <w:sz w:val="22"/>
        </w:rPr>
        <w:t xml:space="preserve"> prevalence and incidence </w:t>
      </w:r>
      <w:r w:rsidR="008B4878" w:rsidRPr="009E2B03">
        <w:rPr>
          <w:rFonts w:ascii="Calibri Light" w:hAnsi="Calibri Light"/>
          <w:sz w:val="22"/>
        </w:rPr>
        <w:t xml:space="preserve">of violence </w:t>
      </w:r>
      <w:r w:rsidR="001A3745" w:rsidRPr="009E2B03">
        <w:rPr>
          <w:rFonts w:ascii="Calibri Light" w:hAnsi="Calibri Light"/>
          <w:sz w:val="22"/>
        </w:rPr>
        <w:t>has substantially grown over the past decade</w:t>
      </w:r>
      <w:r w:rsidRPr="009E2B03">
        <w:rPr>
          <w:rFonts w:ascii="Calibri Light" w:hAnsi="Calibri Light"/>
          <w:sz w:val="22"/>
        </w:rPr>
        <w:t xml:space="preserve">, it is fragmented, and definitions and measurement and collection methods have </w:t>
      </w:r>
      <w:r w:rsidR="001A3745" w:rsidRPr="009E2B03">
        <w:rPr>
          <w:rFonts w:ascii="Calibri Light" w:hAnsi="Calibri Light"/>
          <w:sz w:val="22"/>
        </w:rPr>
        <w:t xml:space="preserve">also </w:t>
      </w:r>
      <w:r w:rsidRPr="009E2B03">
        <w:rPr>
          <w:rFonts w:ascii="Calibri Light" w:hAnsi="Calibri Light"/>
          <w:sz w:val="22"/>
        </w:rPr>
        <w:t>evolved over time</w:t>
      </w:r>
      <w:r w:rsidR="008B4878" w:rsidRPr="009E2B03">
        <w:rPr>
          <w:rFonts w:ascii="Calibri Light" w:hAnsi="Calibri Light"/>
          <w:sz w:val="22"/>
        </w:rPr>
        <w:t xml:space="preserve"> and across jurisdictions. </w:t>
      </w:r>
      <w:r w:rsidRPr="009E2B03">
        <w:rPr>
          <w:rFonts w:ascii="Calibri Light" w:hAnsi="Calibri Light"/>
          <w:sz w:val="22"/>
        </w:rPr>
        <w:t xml:space="preserve"> </w:t>
      </w:r>
    </w:p>
    <w:p w14:paraId="1D88CAD0" w14:textId="378255BF" w:rsidR="007F5DA9" w:rsidRPr="009E2B03" w:rsidRDefault="007F5DA9" w:rsidP="007F5DA9">
      <w:pPr>
        <w:rPr>
          <w:rFonts w:ascii="Calibri Light" w:hAnsi="Calibri Light"/>
          <w:sz w:val="22"/>
        </w:rPr>
      </w:pPr>
      <w:r w:rsidRPr="009E2B03">
        <w:rPr>
          <w:rFonts w:ascii="Calibri Light" w:hAnsi="Calibri Light"/>
          <w:sz w:val="22"/>
        </w:rPr>
        <w:t xml:space="preserve">The PSS is the primary source for estimating the total prevalence of violence against women across Australia. The survey approach was developed through the </w:t>
      </w:r>
      <w:r w:rsidR="00A20D40" w:rsidRPr="009E2B03">
        <w:rPr>
          <w:rFonts w:ascii="Calibri Light" w:hAnsi="Calibri Light"/>
          <w:sz w:val="22"/>
        </w:rPr>
        <w:t xml:space="preserve">ABS </w:t>
      </w:r>
      <w:r w:rsidRPr="009E2B03">
        <w:rPr>
          <w:rFonts w:ascii="Calibri Light" w:hAnsi="Calibri Light"/>
          <w:i/>
          <w:sz w:val="22"/>
        </w:rPr>
        <w:t>Women’s Safety Survey</w:t>
      </w:r>
      <w:r w:rsidR="008B4878" w:rsidRPr="009E2B03">
        <w:rPr>
          <w:rFonts w:ascii="Calibri Light" w:hAnsi="Calibri Light"/>
          <w:i/>
          <w:sz w:val="22"/>
        </w:rPr>
        <w:t xml:space="preserve"> (WSS) </w:t>
      </w:r>
      <w:r w:rsidRPr="009E2B03">
        <w:rPr>
          <w:rFonts w:ascii="Calibri Light" w:hAnsi="Calibri Light"/>
          <w:sz w:val="22"/>
        </w:rPr>
        <w:t xml:space="preserve">in 1996 and enables high level estimates to be established while overcoming the potential limitations of fragmented and inconsistent data, and the challenge of identifying the scope of non-reported violence. As a broad, high level representation of the national population, the </w:t>
      </w:r>
      <w:r w:rsidR="008B4878" w:rsidRPr="009E2B03">
        <w:rPr>
          <w:rFonts w:ascii="Calibri Light" w:hAnsi="Calibri Light"/>
          <w:sz w:val="22"/>
        </w:rPr>
        <w:t>PSS</w:t>
      </w:r>
      <w:r w:rsidRPr="009E2B03">
        <w:rPr>
          <w:rFonts w:ascii="Calibri Light" w:hAnsi="Calibri Light"/>
          <w:sz w:val="22"/>
        </w:rPr>
        <w:t xml:space="preserve"> </w:t>
      </w:r>
      <w:r w:rsidR="008B4878" w:rsidRPr="009E2B03">
        <w:rPr>
          <w:rFonts w:ascii="Calibri Light" w:hAnsi="Calibri Light"/>
          <w:sz w:val="22"/>
        </w:rPr>
        <w:t>estimates</w:t>
      </w:r>
      <w:r w:rsidRPr="009E2B03">
        <w:rPr>
          <w:rFonts w:ascii="Calibri Light" w:hAnsi="Calibri Light"/>
          <w:sz w:val="22"/>
        </w:rPr>
        <w:t xml:space="preserve"> violence against women under four primary categories, namely: </w:t>
      </w:r>
    </w:p>
    <w:p w14:paraId="23D946E2"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sexual assault</w:t>
      </w:r>
    </w:p>
    <w:p w14:paraId="61812437"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physical assault</w:t>
      </w:r>
    </w:p>
    <w:p w14:paraId="32574333"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the threat of sexual assault</w:t>
      </w:r>
    </w:p>
    <w:p w14:paraId="58B9C09C"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 xml:space="preserve">the threat of physical assault. </w:t>
      </w:r>
    </w:p>
    <w:p w14:paraId="691F0CA4" w14:textId="77777777" w:rsidR="007F5DA9" w:rsidRPr="009E2B03" w:rsidRDefault="007F5DA9" w:rsidP="007F5DA9">
      <w:pPr>
        <w:pStyle w:val="BodyBullet"/>
        <w:numPr>
          <w:ilvl w:val="0"/>
          <w:numId w:val="0"/>
        </w:numPr>
        <w:rPr>
          <w:rFonts w:ascii="Calibri Light" w:hAnsi="Calibri Light" w:cs="Arial"/>
          <w:sz w:val="22"/>
        </w:rPr>
      </w:pPr>
      <w:r w:rsidRPr="009E2B03">
        <w:rPr>
          <w:rFonts w:ascii="Calibri Light" w:hAnsi="Calibri Light" w:cs="Arial"/>
          <w:sz w:val="22"/>
        </w:rPr>
        <w:t xml:space="preserve">To avoid double counting, each woman who identifies as experiencing violence is counted once, prioritising the most severe form of violence as the primary category. The prevalence approach is therefore designed not to identify multiple incidents experienced by a woman experiencing violence, but rather, the total number of women experiencing violence in a single year. </w:t>
      </w:r>
    </w:p>
    <w:p w14:paraId="6734E5F6" w14:textId="77777777" w:rsidR="007F5DA9" w:rsidRPr="009E2B03" w:rsidRDefault="007F5DA9" w:rsidP="007F5DA9">
      <w:pPr>
        <w:rPr>
          <w:rFonts w:ascii="Calibri Light" w:hAnsi="Calibri Light"/>
        </w:rPr>
      </w:pPr>
      <w:r w:rsidRPr="009E2B03">
        <w:rPr>
          <w:rFonts w:ascii="Calibri Light" w:hAnsi="Calibri Light"/>
          <w:sz w:val="22"/>
        </w:rPr>
        <w:t>In addition to these four primary categories of violence, the PSS also records women’s experience of emotional abuse and stalking. To understand the full scope of violence experienced by women, it is important to incorporate the additional categories of emotional abuse and stalking into the ‘primary’ category of violence defined by the PSS.</w:t>
      </w:r>
    </w:p>
    <w:p w14:paraId="73670E44" w14:textId="77777777" w:rsidR="007F5DA9" w:rsidRPr="009E2B03" w:rsidRDefault="007F5DA9" w:rsidP="007F5DA9">
      <w:pPr>
        <w:pStyle w:val="BodyText"/>
        <w:rPr>
          <w:rFonts w:ascii="Calibri Light" w:hAnsi="Calibri Light"/>
          <w:sz w:val="22"/>
        </w:rPr>
      </w:pPr>
      <w:r w:rsidRPr="009E2B03">
        <w:rPr>
          <w:rFonts w:ascii="Calibri Light" w:hAnsi="Calibri Light"/>
          <w:sz w:val="22"/>
        </w:rPr>
        <w:lastRenderedPageBreak/>
        <w:t xml:space="preserve">In developing the approach to </w:t>
      </w:r>
      <w:r w:rsidR="008B4878" w:rsidRPr="009E2B03">
        <w:rPr>
          <w:rFonts w:ascii="Calibri Light" w:hAnsi="Calibri Light"/>
          <w:sz w:val="22"/>
        </w:rPr>
        <w:t>estimating the prevalence of violence</w:t>
      </w:r>
      <w:r w:rsidRPr="009E2B03">
        <w:rPr>
          <w:rFonts w:ascii="Calibri Light" w:hAnsi="Calibri Light"/>
          <w:sz w:val="22"/>
        </w:rPr>
        <w:t xml:space="preserve"> for this </w:t>
      </w:r>
      <w:r w:rsidR="008B4878" w:rsidRPr="009E2B03">
        <w:rPr>
          <w:rFonts w:ascii="Calibri Light" w:hAnsi="Calibri Light"/>
          <w:sz w:val="22"/>
        </w:rPr>
        <w:t>Report</w:t>
      </w:r>
      <w:r w:rsidRPr="009E2B03">
        <w:rPr>
          <w:rFonts w:ascii="Calibri Light" w:hAnsi="Calibri Light"/>
          <w:sz w:val="22"/>
        </w:rPr>
        <w:t>, KPMG sought to:</w:t>
      </w:r>
    </w:p>
    <w:p w14:paraId="539B493A"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ensure that the method is as comprehensive as possible</w:t>
      </w:r>
    </w:p>
    <w:p w14:paraId="07552019"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 xml:space="preserve">maintain consistency with previous </w:t>
      </w:r>
      <w:r w:rsidR="008B4878" w:rsidRPr="009E2B03">
        <w:rPr>
          <w:rFonts w:ascii="Calibri Light" w:hAnsi="Calibri Light" w:cs="Arial"/>
          <w:sz w:val="22"/>
        </w:rPr>
        <w:t>costing studies</w:t>
      </w:r>
    </w:p>
    <w:p w14:paraId="67BD1361"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 xml:space="preserve">undertake supplementary analysis, where data permits, to expand and refine the evidence base. </w:t>
      </w:r>
    </w:p>
    <w:p w14:paraId="40B33EF3" w14:textId="210EB7EE" w:rsidR="007F5DA9" w:rsidRPr="009E2B03" w:rsidRDefault="007F5DA9" w:rsidP="00036345">
      <w:pPr>
        <w:pStyle w:val="BodyText"/>
        <w:rPr>
          <w:rFonts w:ascii="Calibri Light" w:hAnsi="Calibri Light"/>
        </w:rPr>
        <w:sectPr w:rsidR="007F5DA9" w:rsidRPr="009E2B03" w:rsidSect="00F8042D">
          <w:pgSz w:w="11906" w:h="16838"/>
          <w:pgMar w:top="1440" w:right="1440" w:bottom="1440" w:left="1440" w:header="708" w:footer="708" w:gutter="0"/>
          <w:cols w:space="708"/>
          <w:titlePg/>
          <w:docGrid w:linePitch="360"/>
        </w:sectPr>
      </w:pPr>
      <w:r w:rsidRPr="009E2B03">
        <w:rPr>
          <w:rFonts w:ascii="Calibri Light" w:hAnsi="Calibri Light"/>
          <w:sz w:val="22"/>
        </w:rPr>
        <w:t xml:space="preserve">In developing this approach, </w:t>
      </w:r>
      <w:r w:rsidR="00F95A83" w:rsidRPr="009E2B03">
        <w:rPr>
          <w:rFonts w:ascii="Calibri Light" w:hAnsi="Calibri Light"/>
          <w:sz w:val="22"/>
        </w:rPr>
        <w:t xml:space="preserve">we </w:t>
      </w:r>
      <w:r w:rsidR="00F52709" w:rsidRPr="009E2B03">
        <w:rPr>
          <w:rFonts w:ascii="Calibri Light" w:hAnsi="Calibri Light"/>
          <w:sz w:val="22"/>
        </w:rPr>
        <w:t xml:space="preserve">closely </w:t>
      </w:r>
      <w:r w:rsidRPr="009E2B03">
        <w:rPr>
          <w:rFonts w:ascii="Calibri Light" w:hAnsi="Calibri Light"/>
          <w:sz w:val="22"/>
        </w:rPr>
        <w:t>consider</w:t>
      </w:r>
      <w:r w:rsidR="00F95A83" w:rsidRPr="009E2B03">
        <w:rPr>
          <w:rFonts w:ascii="Calibri Light" w:hAnsi="Calibri Light"/>
          <w:sz w:val="22"/>
        </w:rPr>
        <w:t>ed</w:t>
      </w:r>
      <w:r w:rsidRPr="009E2B03">
        <w:rPr>
          <w:rFonts w:ascii="Calibri Light" w:hAnsi="Calibri Light"/>
          <w:sz w:val="22"/>
        </w:rPr>
        <w:t xml:space="preserve"> previous studies, in particular those undertaken by Access Economics, KPMG, and PwC. A summary of these studies is provided </w:t>
      </w:r>
      <w:r w:rsidR="008B4878" w:rsidRPr="009E2B03">
        <w:rPr>
          <w:rFonts w:ascii="Calibri Light" w:hAnsi="Calibri Light"/>
          <w:sz w:val="22"/>
        </w:rPr>
        <w:t>in</w:t>
      </w:r>
      <w:r w:rsidR="00F52709" w:rsidRPr="009E2B03">
        <w:rPr>
          <w:rFonts w:ascii="Calibri Light" w:hAnsi="Calibri Light"/>
          <w:sz w:val="22"/>
        </w:rPr>
        <w:t xml:space="preserve"> </w:t>
      </w:r>
      <w:r w:rsidR="008B4878" w:rsidRPr="009E2B03">
        <w:rPr>
          <w:rFonts w:ascii="Calibri Light" w:hAnsi="Calibri Light"/>
          <w:sz w:val="22"/>
        </w:rPr>
        <w:fldChar w:fldCharType="begin"/>
      </w:r>
      <w:r w:rsidR="008B4878" w:rsidRPr="009E2B03">
        <w:rPr>
          <w:rFonts w:ascii="Calibri Light" w:hAnsi="Calibri Light"/>
          <w:sz w:val="22"/>
        </w:rPr>
        <w:instrText xml:space="preserve"> REF _Ref447222504 \h  \* MERGEFORMAT </w:instrText>
      </w:r>
      <w:r w:rsidR="008B4878" w:rsidRPr="009E2B03">
        <w:rPr>
          <w:rFonts w:ascii="Calibri Light" w:hAnsi="Calibri Light"/>
          <w:sz w:val="22"/>
        </w:rPr>
      </w:r>
      <w:r w:rsidR="008B4878" w:rsidRPr="009E2B03">
        <w:rPr>
          <w:rFonts w:ascii="Calibri Light" w:hAnsi="Calibri Light"/>
          <w:sz w:val="22"/>
        </w:rPr>
        <w:fldChar w:fldCharType="separate"/>
      </w:r>
      <w:r w:rsidR="00417237" w:rsidRPr="00417237">
        <w:rPr>
          <w:rFonts w:ascii="Calibri Light" w:hAnsi="Calibri Light"/>
          <w:sz w:val="22"/>
        </w:rPr>
        <w:t xml:space="preserve">Table </w:t>
      </w:r>
      <w:r w:rsidR="00417237" w:rsidRPr="00417237">
        <w:rPr>
          <w:rFonts w:ascii="Calibri Light" w:hAnsi="Calibri Light"/>
          <w:noProof/>
          <w:sz w:val="22"/>
        </w:rPr>
        <w:t>2</w:t>
      </w:r>
      <w:r w:rsidR="00417237" w:rsidRPr="00417237">
        <w:rPr>
          <w:rFonts w:ascii="Calibri Light" w:hAnsi="Calibri Light"/>
          <w:noProof/>
          <w:sz w:val="22"/>
        </w:rPr>
        <w:noBreakHyphen/>
        <w:t>1</w:t>
      </w:r>
      <w:r w:rsidR="008B4878" w:rsidRPr="009E2B03">
        <w:rPr>
          <w:rFonts w:ascii="Calibri Light" w:hAnsi="Calibri Light"/>
          <w:sz w:val="22"/>
        </w:rPr>
        <w:fldChar w:fldCharType="end"/>
      </w:r>
      <w:r w:rsidR="008B4878" w:rsidRPr="009E2B03">
        <w:rPr>
          <w:rFonts w:ascii="Calibri Light" w:hAnsi="Calibri Light"/>
          <w:sz w:val="22"/>
        </w:rPr>
        <w:t xml:space="preserve">. </w:t>
      </w:r>
      <w:r w:rsidRPr="009E2B03">
        <w:rPr>
          <w:rFonts w:ascii="Calibri Light" w:hAnsi="Calibri Light"/>
          <w:sz w:val="22"/>
        </w:rPr>
        <w:t xml:space="preserve"> </w:t>
      </w:r>
    </w:p>
    <w:p w14:paraId="3782C2A0" w14:textId="77777777" w:rsidR="007F5DA9" w:rsidRPr="009E2B03" w:rsidRDefault="007F5DA9" w:rsidP="007F5DA9">
      <w:pPr>
        <w:pStyle w:val="BodyText"/>
        <w:rPr>
          <w:rFonts w:ascii="Calibri Light" w:hAnsi="Calibri Light"/>
          <w:i/>
          <w:sz w:val="22"/>
        </w:rPr>
      </w:pPr>
      <w:bookmarkStart w:id="55" w:name="_Ref447222504"/>
      <w:r w:rsidRPr="009E2B03">
        <w:rPr>
          <w:rFonts w:ascii="Calibri Light" w:hAnsi="Calibri Light"/>
          <w:i/>
          <w:sz w:val="22"/>
        </w:rPr>
        <w:lastRenderedPageBreak/>
        <w:t xml:space="preserve">Table </w:t>
      </w:r>
      <w:r w:rsidR="00C35935" w:rsidRPr="009E2B03">
        <w:rPr>
          <w:rFonts w:ascii="Calibri Light" w:hAnsi="Calibri Light"/>
          <w:i/>
          <w:sz w:val="22"/>
        </w:rPr>
        <w:fldChar w:fldCharType="begin"/>
      </w:r>
      <w:r w:rsidR="00C35935" w:rsidRPr="009E2B03">
        <w:rPr>
          <w:rFonts w:ascii="Calibri Light" w:hAnsi="Calibri Light"/>
          <w:i/>
          <w:sz w:val="22"/>
        </w:rPr>
        <w:instrText xml:space="preserve"> STYLEREF 1 \s </w:instrText>
      </w:r>
      <w:r w:rsidR="00C35935" w:rsidRPr="009E2B03">
        <w:rPr>
          <w:rFonts w:ascii="Calibri Light" w:hAnsi="Calibri Light"/>
          <w:i/>
          <w:sz w:val="22"/>
        </w:rPr>
        <w:fldChar w:fldCharType="separate"/>
      </w:r>
      <w:r w:rsidR="00417237">
        <w:rPr>
          <w:rFonts w:ascii="Calibri Light" w:hAnsi="Calibri Light"/>
          <w:i/>
          <w:noProof/>
          <w:sz w:val="22"/>
        </w:rPr>
        <w:t>2</w:t>
      </w:r>
      <w:r w:rsidR="00C35935" w:rsidRPr="009E2B03">
        <w:rPr>
          <w:rFonts w:ascii="Calibri Light" w:hAnsi="Calibri Light"/>
          <w:i/>
          <w:sz w:val="22"/>
        </w:rPr>
        <w:fldChar w:fldCharType="end"/>
      </w:r>
      <w:r w:rsidR="00C35935" w:rsidRPr="009E2B03">
        <w:rPr>
          <w:rFonts w:ascii="Calibri Light" w:hAnsi="Calibri Light"/>
          <w:i/>
          <w:sz w:val="22"/>
        </w:rPr>
        <w:noBreakHyphen/>
      </w:r>
      <w:r w:rsidR="00C35935" w:rsidRPr="009E2B03">
        <w:rPr>
          <w:rFonts w:ascii="Calibri Light" w:hAnsi="Calibri Light"/>
          <w:i/>
          <w:sz w:val="22"/>
        </w:rPr>
        <w:fldChar w:fldCharType="begin"/>
      </w:r>
      <w:r w:rsidR="00C35935" w:rsidRPr="009E2B03">
        <w:rPr>
          <w:rFonts w:ascii="Calibri Light" w:hAnsi="Calibri Light"/>
          <w:i/>
          <w:sz w:val="22"/>
        </w:rPr>
        <w:instrText xml:space="preserve"> SEQ Table \* ARABIC \s 1 </w:instrText>
      </w:r>
      <w:r w:rsidR="00C35935" w:rsidRPr="009E2B03">
        <w:rPr>
          <w:rFonts w:ascii="Calibri Light" w:hAnsi="Calibri Light"/>
          <w:i/>
          <w:sz w:val="22"/>
        </w:rPr>
        <w:fldChar w:fldCharType="separate"/>
      </w:r>
      <w:r w:rsidR="00417237">
        <w:rPr>
          <w:rFonts w:ascii="Calibri Light" w:hAnsi="Calibri Light"/>
          <w:i/>
          <w:noProof/>
          <w:sz w:val="22"/>
        </w:rPr>
        <w:t>1</w:t>
      </w:r>
      <w:r w:rsidR="00C35935" w:rsidRPr="009E2B03">
        <w:rPr>
          <w:rFonts w:ascii="Calibri Light" w:hAnsi="Calibri Light"/>
          <w:i/>
          <w:sz w:val="22"/>
        </w:rPr>
        <w:fldChar w:fldCharType="end"/>
      </w:r>
      <w:bookmarkEnd w:id="55"/>
      <w:r w:rsidRPr="009E2B03">
        <w:rPr>
          <w:rFonts w:ascii="Calibri Light" w:hAnsi="Calibri Light"/>
          <w:i/>
          <w:sz w:val="22"/>
        </w:rPr>
        <w:t>: Summary of key studies on estimating the cost of violence</w:t>
      </w:r>
    </w:p>
    <w:tbl>
      <w:tblPr>
        <w:tblW w:w="0" w:type="auto"/>
        <w:tblCellMar>
          <w:left w:w="0" w:type="dxa"/>
          <w:right w:w="0" w:type="dxa"/>
        </w:tblCellMar>
        <w:tblLook w:val="04A0" w:firstRow="1" w:lastRow="0" w:firstColumn="1" w:lastColumn="0" w:noHBand="0" w:noVBand="1"/>
      </w:tblPr>
      <w:tblGrid>
        <w:gridCol w:w="2410"/>
        <w:gridCol w:w="3827"/>
        <w:gridCol w:w="3827"/>
        <w:gridCol w:w="3828"/>
      </w:tblGrid>
      <w:tr w:rsidR="007F5DA9" w:rsidRPr="009E2B03" w14:paraId="13F96D83" w14:textId="77777777" w:rsidTr="00067B42">
        <w:tc>
          <w:tcPr>
            <w:tcW w:w="2410" w:type="dxa"/>
            <w:tcBorders>
              <w:top w:val="single" w:sz="8" w:space="0" w:color="7599C9"/>
              <w:left w:val="nil"/>
              <w:bottom w:val="single" w:sz="8" w:space="0" w:color="7599C9"/>
              <w:right w:val="single" w:sz="8" w:space="0" w:color="7599C9"/>
            </w:tcBorders>
            <w:shd w:val="clear" w:color="auto" w:fill="6D2077"/>
            <w:tcMar>
              <w:top w:w="0" w:type="dxa"/>
              <w:left w:w="108" w:type="dxa"/>
              <w:bottom w:w="0" w:type="dxa"/>
              <w:right w:w="108" w:type="dxa"/>
            </w:tcMar>
          </w:tcPr>
          <w:p w14:paraId="2E713F81" w14:textId="77777777" w:rsidR="007F5DA9" w:rsidRPr="009E2B03" w:rsidRDefault="007F5DA9" w:rsidP="00AD4D6D">
            <w:pPr>
              <w:rPr>
                <w:rFonts w:ascii="Calibri Light" w:hAnsi="Calibri Light"/>
                <w:color w:val="FFFFFF"/>
                <w:szCs w:val="18"/>
                <w:lang w:eastAsia="ja-JP"/>
              </w:rPr>
            </w:pPr>
          </w:p>
        </w:tc>
        <w:tc>
          <w:tcPr>
            <w:tcW w:w="3827" w:type="dxa"/>
            <w:tcBorders>
              <w:top w:val="single" w:sz="8" w:space="0" w:color="7599C9"/>
              <w:left w:val="nil"/>
              <w:bottom w:val="single" w:sz="8" w:space="0" w:color="7599C9"/>
              <w:right w:val="single" w:sz="8" w:space="0" w:color="7599C9"/>
            </w:tcBorders>
            <w:shd w:val="clear" w:color="auto" w:fill="6D2077"/>
            <w:tcMar>
              <w:top w:w="0" w:type="dxa"/>
              <w:left w:w="108" w:type="dxa"/>
              <w:bottom w:w="0" w:type="dxa"/>
              <w:right w:w="108" w:type="dxa"/>
            </w:tcMar>
            <w:hideMark/>
          </w:tcPr>
          <w:p w14:paraId="499E075D" w14:textId="77777777" w:rsidR="007F5DA9" w:rsidRPr="009E2B03" w:rsidRDefault="007F5DA9" w:rsidP="00AD4D6D">
            <w:pPr>
              <w:rPr>
                <w:rFonts w:ascii="Calibri Light" w:hAnsi="Calibri Light"/>
                <w:b/>
                <w:color w:val="FFFFFF"/>
                <w:szCs w:val="18"/>
                <w:lang w:eastAsia="ja-JP"/>
              </w:rPr>
            </w:pPr>
            <w:r w:rsidRPr="009E2B03">
              <w:rPr>
                <w:rFonts w:ascii="Calibri Light" w:hAnsi="Calibri Light"/>
                <w:b/>
                <w:color w:val="FFFFFF"/>
                <w:szCs w:val="18"/>
                <w:lang w:eastAsia="ja-JP"/>
              </w:rPr>
              <w:t>Access Economics</w:t>
            </w:r>
          </w:p>
          <w:p w14:paraId="4E8D49E9" w14:textId="77777777" w:rsidR="007F5DA9" w:rsidRPr="009E2B03" w:rsidRDefault="007F5DA9" w:rsidP="00AD4D6D">
            <w:pPr>
              <w:rPr>
                <w:rFonts w:ascii="Calibri Light" w:hAnsi="Calibri Light"/>
                <w:bCs/>
                <w:i/>
                <w:iCs/>
                <w:color w:val="FFFFFF"/>
                <w:szCs w:val="18"/>
                <w:lang w:eastAsia="ja-JP"/>
              </w:rPr>
            </w:pPr>
            <w:r w:rsidRPr="009E2B03">
              <w:rPr>
                <w:rFonts w:ascii="Calibri Light" w:hAnsi="Calibri Light"/>
                <w:bCs/>
                <w:i/>
                <w:iCs/>
                <w:color w:val="FFFFFF"/>
                <w:szCs w:val="18"/>
                <w:lang w:eastAsia="ja-JP"/>
              </w:rPr>
              <w:t>The Cost of Domestic Violence to the Australian Economy: Part 1 / 2, 2004</w:t>
            </w:r>
          </w:p>
        </w:tc>
        <w:tc>
          <w:tcPr>
            <w:tcW w:w="3827" w:type="dxa"/>
            <w:tcBorders>
              <w:top w:val="single" w:sz="8" w:space="0" w:color="7599C9"/>
              <w:left w:val="nil"/>
              <w:bottom w:val="single" w:sz="8" w:space="0" w:color="7599C9"/>
              <w:right w:val="single" w:sz="8" w:space="0" w:color="7599C9"/>
            </w:tcBorders>
            <w:shd w:val="clear" w:color="auto" w:fill="6D2077"/>
            <w:tcMar>
              <w:top w:w="0" w:type="dxa"/>
              <w:left w:w="108" w:type="dxa"/>
              <w:bottom w:w="0" w:type="dxa"/>
              <w:right w:w="108" w:type="dxa"/>
            </w:tcMar>
            <w:hideMark/>
          </w:tcPr>
          <w:p w14:paraId="1D59424B" w14:textId="77777777" w:rsidR="007F5DA9" w:rsidRPr="009E2B03" w:rsidRDefault="007F5DA9" w:rsidP="00AD4D6D">
            <w:pPr>
              <w:rPr>
                <w:rFonts w:ascii="Calibri Light" w:hAnsi="Calibri Light"/>
                <w:b/>
                <w:color w:val="FFFFFF"/>
                <w:szCs w:val="18"/>
                <w:lang w:eastAsia="ja-JP"/>
              </w:rPr>
            </w:pPr>
            <w:r w:rsidRPr="009E2B03">
              <w:rPr>
                <w:rFonts w:ascii="Calibri Light" w:hAnsi="Calibri Light"/>
                <w:b/>
                <w:color w:val="FFFFFF"/>
                <w:szCs w:val="18"/>
                <w:lang w:eastAsia="ja-JP"/>
              </w:rPr>
              <w:t xml:space="preserve">KPMG </w:t>
            </w:r>
          </w:p>
          <w:p w14:paraId="0450F823" w14:textId="77777777" w:rsidR="007F5DA9" w:rsidRPr="009E2B03" w:rsidRDefault="007F5DA9" w:rsidP="00AD4D6D">
            <w:pPr>
              <w:rPr>
                <w:rFonts w:ascii="Calibri Light" w:hAnsi="Calibri Light"/>
                <w:bCs/>
                <w:i/>
                <w:iCs/>
                <w:color w:val="FFFFFF"/>
                <w:szCs w:val="18"/>
                <w:lang w:eastAsia="ja-JP"/>
              </w:rPr>
            </w:pPr>
            <w:r w:rsidRPr="009E2B03">
              <w:rPr>
                <w:rFonts w:ascii="Calibri Light" w:hAnsi="Calibri Light"/>
                <w:bCs/>
                <w:i/>
                <w:iCs/>
                <w:color w:val="FFFFFF"/>
                <w:szCs w:val="18"/>
                <w:lang w:eastAsia="ja-JP"/>
              </w:rPr>
              <w:t>The Cost of Violence against Women and their Children, 2009</w:t>
            </w:r>
          </w:p>
        </w:tc>
        <w:tc>
          <w:tcPr>
            <w:tcW w:w="3828" w:type="dxa"/>
            <w:tcBorders>
              <w:top w:val="single" w:sz="8" w:space="0" w:color="7599C9"/>
              <w:left w:val="nil"/>
              <w:bottom w:val="single" w:sz="8" w:space="0" w:color="7599C9"/>
              <w:right w:val="nil"/>
            </w:tcBorders>
            <w:shd w:val="clear" w:color="auto" w:fill="6D2077"/>
            <w:tcMar>
              <w:top w:w="0" w:type="dxa"/>
              <w:left w:w="108" w:type="dxa"/>
              <w:bottom w:w="0" w:type="dxa"/>
              <w:right w:w="108" w:type="dxa"/>
            </w:tcMar>
            <w:hideMark/>
          </w:tcPr>
          <w:p w14:paraId="314C15BB" w14:textId="77777777" w:rsidR="007F5DA9" w:rsidRPr="009E2B03" w:rsidRDefault="007F5DA9" w:rsidP="00AD4D6D">
            <w:pPr>
              <w:rPr>
                <w:rFonts w:ascii="Calibri Light" w:hAnsi="Calibri Light"/>
                <w:b/>
                <w:color w:val="FFFFFF"/>
                <w:szCs w:val="18"/>
                <w:lang w:eastAsia="ja-JP"/>
              </w:rPr>
            </w:pPr>
            <w:r w:rsidRPr="009E2B03">
              <w:rPr>
                <w:rFonts w:ascii="Calibri Light" w:hAnsi="Calibri Light"/>
                <w:b/>
                <w:color w:val="FFFFFF"/>
                <w:szCs w:val="18"/>
                <w:lang w:eastAsia="ja-JP"/>
              </w:rPr>
              <w:t>PwC</w:t>
            </w:r>
          </w:p>
          <w:p w14:paraId="4EEA778E" w14:textId="77777777" w:rsidR="007F5DA9" w:rsidRPr="009E2B03" w:rsidRDefault="007F5DA9" w:rsidP="00AD4D6D">
            <w:pPr>
              <w:rPr>
                <w:rFonts w:ascii="Calibri Light" w:hAnsi="Calibri Light"/>
                <w:bCs/>
                <w:i/>
                <w:iCs/>
                <w:color w:val="FFFFFF"/>
                <w:szCs w:val="18"/>
                <w:lang w:eastAsia="ja-JP"/>
              </w:rPr>
            </w:pPr>
            <w:r w:rsidRPr="009E2B03">
              <w:rPr>
                <w:rFonts w:ascii="Calibri Light" w:hAnsi="Calibri Light"/>
                <w:bCs/>
                <w:i/>
                <w:iCs/>
                <w:color w:val="FFFFFF"/>
                <w:szCs w:val="18"/>
                <w:lang w:eastAsia="ja-JP"/>
              </w:rPr>
              <w:t>The economic case for preventing violence against women, 2015</w:t>
            </w:r>
          </w:p>
        </w:tc>
      </w:tr>
      <w:tr w:rsidR="007F5DA9" w:rsidRPr="009E2B03" w14:paraId="75402895" w14:textId="77777777" w:rsidTr="00067B42">
        <w:tc>
          <w:tcPr>
            <w:tcW w:w="2410" w:type="dxa"/>
            <w:tcBorders>
              <w:top w:val="nil"/>
              <w:left w:val="nil"/>
              <w:bottom w:val="single" w:sz="8" w:space="0" w:color="7599C9"/>
              <w:right w:val="single" w:sz="8" w:space="0" w:color="7599C9"/>
            </w:tcBorders>
            <w:shd w:val="clear" w:color="auto" w:fill="F3F0F4"/>
            <w:tcMar>
              <w:top w:w="0" w:type="dxa"/>
              <w:left w:w="108" w:type="dxa"/>
              <w:bottom w:w="0" w:type="dxa"/>
              <w:right w:w="108" w:type="dxa"/>
            </w:tcMar>
            <w:hideMark/>
          </w:tcPr>
          <w:p w14:paraId="62EAF5C8"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Focus of study</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6AE3E686" w14:textId="77777777" w:rsidR="007F5DA9" w:rsidRPr="009E2B03" w:rsidRDefault="007F5DA9">
            <w:pPr>
              <w:rPr>
                <w:rFonts w:ascii="Calibri Light" w:hAnsi="Calibri Light"/>
                <w:szCs w:val="18"/>
                <w:lang w:eastAsia="ja-JP"/>
              </w:rPr>
            </w:pPr>
            <w:r w:rsidRPr="009E2B03">
              <w:rPr>
                <w:rFonts w:ascii="Calibri Light" w:hAnsi="Calibri Light"/>
                <w:szCs w:val="18"/>
                <w:lang w:eastAsia="ja-JP"/>
              </w:rPr>
              <w:t>Focused on domestic violence</w:t>
            </w:r>
            <w:r w:rsidR="00B72387" w:rsidRPr="009E2B03">
              <w:rPr>
                <w:rFonts w:ascii="Calibri Light" w:hAnsi="Calibri Light"/>
                <w:szCs w:val="18"/>
                <w:lang w:eastAsia="ja-JP"/>
              </w:rPr>
              <w:t xml:space="preserve"> </w:t>
            </w:r>
            <w:r w:rsidRPr="009E2B03">
              <w:rPr>
                <w:rFonts w:ascii="Calibri Light" w:hAnsi="Calibri Light"/>
                <w:szCs w:val="18"/>
                <w:lang w:eastAsia="ja-JP"/>
              </w:rPr>
              <w:t>against both men and women</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440F9FF6"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Focused on the cost of all violence against women and their children, including both partner and non-partner violence</w:t>
            </w:r>
          </w:p>
        </w:tc>
        <w:tc>
          <w:tcPr>
            <w:tcW w:w="3828" w:type="dxa"/>
            <w:tcBorders>
              <w:top w:val="nil"/>
              <w:left w:val="nil"/>
              <w:bottom w:val="single" w:sz="8" w:space="0" w:color="7599C9"/>
              <w:right w:val="nil"/>
            </w:tcBorders>
            <w:tcMar>
              <w:top w:w="0" w:type="dxa"/>
              <w:left w:w="108" w:type="dxa"/>
              <w:bottom w:w="0" w:type="dxa"/>
              <w:right w:w="108" w:type="dxa"/>
            </w:tcMar>
            <w:hideMark/>
          </w:tcPr>
          <w:p w14:paraId="26786ED2"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Focused on the cost of violence against all women and the economic impact of prevention</w:t>
            </w:r>
          </w:p>
        </w:tc>
      </w:tr>
      <w:tr w:rsidR="007F5DA9" w:rsidRPr="009E2B03" w14:paraId="79654038" w14:textId="77777777" w:rsidTr="00067B42">
        <w:tc>
          <w:tcPr>
            <w:tcW w:w="2410" w:type="dxa"/>
            <w:tcBorders>
              <w:top w:val="nil"/>
              <w:left w:val="nil"/>
              <w:bottom w:val="single" w:sz="8" w:space="0" w:color="7599C9"/>
              <w:right w:val="single" w:sz="8" w:space="0" w:color="7599C9"/>
            </w:tcBorders>
            <w:shd w:val="clear" w:color="auto" w:fill="F3F0F4"/>
            <w:tcMar>
              <w:top w:w="0" w:type="dxa"/>
              <w:left w:w="108" w:type="dxa"/>
              <w:bottom w:w="0" w:type="dxa"/>
              <w:right w:w="108" w:type="dxa"/>
            </w:tcMar>
            <w:hideMark/>
          </w:tcPr>
          <w:p w14:paraId="3961C21B"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Development on previous approach</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766067E3"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Leveraged broader research around the human services sector to develop seven cost categories, and a method for accounting for full lifecycle impacts of domestic violence, including the identification of key cost bearers</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6B7E66C0"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Leveraged part of the costing approach established by Access Economics, while expanding the scope to include non-partner violence, and the attribution of costs across jurisdictions and the identification of vulnerable groups</w:t>
            </w:r>
          </w:p>
        </w:tc>
        <w:tc>
          <w:tcPr>
            <w:tcW w:w="3828" w:type="dxa"/>
            <w:tcBorders>
              <w:top w:val="nil"/>
              <w:left w:val="nil"/>
              <w:bottom w:val="single" w:sz="8" w:space="0" w:color="7599C9"/>
              <w:right w:val="nil"/>
            </w:tcBorders>
            <w:tcMar>
              <w:top w:w="0" w:type="dxa"/>
              <w:left w:w="108" w:type="dxa"/>
              <w:bottom w:w="0" w:type="dxa"/>
              <w:right w:w="108" w:type="dxa"/>
            </w:tcMar>
            <w:hideMark/>
          </w:tcPr>
          <w:p w14:paraId="6B38B42E"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Built on the method developed by Access Economics and refined and extended by KPMG to estimate the updated cost of violence, while also placing greater emphasis on the impact of prevention for the cost of violence</w:t>
            </w:r>
          </w:p>
        </w:tc>
      </w:tr>
      <w:tr w:rsidR="007F5DA9" w:rsidRPr="009E2B03" w14:paraId="5654E3CD" w14:textId="77777777" w:rsidTr="00067B42">
        <w:tc>
          <w:tcPr>
            <w:tcW w:w="2410" w:type="dxa"/>
            <w:tcBorders>
              <w:top w:val="nil"/>
              <w:left w:val="nil"/>
              <w:bottom w:val="single" w:sz="8" w:space="0" w:color="7599C9"/>
              <w:right w:val="single" w:sz="8" w:space="0" w:color="7599C9"/>
            </w:tcBorders>
            <w:shd w:val="clear" w:color="auto" w:fill="F3F0F4"/>
            <w:tcMar>
              <w:top w:w="0" w:type="dxa"/>
              <w:left w:w="108" w:type="dxa"/>
              <w:bottom w:w="0" w:type="dxa"/>
              <w:right w:w="108" w:type="dxa"/>
            </w:tcMar>
            <w:hideMark/>
          </w:tcPr>
          <w:p w14:paraId="3C5D99C2"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Data sources</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6DE0733A"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 xml:space="preserve">ABS Women’s Safety Survey 1996 </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56B16A69"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ABS Women’s Safety Survey 1996 and Personal Safety Survey 2005</w:t>
            </w:r>
          </w:p>
        </w:tc>
        <w:tc>
          <w:tcPr>
            <w:tcW w:w="3828" w:type="dxa"/>
            <w:tcBorders>
              <w:top w:val="nil"/>
              <w:left w:val="nil"/>
              <w:bottom w:val="single" w:sz="8" w:space="0" w:color="7599C9"/>
              <w:right w:val="nil"/>
            </w:tcBorders>
            <w:tcMar>
              <w:top w:w="0" w:type="dxa"/>
              <w:left w:w="108" w:type="dxa"/>
              <w:bottom w:w="0" w:type="dxa"/>
              <w:right w:w="108" w:type="dxa"/>
            </w:tcMar>
            <w:hideMark/>
          </w:tcPr>
          <w:p w14:paraId="6F4C1F2D"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ABS Personal Safety Survey 2012</w:t>
            </w:r>
          </w:p>
        </w:tc>
      </w:tr>
      <w:tr w:rsidR="007F5DA9" w:rsidRPr="009E2B03" w14:paraId="58B3DD6B" w14:textId="77777777" w:rsidTr="00067B42">
        <w:tc>
          <w:tcPr>
            <w:tcW w:w="2410" w:type="dxa"/>
            <w:tcBorders>
              <w:top w:val="nil"/>
              <w:left w:val="nil"/>
              <w:bottom w:val="single" w:sz="8" w:space="0" w:color="7599C9"/>
              <w:right w:val="single" w:sz="8" w:space="0" w:color="7599C9"/>
            </w:tcBorders>
            <w:shd w:val="clear" w:color="auto" w:fill="F3F0F4"/>
            <w:tcMar>
              <w:top w:w="0" w:type="dxa"/>
              <w:left w:w="108" w:type="dxa"/>
              <w:bottom w:w="0" w:type="dxa"/>
              <w:right w:w="108" w:type="dxa"/>
            </w:tcMar>
            <w:hideMark/>
          </w:tcPr>
          <w:p w14:paraId="11B42364"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Unreported violence</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46BE66BB"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Not considered</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1177DEA4"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Not considered</w:t>
            </w:r>
          </w:p>
        </w:tc>
        <w:tc>
          <w:tcPr>
            <w:tcW w:w="3828" w:type="dxa"/>
            <w:tcBorders>
              <w:top w:val="nil"/>
              <w:left w:val="nil"/>
              <w:bottom w:val="single" w:sz="8" w:space="0" w:color="7599C9"/>
              <w:right w:val="nil"/>
            </w:tcBorders>
            <w:tcMar>
              <w:top w:w="0" w:type="dxa"/>
              <w:left w:w="108" w:type="dxa"/>
              <w:bottom w:w="0" w:type="dxa"/>
              <w:right w:w="108" w:type="dxa"/>
            </w:tcMar>
            <w:hideMark/>
          </w:tcPr>
          <w:p w14:paraId="3EA4F0BA"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Not considered</w:t>
            </w:r>
          </w:p>
        </w:tc>
      </w:tr>
      <w:tr w:rsidR="007F5DA9" w:rsidRPr="009E2B03" w14:paraId="059F0ACB" w14:textId="77777777" w:rsidTr="00067B42">
        <w:tc>
          <w:tcPr>
            <w:tcW w:w="2410" w:type="dxa"/>
            <w:tcBorders>
              <w:top w:val="nil"/>
              <w:left w:val="nil"/>
              <w:bottom w:val="single" w:sz="8" w:space="0" w:color="7599C9"/>
              <w:right w:val="single" w:sz="8" w:space="0" w:color="7599C9"/>
            </w:tcBorders>
            <w:shd w:val="clear" w:color="auto" w:fill="F3F0F4"/>
            <w:tcMar>
              <w:top w:w="0" w:type="dxa"/>
              <w:left w:w="108" w:type="dxa"/>
              <w:bottom w:w="0" w:type="dxa"/>
              <w:right w:w="108" w:type="dxa"/>
            </w:tcMar>
            <w:hideMark/>
          </w:tcPr>
          <w:p w14:paraId="07424783"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Stratification of prevalence data by demographic cohorts</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14BE26D0"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Prevalence data is stratified by age cohorts</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5DE3B235"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Minimal data available and leveraged for four cohorts: immigrant and refugee women; women with disabilities; Aboriginal and Torres Strait Islander women; and children who witness violence</w:t>
            </w:r>
          </w:p>
        </w:tc>
        <w:tc>
          <w:tcPr>
            <w:tcW w:w="3828" w:type="dxa"/>
            <w:tcBorders>
              <w:top w:val="nil"/>
              <w:left w:val="nil"/>
              <w:bottom w:val="single" w:sz="8" w:space="0" w:color="7599C9"/>
              <w:right w:val="nil"/>
            </w:tcBorders>
            <w:tcMar>
              <w:top w:w="0" w:type="dxa"/>
              <w:left w:w="108" w:type="dxa"/>
              <w:bottom w:w="0" w:type="dxa"/>
              <w:right w:w="108" w:type="dxa"/>
            </w:tcMar>
          </w:tcPr>
          <w:p w14:paraId="03388163"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Two defined categories: partner violence and all violence against women</w:t>
            </w:r>
          </w:p>
          <w:p w14:paraId="29C8562F" w14:textId="77777777" w:rsidR="007F5DA9" w:rsidRPr="009E2B03" w:rsidRDefault="007F5DA9" w:rsidP="00AD4D6D">
            <w:pPr>
              <w:rPr>
                <w:rFonts w:ascii="Calibri Light" w:hAnsi="Calibri Light"/>
                <w:szCs w:val="18"/>
                <w:lang w:eastAsia="ja-JP"/>
              </w:rPr>
            </w:pPr>
          </w:p>
        </w:tc>
      </w:tr>
      <w:tr w:rsidR="007F5DA9" w:rsidRPr="009E2B03" w14:paraId="76A13E0B" w14:textId="77777777" w:rsidTr="00067B42">
        <w:tc>
          <w:tcPr>
            <w:tcW w:w="2410" w:type="dxa"/>
            <w:tcBorders>
              <w:top w:val="nil"/>
              <w:left w:val="nil"/>
              <w:bottom w:val="single" w:sz="8" w:space="0" w:color="7599C9"/>
              <w:right w:val="single" w:sz="8" w:space="0" w:color="7599C9"/>
            </w:tcBorders>
            <w:shd w:val="clear" w:color="auto" w:fill="F3F0F4"/>
            <w:tcMar>
              <w:top w:w="0" w:type="dxa"/>
              <w:left w:w="108" w:type="dxa"/>
              <w:bottom w:w="0" w:type="dxa"/>
              <w:right w:w="108" w:type="dxa"/>
            </w:tcMar>
            <w:hideMark/>
          </w:tcPr>
          <w:p w14:paraId="416DBD53"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Stratification of prevalence data by geographic cohorts</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2A05001B"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Not considered</w:t>
            </w:r>
          </w:p>
        </w:tc>
        <w:tc>
          <w:tcPr>
            <w:tcW w:w="3827" w:type="dxa"/>
            <w:tcBorders>
              <w:top w:val="nil"/>
              <w:left w:val="nil"/>
              <w:bottom w:val="single" w:sz="8" w:space="0" w:color="7599C9"/>
              <w:right w:val="single" w:sz="8" w:space="0" w:color="7599C9"/>
            </w:tcBorders>
            <w:tcMar>
              <w:top w:w="0" w:type="dxa"/>
              <w:left w:w="108" w:type="dxa"/>
              <w:bottom w:w="0" w:type="dxa"/>
              <w:right w:w="108" w:type="dxa"/>
            </w:tcMar>
            <w:hideMark/>
          </w:tcPr>
          <w:p w14:paraId="1CE1D551" w14:textId="77777777" w:rsidR="007F5DA9" w:rsidRPr="009E2B03" w:rsidRDefault="007F5DA9" w:rsidP="00AD4D6D">
            <w:pPr>
              <w:rPr>
                <w:rFonts w:ascii="Calibri Light" w:hAnsi="Calibri Light"/>
                <w:szCs w:val="18"/>
                <w:lang w:eastAsia="ja-JP"/>
              </w:rPr>
            </w:pPr>
            <w:r w:rsidRPr="009E2B03">
              <w:rPr>
                <w:rFonts w:ascii="Calibri Light" w:hAnsi="Calibri Light"/>
                <w:szCs w:val="18"/>
                <w:lang w:eastAsia="ja-JP"/>
              </w:rPr>
              <w:t>Jurisdictional level identification of the costs of violence.</w:t>
            </w:r>
          </w:p>
        </w:tc>
        <w:tc>
          <w:tcPr>
            <w:tcW w:w="3828" w:type="dxa"/>
            <w:tcBorders>
              <w:top w:val="nil"/>
              <w:left w:val="nil"/>
              <w:bottom w:val="single" w:sz="8" w:space="0" w:color="7599C9"/>
              <w:right w:val="nil"/>
            </w:tcBorders>
            <w:tcMar>
              <w:top w:w="0" w:type="dxa"/>
              <w:left w:w="108" w:type="dxa"/>
              <w:bottom w:w="0" w:type="dxa"/>
              <w:right w:w="108" w:type="dxa"/>
            </w:tcMar>
            <w:hideMark/>
          </w:tcPr>
          <w:p w14:paraId="1EC13F2C" w14:textId="77777777" w:rsidR="007F5DA9" w:rsidRPr="009E2B03" w:rsidRDefault="007F5DA9" w:rsidP="00AD4D6D">
            <w:pPr>
              <w:tabs>
                <w:tab w:val="right" w:pos="2224"/>
              </w:tabs>
              <w:rPr>
                <w:rFonts w:ascii="Calibri Light" w:hAnsi="Calibri Light"/>
                <w:szCs w:val="18"/>
                <w:lang w:eastAsia="ja-JP"/>
              </w:rPr>
            </w:pPr>
            <w:r w:rsidRPr="009E2B03">
              <w:rPr>
                <w:rFonts w:ascii="Calibri Light" w:hAnsi="Calibri Light"/>
                <w:szCs w:val="18"/>
                <w:lang w:eastAsia="ja-JP"/>
              </w:rPr>
              <w:t>Not considered</w:t>
            </w:r>
            <w:r w:rsidRPr="009E2B03">
              <w:rPr>
                <w:rFonts w:ascii="Calibri Light" w:hAnsi="Calibri Light"/>
                <w:szCs w:val="18"/>
                <w:lang w:eastAsia="ja-JP"/>
              </w:rPr>
              <w:tab/>
            </w:r>
          </w:p>
        </w:tc>
      </w:tr>
    </w:tbl>
    <w:p w14:paraId="22D61BA4" w14:textId="77777777" w:rsidR="007F5DA9" w:rsidRPr="009E2B03" w:rsidRDefault="007F5DA9" w:rsidP="007F5DA9">
      <w:pPr>
        <w:pStyle w:val="BodyTextkeepwithnext0"/>
        <w:rPr>
          <w:rFonts w:ascii="Calibri Light" w:hAnsi="Calibri Light"/>
        </w:rPr>
        <w:sectPr w:rsidR="007F5DA9" w:rsidRPr="009E2B03" w:rsidSect="00F8042D">
          <w:pgSz w:w="16838" w:h="11906" w:orient="landscape"/>
          <w:pgMar w:top="1440" w:right="1440" w:bottom="1440" w:left="1440" w:header="708" w:footer="708" w:gutter="0"/>
          <w:cols w:space="708"/>
          <w:titlePg/>
          <w:docGrid w:linePitch="360"/>
        </w:sectPr>
      </w:pPr>
      <w:r w:rsidRPr="009E2B03">
        <w:rPr>
          <w:rFonts w:ascii="Calibri Light" w:hAnsi="Calibri Light"/>
        </w:rPr>
        <w:t xml:space="preserve">Source: Access Economics 2004, </w:t>
      </w:r>
      <w:r w:rsidRPr="009E2B03">
        <w:rPr>
          <w:rFonts w:ascii="Calibri Light" w:hAnsi="Calibri Light"/>
          <w:i/>
        </w:rPr>
        <w:t>The Cost of Domestic Violence to the Australian Economy</w:t>
      </w:r>
      <w:r w:rsidRPr="009E2B03">
        <w:rPr>
          <w:rFonts w:ascii="Calibri Light" w:hAnsi="Calibri Light"/>
        </w:rPr>
        <w:t xml:space="preserve">; KPMG 2009, </w:t>
      </w:r>
      <w:r w:rsidRPr="009E2B03">
        <w:rPr>
          <w:rFonts w:ascii="Calibri Light" w:hAnsi="Calibri Light"/>
          <w:i/>
        </w:rPr>
        <w:t>The Cost of Violence against Women and their Children</w:t>
      </w:r>
      <w:r w:rsidRPr="009E2B03">
        <w:rPr>
          <w:rFonts w:ascii="Calibri Light" w:hAnsi="Calibri Light"/>
        </w:rPr>
        <w:t xml:space="preserve">; and PwC  2015, </w:t>
      </w:r>
      <w:r w:rsidRPr="009E2B03">
        <w:rPr>
          <w:rFonts w:ascii="Calibri Light" w:hAnsi="Calibri Light"/>
          <w:i/>
        </w:rPr>
        <w:t>The economic case for preventing violence against women</w:t>
      </w:r>
      <w:r w:rsidR="003A57C2" w:rsidRPr="009E2B03">
        <w:rPr>
          <w:rFonts w:ascii="Calibri Light" w:hAnsi="Calibri Light"/>
          <w:i/>
        </w:rPr>
        <w:t>.</w:t>
      </w:r>
    </w:p>
    <w:p w14:paraId="0AEF2EEF" w14:textId="77777777" w:rsidR="00440E06" w:rsidRPr="009E2B03" w:rsidRDefault="00584488" w:rsidP="007F5DA9">
      <w:pPr>
        <w:pStyle w:val="BodyText"/>
        <w:rPr>
          <w:rFonts w:ascii="Calibri Light" w:hAnsi="Calibri Light"/>
          <w:sz w:val="22"/>
        </w:rPr>
      </w:pPr>
      <w:r w:rsidRPr="009E2B03">
        <w:rPr>
          <w:rFonts w:ascii="Calibri Light" w:hAnsi="Calibri Light"/>
          <w:sz w:val="22"/>
        </w:rPr>
        <w:lastRenderedPageBreak/>
        <w:fldChar w:fldCharType="begin"/>
      </w:r>
      <w:r w:rsidRPr="009E2B03">
        <w:rPr>
          <w:rFonts w:ascii="Calibri Light" w:hAnsi="Calibri Light"/>
          <w:sz w:val="22"/>
        </w:rPr>
        <w:instrText xml:space="preserve"> REF _Ref447222696 \h </w:instrText>
      </w:r>
      <w:r w:rsidR="001D48AA"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 xml:space="preserve">Table </w:t>
      </w:r>
      <w:r w:rsidR="00417237">
        <w:rPr>
          <w:rFonts w:ascii="Calibri Light" w:hAnsi="Calibri Light"/>
          <w:noProof/>
          <w:sz w:val="22"/>
        </w:rPr>
        <w:t>2</w:t>
      </w:r>
      <w:r w:rsidR="00417237" w:rsidRPr="009E2B03">
        <w:rPr>
          <w:rFonts w:ascii="Calibri Light" w:hAnsi="Calibri Light"/>
          <w:noProof/>
          <w:sz w:val="22"/>
        </w:rPr>
        <w:noBreakHyphen/>
      </w:r>
      <w:r w:rsidR="00417237">
        <w:rPr>
          <w:rFonts w:ascii="Calibri Light" w:hAnsi="Calibri Light"/>
          <w:noProof/>
          <w:sz w:val="22"/>
        </w:rPr>
        <w:t>2</w:t>
      </w:r>
      <w:r w:rsidRPr="009E2B03">
        <w:rPr>
          <w:rFonts w:ascii="Calibri Light" w:hAnsi="Calibri Light"/>
          <w:sz w:val="22"/>
        </w:rPr>
        <w:fldChar w:fldCharType="end"/>
      </w:r>
      <w:r w:rsidR="00440E06" w:rsidRPr="009E2B03">
        <w:rPr>
          <w:rFonts w:ascii="Calibri Light" w:hAnsi="Calibri Light"/>
          <w:sz w:val="22"/>
        </w:rPr>
        <w:t xml:space="preserve"> outlines estimates of prevalence of violence against women and their children, based on the 2012 PSS results over the 12 months prior to the survey. Consistent with the PSS, the prevalence estimates avoid double counting in order to ascertain the total number of women who have experienced violence in a single year. The PSS has already performed this calculation for the primary categories of violence (identified in table 1 below). To continue this process for Emotional Abuse and Stalking, we establish the overlap between categories (based on data within the PSS) and applied a percentage reduction to the respective forms of violence.</w:t>
      </w:r>
    </w:p>
    <w:p w14:paraId="14E83DD3" w14:textId="77777777" w:rsidR="007F5DA9" w:rsidRPr="009E2B03" w:rsidRDefault="007F5DA9" w:rsidP="007F5DA9">
      <w:pPr>
        <w:pStyle w:val="Caption"/>
        <w:rPr>
          <w:rFonts w:ascii="Calibri Light" w:hAnsi="Calibri Light" w:cs="Arial"/>
          <w:sz w:val="22"/>
        </w:rPr>
      </w:pPr>
      <w:bookmarkStart w:id="56" w:name="_Ref447222696"/>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bookmarkEnd w:id="56"/>
      <w:r w:rsidRPr="009E2B03">
        <w:rPr>
          <w:rFonts w:ascii="Calibri Light" w:hAnsi="Calibri Light" w:cs="Arial"/>
          <w:sz w:val="22"/>
        </w:rPr>
        <w:t>: Preliminary prevalence calculations</w:t>
      </w:r>
      <w:r w:rsidR="003A0443" w:rsidRPr="009E2B03">
        <w:rPr>
          <w:rFonts w:ascii="Calibri Light" w:hAnsi="Calibri Light" w:cs="Arial"/>
          <w:sz w:val="22"/>
        </w:rPr>
        <w:t xml:space="preserve"> established from the PSS 2012 </w:t>
      </w:r>
    </w:p>
    <w:tbl>
      <w:tblPr>
        <w:tblStyle w:val="KPMGtable1"/>
        <w:tblW w:w="0" w:type="auto"/>
        <w:tblLook w:val="04A0" w:firstRow="1" w:lastRow="0" w:firstColumn="1" w:lastColumn="0" w:noHBand="0" w:noVBand="1"/>
        <w:tblCaption w:val="Table providing information on preliminary prevalence calculations established from the PSS 2012"/>
      </w:tblPr>
      <w:tblGrid>
        <w:gridCol w:w="4253"/>
        <w:gridCol w:w="4673"/>
      </w:tblGrid>
      <w:tr w:rsidR="007F5DA9" w:rsidRPr="009E2B03" w14:paraId="70BC40A2"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6D2077"/>
          </w:tcPr>
          <w:p w14:paraId="2C988791" w14:textId="77777777" w:rsidR="007F5DA9" w:rsidRPr="009E2B03" w:rsidRDefault="007F5DA9" w:rsidP="00AD4D6D">
            <w:pPr>
              <w:pStyle w:val="BodyText"/>
              <w:spacing w:before="40" w:after="40"/>
              <w:rPr>
                <w:rFonts w:ascii="Calibri Light" w:hAnsi="Calibri Light" w:cs="Arial"/>
                <w:b/>
                <w:sz w:val="22"/>
              </w:rPr>
            </w:pPr>
            <w:r w:rsidRPr="009E2B03">
              <w:rPr>
                <w:rFonts w:ascii="Calibri Light" w:hAnsi="Calibri Light" w:cs="Arial"/>
                <w:b/>
                <w:sz w:val="22"/>
              </w:rPr>
              <w:t>Primary categories of violence</w:t>
            </w:r>
          </w:p>
        </w:tc>
        <w:tc>
          <w:tcPr>
            <w:tcW w:w="4673" w:type="dxa"/>
            <w:shd w:val="clear" w:color="auto" w:fill="6D2077"/>
          </w:tcPr>
          <w:p w14:paraId="72959D30" w14:textId="77777777" w:rsidR="007F5DA9" w:rsidRPr="009E2B03" w:rsidRDefault="007F5DA9" w:rsidP="00AD4D6D">
            <w:pPr>
              <w:pStyle w:val="BodyText"/>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sz w:val="22"/>
              </w:rPr>
            </w:pPr>
            <w:r w:rsidRPr="009E2B03">
              <w:rPr>
                <w:rFonts w:ascii="Calibri Light" w:hAnsi="Calibri Light" w:cs="Arial"/>
                <w:b/>
                <w:sz w:val="22"/>
              </w:rPr>
              <w:t>Prevalence estimates</w:t>
            </w:r>
          </w:p>
        </w:tc>
      </w:tr>
      <w:tr w:rsidR="007F5DA9" w:rsidRPr="009E2B03" w14:paraId="12F8DACA"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01086CFC" w14:textId="77777777" w:rsidR="007F5DA9" w:rsidRPr="009E2B03" w:rsidRDefault="007F5DA9" w:rsidP="00AD4D6D">
            <w:pPr>
              <w:pStyle w:val="BodyText"/>
              <w:spacing w:before="40" w:after="40"/>
              <w:rPr>
                <w:rFonts w:ascii="Calibri Light" w:hAnsi="Calibri Light" w:cs="Arial"/>
                <w:sz w:val="22"/>
              </w:rPr>
            </w:pPr>
            <w:r w:rsidRPr="009E2B03">
              <w:rPr>
                <w:rFonts w:ascii="Calibri Light" w:hAnsi="Calibri Light" w:cs="Arial"/>
                <w:sz w:val="22"/>
              </w:rPr>
              <w:t>Physical Assault</w:t>
            </w:r>
          </w:p>
        </w:tc>
        <w:tc>
          <w:tcPr>
            <w:tcW w:w="4673" w:type="dxa"/>
          </w:tcPr>
          <w:p w14:paraId="3B49A2D7"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263,500</w:t>
            </w:r>
          </w:p>
        </w:tc>
      </w:tr>
      <w:tr w:rsidR="007F5DA9" w:rsidRPr="009E2B03" w14:paraId="72A6723D"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6FEE3DAA" w14:textId="77777777" w:rsidR="007F5DA9" w:rsidRPr="009E2B03" w:rsidRDefault="007F5DA9" w:rsidP="00AD4D6D">
            <w:pPr>
              <w:pStyle w:val="BodyText"/>
              <w:spacing w:before="40" w:after="40"/>
              <w:rPr>
                <w:rFonts w:ascii="Calibri Light" w:hAnsi="Calibri Light" w:cs="Arial"/>
                <w:sz w:val="22"/>
              </w:rPr>
            </w:pPr>
            <w:r w:rsidRPr="009E2B03">
              <w:rPr>
                <w:rFonts w:ascii="Calibri Light" w:hAnsi="Calibri Light" w:cs="Arial"/>
                <w:sz w:val="22"/>
              </w:rPr>
              <w:t>Physical Threat</w:t>
            </w:r>
          </w:p>
        </w:tc>
        <w:tc>
          <w:tcPr>
            <w:tcW w:w="4673" w:type="dxa"/>
          </w:tcPr>
          <w:p w14:paraId="21C08B23"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188,900</w:t>
            </w:r>
          </w:p>
        </w:tc>
      </w:tr>
      <w:tr w:rsidR="007F5DA9" w:rsidRPr="009E2B03" w14:paraId="616B1C78"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767974A9" w14:textId="77777777" w:rsidR="007F5DA9" w:rsidRPr="009E2B03" w:rsidRDefault="007F5DA9" w:rsidP="00AD4D6D">
            <w:pPr>
              <w:pStyle w:val="BodyText"/>
              <w:spacing w:before="40" w:after="40"/>
              <w:rPr>
                <w:rFonts w:ascii="Calibri Light" w:hAnsi="Calibri Light" w:cs="Arial"/>
                <w:sz w:val="22"/>
              </w:rPr>
            </w:pPr>
            <w:r w:rsidRPr="009E2B03">
              <w:rPr>
                <w:rFonts w:ascii="Calibri Light" w:hAnsi="Calibri Light" w:cs="Arial"/>
                <w:sz w:val="22"/>
              </w:rPr>
              <w:t>Sexual Assault</w:t>
            </w:r>
          </w:p>
        </w:tc>
        <w:tc>
          <w:tcPr>
            <w:tcW w:w="4673" w:type="dxa"/>
          </w:tcPr>
          <w:p w14:paraId="2C7D63D1"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87,800</w:t>
            </w:r>
          </w:p>
        </w:tc>
      </w:tr>
      <w:tr w:rsidR="007F5DA9" w:rsidRPr="009E2B03" w14:paraId="32EFB866"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653015BD" w14:textId="77777777" w:rsidR="007F5DA9" w:rsidRPr="009E2B03" w:rsidRDefault="007F5DA9" w:rsidP="00AD4D6D">
            <w:pPr>
              <w:pStyle w:val="BodyText"/>
              <w:spacing w:before="40" w:after="40"/>
              <w:rPr>
                <w:rFonts w:ascii="Calibri Light" w:hAnsi="Calibri Light" w:cs="Arial"/>
                <w:sz w:val="22"/>
              </w:rPr>
            </w:pPr>
            <w:r w:rsidRPr="009E2B03">
              <w:rPr>
                <w:rFonts w:ascii="Calibri Light" w:hAnsi="Calibri Light" w:cs="Arial"/>
                <w:sz w:val="22"/>
              </w:rPr>
              <w:t>Sexual Threat</w:t>
            </w:r>
          </w:p>
        </w:tc>
        <w:tc>
          <w:tcPr>
            <w:tcW w:w="4673" w:type="dxa"/>
          </w:tcPr>
          <w:p w14:paraId="00BECDF4"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17,600</w:t>
            </w:r>
          </w:p>
        </w:tc>
      </w:tr>
      <w:tr w:rsidR="007F5DA9" w:rsidRPr="009E2B03" w14:paraId="1A46DC90"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3181E1B8" w14:textId="77777777" w:rsidR="007F5DA9" w:rsidRPr="009E2B03" w:rsidRDefault="007F5DA9" w:rsidP="00AD4D6D">
            <w:pPr>
              <w:pStyle w:val="BodyText"/>
              <w:spacing w:before="40" w:after="40"/>
              <w:rPr>
                <w:rFonts w:ascii="Calibri Light" w:eastAsia="Times New Roman" w:hAnsi="Calibri Light" w:cs="Arial"/>
                <w:b/>
                <w:color w:val="6D2077"/>
                <w:sz w:val="22"/>
                <w:szCs w:val="24"/>
                <w:lang w:eastAsia="en-AU"/>
              </w:rPr>
            </w:pPr>
            <w:r w:rsidRPr="009E2B03">
              <w:rPr>
                <w:rFonts w:ascii="Calibri Light" w:eastAsia="Times New Roman" w:hAnsi="Calibri Light" w:cs="Arial"/>
                <w:b/>
                <w:color w:val="6D2077"/>
                <w:sz w:val="22"/>
                <w:szCs w:val="24"/>
                <w:lang w:eastAsia="en-AU"/>
              </w:rPr>
              <w:t>Total (sexual and physical)</w:t>
            </w:r>
          </w:p>
        </w:tc>
        <w:tc>
          <w:tcPr>
            <w:tcW w:w="4673" w:type="dxa"/>
          </w:tcPr>
          <w:p w14:paraId="5EBD2BD1"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b/>
                <w:color w:val="6D2077"/>
                <w:sz w:val="22"/>
                <w:szCs w:val="24"/>
                <w:lang w:eastAsia="en-AU"/>
              </w:rPr>
            </w:pPr>
            <w:r w:rsidRPr="009E2B03">
              <w:rPr>
                <w:rFonts w:ascii="Calibri Light" w:eastAsia="Times New Roman" w:hAnsi="Calibri Light" w:cs="Arial"/>
                <w:b/>
                <w:color w:val="6D2077"/>
                <w:sz w:val="22"/>
                <w:szCs w:val="24"/>
                <w:lang w:eastAsia="en-AU"/>
              </w:rPr>
              <w:t xml:space="preserve">467,300 </w:t>
            </w:r>
          </w:p>
        </w:tc>
      </w:tr>
      <w:tr w:rsidR="007F5DA9" w:rsidRPr="009E2B03" w14:paraId="7DF3EE87"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6D2077"/>
          </w:tcPr>
          <w:p w14:paraId="2B884433" w14:textId="77777777" w:rsidR="007F5DA9" w:rsidRPr="009E2B03" w:rsidRDefault="007F5DA9" w:rsidP="00AD4D6D">
            <w:pPr>
              <w:pStyle w:val="BodyText"/>
              <w:spacing w:before="40" w:after="40"/>
              <w:rPr>
                <w:rFonts w:ascii="Calibri Light" w:hAnsi="Calibri Light" w:cs="Arial"/>
                <w:b/>
                <w:color w:val="FFFFFF" w:themeColor="background1"/>
                <w:sz w:val="22"/>
              </w:rPr>
            </w:pPr>
            <w:r w:rsidRPr="009E2B03">
              <w:rPr>
                <w:rFonts w:ascii="Calibri Light" w:hAnsi="Calibri Light" w:cs="Arial"/>
                <w:b/>
                <w:color w:val="FFFFFF" w:themeColor="background1"/>
                <w:sz w:val="22"/>
              </w:rPr>
              <w:t>Additional categories of violence</w:t>
            </w:r>
          </w:p>
        </w:tc>
        <w:tc>
          <w:tcPr>
            <w:tcW w:w="4673" w:type="dxa"/>
            <w:shd w:val="clear" w:color="auto" w:fill="6D2077"/>
          </w:tcPr>
          <w:p w14:paraId="25AD21BC"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FFFFFF" w:themeColor="background1"/>
                <w:sz w:val="22"/>
              </w:rPr>
            </w:pPr>
            <w:r w:rsidRPr="009E2B03">
              <w:rPr>
                <w:rFonts w:ascii="Calibri Light" w:hAnsi="Calibri Light" w:cs="Arial"/>
                <w:b/>
                <w:color w:val="FFFFFF" w:themeColor="background1"/>
                <w:sz w:val="22"/>
              </w:rPr>
              <w:t>Prevalence estimates</w:t>
            </w:r>
          </w:p>
        </w:tc>
      </w:tr>
      <w:tr w:rsidR="007F5DA9" w:rsidRPr="009E2B03" w14:paraId="1D465B65"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1212AAF4" w14:textId="77777777" w:rsidR="007F5DA9" w:rsidRPr="009E2B03" w:rsidRDefault="007F5DA9" w:rsidP="00AD4D6D">
            <w:pPr>
              <w:pStyle w:val="BodyText"/>
              <w:spacing w:before="40" w:after="40"/>
              <w:rPr>
                <w:rFonts w:ascii="Calibri Light" w:hAnsi="Calibri Light" w:cs="Arial"/>
                <w:sz w:val="22"/>
              </w:rPr>
            </w:pPr>
            <w:r w:rsidRPr="009E2B03">
              <w:rPr>
                <w:rFonts w:ascii="Calibri Light" w:hAnsi="Calibri Light" w:cs="Arial"/>
                <w:sz w:val="22"/>
              </w:rPr>
              <w:t>Emotional Abuse</w:t>
            </w:r>
          </w:p>
        </w:tc>
        <w:tc>
          <w:tcPr>
            <w:tcW w:w="4673" w:type="dxa"/>
          </w:tcPr>
          <w:p w14:paraId="71351A7F" w14:textId="77777777" w:rsidR="007F5DA9" w:rsidRPr="009E2B03" w:rsidRDefault="00BF5D3E"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272,652</w:t>
            </w:r>
          </w:p>
        </w:tc>
      </w:tr>
      <w:tr w:rsidR="007F5DA9" w:rsidRPr="009E2B03" w14:paraId="6C460756"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2F2D02D7" w14:textId="77777777" w:rsidR="007F5DA9" w:rsidRPr="009E2B03" w:rsidRDefault="007F5DA9" w:rsidP="00AD4D6D">
            <w:pPr>
              <w:pStyle w:val="BodyText"/>
              <w:spacing w:before="40" w:after="40"/>
              <w:rPr>
                <w:rFonts w:ascii="Calibri Light" w:hAnsi="Calibri Light" w:cs="Arial"/>
                <w:sz w:val="22"/>
              </w:rPr>
            </w:pPr>
            <w:r w:rsidRPr="009E2B03">
              <w:rPr>
                <w:rFonts w:ascii="Calibri Light" w:hAnsi="Calibri Light" w:cs="Arial"/>
                <w:sz w:val="22"/>
              </w:rPr>
              <w:t>Stalking</w:t>
            </w:r>
          </w:p>
        </w:tc>
        <w:tc>
          <w:tcPr>
            <w:tcW w:w="4673" w:type="dxa"/>
          </w:tcPr>
          <w:p w14:paraId="6CD2C114"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2</w:t>
            </w:r>
            <w:r w:rsidR="00BF5D3E" w:rsidRPr="009E2B03">
              <w:rPr>
                <w:rFonts w:ascii="Calibri Light" w:hAnsi="Calibri Light" w:cs="Arial"/>
                <w:sz w:val="22"/>
              </w:rPr>
              <w:t>37,130</w:t>
            </w:r>
          </w:p>
        </w:tc>
      </w:tr>
      <w:tr w:rsidR="007F5DA9" w:rsidRPr="009E2B03" w14:paraId="1CEA7A87"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6D2077"/>
          </w:tcPr>
          <w:p w14:paraId="55945DCF" w14:textId="77777777" w:rsidR="007F5DA9" w:rsidRPr="009E2B03" w:rsidRDefault="007F5DA9" w:rsidP="00AD4D6D">
            <w:pPr>
              <w:pStyle w:val="BodyText"/>
              <w:spacing w:before="40" w:after="40"/>
              <w:rPr>
                <w:rFonts w:ascii="Calibri Light" w:hAnsi="Calibri Light" w:cs="Arial"/>
                <w:sz w:val="22"/>
              </w:rPr>
            </w:pPr>
            <w:r w:rsidRPr="009E2B03">
              <w:rPr>
                <w:rFonts w:ascii="Calibri Light" w:hAnsi="Calibri Light" w:cs="Arial"/>
                <w:b/>
                <w:color w:val="FFFFFF" w:themeColor="background1"/>
                <w:sz w:val="22"/>
              </w:rPr>
              <w:t>Total (including all violence categories)</w:t>
            </w:r>
          </w:p>
        </w:tc>
        <w:tc>
          <w:tcPr>
            <w:tcW w:w="4673" w:type="dxa"/>
            <w:shd w:val="clear" w:color="auto" w:fill="6D2077"/>
          </w:tcPr>
          <w:p w14:paraId="37DFB9DF" w14:textId="77777777" w:rsidR="007F5DA9" w:rsidRPr="009E2B03" w:rsidRDefault="007F5DA9" w:rsidP="00AD4D6D">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b/>
                <w:color w:val="FFFFFF" w:themeColor="background1"/>
                <w:sz w:val="22"/>
              </w:rPr>
              <w:t>Prevalence estimate without double counting</w:t>
            </w:r>
          </w:p>
        </w:tc>
      </w:tr>
      <w:tr w:rsidR="007F5DA9" w:rsidRPr="009E2B03" w14:paraId="5A50BEAE" w14:textId="77777777" w:rsidTr="00067B42">
        <w:tc>
          <w:tcPr>
            <w:cnfStyle w:val="001000000000" w:firstRow="0" w:lastRow="0" w:firstColumn="1" w:lastColumn="0" w:oddVBand="0" w:evenVBand="0" w:oddHBand="0" w:evenHBand="0" w:firstRowFirstColumn="0" w:firstRowLastColumn="0" w:lastRowFirstColumn="0" w:lastRowLastColumn="0"/>
            <w:tcW w:w="4253" w:type="dxa"/>
            <w:shd w:val="clear" w:color="auto" w:fill="F3F0F4"/>
          </w:tcPr>
          <w:p w14:paraId="6A6B50B3" w14:textId="77777777" w:rsidR="007F5DA9" w:rsidRPr="009E2B03" w:rsidRDefault="007F5DA9" w:rsidP="00AD4D6D">
            <w:pPr>
              <w:pStyle w:val="BodyText"/>
              <w:spacing w:before="40" w:after="40"/>
              <w:rPr>
                <w:rFonts w:ascii="Calibri Light" w:eastAsia="Times New Roman" w:hAnsi="Calibri Light" w:cs="Arial"/>
                <w:b/>
                <w:color w:val="6D2077"/>
                <w:sz w:val="22"/>
                <w:szCs w:val="24"/>
                <w:lang w:eastAsia="en-AU"/>
              </w:rPr>
            </w:pPr>
            <w:r w:rsidRPr="009E2B03">
              <w:rPr>
                <w:rFonts w:ascii="Calibri Light" w:eastAsia="Times New Roman" w:hAnsi="Calibri Light" w:cs="Arial"/>
                <w:b/>
                <w:color w:val="6D2077"/>
                <w:sz w:val="22"/>
                <w:szCs w:val="24"/>
                <w:lang w:eastAsia="en-AU"/>
              </w:rPr>
              <w:t xml:space="preserve">Total (including all violence </w:t>
            </w:r>
            <w:r w:rsidRPr="009E2B03">
              <w:rPr>
                <w:rFonts w:ascii="Calibri Light" w:eastAsia="Times New Roman" w:hAnsi="Calibri Light" w:cs="Arial"/>
                <w:b/>
                <w:color w:val="6D2077"/>
                <w:sz w:val="22"/>
                <w:szCs w:val="24"/>
                <w:shd w:val="clear" w:color="auto" w:fill="F3F0F4"/>
                <w:lang w:eastAsia="en-AU"/>
              </w:rPr>
              <w:t>categories)</w:t>
            </w:r>
          </w:p>
        </w:tc>
        <w:tc>
          <w:tcPr>
            <w:tcW w:w="4673" w:type="dxa"/>
          </w:tcPr>
          <w:p w14:paraId="3203E40E" w14:textId="77777777" w:rsidR="007F5DA9" w:rsidRPr="009E2B03" w:rsidRDefault="007F5DA9">
            <w:pPr>
              <w:pStyle w:val="BodyText"/>
              <w:spacing w:before="40" w:after="40"/>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b/>
                <w:color w:val="6D2077"/>
                <w:sz w:val="22"/>
                <w:szCs w:val="24"/>
                <w:lang w:eastAsia="en-AU"/>
              </w:rPr>
            </w:pPr>
            <w:r w:rsidRPr="009E2B03">
              <w:rPr>
                <w:rFonts w:ascii="Calibri Light" w:eastAsia="Times New Roman" w:hAnsi="Calibri Light" w:cs="Arial"/>
                <w:b/>
                <w:color w:val="6D2077"/>
                <w:sz w:val="22"/>
                <w:szCs w:val="24"/>
                <w:lang w:eastAsia="en-AU"/>
              </w:rPr>
              <w:t>1,0</w:t>
            </w:r>
            <w:r w:rsidR="00F73D26" w:rsidRPr="009E2B03">
              <w:rPr>
                <w:rFonts w:ascii="Calibri Light" w:eastAsia="Times New Roman" w:hAnsi="Calibri Light" w:cs="Arial"/>
                <w:b/>
                <w:color w:val="6D2077"/>
                <w:sz w:val="22"/>
                <w:szCs w:val="24"/>
                <w:lang w:eastAsia="en-AU"/>
              </w:rPr>
              <w:t>33,910</w:t>
            </w:r>
          </w:p>
        </w:tc>
      </w:tr>
    </w:tbl>
    <w:p w14:paraId="66B011FE" w14:textId="77777777" w:rsidR="007F5DA9" w:rsidRPr="009E2B03" w:rsidRDefault="007F5DA9" w:rsidP="007F5DA9">
      <w:pPr>
        <w:pStyle w:val="BodyText"/>
        <w:rPr>
          <w:rFonts w:ascii="Calibri Light" w:hAnsi="Calibri Light"/>
        </w:rPr>
      </w:pPr>
      <w:r w:rsidRPr="009E2B03">
        <w:rPr>
          <w:rFonts w:ascii="Calibri Light" w:hAnsi="Calibri Light"/>
        </w:rPr>
        <w:t xml:space="preserve">Source: </w:t>
      </w:r>
      <w:r w:rsidR="009A0BAA" w:rsidRPr="009E2B03">
        <w:rPr>
          <w:rFonts w:ascii="Calibri Light" w:hAnsi="Calibri Light"/>
        </w:rPr>
        <w:t xml:space="preserve">ABS </w:t>
      </w:r>
      <w:r w:rsidRPr="009E2B03">
        <w:rPr>
          <w:rFonts w:ascii="Calibri Light" w:hAnsi="Calibri Light"/>
        </w:rPr>
        <w:t>Personal Safety Survey 2012; KPMG calculations.</w:t>
      </w:r>
    </w:p>
    <w:p w14:paraId="0BAF35FD" w14:textId="77777777" w:rsidR="007F5DA9" w:rsidRPr="009E2B03" w:rsidRDefault="007F5DA9" w:rsidP="00895A01">
      <w:pPr>
        <w:pStyle w:val="BodyText"/>
        <w:rPr>
          <w:rFonts w:ascii="Calibri Light" w:hAnsi="Calibri Light"/>
          <w:sz w:val="22"/>
        </w:rPr>
      </w:pPr>
      <w:r w:rsidRPr="009E2B03">
        <w:rPr>
          <w:rFonts w:ascii="Calibri Light" w:hAnsi="Calibri Light"/>
          <w:sz w:val="22"/>
        </w:rPr>
        <w:t>The PSS also provides further insight into the nature of violence across Australia</w:t>
      </w:r>
      <w:r w:rsidR="00895A01" w:rsidRPr="009E2B03">
        <w:rPr>
          <w:rFonts w:ascii="Calibri Light" w:hAnsi="Calibri Light"/>
          <w:sz w:val="22"/>
        </w:rPr>
        <w:t>, including</w:t>
      </w:r>
      <w:r w:rsidRPr="009E2B03">
        <w:rPr>
          <w:rFonts w:ascii="Calibri Light" w:hAnsi="Calibri Light"/>
          <w:sz w:val="22"/>
        </w:rPr>
        <w:t xml:space="preserve"> partner and non-partner violence, multiple incidents of violence perpetrated against a single victim, </w:t>
      </w:r>
      <w:r w:rsidR="00895A01" w:rsidRPr="009E2B03">
        <w:rPr>
          <w:rFonts w:ascii="Calibri Light" w:hAnsi="Calibri Light"/>
          <w:sz w:val="22"/>
        </w:rPr>
        <w:t>and the level of</w:t>
      </w:r>
      <w:r w:rsidRPr="009E2B03">
        <w:rPr>
          <w:rFonts w:ascii="Calibri Light" w:hAnsi="Calibri Light"/>
          <w:sz w:val="22"/>
        </w:rPr>
        <w:t xml:space="preserve"> non-reporting by </w:t>
      </w:r>
      <w:r w:rsidR="00895A01" w:rsidRPr="009E2B03">
        <w:rPr>
          <w:rFonts w:ascii="Calibri Light" w:hAnsi="Calibri Light"/>
          <w:sz w:val="22"/>
        </w:rPr>
        <w:t>category of violence</w:t>
      </w:r>
      <w:r w:rsidRPr="009E2B03">
        <w:rPr>
          <w:rFonts w:ascii="Calibri Light" w:hAnsi="Calibri Light"/>
          <w:sz w:val="22"/>
        </w:rPr>
        <w:t xml:space="preserve"> and </w:t>
      </w:r>
      <w:r w:rsidR="00895A01" w:rsidRPr="009E2B03">
        <w:rPr>
          <w:rFonts w:ascii="Calibri Light" w:hAnsi="Calibri Light"/>
          <w:sz w:val="22"/>
        </w:rPr>
        <w:t xml:space="preserve">the victim’s </w:t>
      </w:r>
      <w:r w:rsidRPr="009E2B03">
        <w:rPr>
          <w:rFonts w:ascii="Calibri Light" w:hAnsi="Calibri Light"/>
          <w:sz w:val="22"/>
        </w:rPr>
        <w:t xml:space="preserve">relationship to </w:t>
      </w:r>
      <w:r w:rsidR="00895A01" w:rsidRPr="009E2B03">
        <w:rPr>
          <w:rFonts w:ascii="Calibri Light" w:hAnsi="Calibri Light"/>
          <w:sz w:val="22"/>
        </w:rPr>
        <w:t xml:space="preserve">the </w:t>
      </w:r>
      <w:r w:rsidRPr="009E2B03">
        <w:rPr>
          <w:rFonts w:ascii="Calibri Light" w:hAnsi="Calibri Light"/>
          <w:sz w:val="22"/>
        </w:rPr>
        <w:t xml:space="preserve">perpetrator. </w:t>
      </w:r>
      <w:r w:rsidR="00895A01" w:rsidRPr="009E2B03">
        <w:rPr>
          <w:rFonts w:ascii="Calibri Light" w:hAnsi="Calibri Light"/>
          <w:sz w:val="22"/>
        </w:rPr>
        <w:t xml:space="preserve">Further targeted research has also been undertaken to test and better understand the prevalence figures within the PSS. </w:t>
      </w:r>
    </w:p>
    <w:p w14:paraId="5BB6CFEC" w14:textId="77777777" w:rsidR="007F5DA9" w:rsidRPr="009E2B03" w:rsidRDefault="007F5DA9" w:rsidP="00E127F4">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Estimating the cost of violence</w:t>
      </w:r>
    </w:p>
    <w:p w14:paraId="0F53869A" w14:textId="77777777" w:rsidR="007F5DA9" w:rsidRPr="009E2B03" w:rsidRDefault="00CE3E4D" w:rsidP="007F5DA9">
      <w:pPr>
        <w:tabs>
          <w:tab w:val="left" w:pos="1818"/>
        </w:tabs>
        <w:rPr>
          <w:rFonts w:ascii="Calibri Light" w:hAnsi="Calibri Light"/>
          <w:sz w:val="22"/>
        </w:rPr>
      </w:pPr>
      <w:r w:rsidRPr="009E2B03">
        <w:rPr>
          <w:rFonts w:ascii="Calibri Light" w:hAnsi="Calibri Light"/>
          <w:sz w:val="22"/>
        </w:rPr>
        <w:t>In</w:t>
      </w:r>
      <w:r w:rsidR="007F5DA9" w:rsidRPr="009E2B03">
        <w:rPr>
          <w:rFonts w:ascii="Calibri Light" w:hAnsi="Calibri Light"/>
          <w:sz w:val="22"/>
        </w:rPr>
        <w:t xml:space="preserve"> Australia, there have been a number of studies that have focused on measuring the economic cost of violence against women and their children. These studies have focused on two broad approaches to cost estimation</w:t>
      </w:r>
      <w:r w:rsidRPr="009E2B03">
        <w:rPr>
          <w:rFonts w:ascii="Calibri Light" w:hAnsi="Calibri Light"/>
          <w:sz w:val="22"/>
        </w:rPr>
        <w:t>.</w:t>
      </w:r>
      <w:r w:rsidR="007F5DA9" w:rsidRPr="009E2B03">
        <w:rPr>
          <w:rFonts w:ascii="Calibri Light" w:hAnsi="Calibri Light"/>
          <w:sz w:val="22"/>
        </w:rPr>
        <w:t xml:space="preserve"> </w:t>
      </w:r>
      <w:r w:rsidRPr="009E2B03">
        <w:rPr>
          <w:rFonts w:ascii="Calibri Light" w:hAnsi="Calibri Light"/>
          <w:sz w:val="22"/>
        </w:rPr>
        <w:t>T</w:t>
      </w:r>
      <w:r w:rsidR="007F5DA9" w:rsidRPr="009E2B03">
        <w:rPr>
          <w:rFonts w:ascii="Calibri Light" w:hAnsi="Calibri Light"/>
          <w:sz w:val="22"/>
        </w:rPr>
        <w:t xml:space="preserve">he first </w:t>
      </w:r>
      <w:r w:rsidRPr="009E2B03">
        <w:rPr>
          <w:rFonts w:ascii="Calibri Light" w:hAnsi="Calibri Light"/>
          <w:sz w:val="22"/>
        </w:rPr>
        <w:t xml:space="preserve">approach </w:t>
      </w:r>
      <w:r w:rsidR="007F5DA9" w:rsidRPr="009E2B03">
        <w:rPr>
          <w:rFonts w:ascii="Calibri Light" w:hAnsi="Calibri Light"/>
          <w:sz w:val="22"/>
        </w:rPr>
        <w:t>develop</w:t>
      </w:r>
      <w:r w:rsidRPr="009E2B03">
        <w:rPr>
          <w:rFonts w:ascii="Calibri Light" w:hAnsi="Calibri Light"/>
          <w:sz w:val="22"/>
        </w:rPr>
        <w:t>s</w:t>
      </w:r>
      <w:r w:rsidR="007F5DA9" w:rsidRPr="009E2B03">
        <w:rPr>
          <w:rFonts w:ascii="Calibri Light" w:hAnsi="Calibri Light"/>
          <w:sz w:val="22"/>
        </w:rPr>
        <w:t xml:space="preserve"> a bottom-up </w:t>
      </w:r>
      <w:r w:rsidRPr="009E2B03">
        <w:rPr>
          <w:rFonts w:ascii="Calibri Light" w:hAnsi="Calibri Light"/>
          <w:sz w:val="22"/>
        </w:rPr>
        <w:t xml:space="preserve">method </w:t>
      </w:r>
      <w:r w:rsidR="007F5DA9" w:rsidRPr="009E2B03">
        <w:rPr>
          <w:rFonts w:ascii="Calibri Light" w:hAnsi="Calibri Light"/>
          <w:sz w:val="22"/>
        </w:rPr>
        <w:t xml:space="preserve">based on calculating service use costs on an individual level and extrapolation at </w:t>
      </w:r>
      <w:r w:rsidR="00F94884" w:rsidRPr="009E2B03">
        <w:rPr>
          <w:rFonts w:ascii="Calibri Light" w:hAnsi="Calibri Light"/>
          <w:sz w:val="22"/>
        </w:rPr>
        <w:t>s</w:t>
      </w:r>
      <w:r w:rsidR="007F5DA9" w:rsidRPr="009E2B03">
        <w:rPr>
          <w:rFonts w:ascii="Calibri Light" w:hAnsi="Calibri Light"/>
          <w:sz w:val="22"/>
        </w:rPr>
        <w:t xml:space="preserve">tate or </w:t>
      </w:r>
      <w:r w:rsidR="00F94884" w:rsidRPr="009E2B03">
        <w:rPr>
          <w:rFonts w:ascii="Calibri Light" w:hAnsi="Calibri Light"/>
          <w:sz w:val="22"/>
        </w:rPr>
        <w:t>t</w:t>
      </w:r>
      <w:r w:rsidR="007F5DA9" w:rsidRPr="009E2B03">
        <w:rPr>
          <w:rFonts w:ascii="Calibri Light" w:hAnsi="Calibri Light"/>
          <w:sz w:val="22"/>
        </w:rPr>
        <w:t>erritory level</w:t>
      </w:r>
      <w:r w:rsidRPr="009E2B03">
        <w:rPr>
          <w:rFonts w:ascii="Calibri Light" w:hAnsi="Calibri Light"/>
          <w:sz w:val="22"/>
        </w:rPr>
        <w:t>. The</w:t>
      </w:r>
      <w:r w:rsidR="007F5DA9" w:rsidRPr="009E2B03">
        <w:rPr>
          <w:rFonts w:ascii="Calibri Light" w:hAnsi="Calibri Light"/>
          <w:sz w:val="22"/>
        </w:rPr>
        <w:t xml:space="preserve"> second </w:t>
      </w:r>
      <w:r w:rsidRPr="009E2B03">
        <w:rPr>
          <w:rFonts w:ascii="Calibri Light" w:hAnsi="Calibri Light"/>
          <w:sz w:val="22"/>
        </w:rPr>
        <w:t xml:space="preserve">approach uses </w:t>
      </w:r>
      <w:r w:rsidR="007F5DA9" w:rsidRPr="009E2B03">
        <w:rPr>
          <w:rFonts w:ascii="Calibri Light" w:hAnsi="Calibri Light"/>
          <w:sz w:val="22"/>
        </w:rPr>
        <w:t xml:space="preserve">a hybrid </w:t>
      </w:r>
      <w:r w:rsidRPr="009E2B03">
        <w:rPr>
          <w:rFonts w:ascii="Calibri Light" w:hAnsi="Calibri Light"/>
          <w:sz w:val="22"/>
        </w:rPr>
        <w:t xml:space="preserve">method </w:t>
      </w:r>
      <w:r w:rsidR="007F5DA9" w:rsidRPr="009E2B03">
        <w:rPr>
          <w:rFonts w:ascii="Calibri Light" w:hAnsi="Calibri Light"/>
          <w:sz w:val="22"/>
        </w:rPr>
        <w:t xml:space="preserve">that draws upon both service use data or data from individual interactions with the system (i.e. recorded crime data), and top-down data on a range of cost categories, including health costs, and production-related and consumption-related costs. </w:t>
      </w:r>
    </w:p>
    <w:p w14:paraId="125F6AB6" w14:textId="77777777" w:rsidR="007F5DA9" w:rsidRPr="009E2B03" w:rsidRDefault="007F5DA9" w:rsidP="007F5DA9">
      <w:pPr>
        <w:tabs>
          <w:tab w:val="left" w:pos="3991"/>
        </w:tabs>
        <w:rPr>
          <w:rFonts w:ascii="Calibri Light" w:hAnsi="Calibri Light"/>
          <w:sz w:val="22"/>
        </w:rPr>
      </w:pPr>
      <w:r w:rsidRPr="009E2B03">
        <w:rPr>
          <w:rFonts w:ascii="Calibri Light" w:hAnsi="Calibri Light"/>
          <w:sz w:val="22"/>
        </w:rPr>
        <w:t>The broad cost categories are intended to be comprehensive, capturing both the direct (or tangible) costs and indirect (or intangible</w:t>
      </w:r>
      <w:r w:rsidR="00CE3E4D" w:rsidRPr="009E2B03">
        <w:rPr>
          <w:rFonts w:ascii="Calibri Light" w:hAnsi="Calibri Light"/>
          <w:sz w:val="22"/>
        </w:rPr>
        <w:t>)</w:t>
      </w:r>
      <w:r w:rsidRPr="009E2B03">
        <w:rPr>
          <w:rFonts w:ascii="Calibri Light" w:hAnsi="Calibri Light"/>
          <w:sz w:val="22"/>
        </w:rPr>
        <w:t xml:space="preserve"> costs associated with violence. The direct costs </w:t>
      </w:r>
      <w:r w:rsidR="00CE3E4D" w:rsidRPr="009E2B03">
        <w:rPr>
          <w:rFonts w:ascii="Calibri Light" w:hAnsi="Calibri Light"/>
          <w:sz w:val="22"/>
        </w:rPr>
        <w:t>are those</w:t>
      </w:r>
      <w:r w:rsidRPr="009E2B03">
        <w:rPr>
          <w:rFonts w:ascii="Calibri Light" w:hAnsi="Calibri Light"/>
          <w:sz w:val="22"/>
        </w:rPr>
        <w:t xml:space="preserve"> associated with the provision of services and resources for victims of violence, including crisis support, accommodation services, income support, and health and medical services. The indirect costs refer to the pain, fear and suffering incurred by women and children who live with violence. Specifically, the seven cost categories are: </w:t>
      </w:r>
    </w:p>
    <w:p w14:paraId="718D7466"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pain, suffering and premature mortality</w:t>
      </w:r>
    </w:p>
    <w:p w14:paraId="5AB7544E"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health costs</w:t>
      </w:r>
    </w:p>
    <w:p w14:paraId="462A19DD"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production-related costs</w:t>
      </w:r>
    </w:p>
    <w:p w14:paraId="582F11D8"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lastRenderedPageBreak/>
        <w:t>consumption-related costs</w:t>
      </w:r>
    </w:p>
    <w:p w14:paraId="20CC6E27"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second generation costs</w:t>
      </w:r>
    </w:p>
    <w:p w14:paraId="5DAA8A1C"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administration and other costs</w:t>
      </w:r>
    </w:p>
    <w:p w14:paraId="728139FF"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sz w:val="22"/>
        </w:rPr>
        <w:t>transfer costs.</w:t>
      </w:r>
    </w:p>
    <w:p w14:paraId="629AE611" w14:textId="77777777" w:rsidR="007F5DA9" w:rsidRPr="009E2B03" w:rsidRDefault="007F5DA9" w:rsidP="007F5DA9">
      <w:pPr>
        <w:tabs>
          <w:tab w:val="left" w:pos="3991"/>
        </w:tabs>
        <w:rPr>
          <w:rFonts w:ascii="Calibri Light" w:hAnsi="Calibri Light"/>
          <w:sz w:val="22"/>
        </w:rPr>
      </w:pPr>
      <w:r w:rsidRPr="009E2B03">
        <w:rPr>
          <w:rFonts w:ascii="Calibri Light" w:hAnsi="Calibri Light"/>
          <w:sz w:val="22"/>
        </w:rPr>
        <w:t xml:space="preserve">The costs </w:t>
      </w:r>
      <w:r w:rsidR="00895A01" w:rsidRPr="009E2B03">
        <w:rPr>
          <w:rFonts w:ascii="Calibri Light" w:hAnsi="Calibri Light"/>
          <w:sz w:val="22"/>
        </w:rPr>
        <w:t>have been</w:t>
      </w:r>
      <w:r w:rsidRPr="009E2B03">
        <w:rPr>
          <w:rFonts w:ascii="Calibri Light" w:hAnsi="Calibri Light"/>
          <w:sz w:val="22"/>
        </w:rPr>
        <w:t xml:space="preserve"> measured over a 12 month period and provide the basis for an annual cost estimate. To ensure that there is a comprehensive understanding of each cost category and the comparative differences in estimated costs, </w:t>
      </w:r>
      <w:r w:rsidR="00CE3E4D" w:rsidRPr="009E2B03">
        <w:rPr>
          <w:rFonts w:ascii="Calibri Light" w:hAnsi="Calibri Light"/>
          <w:sz w:val="22"/>
        </w:rPr>
        <w:t xml:space="preserve">we have provided </w:t>
      </w:r>
      <w:r w:rsidRPr="009E2B03">
        <w:rPr>
          <w:rFonts w:ascii="Calibri Light" w:hAnsi="Calibri Light"/>
          <w:sz w:val="22"/>
        </w:rPr>
        <w:t>research and analysis into the underlying drivers of increased costs and targeted case studies</w:t>
      </w:r>
      <w:r w:rsidR="00E53E5C" w:rsidRPr="009E2B03">
        <w:rPr>
          <w:rFonts w:ascii="Calibri Light" w:hAnsi="Calibri Light"/>
          <w:sz w:val="22"/>
        </w:rPr>
        <w:t>. Research and analysis is subject to availability of</w:t>
      </w:r>
      <w:r w:rsidRPr="009E2B03">
        <w:rPr>
          <w:rFonts w:ascii="Calibri Light" w:hAnsi="Calibri Light"/>
          <w:sz w:val="22"/>
        </w:rPr>
        <w:t xml:space="preserve"> data and information. </w:t>
      </w:r>
      <w:r w:rsidRPr="009E2B03">
        <w:rPr>
          <w:rFonts w:ascii="Calibri Light" w:hAnsi="Calibri Light"/>
          <w:sz w:val="22"/>
        </w:rPr>
        <w:fldChar w:fldCharType="begin"/>
      </w:r>
      <w:r w:rsidRPr="009E2B03">
        <w:rPr>
          <w:rFonts w:ascii="Calibri Light" w:hAnsi="Calibri Light"/>
          <w:sz w:val="22"/>
        </w:rPr>
        <w:instrText xml:space="preserve"> REF _Ref447041502 \h </w:instrText>
      </w:r>
      <w:r w:rsidR="009B0258" w:rsidRPr="009E2B03">
        <w:rPr>
          <w:rFonts w:ascii="Calibri Light" w:hAnsi="Calibri Light"/>
          <w:sz w:val="22"/>
        </w:rPr>
        <w:instrText xml:space="preserve"> \* MERGEFORMAT </w:instrText>
      </w:r>
      <w:r w:rsidR="00417237">
        <w:rPr>
          <w:rFonts w:ascii="Calibri Light" w:hAnsi="Calibri Light"/>
          <w:sz w:val="22"/>
        </w:rPr>
        <w:fldChar w:fldCharType="separate"/>
      </w:r>
      <w:r w:rsidR="00417237">
        <w:rPr>
          <w:rFonts w:ascii="Calibri Light" w:hAnsi="Calibri Light"/>
          <w:b/>
          <w:bCs/>
          <w:sz w:val="22"/>
          <w:lang w:val="en-US"/>
        </w:rPr>
        <w:t>Error! Reference source not found.</w:t>
      </w:r>
      <w:r w:rsidRPr="009E2B03">
        <w:rPr>
          <w:rFonts w:ascii="Calibri Light" w:hAnsi="Calibri Light"/>
          <w:sz w:val="22"/>
        </w:rPr>
        <w:fldChar w:fldCharType="end"/>
      </w:r>
      <w:r w:rsidRPr="009E2B03">
        <w:rPr>
          <w:rFonts w:ascii="Calibri Light" w:hAnsi="Calibri Light"/>
          <w:sz w:val="22"/>
        </w:rPr>
        <w:t xml:space="preserve"> </w:t>
      </w:r>
      <w:r w:rsidRPr="009E2B03" w:rsidDel="006B5BF4">
        <w:rPr>
          <w:rFonts w:ascii="Calibri Light" w:hAnsi="Calibri Light"/>
          <w:sz w:val="22"/>
        </w:rPr>
        <w:t xml:space="preserve"> </w:t>
      </w:r>
    </w:p>
    <w:p w14:paraId="6B7912E2" w14:textId="77777777" w:rsidR="004175C0" w:rsidRPr="009E2B03" w:rsidRDefault="00895A01" w:rsidP="00900F41">
      <w:pPr>
        <w:tabs>
          <w:tab w:val="left" w:pos="3991"/>
        </w:tabs>
        <w:rPr>
          <w:rFonts w:ascii="Calibri Light" w:hAnsi="Calibri Light"/>
          <w:sz w:val="22"/>
        </w:rPr>
      </w:pPr>
      <w:r w:rsidRPr="009E2B03">
        <w:rPr>
          <w:rFonts w:ascii="Calibri Light" w:hAnsi="Calibri Light"/>
          <w:sz w:val="22"/>
        </w:rPr>
        <w:t>The estimated costs were</w:t>
      </w:r>
      <w:r w:rsidR="004175C0" w:rsidRPr="009E2B03">
        <w:rPr>
          <w:rFonts w:ascii="Calibri Light" w:hAnsi="Calibri Light"/>
          <w:sz w:val="22"/>
        </w:rPr>
        <w:t xml:space="preserve"> distributed in two different ways to further inform the nature, impact and extent of violence against women</w:t>
      </w:r>
      <w:r w:rsidR="009A0BAA" w:rsidRPr="009E2B03">
        <w:rPr>
          <w:rFonts w:ascii="Calibri Light" w:hAnsi="Calibri Light"/>
          <w:sz w:val="22"/>
        </w:rPr>
        <w:t xml:space="preserve"> in Australia</w:t>
      </w:r>
      <w:r w:rsidR="004175C0" w:rsidRPr="009E2B03">
        <w:rPr>
          <w:rFonts w:ascii="Calibri Light" w:hAnsi="Calibri Light"/>
          <w:sz w:val="22"/>
        </w:rPr>
        <w:t xml:space="preserve">, with: </w:t>
      </w:r>
    </w:p>
    <w:p w14:paraId="1ED659D8" w14:textId="77777777" w:rsidR="004175C0" w:rsidRPr="009E2B03" w:rsidRDefault="004175C0" w:rsidP="00900F41">
      <w:pPr>
        <w:pStyle w:val="BodyBullet"/>
        <w:rPr>
          <w:rFonts w:ascii="Calibri Light" w:hAnsi="Calibri Light" w:cs="Arial"/>
          <w:sz w:val="22"/>
        </w:rPr>
      </w:pPr>
      <w:r w:rsidRPr="009E2B03">
        <w:rPr>
          <w:rFonts w:ascii="Calibri Light" w:hAnsi="Calibri Light" w:cs="Arial"/>
          <w:sz w:val="22"/>
        </w:rPr>
        <w:t xml:space="preserve">the </w:t>
      </w:r>
      <w:r w:rsidR="00895A01" w:rsidRPr="009E2B03">
        <w:rPr>
          <w:rFonts w:ascii="Calibri Light" w:hAnsi="Calibri Light" w:cs="Arial"/>
          <w:sz w:val="22"/>
        </w:rPr>
        <w:t>distribut</w:t>
      </w:r>
      <w:r w:rsidRPr="009E2B03">
        <w:rPr>
          <w:rFonts w:ascii="Calibri Light" w:hAnsi="Calibri Light" w:cs="Arial"/>
          <w:sz w:val="22"/>
        </w:rPr>
        <w:t>ion</w:t>
      </w:r>
      <w:r w:rsidR="00895A01" w:rsidRPr="009E2B03">
        <w:rPr>
          <w:rFonts w:ascii="Calibri Light" w:hAnsi="Calibri Light" w:cs="Arial"/>
          <w:sz w:val="22"/>
        </w:rPr>
        <w:t xml:space="preserve"> </w:t>
      </w:r>
      <w:r w:rsidRPr="009E2B03">
        <w:rPr>
          <w:rFonts w:ascii="Calibri Light" w:hAnsi="Calibri Light" w:cs="Arial"/>
          <w:sz w:val="22"/>
        </w:rPr>
        <w:t xml:space="preserve">of costs </w:t>
      </w:r>
      <w:r w:rsidR="00895A01" w:rsidRPr="009E2B03">
        <w:rPr>
          <w:rFonts w:ascii="Calibri Light" w:hAnsi="Calibri Light" w:cs="Arial"/>
          <w:sz w:val="22"/>
        </w:rPr>
        <w:t xml:space="preserve">across the </w:t>
      </w:r>
      <w:r w:rsidR="00E53E5C" w:rsidRPr="009E2B03">
        <w:rPr>
          <w:rFonts w:ascii="Calibri Light" w:hAnsi="Calibri Light" w:cs="Arial"/>
          <w:sz w:val="22"/>
        </w:rPr>
        <w:t>s</w:t>
      </w:r>
      <w:r w:rsidR="00895A01" w:rsidRPr="009E2B03">
        <w:rPr>
          <w:rFonts w:ascii="Calibri Light" w:hAnsi="Calibri Light" w:cs="Arial"/>
          <w:sz w:val="22"/>
        </w:rPr>
        <w:t xml:space="preserve">tates and </w:t>
      </w:r>
      <w:r w:rsidR="00E53E5C" w:rsidRPr="009E2B03">
        <w:rPr>
          <w:rFonts w:ascii="Calibri Light" w:hAnsi="Calibri Light" w:cs="Arial"/>
          <w:sz w:val="22"/>
        </w:rPr>
        <w:t>t</w:t>
      </w:r>
      <w:r w:rsidR="00895A01" w:rsidRPr="009E2B03">
        <w:rPr>
          <w:rFonts w:ascii="Calibri Light" w:hAnsi="Calibri Light" w:cs="Arial"/>
          <w:sz w:val="22"/>
        </w:rPr>
        <w:t>erritories based on the prevalence rate</w:t>
      </w:r>
      <w:r w:rsidRPr="009E2B03">
        <w:rPr>
          <w:rFonts w:ascii="Calibri Light" w:hAnsi="Calibri Light" w:cs="Arial"/>
          <w:sz w:val="22"/>
        </w:rPr>
        <w:t xml:space="preserve"> of experiencing violence</w:t>
      </w:r>
      <w:r w:rsidR="00895A01" w:rsidRPr="009E2B03">
        <w:rPr>
          <w:rFonts w:ascii="Calibri Light" w:hAnsi="Calibri Light" w:cs="Arial"/>
          <w:sz w:val="22"/>
        </w:rPr>
        <w:t xml:space="preserve"> </w:t>
      </w:r>
      <w:r w:rsidRPr="009E2B03">
        <w:rPr>
          <w:rFonts w:ascii="Calibri Light" w:hAnsi="Calibri Light" w:cs="Arial"/>
          <w:sz w:val="22"/>
        </w:rPr>
        <w:t>for each jurisdiction</w:t>
      </w:r>
    </w:p>
    <w:p w14:paraId="2041831F" w14:textId="77777777" w:rsidR="00895A01" w:rsidRPr="009E2B03" w:rsidRDefault="004175C0" w:rsidP="00900F41">
      <w:pPr>
        <w:pStyle w:val="BodyBullet"/>
        <w:rPr>
          <w:rFonts w:ascii="Calibri Light" w:hAnsi="Calibri Light" w:cs="Arial"/>
          <w:sz w:val="22"/>
        </w:rPr>
      </w:pPr>
      <w:r w:rsidRPr="009E2B03">
        <w:rPr>
          <w:rFonts w:ascii="Calibri Light" w:hAnsi="Calibri Light" w:cs="Arial"/>
          <w:sz w:val="22"/>
        </w:rPr>
        <w:t>the distribution of costs across eight specific groups or cost bearers within society, namely:</w:t>
      </w:r>
    </w:p>
    <w:p w14:paraId="0C4FF2F6" w14:textId="77777777" w:rsidR="007F5DA9" w:rsidRPr="009E2B03" w:rsidRDefault="007F5DA9" w:rsidP="00900F41">
      <w:pPr>
        <w:pStyle w:val="ListBullet2"/>
        <w:tabs>
          <w:tab w:val="clear" w:pos="1664"/>
          <w:tab w:val="num" w:pos="738"/>
        </w:tabs>
        <w:spacing w:after="0"/>
        <w:ind w:left="738"/>
        <w:rPr>
          <w:rFonts w:ascii="Calibri Light" w:hAnsi="Calibri Light"/>
          <w:sz w:val="22"/>
        </w:rPr>
      </w:pPr>
      <w:r w:rsidRPr="009E2B03">
        <w:rPr>
          <w:rFonts w:ascii="Calibri Light" w:hAnsi="Calibri Light"/>
          <w:sz w:val="22"/>
        </w:rPr>
        <w:t>victims and survivors</w:t>
      </w:r>
    </w:p>
    <w:p w14:paraId="722891C5" w14:textId="77777777" w:rsidR="007F5DA9" w:rsidRPr="009E2B03" w:rsidRDefault="007F5DA9" w:rsidP="00900F41">
      <w:pPr>
        <w:pStyle w:val="ListBullet2"/>
        <w:tabs>
          <w:tab w:val="clear" w:pos="1664"/>
          <w:tab w:val="num" w:pos="738"/>
        </w:tabs>
        <w:spacing w:after="0"/>
        <w:ind w:left="738"/>
        <w:rPr>
          <w:rFonts w:ascii="Calibri Light" w:hAnsi="Calibri Light"/>
          <w:sz w:val="22"/>
        </w:rPr>
      </w:pPr>
      <w:r w:rsidRPr="009E2B03">
        <w:rPr>
          <w:rFonts w:ascii="Calibri Light" w:hAnsi="Calibri Light"/>
          <w:sz w:val="22"/>
        </w:rPr>
        <w:t>perpetrators</w:t>
      </w:r>
    </w:p>
    <w:p w14:paraId="196D1A92" w14:textId="77777777" w:rsidR="007F5DA9" w:rsidRPr="009E2B03" w:rsidRDefault="007F5DA9" w:rsidP="00900F41">
      <w:pPr>
        <w:pStyle w:val="ListBullet2"/>
        <w:tabs>
          <w:tab w:val="clear" w:pos="1664"/>
          <w:tab w:val="num" w:pos="738"/>
        </w:tabs>
        <w:spacing w:after="0"/>
        <w:ind w:left="738"/>
        <w:rPr>
          <w:rFonts w:ascii="Calibri Light" w:hAnsi="Calibri Light"/>
          <w:sz w:val="22"/>
        </w:rPr>
      </w:pPr>
      <w:r w:rsidRPr="009E2B03">
        <w:rPr>
          <w:rFonts w:ascii="Calibri Light" w:hAnsi="Calibri Light"/>
          <w:sz w:val="22"/>
        </w:rPr>
        <w:t>children</w:t>
      </w:r>
    </w:p>
    <w:p w14:paraId="09A10B04" w14:textId="77777777" w:rsidR="007F5DA9" w:rsidRPr="009E2B03" w:rsidRDefault="007F5DA9" w:rsidP="00900F41">
      <w:pPr>
        <w:pStyle w:val="ListBullet2"/>
        <w:tabs>
          <w:tab w:val="clear" w:pos="1664"/>
          <w:tab w:val="num" w:pos="738"/>
        </w:tabs>
        <w:spacing w:after="0"/>
        <w:ind w:left="738"/>
        <w:rPr>
          <w:rFonts w:ascii="Calibri Light" w:hAnsi="Calibri Light"/>
          <w:sz w:val="22"/>
        </w:rPr>
      </w:pPr>
      <w:r w:rsidRPr="009E2B03">
        <w:rPr>
          <w:rFonts w:ascii="Calibri Light" w:hAnsi="Calibri Light"/>
          <w:sz w:val="22"/>
        </w:rPr>
        <w:t>friends and family</w:t>
      </w:r>
    </w:p>
    <w:p w14:paraId="02303FDF" w14:textId="77777777" w:rsidR="007F5DA9" w:rsidRPr="009E2B03" w:rsidRDefault="007F5DA9" w:rsidP="00900F41">
      <w:pPr>
        <w:pStyle w:val="ListBullet2"/>
        <w:tabs>
          <w:tab w:val="clear" w:pos="1664"/>
          <w:tab w:val="num" w:pos="738"/>
        </w:tabs>
        <w:spacing w:after="0"/>
        <w:ind w:left="738"/>
        <w:rPr>
          <w:rFonts w:ascii="Calibri Light" w:hAnsi="Calibri Light"/>
          <w:sz w:val="22"/>
        </w:rPr>
      </w:pPr>
      <w:r w:rsidRPr="009E2B03">
        <w:rPr>
          <w:rFonts w:ascii="Calibri Light" w:hAnsi="Calibri Light"/>
          <w:sz w:val="22"/>
        </w:rPr>
        <w:t>employers</w:t>
      </w:r>
    </w:p>
    <w:p w14:paraId="100EEFF5" w14:textId="77777777" w:rsidR="007F5DA9" w:rsidRPr="009E2B03" w:rsidRDefault="009A0BAA" w:rsidP="00900F41">
      <w:pPr>
        <w:pStyle w:val="ListBullet2"/>
        <w:tabs>
          <w:tab w:val="clear" w:pos="1664"/>
          <w:tab w:val="num" w:pos="738"/>
        </w:tabs>
        <w:spacing w:after="0"/>
        <w:ind w:left="738"/>
        <w:rPr>
          <w:rFonts w:ascii="Calibri Light" w:hAnsi="Calibri Light"/>
          <w:sz w:val="22"/>
        </w:rPr>
      </w:pPr>
      <w:r w:rsidRPr="009E2B03">
        <w:rPr>
          <w:rFonts w:ascii="Calibri Light" w:hAnsi="Calibri Light"/>
          <w:sz w:val="22"/>
        </w:rPr>
        <w:t>Commonwealth</w:t>
      </w:r>
      <w:r w:rsidR="007F5DA9" w:rsidRPr="009E2B03">
        <w:rPr>
          <w:rFonts w:ascii="Calibri Light" w:hAnsi="Calibri Light"/>
          <w:sz w:val="22"/>
        </w:rPr>
        <w:t xml:space="preserve">, </w:t>
      </w:r>
      <w:r w:rsidR="00E53E5C" w:rsidRPr="009E2B03">
        <w:rPr>
          <w:rFonts w:ascii="Calibri Light" w:hAnsi="Calibri Light"/>
          <w:sz w:val="22"/>
        </w:rPr>
        <w:t>s</w:t>
      </w:r>
      <w:r w:rsidR="007F5DA9" w:rsidRPr="009E2B03">
        <w:rPr>
          <w:rFonts w:ascii="Calibri Light" w:hAnsi="Calibri Light"/>
          <w:sz w:val="22"/>
        </w:rPr>
        <w:t xml:space="preserve">tate or </w:t>
      </w:r>
      <w:r w:rsidR="00E53E5C" w:rsidRPr="009E2B03">
        <w:rPr>
          <w:rFonts w:ascii="Calibri Light" w:hAnsi="Calibri Light"/>
          <w:sz w:val="22"/>
        </w:rPr>
        <w:t>t</w:t>
      </w:r>
      <w:r w:rsidR="007F5DA9" w:rsidRPr="009E2B03">
        <w:rPr>
          <w:rFonts w:ascii="Calibri Light" w:hAnsi="Calibri Light"/>
          <w:sz w:val="22"/>
        </w:rPr>
        <w:t>erritory and local government</w:t>
      </w:r>
      <w:r w:rsidR="00E53E5C" w:rsidRPr="009E2B03">
        <w:rPr>
          <w:rFonts w:ascii="Calibri Light" w:hAnsi="Calibri Light"/>
          <w:sz w:val="22"/>
        </w:rPr>
        <w:t>s</w:t>
      </w:r>
    </w:p>
    <w:p w14:paraId="28184859" w14:textId="77777777" w:rsidR="007F5DA9" w:rsidRPr="009E2B03" w:rsidRDefault="007F5DA9" w:rsidP="00900F41">
      <w:pPr>
        <w:pStyle w:val="ListBullet2"/>
        <w:tabs>
          <w:tab w:val="clear" w:pos="1664"/>
          <w:tab w:val="num" w:pos="738"/>
        </w:tabs>
        <w:spacing w:after="0"/>
        <w:ind w:left="738"/>
        <w:rPr>
          <w:rFonts w:ascii="Calibri Light" w:hAnsi="Calibri Light"/>
          <w:sz w:val="22"/>
        </w:rPr>
      </w:pPr>
      <w:r w:rsidRPr="009E2B03">
        <w:rPr>
          <w:rFonts w:ascii="Calibri Light" w:hAnsi="Calibri Light"/>
          <w:sz w:val="22"/>
        </w:rPr>
        <w:t xml:space="preserve">the rest of community and society.  </w:t>
      </w:r>
    </w:p>
    <w:p w14:paraId="469C4D9B" w14:textId="77777777" w:rsidR="007F5DA9" w:rsidRPr="009E2B03" w:rsidRDefault="007F5DA9" w:rsidP="007F5DA9">
      <w:pPr>
        <w:pStyle w:val="BodyText"/>
        <w:rPr>
          <w:rFonts w:ascii="Calibri Light" w:hAnsi="Calibri Light"/>
          <w:sz w:val="22"/>
        </w:rPr>
      </w:pPr>
      <w:r w:rsidRPr="009E2B03">
        <w:rPr>
          <w:rFonts w:ascii="Calibri Light" w:hAnsi="Calibri Light"/>
          <w:sz w:val="22"/>
        </w:rPr>
        <w:t>For the purpose of maintaining comparability of results, the approach adopted for this Report is consistent with earlier studies (described in</w:t>
      </w:r>
      <w:r w:rsidR="009A0BAA" w:rsidRPr="009E2B03">
        <w:rPr>
          <w:rFonts w:ascii="Calibri Light" w:hAnsi="Calibri Light"/>
          <w:sz w:val="22"/>
        </w:rPr>
        <w:t xml:space="preserve"> </w:t>
      </w:r>
      <w:r w:rsidR="009A0BAA" w:rsidRPr="009E2B03">
        <w:rPr>
          <w:rFonts w:ascii="Calibri Light" w:hAnsi="Calibri Light"/>
          <w:sz w:val="22"/>
        </w:rPr>
        <w:fldChar w:fldCharType="begin"/>
      </w:r>
      <w:r w:rsidR="009A0BAA" w:rsidRPr="009E2B03">
        <w:rPr>
          <w:rFonts w:ascii="Calibri Light" w:hAnsi="Calibri Light"/>
          <w:sz w:val="22"/>
        </w:rPr>
        <w:instrText xml:space="preserve"> REF _Ref447222504 \h  \* MERGEFORMAT </w:instrText>
      </w:r>
      <w:r w:rsidR="009A0BAA" w:rsidRPr="009E2B03">
        <w:rPr>
          <w:rFonts w:ascii="Calibri Light" w:hAnsi="Calibri Light"/>
          <w:sz w:val="22"/>
        </w:rPr>
      </w:r>
      <w:r w:rsidR="009A0BAA" w:rsidRPr="009E2B03">
        <w:rPr>
          <w:rFonts w:ascii="Calibri Light" w:hAnsi="Calibri Light"/>
          <w:sz w:val="22"/>
        </w:rPr>
        <w:fldChar w:fldCharType="separate"/>
      </w:r>
      <w:r w:rsidR="00417237" w:rsidRPr="00417237">
        <w:rPr>
          <w:rFonts w:ascii="Calibri Light" w:hAnsi="Calibri Light"/>
          <w:sz w:val="22"/>
        </w:rPr>
        <w:t xml:space="preserve">Table </w:t>
      </w:r>
      <w:r w:rsidR="00417237" w:rsidRPr="00417237">
        <w:rPr>
          <w:rFonts w:ascii="Calibri Light" w:hAnsi="Calibri Light"/>
          <w:noProof/>
          <w:sz w:val="22"/>
        </w:rPr>
        <w:t>2</w:t>
      </w:r>
      <w:r w:rsidR="00417237" w:rsidRPr="00417237">
        <w:rPr>
          <w:rFonts w:ascii="Calibri Light" w:hAnsi="Calibri Light"/>
          <w:noProof/>
          <w:sz w:val="22"/>
        </w:rPr>
        <w:noBreakHyphen/>
        <w:t>1</w:t>
      </w:r>
      <w:r w:rsidR="009A0BAA" w:rsidRPr="009E2B03">
        <w:rPr>
          <w:rFonts w:ascii="Calibri Light" w:hAnsi="Calibri Light"/>
          <w:sz w:val="22"/>
        </w:rPr>
        <w:fldChar w:fldCharType="end"/>
      </w:r>
      <w:r w:rsidRPr="009E2B03">
        <w:rPr>
          <w:rFonts w:ascii="Calibri Light" w:hAnsi="Calibri Light"/>
          <w:sz w:val="22"/>
        </w:rPr>
        <w:t xml:space="preserve">). However, where possible and appropriate, additional data, information and updates to core assumptions have been incorporated to supplement the existing methodology. The consistency with earlier costing approaches will provide government and other policy makers with greater ability to compare the estimated prevalence and cost of violence against women over time. </w:t>
      </w:r>
    </w:p>
    <w:p w14:paraId="755A13E3" w14:textId="77777777" w:rsidR="007F5DA9" w:rsidRPr="009E2B03" w:rsidRDefault="004175C0" w:rsidP="007F5DA9">
      <w:pPr>
        <w:tabs>
          <w:tab w:val="left" w:pos="3991"/>
        </w:tabs>
        <w:rPr>
          <w:rFonts w:ascii="Calibri Light" w:hAnsi="Calibri Light"/>
          <w:sz w:val="22"/>
        </w:rPr>
      </w:pPr>
      <w:r w:rsidRPr="009E2B03">
        <w:rPr>
          <w:rFonts w:ascii="Calibri Light" w:hAnsi="Calibri Light"/>
          <w:sz w:val="22"/>
        </w:rPr>
        <w:t>It is also important to note that for specific</w:t>
      </w:r>
      <w:r w:rsidR="007F5DA9" w:rsidRPr="009E2B03">
        <w:rPr>
          <w:rFonts w:ascii="Calibri Light" w:hAnsi="Calibri Light"/>
          <w:sz w:val="22"/>
        </w:rPr>
        <w:t xml:space="preserve"> cohorts where there is evidence of a higher prevalence or risk of experiencing violence, detailed analysis into the experience of violence and the complex interdependencies between contributing risk factors</w:t>
      </w:r>
      <w:r w:rsidRPr="009E2B03">
        <w:rPr>
          <w:rFonts w:ascii="Calibri Light" w:hAnsi="Calibri Light"/>
          <w:sz w:val="22"/>
        </w:rPr>
        <w:t xml:space="preserve"> has been provided in Section</w:t>
      </w:r>
      <w:r w:rsidR="000948D6" w:rsidRPr="009E2B03">
        <w:rPr>
          <w:rFonts w:ascii="Calibri Light" w:hAnsi="Calibri Light"/>
          <w:sz w:val="22"/>
        </w:rPr>
        <w:t xml:space="preserve"> </w:t>
      </w:r>
      <w:r w:rsidR="000948D6" w:rsidRPr="009E2B03">
        <w:rPr>
          <w:rFonts w:ascii="Calibri Light" w:hAnsi="Calibri Light"/>
          <w:sz w:val="22"/>
        </w:rPr>
        <w:fldChar w:fldCharType="begin"/>
      </w:r>
      <w:r w:rsidR="000948D6" w:rsidRPr="009E2B03">
        <w:rPr>
          <w:rFonts w:ascii="Calibri Light" w:hAnsi="Calibri Light"/>
          <w:sz w:val="22"/>
        </w:rPr>
        <w:instrText xml:space="preserve"> REF _Ref447122682 \r \h </w:instrText>
      </w:r>
      <w:r w:rsidR="009B0258" w:rsidRPr="009E2B03">
        <w:rPr>
          <w:rFonts w:ascii="Calibri Light" w:hAnsi="Calibri Light"/>
          <w:sz w:val="22"/>
        </w:rPr>
        <w:instrText xml:space="preserve"> \* MERGEFORMAT </w:instrText>
      </w:r>
      <w:r w:rsidR="000948D6" w:rsidRPr="009E2B03">
        <w:rPr>
          <w:rFonts w:ascii="Calibri Light" w:hAnsi="Calibri Light"/>
          <w:sz w:val="22"/>
        </w:rPr>
      </w:r>
      <w:r w:rsidR="000948D6" w:rsidRPr="009E2B03">
        <w:rPr>
          <w:rFonts w:ascii="Calibri Light" w:hAnsi="Calibri Light"/>
          <w:sz w:val="22"/>
        </w:rPr>
        <w:fldChar w:fldCharType="separate"/>
      </w:r>
      <w:r w:rsidR="00417237">
        <w:rPr>
          <w:rFonts w:ascii="Calibri Light" w:hAnsi="Calibri Light"/>
          <w:sz w:val="22"/>
        </w:rPr>
        <w:t>4</w:t>
      </w:r>
      <w:r w:rsidR="000948D6" w:rsidRPr="009E2B03">
        <w:rPr>
          <w:rFonts w:ascii="Calibri Light" w:hAnsi="Calibri Light"/>
          <w:sz w:val="22"/>
        </w:rPr>
        <w:fldChar w:fldCharType="end"/>
      </w:r>
      <w:r w:rsidRPr="009E2B03">
        <w:rPr>
          <w:rFonts w:ascii="Calibri Light" w:hAnsi="Calibri Light"/>
          <w:sz w:val="22"/>
        </w:rPr>
        <w:t xml:space="preserve">. </w:t>
      </w:r>
      <w:r w:rsidR="007F5DA9" w:rsidRPr="009E2B03">
        <w:rPr>
          <w:rFonts w:ascii="Calibri Light" w:hAnsi="Calibri Light"/>
          <w:sz w:val="22"/>
        </w:rPr>
        <w:t xml:space="preserve">Given </w:t>
      </w:r>
      <w:r w:rsidR="00E53E5C" w:rsidRPr="009E2B03">
        <w:rPr>
          <w:rFonts w:ascii="Calibri Light" w:hAnsi="Calibri Light"/>
          <w:sz w:val="22"/>
        </w:rPr>
        <w:t>the</w:t>
      </w:r>
      <w:r w:rsidR="007F5DA9" w:rsidRPr="009E2B03">
        <w:rPr>
          <w:rFonts w:ascii="Calibri Light" w:hAnsi="Calibri Light"/>
          <w:sz w:val="22"/>
        </w:rPr>
        <w:t xml:space="preserve"> challenges around the availability and comparability of data for these cohorts, </w:t>
      </w:r>
      <w:r w:rsidRPr="009E2B03">
        <w:rPr>
          <w:rFonts w:ascii="Calibri Light" w:hAnsi="Calibri Light"/>
          <w:sz w:val="22"/>
        </w:rPr>
        <w:t>however, the</w:t>
      </w:r>
      <w:r w:rsidR="00E53E5C" w:rsidRPr="009E2B03">
        <w:rPr>
          <w:rFonts w:ascii="Calibri Light" w:hAnsi="Calibri Light"/>
          <w:sz w:val="22"/>
        </w:rPr>
        <w:t xml:space="preserve"> relevant</w:t>
      </w:r>
      <w:r w:rsidRPr="009E2B03">
        <w:rPr>
          <w:rFonts w:ascii="Calibri Light" w:hAnsi="Calibri Light"/>
          <w:sz w:val="22"/>
        </w:rPr>
        <w:t xml:space="preserve"> </w:t>
      </w:r>
      <w:r w:rsidR="007F5DA9" w:rsidRPr="009E2B03">
        <w:rPr>
          <w:rFonts w:ascii="Calibri Light" w:hAnsi="Calibri Light"/>
          <w:sz w:val="22"/>
        </w:rPr>
        <w:t>cost estimates developed are not part of the central costing estimates in Section</w:t>
      </w:r>
      <w:r w:rsidR="000948D6" w:rsidRPr="009E2B03">
        <w:rPr>
          <w:rFonts w:ascii="Calibri Light" w:hAnsi="Calibri Light"/>
          <w:sz w:val="22"/>
        </w:rPr>
        <w:t xml:space="preserve"> </w:t>
      </w:r>
      <w:r w:rsidR="000948D6" w:rsidRPr="009E2B03">
        <w:rPr>
          <w:rFonts w:ascii="Calibri Light" w:hAnsi="Calibri Light"/>
          <w:sz w:val="22"/>
        </w:rPr>
        <w:fldChar w:fldCharType="begin"/>
      </w:r>
      <w:r w:rsidR="000948D6" w:rsidRPr="009E2B03">
        <w:rPr>
          <w:rFonts w:ascii="Calibri Light" w:hAnsi="Calibri Light"/>
          <w:sz w:val="22"/>
        </w:rPr>
        <w:instrText xml:space="preserve"> REF _Ref447370455 \r \h </w:instrText>
      </w:r>
      <w:r w:rsidR="009B0258" w:rsidRPr="009E2B03">
        <w:rPr>
          <w:rFonts w:ascii="Calibri Light" w:hAnsi="Calibri Light"/>
          <w:sz w:val="22"/>
        </w:rPr>
        <w:instrText xml:space="preserve"> \* MERGEFORMAT </w:instrText>
      </w:r>
      <w:r w:rsidR="000948D6" w:rsidRPr="009E2B03">
        <w:rPr>
          <w:rFonts w:ascii="Calibri Light" w:hAnsi="Calibri Light"/>
          <w:sz w:val="22"/>
        </w:rPr>
      </w:r>
      <w:r w:rsidR="000948D6" w:rsidRPr="009E2B03">
        <w:rPr>
          <w:rFonts w:ascii="Calibri Light" w:hAnsi="Calibri Light"/>
          <w:sz w:val="22"/>
        </w:rPr>
        <w:fldChar w:fldCharType="separate"/>
      </w:r>
      <w:r w:rsidR="00417237">
        <w:rPr>
          <w:rFonts w:ascii="Calibri Light" w:hAnsi="Calibri Light"/>
          <w:sz w:val="22"/>
        </w:rPr>
        <w:t>3</w:t>
      </w:r>
      <w:r w:rsidR="000948D6" w:rsidRPr="009E2B03">
        <w:rPr>
          <w:rFonts w:ascii="Calibri Light" w:hAnsi="Calibri Light"/>
          <w:sz w:val="22"/>
        </w:rPr>
        <w:fldChar w:fldCharType="end"/>
      </w:r>
      <w:r w:rsidR="007F5DA9" w:rsidRPr="009E2B03">
        <w:rPr>
          <w:rFonts w:ascii="Calibri Light" w:hAnsi="Calibri Light"/>
          <w:sz w:val="22"/>
        </w:rPr>
        <w:t xml:space="preserve">.  </w:t>
      </w:r>
    </w:p>
    <w:p w14:paraId="1BB9F0D7" w14:textId="77777777" w:rsidR="007F5DA9" w:rsidRPr="009E2B03" w:rsidRDefault="007F5DA9" w:rsidP="00E127F4">
      <w:pPr>
        <w:pStyle w:val="Heading2"/>
        <w:numPr>
          <w:ilvl w:val="1"/>
          <w:numId w:val="19"/>
        </w:numPr>
        <w:rPr>
          <w:rFonts w:ascii="Calibri Light" w:hAnsi="Calibri Light"/>
          <w:color w:val="6D2077"/>
          <w:sz w:val="36"/>
        </w:rPr>
      </w:pPr>
      <w:bookmarkStart w:id="57" w:name="_Toc449553516"/>
      <w:r w:rsidRPr="009E2B03">
        <w:rPr>
          <w:rFonts w:ascii="Calibri Light" w:hAnsi="Calibri Light"/>
          <w:color w:val="6D2077"/>
          <w:sz w:val="36"/>
        </w:rPr>
        <w:t>Limitations and key considerations</w:t>
      </w:r>
      <w:bookmarkEnd w:id="57"/>
    </w:p>
    <w:p w14:paraId="475927DF" w14:textId="77777777" w:rsidR="007F5DA9" w:rsidRPr="009E2B03" w:rsidRDefault="007F5DA9" w:rsidP="007F5DA9">
      <w:pPr>
        <w:pStyle w:val="BodyText"/>
        <w:rPr>
          <w:rFonts w:ascii="Calibri Light" w:hAnsi="Calibri Light"/>
          <w:sz w:val="22"/>
        </w:rPr>
      </w:pPr>
      <w:r w:rsidRPr="009E2B03">
        <w:rPr>
          <w:rFonts w:ascii="Calibri Light" w:hAnsi="Calibri Light"/>
          <w:sz w:val="22"/>
        </w:rPr>
        <w:t>In undertaking the analysis, it is important to acknowledge the limitations inherent in the underlying data and information, and the associated impact on the interpretation and use of the results. Through the development of the background research and</w:t>
      </w:r>
      <w:r w:rsidR="000948D6" w:rsidRPr="009E2B03">
        <w:rPr>
          <w:rFonts w:ascii="Calibri Light" w:hAnsi="Calibri Light"/>
          <w:sz w:val="22"/>
        </w:rPr>
        <w:t xml:space="preserve"> </w:t>
      </w:r>
      <w:r w:rsidR="003C63C5" w:rsidRPr="009E2B03">
        <w:rPr>
          <w:rFonts w:ascii="Calibri Light" w:hAnsi="Calibri Light"/>
          <w:sz w:val="22"/>
        </w:rPr>
        <w:t xml:space="preserve">by </w:t>
      </w:r>
      <w:r w:rsidR="000948D6" w:rsidRPr="009E2B03">
        <w:rPr>
          <w:rFonts w:ascii="Calibri Light" w:hAnsi="Calibri Light"/>
          <w:sz w:val="22"/>
        </w:rPr>
        <w:t>undertaking stakeholder</w:t>
      </w:r>
      <w:r w:rsidRPr="009E2B03">
        <w:rPr>
          <w:rFonts w:ascii="Calibri Light" w:hAnsi="Calibri Light"/>
          <w:sz w:val="22"/>
        </w:rPr>
        <w:t xml:space="preserve"> consultations for this </w:t>
      </w:r>
      <w:r w:rsidR="000948D6" w:rsidRPr="009E2B03">
        <w:rPr>
          <w:rFonts w:ascii="Calibri Light" w:hAnsi="Calibri Light"/>
          <w:sz w:val="22"/>
        </w:rPr>
        <w:t>R</w:t>
      </w:r>
      <w:r w:rsidRPr="009E2B03">
        <w:rPr>
          <w:rFonts w:ascii="Calibri Light" w:hAnsi="Calibri Light"/>
          <w:sz w:val="22"/>
        </w:rPr>
        <w:t xml:space="preserve">eport, KPMG has developed a detailed understanding of the limitations, and our approach to, and presentation of, the analysis has been tailored accordingly. </w:t>
      </w:r>
    </w:p>
    <w:p w14:paraId="425B5F97" w14:textId="77777777" w:rsidR="007F5DA9" w:rsidRPr="009E2B03" w:rsidRDefault="007F5DA9" w:rsidP="007F5DA9">
      <w:pPr>
        <w:pStyle w:val="BodyText"/>
        <w:rPr>
          <w:rFonts w:ascii="Calibri Light" w:hAnsi="Calibri Light"/>
          <w:sz w:val="22"/>
        </w:rPr>
      </w:pPr>
      <w:r w:rsidRPr="009E2B03">
        <w:rPr>
          <w:rFonts w:ascii="Calibri Light" w:hAnsi="Calibri Light"/>
          <w:sz w:val="22"/>
        </w:rPr>
        <w:t xml:space="preserve">The following sub sections outline the various limitations </w:t>
      </w:r>
      <w:r w:rsidR="000948D6" w:rsidRPr="009E2B03">
        <w:rPr>
          <w:rFonts w:ascii="Calibri Light" w:hAnsi="Calibri Light"/>
          <w:sz w:val="22"/>
        </w:rPr>
        <w:t xml:space="preserve">of the approach </w:t>
      </w:r>
      <w:r w:rsidRPr="009E2B03">
        <w:rPr>
          <w:rFonts w:ascii="Calibri Light" w:hAnsi="Calibri Light"/>
          <w:sz w:val="22"/>
        </w:rPr>
        <w:t xml:space="preserve">and key considerations. </w:t>
      </w:r>
    </w:p>
    <w:p w14:paraId="466F0BEE" w14:textId="77777777" w:rsidR="007F5DA9" w:rsidRPr="009E2B03" w:rsidRDefault="007F5DA9" w:rsidP="00E127F4">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lastRenderedPageBreak/>
        <w:t>Scope and scale of the PSS</w:t>
      </w:r>
    </w:p>
    <w:p w14:paraId="2D298EC4" w14:textId="77777777" w:rsidR="007F5DA9" w:rsidRPr="009E2B03" w:rsidRDefault="007F5DA9" w:rsidP="007F5DA9">
      <w:pPr>
        <w:pStyle w:val="BodyText"/>
        <w:rPr>
          <w:rFonts w:ascii="Calibri Light" w:hAnsi="Calibri Light"/>
          <w:sz w:val="22"/>
        </w:rPr>
      </w:pPr>
      <w:r w:rsidRPr="009E2B03">
        <w:rPr>
          <w:rFonts w:ascii="Calibri Light" w:hAnsi="Calibri Light"/>
          <w:sz w:val="22"/>
        </w:rPr>
        <w:t xml:space="preserve">The PSS data on the prevalence of violence has a number of limitations that need to be taken into consideration in terms of its coverage, scope, and scale. As part of the development of the methodology for this study, the various strengths and limitations have been considered and tested through consultations with the ABS and broader stakeholders. </w:t>
      </w:r>
    </w:p>
    <w:p w14:paraId="2E56BEDC" w14:textId="77777777" w:rsidR="007F5DA9" w:rsidRPr="009E2B03" w:rsidRDefault="007F5DA9" w:rsidP="007F5DA9">
      <w:pPr>
        <w:pStyle w:val="Heading4"/>
        <w:numPr>
          <w:ilvl w:val="3"/>
          <w:numId w:val="5"/>
        </w:numPr>
        <w:rPr>
          <w:rFonts w:ascii="Calibri Light" w:eastAsia="Times New Roman" w:hAnsi="Calibri Light"/>
          <w:color w:val="6D2077"/>
          <w:sz w:val="22"/>
          <w:szCs w:val="24"/>
          <w:lang w:eastAsia="en-AU"/>
        </w:rPr>
      </w:pPr>
      <w:r w:rsidRPr="009E2B03">
        <w:rPr>
          <w:rFonts w:ascii="Calibri Light" w:eastAsia="Times New Roman" w:hAnsi="Calibri Light"/>
          <w:color w:val="6D2077"/>
          <w:sz w:val="22"/>
          <w:szCs w:val="24"/>
          <w:lang w:eastAsia="en-AU"/>
        </w:rPr>
        <w:t>Representation of cohorts</w:t>
      </w:r>
    </w:p>
    <w:p w14:paraId="50E4C69A" w14:textId="77777777" w:rsidR="007F5DA9" w:rsidRPr="009E2B03" w:rsidRDefault="007F5DA9" w:rsidP="007F5DA9">
      <w:pPr>
        <w:pStyle w:val="BodyTextkeepwithnext0"/>
        <w:rPr>
          <w:rFonts w:ascii="Calibri Light" w:hAnsi="Calibri Light"/>
          <w:b/>
          <w:sz w:val="22"/>
        </w:rPr>
      </w:pPr>
      <w:r w:rsidRPr="009E2B03">
        <w:rPr>
          <w:rFonts w:ascii="Calibri Light" w:hAnsi="Calibri Light"/>
          <w:sz w:val="22"/>
        </w:rPr>
        <w:t xml:space="preserve">There are limitations in the representation of different cohorts within the PSS estimates, as outlined below. Importantly, broader evidence and research demonstrates that both incidence and prevalence can vary significantly across different cohorts, including age, </w:t>
      </w:r>
      <w:r w:rsidR="0097728E" w:rsidRPr="009E2B03">
        <w:rPr>
          <w:rFonts w:ascii="Calibri Light" w:hAnsi="Calibri Light"/>
          <w:sz w:val="22"/>
        </w:rPr>
        <w:t>Aboriginal and Torres Strait Islander</w:t>
      </w:r>
      <w:r w:rsidRPr="009E2B03">
        <w:rPr>
          <w:rFonts w:ascii="Calibri Light" w:hAnsi="Calibri Light"/>
          <w:sz w:val="22"/>
        </w:rPr>
        <w:t xml:space="preserve"> status, CALD status, and geography, and these are not necessarily fully reflected within the PSS estimates. </w:t>
      </w:r>
    </w:p>
    <w:p w14:paraId="73A3E320"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b/>
          <w:color w:val="6D2077"/>
          <w:sz w:val="22"/>
        </w:rPr>
        <w:t>A</w:t>
      </w:r>
      <w:r w:rsidR="0097728E" w:rsidRPr="009E2B03">
        <w:rPr>
          <w:rFonts w:ascii="Calibri Light" w:hAnsi="Calibri Light" w:cs="Arial"/>
          <w:b/>
          <w:color w:val="6D2077"/>
          <w:sz w:val="22"/>
        </w:rPr>
        <w:t>boriginal and Torres Strait Islander</w:t>
      </w:r>
      <w:r w:rsidRPr="009E2B03">
        <w:rPr>
          <w:rFonts w:ascii="Calibri Light" w:hAnsi="Calibri Light" w:cs="Arial"/>
          <w:b/>
          <w:color w:val="6D2077"/>
          <w:sz w:val="22"/>
        </w:rPr>
        <w:t xml:space="preserve"> women</w:t>
      </w:r>
      <w:r w:rsidRPr="009E2B03">
        <w:rPr>
          <w:rFonts w:ascii="Calibri Light" w:hAnsi="Calibri Light" w:cs="Arial"/>
          <w:sz w:val="22"/>
        </w:rPr>
        <w:t xml:space="preserve"> – there are limitations relating to the representation of this cohort within the PSS as the sampling and reach of the survey does not include a large enough </w:t>
      </w:r>
      <w:r w:rsidR="0097728E" w:rsidRPr="009E2B03">
        <w:rPr>
          <w:rFonts w:ascii="Calibri Light" w:hAnsi="Calibri Light" w:cs="Arial"/>
          <w:sz w:val="22"/>
        </w:rPr>
        <w:t>sample size to</w:t>
      </w:r>
      <w:r w:rsidRPr="009E2B03">
        <w:rPr>
          <w:rFonts w:ascii="Calibri Light" w:hAnsi="Calibri Light" w:cs="Arial"/>
          <w:sz w:val="22"/>
        </w:rPr>
        <w:t xml:space="preserve"> establish prevalence estimates</w:t>
      </w:r>
      <w:r w:rsidR="0097728E" w:rsidRPr="009E2B03">
        <w:rPr>
          <w:rFonts w:ascii="Calibri Light" w:hAnsi="Calibri Light" w:cs="Arial"/>
          <w:sz w:val="22"/>
        </w:rPr>
        <w:t>.</w:t>
      </w:r>
      <w:r w:rsidR="009577CD" w:rsidRPr="009E2B03">
        <w:rPr>
          <w:rFonts w:ascii="Calibri Light" w:hAnsi="Calibri Light" w:cs="Arial"/>
          <w:sz w:val="22"/>
        </w:rPr>
        <w:t xml:space="preserve"> </w:t>
      </w:r>
    </w:p>
    <w:p w14:paraId="714D3304" w14:textId="77777777" w:rsidR="007F5DA9" w:rsidRPr="009E2B03" w:rsidRDefault="0097728E" w:rsidP="007F5DA9">
      <w:pPr>
        <w:pStyle w:val="BodyBullet"/>
        <w:rPr>
          <w:rFonts w:ascii="Calibri Light" w:hAnsi="Calibri Light" w:cs="Arial"/>
          <w:sz w:val="22"/>
        </w:rPr>
      </w:pPr>
      <w:r w:rsidRPr="009E2B03">
        <w:rPr>
          <w:rFonts w:ascii="Calibri Light" w:hAnsi="Calibri Light" w:cs="Arial"/>
          <w:b/>
          <w:color w:val="6D2077"/>
          <w:sz w:val="22"/>
        </w:rPr>
        <w:t>Women from a CALD background</w:t>
      </w:r>
      <w:r w:rsidR="007F5DA9" w:rsidRPr="009E2B03">
        <w:rPr>
          <w:rFonts w:ascii="Calibri Light" w:hAnsi="Calibri Light" w:cs="Arial"/>
          <w:i/>
          <w:sz w:val="22"/>
        </w:rPr>
        <w:t xml:space="preserve"> </w:t>
      </w:r>
      <w:r w:rsidR="007F5DA9" w:rsidRPr="009E2B03">
        <w:rPr>
          <w:rFonts w:ascii="Calibri Light" w:hAnsi="Calibri Light" w:cs="Arial"/>
          <w:sz w:val="22"/>
        </w:rPr>
        <w:t>– there are limitations relating to the sample size of this cohort within the broader survey to extrapolate data for Australia wide estimates</w:t>
      </w:r>
      <w:r w:rsidR="00F94884" w:rsidRPr="009E2B03">
        <w:rPr>
          <w:rFonts w:ascii="Calibri Light" w:hAnsi="Calibri Light" w:cs="Arial"/>
          <w:sz w:val="22"/>
        </w:rPr>
        <w:t xml:space="preserve">. </w:t>
      </w:r>
      <w:r w:rsidR="009577CD" w:rsidRPr="009E2B03">
        <w:rPr>
          <w:rFonts w:ascii="Calibri Light" w:hAnsi="Calibri Light" w:cs="Arial"/>
          <w:sz w:val="22"/>
        </w:rPr>
        <w:t>While</w:t>
      </w:r>
      <w:r w:rsidR="00F94884" w:rsidRPr="009E2B03">
        <w:rPr>
          <w:rFonts w:ascii="Calibri Light" w:hAnsi="Calibri Light" w:cs="Arial"/>
          <w:sz w:val="22"/>
        </w:rPr>
        <w:t xml:space="preserve"> data is available</w:t>
      </w:r>
      <w:r w:rsidR="007F5DA9" w:rsidRPr="009E2B03">
        <w:rPr>
          <w:rFonts w:ascii="Calibri Light" w:hAnsi="Calibri Light" w:cs="Arial"/>
          <w:sz w:val="22"/>
        </w:rPr>
        <w:t xml:space="preserve"> on country of origin among women who experienced violence, and the primary language spoken at home</w:t>
      </w:r>
      <w:r w:rsidR="009577CD" w:rsidRPr="009E2B03">
        <w:rPr>
          <w:rFonts w:ascii="Calibri Light" w:hAnsi="Calibri Light" w:cs="Arial"/>
          <w:sz w:val="22"/>
        </w:rPr>
        <w:t>, i</w:t>
      </w:r>
      <w:r w:rsidR="00D91D27" w:rsidRPr="009E2B03">
        <w:rPr>
          <w:rFonts w:ascii="Calibri Light" w:hAnsi="Calibri Light" w:cs="Arial"/>
          <w:sz w:val="22"/>
        </w:rPr>
        <w:t>t should be furt</w:t>
      </w:r>
      <w:r w:rsidR="009577CD" w:rsidRPr="009E2B03">
        <w:rPr>
          <w:rFonts w:ascii="Calibri Light" w:hAnsi="Calibri Light" w:cs="Arial"/>
          <w:sz w:val="22"/>
        </w:rPr>
        <w:t>her noted that CALD is a broad category of reference. More detailed data is required on subsets of women from different countries of origin to establish unique trends and the levels of violence within different communities.</w:t>
      </w:r>
    </w:p>
    <w:p w14:paraId="39AB0BFA"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b/>
          <w:color w:val="6D2077"/>
          <w:sz w:val="22"/>
        </w:rPr>
        <w:t>Women experiencing homelessness as a result of violence</w:t>
      </w:r>
      <w:r w:rsidRPr="009E2B03">
        <w:rPr>
          <w:rFonts w:ascii="Calibri Light" w:hAnsi="Calibri Light" w:cs="Arial"/>
          <w:b/>
          <w:sz w:val="22"/>
        </w:rPr>
        <w:t xml:space="preserve"> </w:t>
      </w:r>
      <w:r w:rsidRPr="009E2B03">
        <w:rPr>
          <w:rFonts w:ascii="Calibri Light" w:hAnsi="Calibri Light" w:cs="Arial"/>
          <w:sz w:val="22"/>
        </w:rPr>
        <w:t>– the survey captures the experience of homelessness based o</w:t>
      </w:r>
      <w:r w:rsidR="00F94884" w:rsidRPr="009E2B03">
        <w:rPr>
          <w:rFonts w:ascii="Calibri Light" w:hAnsi="Calibri Light" w:cs="Arial"/>
          <w:sz w:val="22"/>
        </w:rPr>
        <w:t>n</w:t>
      </w:r>
      <w:r w:rsidRPr="009E2B03">
        <w:rPr>
          <w:rFonts w:ascii="Calibri Light" w:hAnsi="Calibri Light" w:cs="Arial"/>
          <w:sz w:val="22"/>
        </w:rPr>
        <w:t xml:space="preserve"> previous partner violence, and therefore, it is possible to extrapolate this figure to the present population. However, due to the absence of data for women residing in refuges and women’s homeless shelters during the period the survey was conducted, this cohort is excluded from the estimates</w:t>
      </w:r>
      <w:r w:rsidR="0097728E" w:rsidRPr="009E2B03">
        <w:rPr>
          <w:rFonts w:ascii="Calibri Light" w:hAnsi="Calibri Light" w:cs="Arial"/>
          <w:sz w:val="22"/>
        </w:rPr>
        <w:t>.</w:t>
      </w:r>
    </w:p>
    <w:p w14:paraId="71F74278" w14:textId="77777777" w:rsidR="007F5DA9" w:rsidRPr="009E2B03" w:rsidRDefault="007F5DA9" w:rsidP="007F5DA9">
      <w:pPr>
        <w:pStyle w:val="BodyBullet"/>
        <w:rPr>
          <w:rFonts w:ascii="Calibri Light" w:hAnsi="Calibri Light" w:cs="Arial"/>
          <w:sz w:val="22"/>
        </w:rPr>
      </w:pPr>
      <w:r w:rsidRPr="009E2B03">
        <w:rPr>
          <w:rFonts w:ascii="Calibri Light" w:hAnsi="Calibri Light" w:cs="Arial"/>
          <w:b/>
          <w:color w:val="6D2077"/>
          <w:sz w:val="22"/>
        </w:rPr>
        <w:t xml:space="preserve">Women with </w:t>
      </w:r>
      <w:r w:rsidR="0097728E" w:rsidRPr="009E2B03">
        <w:rPr>
          <w:rFonts w:ascii="Calibri Light" w:hAnsi="Calibri Light" w:cs="Arial"/>
          <w:b/>
          <w:color w:val="6D2077"/>
          <w:sz w:val="22"/>
        </w:rPr>
        <w:t xml:space="preserve">a </w:t>
      </w:r>
      <w:r w:rsidRPr="009E2B03">
        <w:rPr>
          <w:rFonts w:ascii="Calibri Light" w:hAnsi="Calibri Light" w:cs="Arial"/>
          <w:b/>
          <w:color w:val="6D2077"/>
          <w:sz w:val="22"/>
        </w:rPr>
        <w:t>disability</w:t>
      </w:r>
      <w:r w:rsidRPr="009E2B03">
        <w:rPr>
          <w:rFonts w:ascii="Calibri Light" w:hAnsi="Calibri Light" w:cs="Arial"/>
          <w:sz w:val="22"/>
        </w:rPr>
        <w:t xml:space="preserve"> – within the survey, there is a demographic stratification relating to the presence of a disability or a long term health condition, however there are limitations in collecting data from women with disability due to potential communication barriers and the need for carer involvement in completing the survey. Due to the sensitive nature of the survey, the PSS does not allow for intermediaries, which places likely limitations on the inclusion of women with disability in the survey, and suggests that there may be an underrepresentation of women within this cohort in the data that is collected</w:t>
      </w:r>
      <w:r w:rsidR="0097728E" w:rsidRPr="009E2B03">
        <w:rPr>
          <w:rFonts w:ascii="Calibri Light" w:hAnsi="Calibri Light" w:cs="Arial"/>
          <w:sz w:val="22"/>
        </w:rPr>
        <w:t>.</w:t>
      </w:r>
    </w:p>
    <w:p w14:paraId="35BDEED4" w14:textId="77777777" w:rsidR="007F5DA9" w:rsidRPr="009E2B03" w:rsidRDefault="001A3745" w:rsidP="007F5DA9">
      <w:pPr>
        <w:pStyle w:val="BodyBullet"/>
        <w:rPr>
          <w:rFonts w:ascii="Calibri Light" w:hAnsi="Calibri Light" w:cs="Arial"/>
          <w:sz w:val="22"/>
        </w:rPr>
      </w:pPr>
      <w:r w:rsidRPr="009E2B03">
        <w:rPr>
          <w:rFonts w:ascii="Calibri Light" w:hAnsi="Calibri Light" w:cs="Arial"/>
          <w:b/>
          <w:color w:val="6D2077"/>
          <w:sz w:val="22"/>
        </w:rPr>
        <w:t>Geographical changes below the state and t</w:t>
      </w:r>
      <w:r w:rsidR="007F5DA9" w:rsidRPr="009E2B03">
        <w:rPr>
          <w:rFonts w:ascii="Calibri Light" w:hAnsi="Calibri Light" w:cs="Arial"/>
          <w:b/>
          <w:color w:val="6D2077"/>
          <w:sz w:val="22"/>
        </w:rPr>
        <w:t>erritory level</w:t>
      </w:r>
      <w:r w:rsidR="007F5DA9" w:rsidRPr="009E2B03">
        <w:rPr>
          <w:rFonts w:ascii="Calibri Light" w:hAnsi="Calibri Light" w:cs="Arial"/>
          <w:b/>
          <w:sz w:val="22"/>
        </w:rPr>
        <w:t xml:space="preserve"> </w:t>
      </w:r>
      <w:r w:rsidR="007F5DA9" w:rsidRPr="009E2B03">
        <w:rPr>
          <w:rFonts w:ascii="Calibri Light" w:hAnsi="Calibri Light" w:cs="Arial"/>
          <w:sz w:val="22"/>
        </w:rPr>
        <w:t>– the survey provides jurisdictional breakdowns, however due to the limitations of the survey size, there are challenges to providing granular data on where women experience violence.</w:t>
      </w:r>
    </w:p>
    <w:p w14:paraId="528010F5" w14:textId="77777777" w:rsidR="007F5DA9" w:rsidRPr="009E2B03" w:rsidRDefault="007F5DA9" w:rsidP="007F5DA9">
      <w:pPr>
        <w:pStyle w:val="Heading4"/>
        <w:numPr>
          <w:ilvl w:val="3"/>
          <w:numId w:val="5"/>
        </w:numPr>
        <w:rPr>
          <w:rFonts w:ascii="Calibri Light" w:eastAsia="Times New Roman" w:hAnsi="Calibri Light"/>
          <w:color w:val="6D2077"/>
          <w:sz w:val="22"/>
          <w:szCs w:val="24"/>
          <w:lang w:eastAsia="en-AU"/>
        </w:rPr>
      </w:pPr>
      <w:r w:rsidRPr="009E2B03">
        <w:rPr>
          <w:rFonts w:ascii="Calibri Light" w:eastAsia="Times New Roman" w:hAnsi="Calibri Light"/>
          <w:color w:val="6D2077"/>
          <w:sz w:val="22"/>
          <w:szCs w:val="24"/>
          <w:lang w:eastAsia="en-AU"/>
        </w:rPr>
        <w:t>Geographic reporting</w:t>
      </w:r>
    </w:p>
    <w:p w14:paraId="16176DF5" w14:textId="06166B65" w:rsidR="00036345" w:rsidRDefault="007F5DA9" w:rsidP="007F5DA9">
      <w:pPr>
        <w:pStyle w:val="BodyTextkeepwithnext0"/>
        <w:rPr>
          <w:rFonts w:ascii="Calibri Light" w:hAnsi="Calibri Light"/>
          <w:sz w:val="22"/>
        </w:rPr>
      </w:pPr>
      <w:r w:rsidRPr="009E2B03">
        <w:rPr>
          <w:rFonts w:ascii="Calibri Light" w:hAnsi="Calibri Light"/>
          <w:sz w:val="22"/>
        </w:rPr>
        <w:t xml:space="preserve">While the PSS provides information at a </w:t>
      </w:r>
      <w:r w:rsidR="007A483E" w:rsidRPr="009E2B03">
        <w:rPr>
          <w:rFonts w:ascii="Calibri Light" w:hAnsi="Calibri Light"/>
          <w:sz w:val="22"/>
        </w:rPr>
        <w:t xml:space="preserve">national and </w:t>
      </w:r>
      <w:r w:rsidRPr="009E2B03">
        <w:rPr>
          <w:rFonts w:ascii="Calibri Light" w:hAnsi="Calibri Light"/>
          <w:sz w:val="22"/>
        </w:rPr>
        <w:t xml:space="preserve">jurisdictional level, there is </w:t>
      </w:r>
      <w:r w:rsidR="00F94884" w:rsidRPr="009E2B03">
        <w:rPr>
          <w:rFonts w:ascii="Calibri Light" w:hAnsi="Calibri Light"/>
          <w:sz w:val="22"/>
        </w:rPr>
        <w:t>no</w:t>
      </w:r>
      <w:r w:rsidRPr="009E2B03">
        <w:rPr>
          <w:rFonts w:ascii="Calibri Light" w:hAnsi="Calibri Light"/>
          <w:sz w:val="22"/>
        </w:rPr>
        <w:t xml:space="preserve"> granularity at the sub-jurisdictional level. This can limit the extent of analysis of the distribution of violence and the potential association between levels of violence and broader socio-economic and demographic characteristics. </w:t>
      </w:r>
      <w:r w:rsidR="00036345">
        <w:rPr>
          <w:rFonts w:ascii="Calibri Light" w:hAnsi="Calibri Light"/>
          <w:sz w:val="22"/>
        </w:rPr>
        <w:br w:type="page"/>
      </w:r>
    </w:p>
    <w:p w14:paraId="1BE21983" w14:textId="77777777" w:rsidR="007F5DA9" w:rsidRPr="009E2B03" w:rsidRDefault="007F5DA9" w:rsidP="007F5DA9">
      <w:pPr>
        <w:pStyle w:val="Heading4"/>
        <w:numPr>
          <w:ilvl w:val="3"/>
          <w:numId w:val="5"/>
        </w:numPr>
        <w:rPr>
          <w:rFonts w:ascii="Calibri Light" w:eastAsia="Times New Roman" w:hAnsi="Calibri Light"/>
          <w:color w:val="6D2077"/>
          <w:sz w:val="22"/>
          <w:szCs w:val="24"/>
          <w:lang w:eastAsia="en-AU"/>
        </w:rPr>
      </w:pPr>
      <w:r w:rsidRPr="009E2B03">
        <w:rPr>
          <w:rFonts w:ascii="Calibri Light" w:eastAsia="Times New Roman" w:hAnsi="Calibri Light"/>
          <w:color w:val="6D2077"/>
          <w:sz w:val="22"/>
          <w:szCs w:val="24"/>
          <w:lang w:eastAsia="en-AU"/>
        </w:rPr>
        <w:lastRenderedPageBreak/>
        <w:t>Experiences of multiple forms of violence</w:t>
      </w:r>
    </w:p>
    <w:p w14:paraId="4BF97155" w14:textId="77777777" w:rsidR="007F5DA9" w:rsidRPr="009E2B03" w:rsidRDefault="007F5DA9" w:rsidP="007F5DA9">
      <w:pPr>
        <w:pStyle w:val="BodyTextkeepwithnext0"/>
        <w:rPr>
          <w:rFonts w:ascii="Calibri Light" w:hAnsi="Calibri Light"/>
          <w:color w:val="FF0000"/>
          <w:sz w:val="22"/>
        </w:rPr>
      </w:pPr>
      <w:r w:rsidRPr="009E2B03">
        <w:rPr>
          <w:rFonts w:ascii="Calibri Light" w:hAnsi="Calibri Light"/>
          <w:sz w:val="22"/>
        </w:rPr>
        <w:t xml:space="preserve">The PSS provides information on physical assault and threat, and sexual assault and threat. However, due to the method of measuring counts of violence, there are challenges to understanding the prevalence of individuals who experience multiple forms of violence and/or threats.  </w:t>
      </w:r>
    </w:p>
    <w:p w14:paraId="3B7DB34E" w14:textId="77777777" w:rsidR="007F5DA9" w:rsidRPr="009E2B03" w:rsidRDefault="007F5DA9" w:rsidP="00E127F4">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Costs and impacts of violence in different settings</w:t>
      </w:r>
    </w:p>
    <w:p w14:paraId="6054809D" w14:textId="77777777" w:rsidR="00921632" w:rsidRPr="009E2B03" w:rsidRDefault="00921632" w:rsidP="007F5DA9">
      <w:pPr>
        <w:pStyle w:val="BodyText"/>
        <w:rPr>
          <w:rFonts w:ascii="Calibri Light" w:hAnsi="Calibri Light"/>
          <w:sz w:val="22"/>
        </w:rPr>
      </w:pPr>
      <w:r w:rsidRPr="009E2B03">
        <w:rPr>
          <w:rFonts w:ascii="Calibri Light" w:hAnsi="Calibri Light"/>
          <w:sz w:val="22"/>
        </w:rPr>
        <w:t xml:space="preserve">The costs and impacts of violence differ depending on the nature of violence, and specific characteristics relating to the incident of violence and the victim. For example, whether the incident was physical or sexual assault, or emotional abuse would have significant impacts on the experience of violence, the extent of injury, and on the types and intensity of services demanded. Similarly, incidents of domestic violence are likely to be more complex than other incidents of violence, particularly in cases where the safety and wellbeing of children is at risk. </w:t>
      </w:r>
    </w:p>
    <w:p w14:paraId="24D6F99A" w14:textId="77777777" w:rsidR="003871FB" w:rsidRPr="009E2B03" w:rsidRDefault="00921632" w:rsidP="007F5DA9">
      <w:pPr>
        <w:pStyle w:val="BodyText"/>
        <w:rPr>
          <w:rFonts w:ascii="Calibri Light" w:hAnsi="Calibri Light"/>
          <w:sz w:val="22"/>
        </w:rPr>
      </w:pPr>
      <w:r w:rsidRPr="009E2B03">
        <w:rPr>
          <w:rFonts w:ascii="Calibri Light" w:hAnsi="Calibri Light"/>
          <w:sz w:val="22"/>
        </w:rPr>
        <w:t>While these considerations are noted</w:t>
      </w:r>
      <w:r w:rsidR="000D1196" w:rsidRPr="009E2B03">
        <w:rPr>
          <w:rFonts w:ascii="Calibri Light" w:hAnsi="Calibri Light"/>
          <w:sz w:val="22"/>
        </w:rPr>
        <w:t xml:space="preserve">, </w:t>
      </w:r>
      <w:r w:rsidRPr="009E2B03">
        <w:rPr>
          <w:rFonts w:ascii="Calibri Light" w:hAnsi="Calibri Light"/>
          <w:sz w:val="22"/>
        </w:rPr>
        <w:t>there are limitations relating to the scope and scale of available data</w:t>
      </w:r>
      <w:r w:rsidR="003871FB" w:rsidRPr="009E2B03">
        <w:rPr>
          <w:rFonts w:ascii="Calibri Light" w:hAnsi="Calibri Light"/>
          <w:sz w:val="22"/>
        </w:rPr>
        <w:t xml:space="preserve">. Therefore, in estimating the cost of violence, an assumption has been made </w:t>
      </w:r>
      <w:r w:rsidR="000D1196" w:rsidRPr="009E2B03">
        <w:rPr>
          <w:rFonts w:ascii="Calibri Light" w:hAnsi="Calibri Light"/>
          <w:sz w:val="22"/>
        </w:rPr>
        <w:t xml:space="preserve">within the core costing estimates outlined in Section </w:t>
      </w:r>
      <w:r w:rsidR="000D1196" w:rsidRPr="009E2B03">
        <w:rPr>
          <w:rFonts w:ascii="Calibri Light" w:hAnsi="Calibri Light"/>
          <w:sz w:val="22"/>
        </w:rPr>
        <w:fldChar w:fldCharType="begin"/>
      </w:r>
      <w:r w:rsidR="000D1196" w:rsidRPr="009E2B03">
        <w:rPr>
          <w:rFonts w:ascii="Calibri Light" w:hAnsi="Calibri Light"/>
          <w:sz w:val="22"/>
        </w:rPr>
        <w:instrText xml:space="preserve"> REF _Ref447371135 \r \h </w:instrText>
      </w:r>
      <w:r w:rsidR="009B0258" w:rsidRPr="009E2B03">
        <w:rPr>
          <w:rFonts w:ascii="Calibri Light" w:hAnsi="Calibri Light"/>
          <w:sz w:val="22"/>
        </w:rPr>
        <w:instrText xml:space="preserve"> \* MERGEFORMAT </w:instrText>
      </w:r>
      <w:r w:rsidR="000D1196" w:rsidRPr="009E2B03">
        <w:rPr>
          <w:rFonts w:ascii="Calibri Light" w:hAnsi="Calibri Light"/>
          <w:sz w:val="22"/>
        </w:rPr>
      </w:r>
      <w:r w:rsidR="000D1196" w:rsidRPr="009E2B03">
        <w:rPr>
          <w:rFonts w:ascii="Calibri Light" w:hAnsi="Calibri Light"/>
          <w:sz w:val="22"/>
        </w:rPr>
        <w:fldChar w:fldCharType="separate"/>
      </w:r>
      <w:r w:rsidR="00417237">
        <w:rPr>
          <w:rFonts w:ascii="Calibri Light" w:hAnsi="Calibri Light"/>
          <w:sz w:val="22"/>
        </w:rPr>
        <w:t>3</w:t>
      </w:r>
      <w:r w:rsidR="000D1196" w:rsidRPr="009E2B03">
        <w:rPr>
          <w:rFonts w:ascii="Calibri Light" w:hAnsi="Calibri Light"/>
          <w:sz w:val="22"/>
        </w:rPr>
        <w:fldChar w:fldCharType="end"/>
      </w:r>
      <w:r w:rsidR="000D1196" w:rsidRPr="009E2B03">
        <w:rPr>
          <w:rFonts w:ascii="Calibri Light" w:hAnsi="Calibri Light"/>
          <w:sz w:val="22"/>
        </w:rPr>
        <w:t xml:space="preserve"> </w:t>
      </w:r>
      <w:r w:rsidR="003871FB" w:rsidRPr="009E2B03">
        <w:rPr>
          <w:rFonts w:ascii="Calibri Light" w:hAnsi="Calibri Light"/>
          <w:sz w:val="22"/>
        </w:rPr>
        <w:t xml:space="preserve">that the impacts and costs of </w:t>
      </w:r>
      <w:r w:rsidR="000D1196" w:rsidRPr="009E2B03">
        <w:rPr>
          <w:rFonts w:ascii="Calibri Light" w:hAnsi="Calibri Light"/>
          <w:sz w:val="22"/>
        </w:rPr>
        <w:t xml:space="preserve">different forms of violence across </w:t>
      </w:r>
      <w:r w:rsidR="003871FB" w:rsidRPr="009E2B03">
        <w:rPr>
          <w:rFonts w:ascii="Calibri Light" w:hAnsi="Calibri Light"/>
          <w:sz w:val="22"/>
        </w:rPr>
        <w:t>different cohorts is similar</w:t>
      </w:r>
      <w:r w:rsidR="000D1196" w:rsidRPr="009E2B03">
        <w:rPr>
          <w:rFonts w:ascii="Calibri Light" w:hAnsi="Calibri Light"/>
          <w:sz w:val="22"/>
        </w:rPr>
        <w:t>.</w:t>
      </w:r>
    </w:p>
    <w:p w14:paraId="6632585E" w14:textId="77777777" w:rsidR="007F5DA9" w:rsidRPr="009E2B03" w:rsidRDefault="007F5DA9" w:rsidP="00E127F4">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 xml:space="preserve">Definitional changes and comparability </w:t>
      </w:r>
    </w:p>
    <w:p w14:paraId="3474FCAB" w14:textId="3ECB2B9F" w:rsidR="00A21061" w:rsidRPr="009E2B03" w:rsidRDefault="00DB1E8D" w:rsidP="00900F41">
      <w:pPr>
        <w:rPr>
          <w:rFonts w:ascii="Calibri Light" w:hAnsi="Calibri Light"/>
          <w:sz w:val="22"/>
        </w:rPr>
      </w:pPr>
      <w:r w:rsidRPr="009E2B03">
        <w:rPr>
          <w:rFonts w:ascii="Calibri Light" w:hAnsi="Calibri Light"/>
          <w:sz w:val="22"/>
        </w:rPr>
        <w:t>There are a number of definitional changes between the 2005 and 2012 PSS that need to be taken into account in considering the comparability of results. One</w:t>
      </w:r>
      <w:r w:rsidR="00AD1F5F" w:rsidRPr="009E2B03">
        <w:rPr>
          <w:rFonts w:ascii="Calibri Light" w:hAnsi="Calibri Light"/>
          <w:sz w:val="22"/>
        </w:rPr>
        <w:t xml:space="preserve"> important</w:t>
      </w:r>
      <w:r w:rsidRPr="009E2B03">
        <w:rPr>
          <w:rFonts w:ascii="Calibri Light" w:hAnsi="Calibri Light"/>
          <w:sz w:val="22"/>
        </w:rPr>
        <w:t xml:space="preserve"> definitional change relates to the refinement and extension of emotional abuse and stalking as categories of violence in the 2012 PSS. Given this change, there are challenges to drawing direct comparisons between prevalence rates for emotional abuse and stalking over time. To manage this discrepancy, an illustration of the comparable components of the cost estimate has been provided within th</w:t>
      </w:r>
      <w:r w:rsidR="001A09E6" w:rsidRPr="009E2B03">
        <w:rPr>
          <w:rFonts w:ascii="Calibri Light" w:hAnsi="Calibri Light"/>
          <w:sz w:val="22"/>
        </w:rPr>
        <w:t>is</w:t>
      </w:r>
      <w:r w:rsidRPr="009E2B03">
        <w:rPr>
          <w:rFonts w:ascii="Calibri Light" w:hAnsi="Calibri Light"/>
          <w:sz w:val="22"/>
        </w:rPr>
        <w:t xml:space="preserve"> Report </w:t>
      </w:r>
      <w:r w:rsidR="00485D5B" w:rsidRPr="009E2B03">
        <w:rPr>
          <w:rFonts w:ascii="Calibri Light" w:hAnsi="Calibri Light"/>
          <w:sz w:val="22"/>
        </w:rPr>
        <w:t>when appropriate.</w:t>
      </w:r>
      <w:r w:rsidRPr="009E2B03">
        <w:rPr>
          <w:rFonts w:ascii="Calibri Light" w:hAnsi="Calibri Light"/>
          <w:sz w:val="22"/>
        </w:rPr>
        <w:t xml:space="preserve"> </w:t>
      </w:r>
    </w:p>
    <w:p w14:paraId="070E02E4" w14:textId="77777777" w:rsidR="003871FB" w:rsidRPr="009E2B03" w:rsidRDefault="00485D5B" w:rsidP="00900F41">
      <w:pPr>
        <w:rPr>
          <w:rFonts w:ascii="Calibri Light" w:hAnsi="Calibri Light"/>
          <w:sz w:val="22"/>
        </w:rPr>
      </w:pPr>
      <w:r w:rsidRPr="009E2B03">
        <w:rPr>
          <w:rFonts w:ascii="Calibri Light" w:hAnsi="Calibri Light"/>
          <w:sz w:val="22"/>
        </w:rPr>
        <w:t>Further, c</w:t>
      </w:r>
      <w:r w:rsidR="003871FB" w:rsidRPr="009E2B03">
        <w:rPr>
          <w:rFonts w:ascii="Calibri Light" w:hAnsi="Calibri Light"/>
          <w:sz w:val="22"/>
        </w:rPr>
        <w:t>hanging opinions and attitudes in the community towards what is classified as violence against women</w:t>
      </w:r>
      <w:r w:rsidRPr="009E2B03">
        <w:rPr>
          <w:rFonts w:ascii="Calibri Light" w:hAnsi="Calibri Light"/>
          <w:sz w:val="22"/>
        </w:rPr>
        <w:t xml:space="preserve"> may </w:t>
      </w:r>
      <w:r w:rsidR="003871FB" w:rsidRPr="009E2B03">
        <w:rPr>
          <w:rFonts w:ascii="Calibri Light" w:hAnsi="Calibri Light"/>
          <w:sz w:val="22"/>
        </w:rPr>
        <w:t xml:space="preserve">mean that even if an incident is reported, it may be inconsistently classified or not recorded at all. An example of this </w:t>
      </w:r>
      <w:r w:rsidR="00AD1F5F" w:rsidRPr="009E2B03">
        <w:rPr>
          <w:rFonts w:ascii="Calibri Light" w:hAnsi="Calibri Light"/>
          <w:sz w:val="22"/>
        </w:rPr>
        <w:t xml:space="preserve">is </w:t>
      </w:r>
      <w:r w:rsidR="003871FB" w:rsidRPr="009E2B03">
        <w:rPr>
          <w:rFonts w:ascii="Calibri Light" w:hAnsi="Calibri Light"/>
          <w:sz w:val="22"/>
        </w:rPr>
        <w:t xml:space="preserve">the better understanding and classification of economic abuse as a form of violence against women. </w:t>
      </w:r>
      <w:r w:rsidRPr="009E2B03">
        <w:rPr>
          <w:rFonts w:ascii="Calibri Light" w:hAnsi="Calibri Light"/>
          <w:sz w:val="22"/>
        </w:rPr>
        <w:t>However, while the</w:t>
      </w:r>
      <w:r w:rsidR="003871FB" w:rsidRPr="009E2B03">
        <w:rPr>
          <w:rFonts w:ascii="Calibri Light" w:hAnsi="Calibri Light"/>
          <w:sz w:val="22"/>
        </w:rPr>
        <w:t xml:space="preserve"> definition of domestic violence has broadened in recent years to include economic abuse and other forms of non-physical abuse, there remains a lack of </w:t>
      </w:r>
      <w:r w:rsidR="00AD1F5F" w:rsidRPr="009E2B03">
        <w:rPr>
          <w:rFonts w:ascii="Calibri Light" w:hAnsi="Calibri Light"/>
          <w:sz w:val="22"/>
        </w:rPr>
        <w:t xml:space="preserve">available </w:t>
      </w:r>
      <w:r w:rsidR="003871FB" w:rsidRPr="009E2B03">
        <w:rPr>
          <w:rFonts w:ascii="Calibri Light" w:hAnsi="Calibri Light"/>
          <w:sz w:val="22"/>
        </w:rPr>
        <w:t xml:space="preserve">comparable data to supplement existing results from the PSS. Understanding domestic violence, therefore, requires a multi-layered approach that </w:t>
      </w:r>
      <w:r w:rsidR="00AD1F5F" w:rsidRPr="009E2B03">
        <w:rPr>
          <w:rFonts w:ascii="Calibri Light" w:hAnsi="Calibri Light"/>
          <w:sz w:val="22"/>
        </w:rPr>
        <w:t>acknowledges</w:t>
      </w:r>
      <w:r w:rsidR="003871FB" w:rsidRPr="009E2B03">
        <w:rPr>
          <w:rFonts w:ascii="Calibri Light" w:hAnsi="Calibri Light"/>
          <w:sz w:val="22"/>
        </w:rPr>
        <w:t xml:space="preserve"> the complexities of the issue, and the challenges of the data in capturing the full scope and extent of violence against women.  </w:t>
      </w:r>
    </w:p>
    <w:p w14:paraId="3F91A557" w14:textId="77777777" w:rsidR="007F5DA9" w:rsidRPr="009E2B03" w:rsidRDefault="00485D5B" w:rsidP="00E127F4">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 xml:space="preserve">Non-reporting of violence </w:t>
      </w:r>
    </w:p>
    <w:p w14:paraId="5180E381" w14:textId="351C62E6" w:rsidR="003871FB" w:rsidRPr="009E2B03" w:rsidRDefault="00485D5B" w:rsidP="003871FB">
      <w:pPr>
        <w:tabs>
          <w:tab w:val="left" w:pos="3471"/>
        </w:tabs>
        <w:rPr>
          <w:rFonts w:ascii="Calibri Light" w:hAnsi="Calibri Light"/>
          <w:sz w:val="22"/>
        </w:rPr>
      </w:pPr>
      <w:bookmarkStart w:id="58" w:name="_Ref445279554"/>
      <w:bookmarkStart w:id="59" w:name="_Toc445368612"/>
      <w:bookmarkEnd w:id="51"/>
      <w:r w:rsidRPr="009E2B03">
        <w:rPr>
          <w:rFonts w:ascii="Calibri Light" w:hAnsi="Calibri Light"/>
          <w:sz w:val="22"/>
        </w:rPr>
        <w:t>There are a number of b</w:t>
      </w:r>
      <w:r w:rsidR="003871FB" w:rsidRPr="009E2B03">
        <w:rPr>
          <w:rFonts w:ascii="Calibri Light" w:hAnsi="Calibri Light"/>
          <w:sz w:val="22"/>
        </w:rPr>
        <w:t xml:space="preserve">arriers </w:t>
      </w:r>
      <w:r w:rsidR="0054548B" w:rsidRPr="009E2B03">
        <w:rPr>
          <w:rFonts w:ascii="Calibri Light" w:hAnsi="Calibri Light"/>
          <w:sz w:val="22"/>
        </w:rPr>
        <w:t>that may prevent</w:t>
      </w:r>
      <w:r w:rsidR="003871FB" w:rsidRPr="009E2B03">
        <w:rPr>
          <w:rFonts w:ascii="Calibri Light" w:hAnsi="Calibri Light"/>
          <w:sz w:val="22"/>
        </w:rPr>
        <w:t xml:space="preserve"> victims </w:t>
      </w:r>
      <w:r w:rsidR="0054548B" w:rsidRPr="009E2B03">
        <w:rPr>
          <w:rFonts w:ascii="Calibri Light" w:hAnsi="Calibri Light"/>
          <w:sz w:val="22"/>
        </w:rPr>
        <w:t xml:space="preserve">from </w:t>
      </w:r>
      <w:r w:rsidR="003871FB" w:rsidRPr="009E2B03">
        <w:rPr>
          <w:rFonts w:ascii="Calibri Light" w:hAnsi="Calibri Light"/>
          <w:sz w:val="22"/>
        </w:rPr>
        <w:t>reporting violence</w:t>
      </w:r>
      <w:r w:rsidRPr="009E2B03">
        <w:rPr>
          <w:rFonts w:ascii="Calibri Light" w:hAnsi="Calibri Light"/>
          <w:sz w:val="22"/>
        </w:rPr>
        <w:t>, including</w:t>
      </w:r>
      <w:r w:rsidR="003871FB" w:rsidRPr="009E2B03">
        <w:rPr>
          <w:rFonts w:ascii="Calibri Light" w:hAnsi="Calibri Light"/>
          <w:sz w:val="22"/>
        </w:rPr>
        <w:t xml:space="preserve"> the fear of retaliation, economic dependence on the perpet</w:t>
      </w:r>
      <w:r w:rsidR="00AD1F5F" w:rsidRPr="009E2B03">
        <w:rPr>
          <w:rFonts w:ascii="Calibri Light" w:hAnsi="Calibri Light"/>
          <w:sz w:val="22"/>
        </w:rPr>
        <w:t>r</w:t>
      </w:r>
      <w:r w:rsidR="003871FB" w:rsidRPr="009E2B03">
        <w:rPr>
          <w:rFonts w:ascii="Calibri Light" w:hAnsi="Calibri Light"/>
          <w:sz w:val="22"/>
        </w:rPr>
        <w:t>ator, the desire to keep the issue private</w:t>
      </w:r>
      <w:r w:rsidR="000D1196" w:rsidRPr="009E2B03">
        <w:rPr>
          <w:rFonts w:ascii="Calibri Light" w:hAnsi="Calibri Light"/>
          <w:sz w:val="22"/>
        </w:rPr>
        <w:t>,</w:t>
      </w:r>
      <w:r w:rsidR="003871FB" w:rsidRPr="009E2B03">
        <w:rPr>
          <w:rFonts w:ascii="Calibri Light" w:hAnsi="Calibri Light"/>
          <w:sz w:val="22"/>
        </w:rPr>
        <w:t xml:space="preserve"> or the inability to report due to disability. As such, the circumstances of disclosure create limitations on the data in the form of under-reporting</w:t>
      </w:r>
      <w:r w:rsidR="000D1196" w:rsidRPr="009E2B03">
        <w:rPr>
          <w:rFonts w:ascii="Calibri Light" w:hAnsi="Calibri Light"/>
          <w:sz w:val="22"/>
        </w:rPr>
        <w:t xml:space="preserve"> or non-reporting of violence</w:t>
      </w:r>
      <w:r w:rsidR="003871FB" w:rsidRPr="009E2B03">
        <w:rPr>
          <w:rFonts w:ascii="Calibri Light" w:hAnsi="Calibri Light"/>
          <w:sz w:val="22"/>
        </w:rPr>
        <w:t>. Further, there are challenges to extrapolating data for particular demographic cohorts such as Aboriginal and Torres Strait Islander women, women with disability, and women who have experienced homelessness, as these cohorts are often underrepresented in survey results</w:t>
      </w:r>
      <w:r w:rsidR="0054548B" w:rsidRPr="009E2B03">
        <w:rPr>
          <w:rFonts w:ascii="Calibri Light" w:hAnsi="Calibri Light"/>
          <w:sz w:val="22"/>
        </w:rPr>
        <w:t xml:space="preserve"> in large statistical publications such as the PSS. Similarly, data on the incidence of violence from reported crime statistics does not provide a view on the scope and scale of violence that goes unreported across the jurisdictions.</w:t>
      </w:r>
    </w:p>
    <w:p w14:paraId="58A4B117" w14:textId="77777777" w:rsidR="00452172" w:rsidRPr="009E2B03" w:rsidRDefault="00452172" w:rsidP="00E127F4">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lastRenderedPageBreak/>
        <w:t xml:space="preserve">Availability of underlying cost data </w:t>
      </w:r>
    </w:p>
    <w:p w14:paraId="412AA868" w14:textId="77777777" w:rsidR="00DF1581" w:rsidRPr="009E2B03" w:rsidRDefault="00DF1581" w:rsidP="00DF1581">
      <w:pPr>
        <w:pStyle w:val="BodyTextkeepwithnext0"/>
        <w:rPr>
          <w:rFonts w:ascii="Calibri Light" w:hAnsi="Calibri Light"/>
          <w:sz w:val="22"/>
        </w:rPr>
      </w:pPr>
      <w:r w:rsidRPr="009E2B03">
        <w:rPr>
          <w:rFonts w:ascii="Calibri Light" w:hAnsi="Calibri Light"/>
          <w:sz w:val="22"/>
        </w:rPr>
        <w:t xml:space="preserve">At present, there is limited research into the </w:t>
      </w:r>
      <w:r w:rsidR="00C22B49" w:rsidRPr="009E2B03">
        <w:rPr>
          <w:rFonts w:ascii="Calibri Light" w:hAnsi="Calibri Light"/>
          <w:sz w:val="22"/>
        </w:rPr>
        <w:t>critical</w:t>
      </w:r>
      <w:r w:rsidR="000D1196" w:rsidRPr="009E2B03">
        <w:rPr>
          <w:rFonts w:ascii="Calibri Light" w:hAnsi="Calibri Light"/>
          <w:sz w:val="22"/>
        </w:rPr>
        <w:t xml:space="preserve"> dynamics and implications of</w:t>
      </w:r>
      <w:r w:rsidRPr="009E2B03">
        <w:rPr>
          <w:rFonts w:ascii="Calibri Light" w:hAnsi="Calibri Light"/>
          <w:sz w:val="22"/>
        </w:rPr>
        <w:t xml:space="preserve"> violence to validate the assumptions underpinning the estimation of costs across the cost categories. For example, there are data limitations to ascertaining the number of working days or productive output lost due to absenteeism among women who are victims of violence. Given this, a number of the calculations are underpinned by assumptions defined up to 20 years ago through survey research. Similarly, there </w:t>
      </w:r>
      <w:r w:rsidR="000D1196" w:rsidRPr="009E2B03">
        <w:rPr>
          <w:rFonts w:ascii="Calibri Light" w:hAnsi="Calibri Light"/>
          <w:sz w:val="22"/>
        </w:rPr>
        <w:t>are</w:t>
      </w:r>
      <w:r w:rsidRPr="009E2B03">
        <w:rPr>
          <w:rFonts w:ascii="Calibri Light" w:hAnsi="Calibri Light"/>
          <w:sz w:val="22"/>
        </w:rPr>
        <w:t xml:space="preserve"> challenges to updating some of the costs due to the absence of </w:t>
      </w:r>
      <w:r w:rsidR="00C22B49" w:rsidRPr="009E2B03">
        <w:rPr>
          <w:rFonts w:ascii="Calibri Light" w:hAnsi="Calibri Light"/>
          <w:sz w:val="22"/>
        </w:rPr>
        <w:t xml:space="preserve">current </w:t>
      </w:r>
      <w:r w:rsidRPr="009E2B03">
        <w:rPr>
          <w:rFonts w:ascii="Calibri Light" w:hAnsi="Calibri Light"/>
          <w:sz w:val="22"/>
        </w:rPr>
        <w:t xml:space="preserve">data sources or the discontinuation of data collection in certain areas. Overall, while the use of existing assumptions enables consistency in approach and greater comparability of results across the earlier studies conducted, further research and analysis is required to ensure that the underlying assumptions reflect the latest possible data and information. </w:t>
      </w:r>
    </w:p>
    <w:p w14:paraId="1C8B6A96" w14:textId="77777777" w:rsidR="00DF1581" w:rsidRPr="009E2B03" w:rsidRDefault="00DF1581" w:rsidP="00DF1581">
      <w:pPr>
        <w:pStyle w:val="BodyTextkeepwithnext0"/>
        <w:rPr>
          <w:rFonts w:ascii="Calibri Light" w:hAnsi="Calibri Light"/>
          <w:sz w:val="22"/>
        </w:rPr>
      </w:pPr>
      <w:r w:rsidRPr="009E2B03">
        <w:rPr>
          <w:rFonts w:ascii="Calibri Light" w:hAnsi="Calibri Light"/>
          <w:sz w:val="22"/>
        </w:rPr>
        <w:t xml:space="preserve">Another limitation of the estimation of costs relates to the availability of underlying cost data. For the cost categories where costs are estimated through a ‘top-down’ approach, improved availability of costs by sector (e.g. the costs of violence on the health and justice system by </w:t>
      </w:r>
      <w:r w:rsidR="001A3745" w:rsidRPr="009E2B03">
        <w:rPr>
          <w:rFonts w:ascii="Calibri Light" w:hAnsi="Calibri Light"/>
          <w:sz w:val="22"/>
        </w:rPr>
        <w:t>s</w:t>
      </w:r>
      <w:r w:rsidRPr="009E2B03">
        <w:rPr>
          <w:rFonts w:ascii="Calibri Light" w:hAnsi="Calibri Light"/>
          <w:sz w:val="22"/>
        </w:rPr>
        <w:t xml:space="preserve">tate and </w:t>
      </w:r>
      <w:r w:rsidR="001A3745" w:rsidRPr="009E2B03">
        <w:rPr>
          <w:rFonts w:ascii="Calibri Light" w:hAnsi="Calibri Light"/>
          <w:sz w:val="22"/>
        </w:rPr>
        <w:t>t</w:t>
      </w:r>
      <w:r w:rsidRPr="009E2B03">
        <w:rPr>
          <w:rFonts w:ascii="Calibri Light" w:hAnsi="Calibri Light"/>
          <w:sz w:val="22"/>
        </w:rPr>
        <w:t xml:space="preserve">erritory) could play a key role in further refining and strengthening the costing approach, and provide more nuanced insights into the costs of violence across the sectors. Further, for areas that are currently being explored in greater detail, for example, the impact and financial cost of economic abuse, a detailed case study and qualitative analysis approach has been adopted. </w:t>
      </w:r>
    </w:p>
    <w:p w14:paraId="1D6AE2BE" w14:textId="77777777" w:rsidR="00CA73F9" w:rsidRPr="009E2B03" w:rsidRDefault="00CA73F9" w:rsidP="00CA73F9">
      <w:pPr>
        <w:rPr>
          <w:rFonts w:ascii="Calibri Light" w:hAnsi="Calibri Light"/>
          <w:sz w:val="22"/>
        </w:rPr>
      </w:pPr>
    </w:p>
    <w:p w14:paraId="2889466D" w14:textId="07770C97" w:rsidR="00ED6C12" w:rsidRPr="009E2B03" w:rsidRDefault="00036345" w:rsidP="00ED6C12">
      <w:pPr>
        <w:pStyle w:val="Heading1"/>
        <w:numPr>
          <w:ilvl w:val="0"/>
          <w:numId w:val="19"/>
        </w:numPr>
        <w:rPr>
          <w:rFonts w:ascii="Calibri Light" w:hAnsi="Calibri Light"/>
          <w:sz w:val="48"/>
        </w:rPr>
      </w:pPr>
      <w:bookmarkStart w:id="60" w:name="_Toc445981195"/>
      <w:bookmarkStart w:id="61" w:name="_Ref447041878"/>
      <w:bookmarkStart w:id="62" w:name="_Ref447179975"/>
      <w:bookmarkStart w:id="63" w:name="_Ref447226174"/>
      <w:bookmarkStart w:id="64" w:name="_Ref447370455"/>
      <w:bookmarkStart w:id="65" w:name="_Ref447371135"/>
      <w:bookmarkStart w:id="66" w:name="_Ref447375136"/>
      <w:bookmarkStart w:id="67" w:name="_Ref447375525"/>
      <w:bookmarkStart w:id="68" w:name="_Toc449553517"/>
      <w:bookmarkStart w:id="69" w:name="_Ref445399683"/>
      <w:bookmarkEnd w:id="58"/>
      <w:bookmarkEnd w:id="59"/>
      <w:r>
        <w:rPr>
          <w:rFonts w:ascii="Calibri Light" w:eastAsiaTheme="minorHAnsi" w:hAnsi="Calibri Light"/>
          <w:b w:val="0"/>
          <w:noProof/>
          <w:color w:val="6D2077"/>
          <w:sz w:val="76"/>
          <w:szCs w:val="76"/>
          <w:lang w:eastAsia="en-AU"/>
        </w:rPr>
        <w:lastRenderedPageBreak/>
        <w:t xml:space="preserve">. </w:t>
      </w:r>
      <w:r w:rsidR="00ED6C12" w:rsidRPr="00036345">
        <w:rPr>
          <w:rFonts w:ascii="Calibri Light" w:eastAsiaTheme="minorHAnsi" w:hAnsi="Calibri Light"/>
          <w:b w:val="0"/>
          <w:noProof/>
          <w:color w:val="6D2077"/>
          <w:sz w:val="72"/>
          <w:szCs w:val="76"/>
          <w:lang w:eastAsia="en-AU"/>
        </w:rPr>
        <w:t>The</w:t>
      </w:r>
      <w:r w:rsidR="00ED6C12" w:rsidRPr="00036345">
        <w:rPr>
          <w:rFonts w:ascii="Calibri Light" w:hAnsi="Calibri Light"/>
        </w:rPr>
        <w:t xml:space="preserve"> </w:t>
      </w:r>
      <w:r w:rsidR="00ED6C12" w:rsidRPr="00036345">
        <w:rPr>
          <w:rFonts w:ascii="Calibri Light" w:eastAsiaTheme="minorHAnsi" w:hAnsi="Calibri Light"/>
          <w:b w:val="0"/>
          <w:noProof/>
          <w:color w:val="6D2077"/>
          <w:sz w:val="72"/>
          <w:szCs w:val="76"/>
          <w:lang w:eastAsia="en-AU"/>
        </w:rPr>
        <w:t>cost of violence against women and their children</w:t>
      </w:r>
      <w:bookmarkEnd w:id="60"/>
      <w:bookmarkEnd w:id="61"/>
      <w:bookmarkEnd w:id="62"/>
      <w:bookmarkEnd w:id="63"/>
      <w:bookmarkEnd w:id="64"/>
      <w:bookmarkEnd w:id="65"/>
      <w:bookmarkEnd w:id="66"/>
      <w:bookmarkEnd w:id="67"/>
      <w:bookmarkEnd w:id="68"/>
    </w:p>
    <w:p w14:paraId="355F8E4D" w14:textId="77777777" w:rsidR="00ED6C12" w:rsidRPr="009E2B03" w:rsidRDefault="00ED6C12" w:rsidP="00ED6C12">
      <w:pPr>
        <w:pStyle w:val="Heading2"/>
        <w:numPr>
          <w:ilvl w:val="1"/>
          <w:numId w:val="19"/>
        </w:numPr>
        <w:rPr>
          <w:rFonts w:ascii="Calibri Light" w:hAnsi="Calibri Light"/>
          <w:color w:val="6D2077"/>
          <w:sz w:val="36"/>
        </w:rPr>
      </w:pPr>
      <w:bookmarkStart w:id="70" w:name="_Toc449553518"/>
      <w:bookmarkStart w:id="71" w:name="_Toc445981197"/>
      <w:r w:rsidRPr="009E2B03">
        <w:rPr>
          <w:rFonts w:ascii="Calibri Light" w:hAnsi="Calibri Light"/>
          <w:color w:val="6D2077"/>
          <w:sz w:val="36"/>
        </w:rPr>
        <w:t>Understanding the cost of violence</w:t>
      </w:r>
      <w:bookmarkEnd w:id="70"/>
    </w:p>
    <w:p w14:paraId="2DE2FD7C" w14:textId="77777777" w:rsidR="00ED6C12" w:rsidRPr="009E2B03" w:rsidRDefault="00ED6C12" w:rsidP="00ED6C12">
      <w:pPr>
        <w:rPr>
          <w:rFonts w:ascii="Calibri Light" w:hAnsi="Calibri Light"/>
          <w:sz w:val="22"/>
        </w:rPr>
      </w:pPr>
      <w:r w:rsidRPr="009E2B03">
        <w:rPr>
          <w:rFonts w:ascii="Calibri Light" w:hAnsi="Calibri Light"/>
          <w:sz w:val="22"/>
        </w:rPr>
        <w:t>Violence against women and their children is a critical social issue that continues to persist around the world, including in Australia. It is an often invisible, but common form of violence, and is a fundamental breach of human rights.</w:t>
      </w:r>
      <w:r w:rsidRPr="009E2B03">
        <w:rPr>
          <w:rStyle w:val="FootnoteReference"/>
          <w:rFonts w:ascii="Calibri Light" w:hAnsi="Calibri Light"/>
          <w:sz w:val="22"/>
        </w:rPr>
        <w:footnoteReference w:id="21"/>
      </w:r>
      <w:r w:rsidRPr="009E2B03">
        <w:rPr>
          <w:rFonts w:ascii="Calibri Light" w:hAnsi="Calibri Light"/>
          <w:sz w:val="22"/>
        </w:rPr>
        <w:t xml:space="preserve"> It has a substantial economic and non-economic impact, affecting women and their children, the broader community, as well as the health care, justice, social services and business sectors.  </w:t>
      </w:r>
    </w:p>
    <w:p w14:paraId="78234BE5" w14:textId="77777777" w:rsidR="00ED6C12" w:rsidRPr="009E2B03" w:rsidRDefault="00ED6C12" w:rsidP="00ED6C12">
      <w:pPr>
        <w:rPr>
          <w:rFonts w:ascii="Calibri Light" w:hAnsi="Calibri Light"/>
          <w:sz w:val="22"/>
        </w:rPr>
      </w:pPr>
      <w:r w:rsidRPr="009E2B03">
        <w:rPr>
          <w:rFonts w:ascii="Calibri Light" w:hAnsi="Calibri Light"/>
          <w:sz w:val="22"/>
        </w:rPr>
        <w:t>These impacts are exacerbated when considered in the context of other interdependent social issues and risk factors that are associated with violence against women and their children. These factors include other forms of abuse (such as economic abuse, drug and alcohol abuse, or child abuse), homelessness, problem gambling, social and physical isolation or separation.</w:t>
      </w:r>
      <w:r w:rsidRPr="009E2B03">
        <w:rPr>
          <w:rStyle w:val="FootnoteReference"/>
          <w:rFonts w:ascii="Calibri Light" w:hAnsi="Calibri Light"/>
          <w:sz w:val="22"/>
        </w:rPr>
        <w:footnoteReference w:id="22"/>
      </w:r>
      <w:r w:rsidRPr="009E2B03">
        <w:rPr>
          <w:rFonts w:ascii="Calibri Light" w:hAnsi="Calibri Light"/>
          <w:sz w:val="22"/>
        </w:rPr>
        <w:t xml:space="preserve"> </w:t>
      </w:r>
    </w:p>
    <w:p w14:paraId="7D2385D3" w14:textId="77777777" w:rsidR="00ED6C12" w:rsidRPr="009E2B03" w:rsidRDefault="00ED6C12" w:rsidP="00067B42">
      <w:pPr>
        <w:pStyle w:val="BodyText"/>
        <w:pBdr>
          <w:top w:val="single" w:sz="4" w:space="1" w:color="auto"/>
          <w:left w:val="single" w:sz="4" w:space="4" w:color="auto"/>
          <w:bottom w:val="single" w:sz="4" w:space="1" w:color="auto"/>
          <w:right w:val="single" w:sz="4" w:space="4" w:color="auto"/>
        </w:pBdr>
        <w:shd w:val="clear" w:color="auto" w:fill="F3F0F4"/>
        <w:rPr>
          <w:rFonts w:ascii="Calibri Light" w:eastAsia="Times New Roman" w:hAnsi="Calibri Light"/>
          <w:b/>
          <w:color w:val="6D2077"/>
          <w:sz w:val="22"/>
          <w:szCs w:val="24"/>
          <w:lang w:eastAsia="en-AU"/>
        </w:rPr>
      </w:pPr>
      <w:r w:rsidRPr="009E2B03">
        <w:rPr>
          <w:rFonts w:ascii="Calibri Light" w:eastAsia="Times New Roman" w:hAnsi="Calibri Light"/>
          <w:b/>
          <w:color w:val="6D2077"/>
          <w:sz w:val="22"/>
          <w:szCs w:val="24"/>
          <w:lang w:eastAsia="en-AU"/>
        </w:rPr>
        <w:t>Based on the prevalence data published in the 2012 PSS, as well as the most recent data and research, KPMG estimates that violence against women and children will cost Australian society and the Australian economy $</w:t>
      </w:r>
      <w:r w:rsidR="001D48AA" w:rsidRPr="009E2B03">
        <w:rPr>
          <w:rFonts w:ascii="Calibri Light" w:eastAsia="Times New Roman" w:hAnsi="Calibri Light"/>
          <w:b/>
          <w:color w:val="6D2077"/>
          <w:sz w:val="22"/>
          <w:szCs w:val="24"/>
          <w:lang w:eastAsia="en-AU"/>
        </w:rPr>
        <w:t>22</w:t>
      </w:r>
      <w:r w:rsidRPr="009E2B03">
        <w:rPr>
          <w:rFonts w:ascii="Calibri Light" w:eastAsia="Times New Roman" w:hAnsi="Calibri Light"/>
          <w:b/>
          <w:color w:val="6D2077"/>
          <w:sz w:val="22"/>
          <w:szCs w:val="24"/>
          <w:lang w:eastAsia="en-AU"/>
        </w:rPr>
        <w:t xml:space="preserve"> billion in 2015-16.</w:t>
      </w:r>
    </w:p>
    <w:p w14:paraId="56D1F6BF" w14:textId="77777777" w:rsidR="004371D5" w:rsidRPr="009E2B03" w:rsidRDefault="004371D5" w:rsidP="00ED6C12">
      <w:pPr>
        <w:pStyle w:val="BodyText"/>
        <w:rPr>
          <w:rFonts w:ascii="Calibri Light" w:hAnsi="Calibri Light"/>
          <w:sz w:val="22"/>
        </w:rPr>
      </w:pPr>
      <w:r w:rsidRPr="009E2B03">
        <w:rPr>
          <w:rFonts w:ascii="Calibri Light" w:hAnsi="Calibri Light"/>
          <w:sz w:val="22"/>
        </w:rPr>
        <w:t xml:space="preserve">In 2009 KPMG estimated that violence against women and their children cost victims, their friends, family and the broader Australian economy $13.6 billion. The cost associated with sexual and physical violence has remained largely consistent with this estimate. However, the portion of the costs resulting from emotional abuse and stalking has substantially changed. </w:t>
      </w:r>
    </w:p>
    <w:p w14:paraId="4FF3EA68" w14:textId="77777777" w:rsidR="00885A84" w:rsidRPr="009E2B03" w:rsidRDefault="004371D5" w:rsidP="00ED6C12">
      <w:pPr>
        <w:pStyle w:val="BodyText"/>
        <w:rPr>
          <w:rFonts w:ascii="Calibri Light" w:hAnsi="Calibri Light"/>
          <w:sz w:val="22"/>
        </w:rPr>
      </w:pPr>
      <w:r w:rsidRPr="009E2B03">
        <w:rPr>
          <w:rFonts w:ascii="Calibri Light" w:hAnsi="Calibri Light"/>
          <w:sz w:val="22"/>
        </w:rPr>
        <w:t>As a result, the increase in the cost of violence between KPMG’s 2009 and 2016 reports is largely attributable to the expanded definition of emotional abuse and stalking captured within the P</w:t>
      </w:r>
      <w:r w:rsidR="00885A84" w:rsidRPr="009E2B03">
        <w:rPr>
          <w:rFonts w:ascii="Calibri Light" w:hAnsi="Calibri Light"/>
          <w:sz w:val="22"/>
        </w:rPr>
        <w:t>SS. In the 2016 costing, we estimate that physical and sexual violence has marginally increased to $12 billion per year, while the cost of emotional abuse and stalking has risen from $5 billion to $10 billion.</w:t>
      </w:r>
    </w:p>
    <w:p w14:paraId="5B747CA2"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To illustrate </w:t>
      </w:r>
      <w:r w:rsidR="00885A84" w:rsidRPr="009E2B03">
        <w:rPr>
          <w:rFonts w:ascii="Calibri Light" w:hAnsi="Calibri Light"/>
          <w:sz w:val="22"/>
        </w:rPr>
        <w:t>the impact of the changing definitions of violence in the PSS on KPMG’s costing</w:t>
      </w:r>
      <w:r w:rsidRPr="009E2B03">
        <w:rPr>
          <w:rFonts w:ascii="Calibri Light" w:hAnsi="Calibri Light"/>
          <w:sz w:val="22"/>
        </w:rPr>
        <w:t xml:space="preserve">, </w:t>
      </w:r>
      <w:r w:rsidRPr="009E2B03">
        <w:rPr>
          <w:rFonts w:ascii="Calibri Light" w:hAnsi="Calibri Light"/>
          <w:sz w:val="22"/>
        </w:rPr>
        <w:fldChar w:fldCharType="begin"/>
      </w:r>
      <w:r w:rsidRPr="009E2B03">
        <w:rPr>
          <w:rFonts w:ascii="Calibri Light" w:hAnsi="Calibri Light"/>
          <w:sz w:val="22"/>
        </w:rPr>
        <w:instrText xml:space="preserve"> REF _Ref447214473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 xml:space="preserve">Figure </w:t>
      </w:r>
      <w:r w:rsidR="00417237">
        <w:rPr>
          <w:rFonts w:ascii="Calibri Light" w:hAnsi="Calibri Light"/>
          <w:noProof/>
          <w:sz w:val="22"/>
        </w:rPr>
        <w:t>3</w:t>
      </w:r>
      <w:r w:rsidR="00417237" w:rsidRPr="009E2B03">
        <w:rPr>
          <w:rFonts w:ascii="Calibri Light" w:hAnsi="Calibri Light"/>
          <w:noProof/>
          <w:sz w:val="22"/>
        </w:rPr>
        <w:noBreakHyphen/>
      </w:r>
      <w:r w:rsidR="00417237">
        <w:rPr>
          <w:rFonts w:ascii="Calibri Light" w:hAnsi="Calibri Light"/>
          <w:noProof/>
          <w:sz w:val="22"/>
        </w:rPr>
        <w:t>1</w:t>
      </w:r>
      <w:r w:rsidRPr="009E2B03">
        <w:rPr>
          <w:rFonts w:ascii="Calibri Light" w:hAnsi="Calibri Light"/>
          <w:sz w:val="22"/>
        </w:rPr>
        <w:fldChar w:fldCharType="end"/>
      </w:r>
      <w:r w:rsidRPr="009E2B03">
        <w:rPr>
          <w:rFonts w:ascii="Calibri Light" w:hAnsi="Calibri Light"/>
          <w:sz w:val="22"/>
        </w:rPr>
        <w:t xml:space="preserve"> highlights the estimated cost of violence in 2015-16, based on the most recent data and information and the 2005 and</w:t>
      </w:r>
      <w:r w:rsidR="00885A84" w:rsidRPr="009E2B03">
        <w:rPr>
          <w:rFonts w:ascii="Calibri Light" w:hAnsi="Calibri Light"/>
          <w:sz w:val="22"/>
        </w:rPr>
        <w:t xml:space="preserve"> 2012 PSS prevalence estimates.</w:t>
      </w:r>
    </w:p>
    <w:p w14:paraId="1EDE3F6D" w14:textId="77777777" w:rsidR="00ED6C12" w:rsidRPr="009E2B03" w:rsidRDefault="00ED6C12" w:rsidP="00ED6C12">
      <w:pPr>
        <w:pStyle w:val="Caption"/>
        <w:rPr>
          <w:rFonts w:ascii="Calibri Light" w:hAnsi="Calibri Light" w:cs="Arial"/>
          <w:sz w:val="22"/>
        </w:rPr>
      </w:pPr>
      <w:bookmarkStart w:id="72" w:name="_Ref447214473"/>
      <w:r w:rsidRPr="009E2B03">
        <w:rPr>
          <w:rFonts w:ascii="Calibri Light" w:hAnsi="Calibri Light" w:cs="Arial"/>
          <w:sz w:val="22"/>
        </w:rPr>
        <w:lastRenderedPageBreak/>
        <w:t xml:space="preserve">Figure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Figure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72"/>
      <w:r w:rsidRPr="009E2B03">
        <w:rPr>
          <w:rFonts w:ascii="Calibri Light" w:hAnsi="Calibri Light" w:cs="Arial"/>
          <w:sz w:val="22"/>
        </w:rPr>
        <w:t>: Estimated cost of violence based on 2005 and 2012 PSS prevalence rates</w:t>
      </w:r>
    </w:p>
    <w:p w14:paraId="4F33F3A4" w14:textId="3104CD82" w:rsidR="00ED6C12" w:rsidRPr="009E2B03" w:rsidRDefault="0044044F" w:rsidP="00ED6C12">
      <w:pPr>
        <w:pStyle w:val="BodyText"/>
        <w:tabs>
          <w:tab w:val="left" w:pos="6599"/>
        </w:tabs>
        <w:rPr>
          <w:rFonts w:ascii="Calibri Light" w:hAnsi="Calibri Light"/>
          <w:sz w:val="22"/>
        </w:rPr>
      </w:pPr>
      <w:r>
        <w:rPr>
          <w:rFonts w:ascii="Calibri Light" w:hAnsi="Calibri Light"/>
          <w:noProof/>
          <w:sz w:val="22"/>
          <w:lang w:eastAsia="en-AU"/>
        </w:rPr>
        <w:drawing>
          <wp:inline distT="0" distB="0" distL="0" distR="0" wp14:anchorId="5EEB0CFD" wp14:editId="207B9D29">
            <wp:extent cx="5822315" cy="2615565"/>
            <wp:effectExtent l="0" t="0" r="6985" b="0"/>
            <wp:docPr id="3" name="Picture 3" descr="For more information please see the text above and below." title="Picture providing information on the estimated cost of violence based on the 2005 and 2012 PSS prevalenc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315" cy="2615565"/>
                    </a:xfrm>
                    <a:prstGeom prst="rect">
                      <a:avLst/>
                    </a:prstGeom>
                    <a:noFill/>
                  </pic:spPr>
                </pic:pic>
              </a:graphicData>
            </a:graphic>
          </wp:inline>
        </w:drawing>
      </w:r>
    </w:p>
    <w:p w14:paraId="1716B984" w14:textId="77777777" w:rsidR="00ED6C12" w:rsidRPr="009E2B03" w:rsidRDefault="00ED6C12" w:rsidP="00ED6C12">
      <w:pPr>
        <w:pStyle w:val="BodyText"/>
        <w:rPr>
          <w:rFonts w:ascii="Calibri Light" w:hAnsi="Calibri Light"/>
          <w:b/>
        </w:rPr>
      </w:pPr>
      <w:r w:rsidRPr="009E2B03">
        <w:rPr>
          <w:rFonts w:ascii="Calibri Light" w:hAnsi="Calibri Light"/>
        </w:rPr>
        <w:t>Source: KPMG calculations.</w:t>
      </w:r>
    </w:p>
    <w:p w14:paraId="5DD7B5BF" w14:textId="77777777" w:rsidR="00E75B5B" w:rsidRPr="009E2B03" w:rsidRDefault="00E75B5B" w:rsidP="00E75B5B">
      <w:pPr>
        <w:pStyle w:val="BodyBullet"/>
        <w:numPr>
          <w:ilvl w:val="0"/>
          <w:numId w:val="0"/>
        </w:numPr>
        <w:rPr>
          <w:rFonts w:ascii="Calibri Light" w:hAnsi="Calibri Light" w:cs="Arial"/>
          <w:sz w:val="22"/>
        </w:rPr>
      </w:pPr>
      <w:r w:rsidRPr="009E2B03">
        <w:rPr>
          <w:rFonts w:ascii="Calibri Light" w:hAnsi="Calibri Light" w:cs="Arial"/>
          <w:sz w:val="22"/>
        </w:rPr>
        <w:t xml:space="preserve">As a result of the limitations in available data, there are three key areas of consideration in interpreting the cost estimates above, and these are summarised below. </w:t>
      </w:r>
    </w:p>
    <w:p w14:paraId="37645474" w14:textId="77777777" w:rsidR="00E75B5B" w:rsidRPr="009E2B03" w:rsidRDefault="00E75B5B" w:rsidP="0043670F">
      <w:pPr>
        <w:pStyle w:val="BodyBullet"/>
        <w:numPr>
          <w:ilvl w:val="0"/>
          <w:numId w:val="0"/>
        </w:numPr>
        <w:rPr>
          <w:rFonts w:ascii="Calibri Light" w:hAnsi="Calibri Light" w:cs="Arial"/>
          <w:sz w:val="22"/>
        </w:rPr>
      </w:pPr>
      <w:r w:rsidRPr="009E2B03">
        <w:rPr>
          <w:rFonts w:ascii="Calibri Light" w:hAnsi="Calibri Light" w:cs="Arial"/>
          <w:b/>
          <w:color w:val="6D2077"/>
          <w:sz w:val="22"/>
        </w:rPr>
        <w:t>Definition changes between the 2005 and 2012 PSS</w:t>
      </w:r>
      <w:r w:rsidRPr="009E2B03">
        <w:rPr>
          <w:rFonts w:ascii="Calibri Light" w:hAnsi="Calibri Light" w:cs="Arial"/>
          <w:b/>
          <w:sz w:val="22"/>
        </w:rPr>
        <w:t>:</w:t>
      </w:r>
      <w:r w:rsidRPr="009E2B03">
        <w:rPr>
          <w:rFonts w:ascii="Calibri Light" w:hAnsi="Calibri Light" w:cs="Arial"/>
          <w:sz w:val="22"/>
        </w:rPr>
        <w:t xml:space="preserve"> The 2012 PSS included an expanded definitional scope relative to 2005</w:t>
      </w:r>
      <w:r w:rsidR="00281C7E" w:rsidRPr="009E2B03">
        <w:rPr>
          <w:rFonts w:ascii="Calibri Light" w:hAnsi="Calibri Light" w:cs="Arial"/>
          <w:sz w:val="22"/>
        </w:rPr>
        <w:t xml:space="preserve"> </w:t>
      </w:r>
      <w:r w:rsidR="0043670F" w:rsidRPr="009E2B03">
        <w:rPr>
          <w:rFonts w:ascii="Calibri Light" w:hAnsi="Calibri Light" w:cs="Arial"/>
          <w:sz w:val="22"/>
        </w:rPr>
        <w:t>which</w:t>
      </w:r>
      <w:r w:rsidR="00281C7E" w:rsidRPr="009E2B03">
        <w:rPr>
          <w:rFonts w:ascii="Calibri Light" w:hAnsi="Calibri Light" w:cs="Arial"/>
          <w:sz w:val="22"/>
        </w:rPr>
        <w:t xml:space="preserve"> caused</w:t>
      </w:r>
      <w:r w:rsidRPr="009E2B03">
        <w:rPr>
          <w:rFonts w:ascii="Calibri Light" w:hAnsi="Calibri Light" w:cs="Arial"/>
          <w:sz w:val="22"/>
        </w:rPr>
        <w:t xml:space="preserve"> the increase in prevalence of emotional abuse and s</w:t>
      </w:r>
      <w:r w:rsidR="0043670F" w:rsidRPr="009E2B03">
        <w:rPr>
          <w:rFonts w:ascii="Calibri Light" w:hAnsi="Calibri Light" w:cs="Arial"/>
          <w:sz w:val="22"/>
        </w:rPr>
        <w:t>talking. As a result</w:t>
      </w:r>
      <w:r w:rsidRPr="009E2B03">
        <w:rPr>
          <w:rFonts w:ascii="Calibri Light" w:hAnsi="Calibri Light" w:cs="Arial"/>
          <w:sz w:val="22"/>
        </w:rPr>
        <w:t xml:space="preserve">, it is not possible to </w:t>
      </w:r>
      <w:r w:rsidR="0043670F" w:rsidRPr="009E2B03">
        <w:rPr>
          <w:rFonts w:ascii="Calibri Light" w:hAnsi="Calibri Light" w:cs="Arial"/>
          <w:sz w:val="22"/>
        </w:rPr>
        <w:t>compare</w:t>
      </w:r>
      <w:r w:rsidRPr="009E2B03">
        <w:rPr>
          <w:rFonts w:ascii="Calibri Light" w:hAnsi="Calibri Light" w:cs="Arial"/>
          <w:sz w:val="22"/>
        </w:rPr>
        <w:t xml:space="preserve"> the change in emotional abuse and stalki</w:t>
      </w:r>
      <w:r w:rsidR="0043670F" w:rsidRPr="009E2B03">
        <w:rPr>
          <w:rFonts w:ascii="Calibri Light" w:hAnsi="Calibri Light" w:cs="Arial"/>
          <w:sz w:val="22"/>
        </w:rPr>
        <w:t>ng based on the 2005 definition to the 2012 PSS outputs.</w:t>
      </w:r>
    </w:p>
    <w:p w14:paraId="1F08A77B" w14:textId="77777777" w:rsidR="00E75B5B" w:rsidRPr="009E2B03" w:rsidRDefault="00E75B5B" w:rsidP="0043670F">
      <w:pPr>
        <w:pStyle w:val="BodyBullet"/>
        <w:numPr>
          <w:ilvl w:val="0"/>
          <w:numId w:val="0"/>
        </w:numPr>
        <w:rPr>
          <w:rFonts w:ascii="Calibri Light" w:hAnsi="Calibri Light" w:cs="Arial"/>
          <w:sz w:val="22"/>
        </w:rPr>
      </w:pPr>
      <w:r w:rsidRPr="009E2B03">
        <w:rPr>
          <w:rFonts w:ascii="Calibri Light" w:hAnsi="Calibri Light" w:cs="Arial"/>
          <w:b/>
          <w:color w:val="6D2077"/>
          <w:sz w:val="22"/>
        </w:rPr>
        <w:t>Timeliness of data and information</w:t>
      </w:r>
      <w:r w:rsidRPr="009E2B03">
        <w:rPr>
          <w:rFonts w:ascii="Calibri Light" w:hAnsi="Calibri Light" w:cs="Arial"/>
          <w:b/>
          <w:sz w:val="22"/>
        </w:rPr>
        <w:t xml:space="preserve">: </w:t>
      </w:r>
      <w:r w:rsidRPr="009E2B03">
        <w:rPr>
          <w:rFonts w:ascii="Calibri Light" w:hAnsi="Calibri Light" w:cs="Arial"/>
          <w:sz w:val="22"/>
        </w:rPr>
        <w:t>There are limitations in the timeliness of data reporting around violence against women and their children, with the 2012 PSS representing the most consistent source of prevalence information at a national level. The implication is that the cost estimates may not reflect the most recent trends and experience, and broader evidence should be considered alongside the cost estimates. Timeliness of data is a consistent theme in other research and publications around strengthening the evidence base</w:t>
      </w:r>
      <w:r w:rsidR="00281C7E" w:rsidRPr="009E2B03">
        <w:rPr>
          <w:rFonts w:ascii="Calibri Light" w:hAnsi="Calibri Light" w:cs="Arial"/>
          <w:sz w:val="22"/>
        </w:rPr>
        <w:t>. I</w:t>
      </w:r>
      <w:r w:rsidRPr="009E2B03">
        <w:rPr>
          <w:rFonts w:ascii="Calibri Light" w:hAnsi="Calibri Light" w:cs="Arial"/>
          <w:sz w:val="22"/>
        </w:rPr>
        <w:t>n addition, it is noted that the ABS</w:t>
      </w:r>
      <w:r w:rsidR="0043670F" w:rsidRPr="009E2B03">
        <w:rPr>
          <w:rFonts w:ascii="Calibri Light" w:hAnsi="Calibri Light" w:cs="Arial"/>
          <w:sz w:val="22"/>
        </w:rPr>
        <w:t xml:space="preserve"> is expected to publish the 2016</w:t>
      </w:r>
      <w:r w:rsidRPr="009E2B03">
        <w:rPr>
          <w:rFonts w:ascii="Calibri Light" w:hAnsi="Calibri Light" w:cs="Arial"/>
          <w:sz w:val="22"/>
        </w:rPr>
        <w:t xml:space="preserve"> P</w:t>
      </w:r>
      <w:r w:rsidR="0043670F" w:rsidRPr="009E2B03">
        <w:rPr>
          <w:rFonts w:ascii="Calibri Light" w:hAnsi="Calibri Light" w:cs="Arial"/>
          <w:sz w:val="22"/>
        </w:rPr>
        <w:t>SS later in 2017</w:t>
      </w:r>
      <w:r w:rsidRPr="009E2B03">
        <w:rPr>
          <w:rFonts w:ascii="Calibri Light" w:hAnsi="Calibri Light" w:cs="Arial"/>
          <w:sz w:val="22"/>
        </w:rPr>
        <w:t xml:space="preserve">. </w:t>
      </w:r>
    </w:p>
    <w:p w14:paraId="2A0DDC26" w14:textId="77777777" w:rsidR="00E75B5B" w:rsidRPr="009E2B03" w:rsidRDefault="00E75B5B" w:rsidP="0043670F">
      <w:pPr>
        <w:pStyle w:val="BodyBullet"/>
        <w:numPr>
          <w:ilvl w:val="0"/>
          <w:numId w:val="0"/>
        </w:numPr>
        <w:rPr>
          <w:rFonts w:ascii="Calibri Light" w:hAnsi="Calibri Light" w:cs="Arial"/>
          <w:sz w:val="22"/>
        </w:rPr>
      </w:pPr>
      <w:r w:rsidRPr="009E2B03">
        <w:rPr>
          <w:rFonts w:ascii="Calibri Light" w:hAnsi="Calibri Light" w:cs="Arial"/>
          <w:b/>
          <w:color w:val="6D2077"/>
          <w:sz w:val="22"/>
        </w:rPr>
        <w:t>Trends in the rate of deaths as a result of violence against women and their children</w:t>
      </w:r>
      <w:r w:rsidRPr="009E2B03">
        <w:rPr>
          <w:rFonts w:ascii="Calibri Light" w:hAnsi="Calibri Light" w:cs="Arial"/>
          <w:b/>
          <w:sz w:val="22"/>
        </w:rPr>
        <w:t xml:space="preserve">: </w:t>
      </w:r>
      <w:r w:rsidRPr="009E2B03">
        <w:rPr>
          <w:rFonts w:ascii="Calibri Light" w:hAnsi="Calibri Light" w:cs="Arial"/>
          <w:sz w:val="22"/>
        </w:rPr>
        <w:t xml:space="preserve">Within the overall prevalence of violence against women and their children, it is important to also consider the rate of deaths of women and their children that are attributable to violence. </w:t>
      </w:r>
    </w:p>
    <w:p w14:paraId="70C355B3" w14:textId="77777777" w:rsidR="00E75B5B" w:rsidRPr="009E2B03" w:rsidRDefault="00E75B5B" w:rsidP="00061281">
      <w:pPr>
        <w:pStyle w:val="ListBullet2"/>
        <w:numPr>
          <w:ilvl w:val="0"/>
          <w:numId w:val="27"/>
        </w:numPr>
        <w:rPr>
          <w:rFonts w:ascii="Calibri Light" w:hAnsi="Calibri Light"/>
          <w:sz w:val="22"/>
        </w:rPr>
      </w:pPr>
      <w:r w:rsidRPr="009E2B03">
        <w:rPr>
          <w:rFonts w:ascii="Calibri Light" w:hAnsi="Calibri Light"/>
          <w:sz w:val="22"/>
        </w:rPr>
        <w:t>Timeliness of data on deaths of women and their children means that establishing evidence of recent trends is particularly challenging. In 2015, the Australian Institute of Criminology (AIC) published data on domestic violence related homicides over the period from 2002-03 to 2011-12. This research found that the rate of homicide was 1.8 per 100,000 of the population in 2001-02, and that this decreased to 1.1 per 100,000 by 2011-12, with the decrease found to be across all relationship types.</w:t>
      </w:r>
      <w:r w:rsidRPr="009E2B03">
        <w:rPr>
          <w:rStyle w:val="FootnoteReference"/>
          <w:rFonts w:ascii="Calibri Light" w:hAnsi="Calibri Light"/>
          <w:i/>
          <w:iCs/>
          <w:sz w:val="22"/>
        </w:rPr>
        <w:footnoteReference w:id="23"/>
      </w:r>
    </w:p>
    <w:p w14:paraId="10BBA133" w14:textId="77777777" w:rsidR="00E75B5B" w:rsidRPr="009E2B03" w:rsidRDefault="00E75B5B" w:rsidP="00061281">
      <w:pPr>
        <w:pStyle w:val="ListBullet2"/>
        <w:numPr>
          <w:ilvl w:val="0"/>
          <w:numId w:val="27"/>
        </w:numPr>
        <w:rPr>
          <w:rFonts w:ascii="Calibri Light" w:hAnsi="Calibri Light"/>
          <w:sz w:val="22"/>
        </w:rPr>
      </w:pPr>
      <w:r w:rsidRPr="009E2B03">
        <w:rPr>
          <w:rFonts w:ascii="Calibri Light" w:hAnsi="Calibri Light"/>
          <w:sz w:val="22"/>
        </w:rPr>
        <w:t>More recent data and media around the rates of deaths of women and their children is highly limited. Although there ha</w:t>
      </w:r>
      <w:r w:rsidR="00281C7E" w:rsidRPr="009E2B03">
        <w:rPr>
          <w:rFonts w:ascii="Calibri Light" w:hAnsi="Calibri Light"/>
          <w:sz w:val="22"/>
        </w:rPr>
        <w:t>ve</w:t>
      </w:r>
      <w:r w:rsidRPr="009E2B03">
        <w:rPr>
          <w:rFonts w:ascii="Calibri Light" w:hAnsi="Calibri Light"/>
          <w:sz w:val="22"/>
        </w:rPr>
        <w:t xml:space="preserve"> been </w:t>
      </w:r>
      <w:r w:rsidR="00281C7E" w:rsidRPr="009E2B03">
        <w:rPr>
          <w:rFonts w:ascii="Calibri Light" w:hAnsi="Calibri Light"/>
          <w:sz w:val="22"/>
        </w:rPr>
        <w:t xml:space="preserve">no </w:t>
      </w:r>
      <w:r w:rsidRPr="009E2B03">
        <w:rPr>
          <w:rFonts w:ascii="Calibri Light" w:hAnsi="Calibri Light"/>
          <w:sz w:val="22"/>
        </w:rPr>
        <w:t>updates to the AIC data since its 2015 publication, the Chief Executive Officer of Our Watch suggested in 2015 that the rate of deaths was increasing to two women per week, and Destroy the Joint, a community based website, estimating 79 deaths in 2015 (approximately 1.5 deaths per week) and 17 deaths to-date in 2016 (approximately 1.3 deaths per week).</w:t>
      </w:r>
    </w:p>
    <w:p w14:paraId="0923EE08" w14:textId="77777777" w:rsidR="00ED6C12" w:rsidRPr="009E2B03" w:rsidRDefault="00ED6C12" w:rsidP="00ED6C12">
      <w:pPr>
        <w:pStyle w:val="BodyText"/>
        <w:rPr>
          <w:rFonts w:ascii="Calibri Light" w:hAnsi="Calibri Light"/>
          <w:sz w:val="22"/>
        </w:rPr>
      </w:pPr>
      <w:r w:rsidRPr="009E2B03">
        <w:rPr>
          <w:rFonts w:ascii="Calibri Light" w:hAnsi="Calibri Light"/>
          <w:sz w:val="22"/>
        </w:rPr>
        <w:lastRenderedPageBreak/>
        <w:t xml:space="preserve">Based on the prevalence of violence across each jurisdiction, </w:t>
      </w:r>
      <w:r w:rsidRPr="009E2B03">
        <w:rPr>
          <w:rFonts w:ascii="Calibri Light" w:hAnsi="Calibri Light"/>
          <w:sz w:val="22"/>
        </w:rPr>
        <w:fldChar w:fldCharType="begin"/>
      </w:r>
      <w:r w:rsidRPr="009E2B03">
        <w:rPr>
          <w:rFonts w:ascii="Calibri Light" w:hAnsi="Calibri Light"/>
          <w:sz w:val="22"/>
        </w:rPr>
        <w:instrText xml:space="preserve"> REF _Ref447116186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 xml:space="preserve">Table </w:t>
      </w:r>
      <w:r w:rsidR="00417237">
        <w:rPr>
          <w:rFonts w:ascii="Calibri Light" w:hAnsi="Calibri Light"/>
          <w:noProof/>
          <w:sz w:val="22"/>
        </w:rPr>
        <w:t>3</w:t>
      </w:r>
      <w:r w:rsidR="00417237" w:rsidRPr="009E2B03">
        <w:rPr>
          <w:rFonts w:ascii="Calibri Light" w:hAnsi="Calibri Light"/>
          <w:noProof/>
          <w:sz w:val="22"/>
        </w:rPr>
        <w:noBreakHyphen/>
      </w:r>
      <w:r w:rsidR="00417237">
        <w:rPr>
          <w:rFonts w:ascii="Calibri Light" w:hAnsi="Calibri Light"/>
          <w:noProof/>
          <w:sz w:val="22"/>
        </w:rPr>
        <w:t>1</w:t>
      </w:r>
      <w:r w:rsidRPr="009E2B03">
        <w:rPr>
          <w:rFonts w:ascii="Calibri Light" w:hAnsi="Calibri Light"/>
          <w:sz w:val="22"/>
        </w:rPr>
        <w:fldChar w:fldCharType="end"/>
      </w:r>
      <w:r w:rsidRPr="009E2B03">
        <w:rPr>
          <w:rFonts w:ascii="Calibri Light" w:hAnsi="Calibri Light"/>
          <w:sz w:val="22"/>
        </w:rPr>
        <w:t xml:space="preserve"> below provides high level cost estimates for each jurisdiction. The distribution in costs is broadly aligned to the total distribution of population for each jurisdiction. </w:t>
      </w:r>
    </w:p>
    <w:p w14:paraId="426F6DD7" w14:textId="77777777" w:rsidR="00ED6C12" w:rsidRPr="009E2B03" w:rsidRDefault="00ED6C12" w:rsidP="00ED6C12">
      <w:pPr>
        <w:pStyle w:val="Caption"/>
        <w:rPr>
          <w:rFonts w:ascii="Calibri Light" w:hAnsi="Calibri Light" w:cs="Arial"/>
          <w:sz w:val="22"/>
        </w:rPr>
      </w:pPr>
      <w:bookmarkStart w:id="73" w:name="_Ref447116186"/>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73"/>
      <w:r w:rsidRPr="009E2B03">
        <w:rPr>
          <w:rFonts w:ascii="Calibri Light" w:hAnsi="Calibri Light" w:cs="Arial"/>
          <w:sz w:val="22"/>
        </w:rPr>
        <w:t xml:space="preserve">: The cost of violence against women and their children by each jurisdiction </w:t>
      </w:r>
    </w:p>
    <w:tbl>
      <w:tblPr>
        <w:tblStyle w:val="KPMGtable1"/>
        <w:tblW w:w="0" w:type="auto"/>
        <w:tblLook w:val="04A0" w:firstRow="1" w:lastRow="0" w:firstColumn="1" w:lastColumn="0" w:noHBand="0" w:noVBand="1"/>
        <w:tblCaption w:val="Table providing information on the cost of violence against women and their children by each jurisdiction"/>
      </w:tblPr>
      <w:tblGrid>
        <w:gridCol w:w="2552"/>
        <w:gridCol w:w="3207"/>
        <w:gridCol w:w="3207"/>
      </w:tblGrid>
      <w:tr w:rsidR="00ED6C12" w:rsidRPr="009E2B03" w14:paraId="210E2DC2" w14:textId="77777777" w:rsidTr="00067B42">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6D2077"/>
            <w:vAlign w:val="center"/>
          </w:tcPr>
          <w:p w14:paraId="47D5AF24" w14:textId="77777777" w:rsidR="00ED6C12" w:rsidRPr="009E2B03" w:rsidRDefault="00ED6C12" w:rsidP="00B67A70">
            <w:pPr>
              <w:pStyle w:val="BodyText"/>
              <w:spacing w:before="40" w:after="40"/>
              <w:rPr>
                <w:rFonts w:ascii="Calibri Light" w:hAnsi="Calibri Light" w:cs="Arial"/>
                <w:b/>
              </w:rPr>
            </w:pPr>
            <w:r w:rsidRPr="009E2B03">
              <w:rPr>
                <w:rFonts w:ascii="Calibri Light" w:hAnsi="Calibri Light" w:cs="Arial"/>
                <w:b/>
              </w:rPr>
              <w:t>Jurisdiction</w:t>
            </w:r>
          </w:p>
        </w:tc>
        <w:tc>
          <w:tcPr>
            <w:tcW w:w="3207" w:type="dxa"/>
            <w:shd w:val="clear" w:color="auto" w:fill="6D2077"/>
            <w:vAlign w:val="center"/>
          </w:tcPr>
          <w:p w14:paraId="6BACD057" w14:textId="77777777" w:rsidR="00ED6C12" w:rsidRPr="009E2B03" w:rsidRDefault="00ED6C12" w:rsidP="00B67A70">
            <w:pPr>
              <w:pStyle w:val="BodyText"/>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rPr>
            </w:pPr>
            <w:r w:rsidRPr="009E2B03">
              <w:rPr>
                <w:rFonts w:ascii="Calibri Light" w:hAnsi="Calibri Light" w:cs="Arial"/>
                <w:b/>
              </w:rPr>
              <w:t>Cost ($ million)</w:t>
            </w:r>
          </w:p>
        </w:tc>
        <w:tc>
          <w:tcPr>
            <w:tcW w:w="3207" w:type="dxa"/>
            <w:shd w:val="clear" w:color="auto" w:fill="6D2077"/>
            <w:vAlign w:val="center"/>
          </w:tcPr>
          <w:p w14:paraId="5FC198C2" w14:textId="77777777" w:rsidR="00ED6C12" w:rsidRPr="009E2B03" w:rsidRDefault="00ED6C12" w:rsidP="00B67A70">
            <w:pPr>
              <w:pStyle w:val="BodyText"/>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highlight w:val="yellow"/>
              </w:rPr>
            </w:pPr>
            <w:r w:rsidRPr="009E2B03">
              <w:rPr>
                <w:rFonts w:ascii="Calibri Light" w:hAnsi="Calibri Light" w:cs="Arial"/>
                <w:b/>
              </w:rPr>
              <w:t>Proportion of total cost (%)</w:t>
            </w:r>
          </w:p>
        </w:tc>
      </w:tr>
      <w:tr w:rsidR="00ED6C12" w:rsidRPr="009E2B03" w14:paraId="5B468C52"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37FE38CE" w14:textId="77777777" w:rsidR="00ED6C12" w:rsidRPr="009E2B03" w:rsidRDefault="00ED6C12" w:rsidP="00B67A70">
            <w:pPr>
              <w:pStyle w:val="BodyText"/>
              <w:spacing w:before="40" w:after="40"/>
              <w:rPr>
                <w:rFonts w:ascii="Calibri Light" w:hAnsi="Calibri Light" w:cs="Arial"/>
              </w:rPr>
            </w:pPr>
            <w:r w:rsidRPr="009E2B03">
              <w:rPr>
                <w:rFonts w:ascii="Calibri Light" w:hAnsi="Calibri Light" w:cs="Arial"/>
              </w:rPr>
              <w:t>New South Wales</w:t>
            </w:r>
          </w:p>
        </w:tc>
        <w:tc>
          <w:tcPr>
            <w:tcW w:w="3207" w:type="dxa"/>
            <w:vAlign w:val="center"/>
          </w:tcPr>
          <w:p w14:paraId="2ED5FBB2"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6,020</w:t>
            </w:r>
          </w:p>
        </w:tc>
        <w:tc>
          <w:tcPr>
            <w:tcW w:w="3207" w:type="dxa"/>
            <w:vAlign w:val="center"/>
          </w:tcPr>
          <w:p w14:paraId="6225B2BB"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highlight w:val="yellow"/>
              </w:rPr>
            </w:pPr>
            <w:r w:rsidRPr="009E2B03">
              <w:rPr>
                <w:rFonts w:ascii="Calibri Light" w:hAnsi="Calibri Light" w:cs="Arial"/>
              </w:rPr>
              <w:t>28</w:t>
            </w:r>
          </w:p>
        </w:tc>
      </w:tr>
      <w:tr w:rsidR="00ED6C12" w:rsidRPr="009E2B03" w14:paraId="13760DE5" w14:textId="77777777" w:rsidTr="00067B42">
        <w:trPr>
          <w:trHeight w:val="178"/>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3C81FE34" w14:textId="77777777" w:rsidR="00ED6C12" w:rsidRPr="009E2B03" w:rsidRDefault="00ED6C12" w:rsidP="00B67A70">
            <w:pPr>
              <w:pStyle w:val="BodyText"/>
              <w:spacing w:before="40" w:after="40"/>
              <w:rPr>
                <w:rFonts w:ascii="Calibri Light" w:hAnsi="Calibri Light" w:cs="Arial"/>
              </w:rPr>
            </w:pPr>
            <w:r w:rsidRPr="009E2B03">
              <w:rPr>
                <w:rFonts w:ascii="Calibri Light" w:hAnsi="Calibri Light" w:cs="Arial"/>
                <w:color w:val="000000"/>
              </w:rPr>
              <w:t>Victoria</w:t>
            </w:r>
          </w:p>
        </w:tc>
        <w:tc>
          <w:tcPr>
            <w:tcW w:w="3207" w:type="dxa"/>
            <w:vAlign w:val="center"/>
          </w:tcPr>
          <w:p w14:paraId="6201F79E"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5,332</w:t>
            </w:r>
          </w:p>
        </w:tc>
        <w:tc>
          <w:tcPr>
            <w:tcW w:w="3207" w:type="dxa"/>
            <w:vAlign w:val="center"/>
          </w:tcPr>
          <w:p w14:paraId="0085435E"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highlight w:val="yellow"/>
              </w:rPr>
            </w:pPr>
            <w:r w:rsidRPr="009E2B03">
              <w:rPr>
                <w:rFonts w:ascii="Calibri Light" w:hAnsi="Calibri Light" w:cs="Arial"/>
              </w:rPr>
              <w:t>25</w:t>
            </w:r>
          </w:p>
        </w:tc>
      </w:tr>
      <w:tr w:rsidR="00ED6C12" w:rsidRPr="009E2B03" w14:paraId="150B7D4B"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32FFCC21" w14:textId="77777777" w:rsidR="00ED6C12" w:rsidRPr="009E2B03" w:rsidRDefault="00ED6C12" w:rsidP="00B67A70">
            <w:pPr>
              <w:pStyle w:val="BodyText"/>
              <w:spacing w:before="40" w:after="40"/>
              <w:rPr>
                <w:rFonts w:ascii="Calibri Light" w:hAnsi="Calibri Light" w:cs="Arial"/>
              </w:rPr>
            </w:pPr>
            <w:r w:rsidRPr="009E2B03">
              <w:rPr>
                <w:rFonts w:ascii="Calibri Light" w:hAnsi="Calibri Light" w:cs="Arial"/>
                <w:color w:val="000000"/>
              </w:rPr>
              <w:t>Queensland</w:t>
            </w:r>
          </w:p>
        </w:tc>
        <w:tc>
          <w:tcPr>
            <w:tcW w:w="3207" w:type="dxa"/>
            <w:vAlign w:val="center"/>
          </w:tcPr>
          <w:p w14:paraId="1A46ED56"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4,765</w:t>
            </w:r>
          </w:p>
        </w:tc>
        <w:tc>
          <w:tcPr>
            <w:tcW w:w="3207" w:type="dxa"/>
            <w:vAlign w:val="center"/>
          </w:tcPr>
          <w:p w14:paraId="2E0BC82F"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highlight w:val="yellow"/>
              </w:rPr>
            </w:pPr>
            <w:r w:rsidRPr="009E2B03">
              <w:rPr>
                <w:rFonts w:ascii="Calibri Light" w:hAnsi="Calibri Light" w:cs="Arial"/>
              </w:rPr>
              <w:t>22</w:t>
            </w:r>
          </w:p>
        </w:tc>
      </w:tr>
      <w:tr w:rsidR="00ED6C12" w:rsidRPr="009E2B03" w14:paraId="10B9671C"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74D269A4" w14:textId="77777777" w:rsidR="00ED6C12" w:rsidRPr="009E2B03" w:rsidRDefault="00ED6C12" w:rsidP="00B67A70">
            <w:pPr>
              <w:pStyle w:val="BodyText"/>
              <w:spacing w:before="40" w:after="40"/>
              <w:rPr>
                <w:rFonts w:ascii="Calibri Light" w:hAnsi="Calibri Light" w:cs="Arial"/>
              </w:rPr>
            </w:pPr>
            <w:r w:rsidRPr="009E2B03">
              <w:rPr>
                <w:rFonts w:ascii="Calibri Light" w:hAnsi="Calibri Light" w:cs="Arial"/>
                <w:color w:val="000000"/>
              </w:rPr>
              <w:t>South Australia</w:t>
            </w:r>
          </w:p>
        </w:tc>
        <w:tc>
          <w:tcPr>
            <w:tcW w:w="3207" w:type="dxa"/>
            <w:vAlign w:val="center"/>
          </w:tcPr>
          <w:p w14:paraId="472BB466"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1,641</w:t>
            </w:r>
          </w:p>
        </w:tc>
        <w:tc>
          <w:tcPr>
            <w:tcW w:w="3207" w:type="dxa"/>
            <w:vAlign w:val="center"/>
          </w:tcPr>
          <w:p w14:paraId="72B47A01"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highlight w:val="yellow"/>
              </w:rPr>
            </w:pPr>
            <w:r w:rsidRPr="009E2B03">
              <w:rPr>
                <w:rFonts w:ascii="Calibri Light" w:hAnsi="Calibri Light" w:cs="Arial"/>
              </w:rPr>
              <w:t>8</w:t>
            </w:r>
          </w:p>
        </w:tc>
      </w:tr>
      <w:tr w:rsidR="00ED6C12" w:rsidRPr="009E2B03" w14:paraId="5816AF81"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33B562A2" w14:textId="77777777" w:rsidR="00ED6C12" w:rsidRPr="009E2B03" w:rsidRDefault="00ED6C12" w:rsidP="00B67A70">
            <w:pPr>
              <w:pStyle w:val="BodyText"/>
              <w:spacing w:before="40" w:after="40"/>
              <w:rPr>
                <w:rFonts w:ascii="Calibri Light" w:hAnsi="Calibri Light" w:cs="Arial"/>
              </w:rPr>
            </w:pPr>
            <w:r w:rsidRPr="009E2B03">
              <w:rPr>
                <w:rFonts w:ascii="Calibri Light" w:hAnsi="Calibri Light" w:cs="Arial"/>
                <w:color w:val="000000"/>
              </w:rPr>
              <w:t>Western Australia</w:t>
            </w:r>
          </w:p>
        </w:tc>
        <w:tc>
          <w:tcPr>
            <w:tcW w:w="3207" w:type="dxa"/>
            <w:vAlign w:val="center"/>
          </w:tcPr>
          <w:p w14:paraId="5095A2F0"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2,822</w:t>
            </w:r>
          </w:p>
        </w:tc>
        <w:tc>
          <w:tcPr>
            <w:tcW w:w="3207" w:type="dxa"/>
            <w:vAlign w:val="center"/>
          </w:tcPr>
          <w:p w14:paraId="1798B2F9"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highlight w:val="yellow"/>
              </w:rPr>
            </w:pPr>
            <w:r w:rsidRPr="009E2B03">
              <w:rPr>
                <w:rFonts w:ascii="Calibri Light" w:hAnsi="Calibri Light" w:cs="Arial"/>
              </w:rPr>
              <w:t>13</w:t>
            </w:r>
          </w:p>
        </w:tc>
      </w:tr>
      <w:tr w:rsidR="00ED6C12" w:rsidRPr="009E2B03" w14:paraId="536AE24F"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7957D8C7" w14:textId="77777777" w:rsidR="00ED6C12" w:rsidRPr="009E2B03" w:rsidRDefault="00ED6C12" w:rsidP="00B67A70">
            <w:pPr>
              <w:pStyle w:val="BodyText"/>
              <w:spacing w:before="40" w:after="40"/>
              <w:rPr>
                <w:rFonts w:ascii="Calibri Light" w:hAnsi="Calibri Light" w:cs="Arial"/>
              </w:rPr>
            </w:pPr>
            <w:r w:rsidRPr="009E2B03">
              <w:rPr>
                <w:rFonts w:ascii="Calibri Light" w:hAnsi="Calibri Light" w:cs="Arial"/>
                <w:color w:val="000000"/>
              </w:rPr>
              <w:t>Tasmania</w:t>
            </w:r>
          </w:p>
        </w:tc>
        <w:tc>
          <w:tcPr>
            <w:tcW w:w="3207" w:type="dxa"/>
            <w:vAlign w:val="center"/>
          </w:tcPr>
          <w:p w14:paraId="3A24403B"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502</w:t>
            </w:r>
          </w:p>
        </w:tc>
        <w:tc>
          <w:tcPr>
            <w:tcW w:w="3207" w:type="dxa"/>
            <w:vAlign w:val="center"/>
          </w:tcPr>
          <w:p w14:paraId="1BC0EDAE"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highlight w:val="yellow"/>
              </w:rPr>
            </w:pPr>
            <w:r w:rsidRPr="009E2B03">
              <w:rPr>
                <w:rFonts w:ascii="Calibri Light" w:hAnsi="Calibri Light" w:cs="Arial"/>
              </w:rPr>
              <w:t>2</w:t>
            </w:r>
          </w:p>
        </w:tc>
      </w:tr>
      <w:tr w:rsidR="00ED6C12" w:rsidRPr="009E2B03" w14:paraId="70922F4C"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4678D015" w14:textId="77777777" w:rsidR="00ED6C12" w:rsidRPr="009E2B03" w:rsidRDefault="00ED6C12" w:rsidP="00B67A70">
            <w:pPr>
              <w:pStyle w:val="BodyText"/>
              <w:spacing w:before="40" w:after="40"/>
              <w:rPr>
                <w:rFonts w:ascii="Calibri Light" w:hAnsi="Calibri Light" w:cs="Arial"/>
              </w:rPr>
            </w:pPr>
            <w:r w:rsidRPr="009E2B03">
              <w:rPr>
                <w:rFonts w:ascii="Calibri Light" w:hAnsi="Calibri Light" w:cs="Arial"/>
                <w:color w:val="000000"/>
              </w:rPr>
              <w:t>Northern Territory</w:t>
            </w:r>
          </w:p>
        </w:tc>
        <w:tc>
          <w:tcPr>
            <w:tcW w:w="3207" w:type="dxa"/>
            <w:vAlign w:val="center"/>
          </w:tcPr>
          <w:p w14:paraId="23D3983D"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228</w:t>
            </w:r>
          </w:p>
        </w:tc>
        <w:tc>
          <w:tcPr>
            <w:tcW w:w="3207" w:type="dxa"/>
            <w:vAlign w:val="center"/>
          </w:tcPr>
          <w:p w14:paraId="07841123"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highlight w:val="yellow"/>
              </w:rPr>
            </w:pPr>
            <w:r w:rsidRPr="009E2B03">
              <w:rPr>
                <w:rFonts w:ascii="Calibri Light" w:hAnsi="Calibri Light" w:cs="Arial"/>
              </w:rPr>
              <w:t>1</w:t>
            </w:r>
          </w:p>
        </w:tc>
      </w:tr>
      <w:tr w:rsidR="00ED6C12" w:rsidRPr="009E2B03" w14:paraId="6827C6ED"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332D70AB" w14:textId="77777777" w:rsidR="00ED6C12" w:rsidRPr="009E2B03" w:rsidRDefault="00ED6C12" w:rsidP="00B67A70">
            <w:pPr>
              <w:pStyle w:val="BodyText"/>
              <w:spacing w:before="40" w:after="40"/>
              <w:rPr>
                <w:rFonts w:ascii="Calibri Light" w:hAnsi="Calibri Light" w:cs="Arial"/>
                <w:b/>
              </w:rPr>
            </w:pPr>
            <w:r w:rsidRPr="009E2B03">
              <w:rPr>
                <w:rFonts w:ascii="Calibri Light" w:hAnsi="Calibri Light" w:cs="Arial"/>
                <w:color w:val="000000"/>
              </w:rPr>
              <w:t>Australian Capital Territory</w:t>
            </w:r>
          </w:p>
        </w:tc>
        <w:tc>
          <w:tcPr>
            <w:tcW w:w="3207" w:type="dxa"/>
            <w:vAlign w:val="center"/>
          </w:tcPr>
          <w:p w14:paraId="714825E9"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rPr>
            </w:pPr>
            <w:r w:rsidRPr="009E2B03">
              <w:rPr>
                <w:rFonts w:ascii="Calibri Light" w:hAnsi="Calibri Light" w:cs="Arial"/>
                <w:szCs w:val="18"/>
              </w:rPr>
              <w:t>414</w:t>
            </w:r>
          </w:p>
        </w:tc>
        <w:tc>
          <w:tcPr>
            <w:tcW w:w="3207" w:type="dxa"/>
            <w:vAlign w:val="center"/>
          </w:tcPr>
          <w:p w14:paraId="77E35B05"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highlight w:val="yellow"/>
              </w:rPr>
            </w:pPr>
            <w:r w:rsidRPr="009E2B03">
              <w:rPr>
                <w:rFonts w:ascii="Calibri Light" w:hAnsi="Calibri Light" w:cs="Arial"/>
              </w:rPr>
              <w:t>2</w:t>
            </w:r>
          </w:p>
        </w:tc>
      </w:tr>
      <w:tr w:rsidR="00ED6C12" w:rsidRPr="009E2B03" w14:paraId="3FB0C922" w14:textId="77777777" w:rsidTr="00067B42">
        <w:trPr>
          <w:trHeight w:val="263"/>
        </w:trPr>
        <w:tc>
          <w:tcPr>
            <w:cnfStyle w:val="001000000000" w:firstRow="0" w:lastRow="0" w:firstColumn="1" w:lastColumn="0" w:oddVBand="0" w:evenVBand="0" w:oddHBand="0" w:evenHBand="0" w:firstRowFirstColumn="0" w:firstRowLastColumn="0" w:lastRowFirstColumn="0" w:lastRowLastColumn="0"/>
            <w:tcW w:w="2552" w:type="dxa"/>
            <w:shd w:val="clear" w:color="auto" w:fill="F3F0F4"/>
            <w:vAlign w:val="center"/>
          </w:tcPr>
          <w:p w14:paraId="59075287" w14:textId="77777777" w:rsidR="00ED6C12" w:rsidRPr="009E2B03" w:rsidRDefault="00ED6C12" w:rsidP="00B67A70">
            <w:pPr>
              <w:pStyle w:val="BodyText"/>
              <w:spacing w:before="40" w:after="40"/>
              <w:rPr>
                <w:rFonts w:ascii="Calibri Light" w:hAnsi="Calibri Light" w:cs="Arial"/>
                <w:color w:val="000000"/>
              </w:rPr>
            </w:pPr>
            <w:r w:rsidRPr="009E2B03">
              <w:rPr>
                <w:rFonts w:ascii="Calibri Light" w:hAnsi="Calibri Light" w:cs="Arial"/>
                <w:color w:val="000000"/>
              </w:rPr>
              <w:t>Total</w:t>
            </w:r>
          </w:p>
        </w:tc>
        <w:tc>
          <w:tcPr>
            <w:tcW w:w="3207" w:type="dxa"/>
            <w:vAlign w:val="center"/>
          </w:tcPr>
          <w:p w14:paraId="08F5FC7B"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b/>
                <w:color w:val="6D2077"/>
                <w:sz w:val="22"/>
                <w:szCs w:val="24"/>
                <w:lang w:eastAsia="en-AU"/>
              </w:rPr>
            </w:pPr>
            <w:r w:rsidRPr="009E2B03">
              <w:rPr>
                <w:rFonts w:ascii="Calibri Light" w:eastAsia="Times New Roman" w:hAnsi="Calibri Light" w:cs="Arial"/>
                <w:b/>
                <w:color w:val="6D2077"/>
                <w:sz w:val="22"/>
                <w:szCs w:val="24"/>
                <w:lang w:eastAsia="en-AU"/>
              </w:rPr>
              <w:t>21,722</w:t>
            </w:r>
          </w:p>
        </w:tc>
        <w:tc>
          <w:tcPr>
            <w:tcW w:w="3207" w:type="dxa"/>
            <w:vAlign w:val="center"/>
          </w:tcPr>
          <w:p w14:paraId="5FE3C2B0" w14:textId="77777777" w:rsidR="00ED6C12" w:rsidRPr="009E2B03" w:rsidRDefault="00ED6C12" w:rsidP="00B67A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b/>
                <w:color w:val="6D2077"/>
                <w:sz w:val="22"/>
                <w:szCs w:val="24"/>
                <w:lang w:eastAsia="en-AU"/>
              </w:rPr>
            </w:pPr>
            <w:r w:rsidRPr="009E2B03">
              <w:rPr>
                <w:rFonts w:ascii="Calibri Light" w:eastAsia="Times New Roman" w:hAnsi="Calibri Light" w:cs="Arial"/>
                <w:b/>
                <w:color w:val="6D2077"/>
                <w:sz w:val="22"/>
                <w:szCs w:val="24"/>
                <w:lang w:eastAsia="en-AU"/>
              </w:rPr>
              <w:t>100</w:t>
            </w:r>
          </w:p>
        </w:tc>
      </w:tr>
    </w:tbl>
    <w:p w14:paraId="7C20E61B" w14:textId="77777777" w:rsidR="00ED6C12" w:rsidRPr="009E2B03" w:rsidRDefault="00ED6C12" w:rsidP="00ED6C12">
      <w:pPr>
        <w:pStyle w:val="BodyText"/>
        <w:rPr>
          <w:rFonts w:ascii="Calibri Light" w:hAnsi="Calibri Light"/>
        </w:rPr>
      </w:pPr>
      <w:r w:rsidRPr="009E2B03">
        <w:rPr>
          <w:rFonts w:ascii="Calibri Light" w:hAnsi="Calibri Light"/>
        </w:rPr>
        <w:t>Source: KPMG.</w:t>
      </w:r>
    </w:p>
    <w:p w14:paraId="152881F6" w14:textId="77777777" w:rsidR="00ED6C12" w:rsidRPr="009E2B03" w:rsidRDefault="00ED6C12" w:rsidP="00ED6C12">
      <w:pPr>
        <w:pStyle w:val="BodyText"/>
        <w:rPr>
          <w:rFonts w:ascii="Calibri Light" w:hAnsi="Calibri Light"/>
          <w:sz w:val="22"/>
        </w:rPr>
      </w:pPr>
      <w:r w:rsidRPr="009E2B03">
        <w:rPr>
          <w:rFonts w:ascii="Calibri Light" w:hAnsi="Calibri Light"/>
          <w:sz w:val="22"/>
        </w:rPr>
        <w:fldChar w:fldCharType="begin"/>
      </w:r>
      <w:r w:rsidRPr="009E2B03">
        <w:rPr>
          <w:rFonts w:ascii="Calibri Light" w:hAnsi="Calibri Light"/>
          <w:sz w:val="22"/>
        </w:rPr>
        <w:instrText xml:space="preserve"> REF _Ref447116186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 xml:space="preserve">Table </w:t>
      </w:r>
      <w:r w:rsidR="00417237">
        <w:rPr>
          <w:rFonts w:ascii="Calibri Light" w:hAnsi="Calibri Light"/>
          <w:noProof/>
          <w:sz w:val="22"/>
        </w:rPr>
        <w:t>3</w:t>
      </w:r>
      <w:r w:rsidR="00417237" w:rsidRPr="009E2B03">
        <w:rPr>
          <w:rFonts w:ascii="Calibri Light" w:hAnsi="Calibri Light"/>
          <w:noProof/>
          <w:sz w:val="22"/>
        </w:rPr>
        <w:noBreakHyphen/>
      </w:r>
      <w:r w:rsidR="00417237">
        <w:rPr>
          <w:rFonts w:ascii="Calibri Light" w:hAnsi="Calibri Light"/>
          <w:noProof/>
          <w:sz w:val="22"/>
        </w:rPr>
        <w:t>1</w:t>
      </w:r>
      <w:r w:rsidRPr="009E2B03">
        <w:rPr>
          <w:rFonts w:ascii="Calibri Light" w:hAnsi="Calibri Light"/>
          <w:sz w:val="22"/>
        </w:rPr>
        <w:fldChar w:fldCharType="end"/>
      </w:r>
      <w:r w:rsidRPr="009E2B03">
        <w:rPr>
          <w:rFonts w:ascii="Calibri Light" w:hAnsi="Calibri Light"/>
          <w:sz w:val="22"/>
        </w:rPr>
        <w:t xml:space="preserve"> shows the scale of violence across Australia, as well as the scale of the impacts of violence on the physical and psychological health of victims, their families, and the productivity of the broader economy. The impacts of violence can also be understood through the costs borne by the key cost bearers:</w:t>
      </w:r>
    </w:p>
    <w:p w14:paraId="4E0E806D" w14:textId="77777777" w:rsidR="00ED6C12" w:rsidRPr="009E2B03" w:rsidRDefault="00BD1644" w:rsidP="00ED6C12">
      <w:pPr>
        <w:pStyle w:val="BodyBullet"/>
        <w:rPr>
          <w:rFonts w:ascii="Calibri Light" w:hAnsi="Calibri Light" w:cs="Arial"/>
          <w:sz w:val="22"/>
        </w:rPr>
      </w:pPr>
      <w:r w:rsidRPr="009E2B03">
        <w:rPr>
          <w:rFonts w:ascii="Calibri Light" w:hAnsi="Calibri Light" w:cs="Arial"/>
          <w:b/>
          <w:color w:val="6D2077"/>
          <w:sz w:val="22"/>
        </w:rPr>
        <w:t xml:space="preserve">Victims and survivors bear </w:t>
      </w:r>
      <w:r w:rsidR="00ED6C12" w:rsidRPr="009E2B03">
        <w:rPr>
          <w:rFonts w:ascii="Calibri Light" w:hAnsi="Calibri Light" w:cs="Arial"/>
          <w:b/>
          <w:color w:val="6D2077"/>
          <w:sz w:val="22"/>
        </w:rPr>
        <w:t>52 per cent of total costs ($11.3 billion)</w:t>
      </w:r>
      <w:r w:rsidR="00ED6C12" w:rsidRPr="009E2B03">
        <w:rPr>
          <w:rFonts w:ascii="Calibri Light" w:hAnsi="Calibri Light" w:cs="Arial"/>
          <w:b/>
          <w:sz w:val="22"/>
        </w:rPr>
        <w:t xml:space="preserve"> </w:t>
      </w:r>
      <w:r w:rsidR="00ED6C12" w:rsidRPr="009E2B03">
        <w:rPr>
          <w:rFonts w:ascii="Calibri Light" w:hAnsi="Calibri Light" w:cs="Arial"/>
          <w:sz w:val="22"/>
        </w:rPr>
        <w:t>– costs are attributable to all cost categories, including the impacts on pain/suffering and premature mortality, and production-related costs</w:t>
      </w:r>
      <w:r w:rsidRPr="009E2B03">
        <w:rPr>
          <w:rFonts w:ascii="Calibri Light" w:hAnsi="Calibri Light" w:cs="Arial"/>
          <w:sz w:val="22"/>
        </w:rPr>
        <w:t>.</w:t>
      </w:r>
    </w:p>
    <w:p w14:paraId="1D61A912" w14:textId="77777777" w:rsidR="00ED6C12" w:rsidRPr="009E2B03" w:rsidRDefault="00BD1644" w:rsidP="00ED6C12">
      <w:pPr>
        <w:pStyle w:val="BodyBullet"/>
        <w:rPr>
          <w:rFonts w:ascii="Calibri Light" w:hAnsi="Calibri Light" w:cs="Arial"/>
          <w:sz w:val="22"/>
        </w:rPr>
      </w:pPr>
      <w:r w:rsidRPr="009E2B03">
        <w:rPr>
          <w:rFonts w:ascii="Calibri Light" w:hAnsi="Calibri Light" w:cs="Arial"/>
          <w:b/>
          <w:color w:val="6D2077"/>
          <w:sz w:val="22"/>
        </w:rPr>
        <w:t>T</w:t>
      </w:r>
      <w:r w:rsidR="00ED6C12" w:rsidRPr="009E2B03">
        <w:rPr>
          <w:rFonts w:ascii="Calibri Light" w:hAnsi="Calibri Light" w:cs="Arial"/>
          <w:b/>
          <w:color w:val="6D2077"/>
          <w:sz w:val="22"/>
        </w:rPr>
        <w:t xml:space="preserve">he Commonwealth, </w:t>
      </w:r>
      <w:r w:rsidRPr="009E2B03">
        <w:rPr>
          <w:rFonts w:ascii="Calibri Light" w:hAnsi="Calibri Light" w:cs="Arial"/>
          <w:b/>
          <w:color w:val="6D2077"/>
          <w:sz w:val="22"/>
        </w:rPr>
        <w:t>s</w:t>
      </w:r>
      <w:r w:rsidR="00ED6C12" w:rsidRPr="009E2B03">
        <w:rPr>
          <w:rFonts w:ascii="Calibri Light" w:hAnsi="Calibri Light" w:cs="Arial"/>
          <w:b/>
          <w:color w:val="6D2077"/>
          <w:sz w:val="22"/>
        </w:rPr>
        <w:t>tate</w:t>
      </w:r>
      <w:r w:rsidRPr="009E2B03">
        <w:rPr>
          <w:rFonts w:ascii="Calibri Light" w:hAnsi="Calibri Light" w:cs="Arial"/>
          <w:b/>
          <w:color w:val="6D2077"/>
          <w:sz w:val="22"/>
        </w:rPr>
        <w:t xml:space="preserve"> and t</w:t>
      </w:r>
      <w:r w:rsidR="00ED6C12" w:rsidRPr="009E2B03">
        <w:rPr>
          <w:rFonts w:ascii="Calibri Light" w:hAnsi="Calibri Light" w:cs="Arial"/>
          <w:b/>
          <w:color w:val="6D2077"/>
          <w:sz w:val="22"/>
        </w:rPr>
        <w:t xml:space="preserve">erritory governments </w:t>
      </w:r>
      <w:r w:rsidRPr="009E2B03">
        <w:rPr>
          <w:rFonts w:ascii="Calibri Light" w:hAnsi="Calibri Light" w:cs="Arial"/>
          <w:b/>
          <w:color w:val="6D2077"/>
          <w:sz w:val="22"/>
        </w:rPr>
        <w:t>bear 19 per cent of total costs ($4.1 billion)</w:t>
      </w:r>
      <w:r w:rsidRPr="009E2B03">
        <w:rPr>
          <w:rFonts w:ascii="Calibri Light" w:hAnsi="Calibri Light" w:cs="Arial"/>
          <w:b/>
          <w:sz w:val="22"/>
        </w:rPr>
        <w:t xml:space="preserve"> </w:t>
      </w:r>
      <w:r w:rsidR="00ED6C12" w:rsidRPr="009E2B03">
        <w:rPr>
          <w:rFonts w:ascii="Calibri Light" w:hAnsi="Calibri Light" w:cs="Arial"/>
          <w:sz w:val="22"/>
        </w:rPr>
        <w:t>– costs are attributable to the impact on the broader services system, including the health, justice, and human services sectors</w:t>
      </w:r>
      <w:r w:rsidRPr="009E2B03">
        <w:rPr>
          <w:rFonts w:ascii="Calibri Light" w:hAnsi="Calibri Light" w:cs="Arial"/>
          <w:sz w:val="22"/>
        </w:rPr>
        <w:t>.</w:t>
      </w:r>
    </w:p>
    <w:p w14:paraId="469FD85A" w14:textId="77777777" w:rsidR="00ED6C12" w:rsidRPr="009E2B03" w:rsidRDefault="00BD1644" w:rsidP="00ED6C12">
      <w:pPr>
        <w:pStyle w:val="BodyBullet"/>
        <w:rPr>
          <w:rFonts w:ascii="Calibri Light" w:hAnsi="Calibri Light" w:cs="Arial"/>
          <w:sz w:val="22"/>
        </w:rPr>
      </w:pPr>
      <w:r w:rsidRPr="009E2B03">
        <w:rPr>
          <w:rFonts w:ascii="Calibri Light" w:hAnsi="Calibri Light" w:cs="Arial"/>
          <w:b/>
          <w:color w:val="6D2077"/>
          <w:sz w:val="22"/>
        </w:rPr>
        <w:t>T</w:t>
      </w:r>
      <w:r w:rsidR="00ED6C12" w:rsidRPr="009E2B03">
        <w:rPr>
          <w:rFonts w:ascii="Calibri Light" w:hAnsi="Calibri Light" w:cs="Arial"/>
          <w:b/>
          <w:color w:val="6D2077"/>
          <w:sz w:val="22"/>
        </w:rPr>
        <w:t xml:space="preserve">he remaining 29 per cent of total costs ($6.5 billion) </w:t>
      </w:r>
      <w:r w:rsidRPr="009E2B03">
        <w:rPr>
          <w:rFonts w:ascii="Calibri Light" w:hAnsi="Calibri Light" w:cs="Arial"/>
          <w:b/>
          <w:color w:val="6D2077"/>
          <w:sz w:val="22"/>
        </w:rPr>
        <w:t xml:space="preserve">are </w:t>
      </w:r>
      <w:r w:rsidR="00ED6C12" w:rsidRPr="009E2B03">
        <w:rPr>
          <w:rFonts w:ascii="Calibri Light" w:hAnsi="Calibri Light" w:cs="Arial"/>
          <w:b/>
          <w:color w:val="6D2077"/>
          <w:sz w:val="22"/>
        </w:rPr>
        <w:t>borne by the community, children of women experiencing violence, the perpet</w:t>
      </w:r>
      <w:r w:rsidRPr="009E2B03">
        <w:rPr>
          <w:rFonts w:ascii="Calibri Light" w:hAnsi="Calibri Light" w:cs="Arial"/>
          <w:b/>
          <w:color w:val="6D2077"/>
          <w:sz w:val="22"/>
        </w:rPr>
        <w:t>r</w:t>
      </w:r>
      <w:r w:rsidR="00ED6C12" w:rsidRPr="009E2B03">
        <w:rPr>
          <w:rFonts w:ascii="Calibri Light" w:hAnsi="Calibri Light" w:cs="Arial"/>
          <w:b/>
          <w:color w:val="6D2077"/>
          <w:sz w:val="22"/>
        </w:rPr>
        <w:t xml:space="preserve">ator, employers, and friends and family </w:t>
      </w:r>
      <w:r w:rsidR="00ED6C12" w:rsidRPr="009E2B03">
        <w:rPr>
          <w:rFonts w:ascii="Calibri Light" w:hAnsi="Calibri Light" w:cs="Arial"/>
          <w:sz w:val="22"/>
        </w:rPr>
        <w:t>– costs are attributable across all cost categories, with children facing long-term and significant impact</w:t>
      </w:r>
      <w:r w:rsidR="00F571E8" w:rsidRPr="009E2B03">
        <w:rPr>
          <w:rFonts w:ascii="Calibri Light" w:hAnsi="Calibri Light" w:cs="Arial"/>
          <w:sz w:val="22"/>
        </w:rPr>
        <w:t>s of being exposed to violence.</w:t>
      </w:r>
    </w:p>
    <w:p w14:paraId="7D3BD31A" w14:textId="77777777" w:rsidR="003836B0" w:rsidRPr="009E2B03" w:rsidRDefault="003836B0" w:rsidP="003836B0">
      <w:pPr>
        <w:pStyle w:val="Caption"/>
        <w:rPr>
          <w:rFonts w:ascii="Calibri Light" w:hAnsi="Calibri Light" w:cs="Arial"/>
          <w:sz w:val="22"/>
        </w:rPr>
      </w:pPr>
      <w:r w:rsidRPr="009E2B03">
        <w:rPr>
          <w:rFonts w:ascii="Calibri Light" w:hAnsi="Calibri Light" w:cs="Arial"/>
          <w:sz w:val="22"/>
        </w:rPr>
        <w:t>Box 3</w:t>
      </w:r>
      <w:r w:rsidRPr="009E2B03">
        <w:rPr>
          <w:rFonts w:ascii="Calibri Light" w:hAnsi="Calibri Light" w:cs="Arial"/>
          <w:sz w:val="22"/>
        </w:rPr>
        <w:noBreakHyphen/>
      </w:r>
      <w:r w:rsidRPr="009E2B03">
        <w:rPr>
          <w:rFonts w:ascii="Calibri Light" w:hAnsi="Calibri Light" w:cs="Arial"/>
          <w:sz w:val="22"/>
        </w:rPr>
        <w:fldChar w:fldCharType="begin"/>
      </w:r>
      <w:r w:rsidRPr="009E2B03">
        <w:rPr>
          <w:rFonts w:ascii="Calibri Light" w:hAnsi="Calibri Light" w:cs="Arial"/>
          <w:sz w:val="22"/>
        </w:rPr>
        <w:instrText xml:space="preserve"> SEQ Box \* ARABIC \s 1 </w:instrText>
      </w:r>
      <w:r w:rsidRPr="009E2B03">
        <w:rPr>
          <w:rFonts w:ascii="Calibri Light" w:hAnsi="Calibri Light" w:cs="Arial"/>
          <w:sz w:val="22"/>
        </w:rPr>
        <w:fldChar w:fldCharType="separate"/>
      </w:r>
      <w:r w:rsidR="00417237">
        <w:rPr>
          <w:rFonts w:ascii="Calibri Light" w:hAnsi="Calibri Light" w:cs="Arial"/>
          <w:noProof/>
          <w:sz w:val="22"/>
        </w:rPr>
        <w:t>1</w:t>
      </w:r>
      <w:r w:rsidRPr="009E2B03">
        <w:rPr>
          <w:rFonts w:ascii="Calibri Light" w:hAnsi="Calibri Light" w:cs="Arial"/>
          <w:noProof/>
          <w:sz w:val="22"/>
        </w:rPr>
        <w:fldChar w:fldCharType="end"/>
      </w:r>
      <w:r w:rsidRPr="009E2B03">
        <w:rPr>
          <w:rFonts w:ascii="Calibri Light" w:hAnsi="Calibri Light" w:cs="Arial"/>
          <w:sz w:val="22"/>
        </w:rPr>
        <w:t>: The cost implications of violence for women</w:t>
      </w:r>
      <w:r w:rsidR="007D429E" w:rsidRPr="009E2B03">
        <w:rPr>
          <w:rFonts w:ascii="Calibri Light" w:hAnsi="Calibri Light" w:cs="Arial"/>
          <w:sz w:val="22"/>
        </w:rPr>
        <w:t>, family and friends</w:t>
      </w:r>
    </w:p>
    <w:p w14:paraId="7B1E878D" w14:textId="77777777" w:rsidR="00F571E8" w:rsidRPr="009E2B03" w:rsidRDefault="00F571E8" w:rsidP="00067B42">
      <w:pPr>
        <w:pBdr>
          <w:top w:val="single" w:sz="4" w:space="1" w:color="auto"/>
          <w:left w:val="single" w:sz="4" w:space="4" w:color="auto"/>
          <w:bottom w:val="single" w:sz="4" w:space="1" w:color="auto"/>
          <w:right w:val="single" w:sz="4" w:space="4" w:color="auto"/>
        </w:pBdr>
        <w:shd w:val="clear" w:color="auto" w:fill="F3F0F4"/>
        <w:rPr>
          <w:rFonts w:ascii="Calibri Light" w:eastAsia="Times New Roman" w:hAnsi="Calibri Light"/>
          <w:sz w:val="22"/>
          <w:szCs w:val="22"/>
          <w:lang w:eastAsia="en-AU"/>
        </w:rPr>
      </w:pPr>
      <w:r w:rsidRPr="009E2B03">
        <w:rPr>
          <w:rFonts w:ascii="Calibri Light" w:eastAsia="Times New Roman" w:hAnsi="Calibri Light"/>
          <w:sz w:val="22"/>
          <w:szCs w:val="24"/>
          <w:lang w:eastAsia="en-AU"/>
        </w:rPr>
        <w:t>Women who experience violence can face substantial economic and non-economic costs that extend from and sometimes far beyond the immediate impact</w:t>
      </w:r>
      <w:r w:rsidR="009670E4" w:rsidRPr="009E2B03">
        <w:rPr>
          <w:rFonts w:ascii="Calibri Light" w:eastAsia="Times New Roman" w:hAnsi="Calibri Light"/>
          <w:sz w:val="22"/>
          <w:szCs w:val="24"/>
          <w:lang w:eastAsia="en-AU"/>
        </w:rPr>
        <w:t xml:space="preserve">. As the costing estimate above identifies, women who are </w:t>
      </w:r>
      <w:r w:rsidRPr="009E2B03">
        <w:rPr>
          <w:rFonts w:ascii="Calibri Light" w:eastAsia="Times New Roman" w:hAnsi="Calibri Light"/>
          <w:sz w:val="22"/>
          <w:szCs w:val="22"/>
          <w:lang w:eastAsia="en-AU"/>
        </w:rPr>
        <w:t>victims and survivors of violence bear the largest portion</w:t>
      </w:r>
      <w:r w:rsidR="009670E4" w:rsidRPr="009E2B03">
        <w:rPr>
          <w:rFonts w:ascii="Calibri Light" w:eastAsia="Times New Roman" w:hAnsi="Calibri Light"/>
          <w:sz w:val="22"/>
          <w:szCs w:val="22"/>
          <w:lang w:eastAsia="en-AU"/>
        </w:rPr>
        <w:t xml:space="preserve"> </w:t>
      </w:r>
      <w:r w:rsidRPr="009E2B03">
        <w:rPr>
          <w:rFonts w:ascii="Calibri Light" w:eastAsia="Times New Roman" w:hAnsi="Calibri Light"/>
          <w:sz w:val="22"/>
          <w:szCs w:val="22"/>
          <w:lang w:eastAsia="en-AU"/>
        </w:rPr>
        <w:t xml:space="preserve">of the </w:t>
      </w:r>
      <w:r w:rsidR="009670E4" w:rsidRPr="009E2B03">
        <w:rPr>
          <w:rFonts w:ascii="Calibri Light" w:eastAsia="Times New Roman" w:hAnsi="Calibri Light"/>
          <w:sz w:val="22"/>
          <w:szCs w:val="22"/>
          <w:lang w:eastAsia="en-AU"/>
        </w:rPr>
        <w:t xml:space="preserve">total </w:t>
      </w:r>
      <w:r w:rsidRPr="009E2B03">
        <w:rPr>
          <w:rFonts w:ascii="Calibri Light" w:eastAsia="Times New Roman" w:hAnsi="Calibri Light"/>
          <w:sz w:val="22"/>
          <w:szCs w:val="22"/>
          <w:lang w:eastAsia="en-AU"/>
        </w:rPr>
        <w:t>costs</w:t>
      </w:r>
      <w:r w:rsidR="00B53815" w:rsidRPr="009E2B03">
        <w:rPr>
          <w:rFonts w:ascii="Calibri Light" w:eastAsia="Times New Roman" w:hAnsi="Calibri Light"/>
          <w:sz w:val="22"/>
          <w:szCs w:val="22"/>
          <w:lang w:eastAsia="en-AU"/>
        </w:rPr>
        <w:t xml:space="preserve"> (</w:t>
      </w:r>
      <w:r w:rsidR="00DA7A30" w:rsidRPr="009E2B03">
        <w:rPr>
          <w:rFonts w:ascii="Calibri Light" w:eastAsia="Times New Roman" w:hAnsi="Calibri Light"/>
          <w:sz w:val="22"/>
          <w:szCs w:val="22"/>
          <w:lang w:eastAsia="en-AU"/>
        </w:rPr>
        <w:t xml:space="preserve">estimated at </w:t>
      </w:r>
      <w:r w:rsidR="00B53815" w:rsidRPr="009E2B03">
        <w:rPr>
          <w:rFonts w:ascii="Calibri Light" w:eastAsia="Times New Roman" w:hAnsi="Calibri Light"/>
          <w:sz w:val="22"/>
          <w:szCs w:val="22"/>
          <w:lang w:eastAsia="en-AU"/>
        </w:rPr>
        <w:t>52 per cent</w:t>
      </w:r>
      <w:r w:rsidR="00DA7A30" w:rsidRPr="009E2B03">
        <w:rPr>
          <w:rFonts w:ascii="Calibri Light" w:eastAsia="Times New Roman" w:hAnsi="Calibri Light"/>
          <w:sz w:val="22"/>
          <w:szCs w:val="22"/>
          <w:lang w:eastAsia="en-AU"/>
        </w:rPr>
        <w:t>,</w:t>
      </w:r>
      <w:r w:rsidR="00B53815" w:rsidRPr="009E2B03">
        <w:rPr>
          <w:rFonts w:ascii="Calibri Light" w:eastAsia="Times New Roman" w:hAnsi="Calibri Light"/>
          <w:sz w:val="22"/>
          <w:szCs w:val="22"/>
          <w:lang w:eastAsia="en-AU"/>
        </w:rPr>
        <w:t xml:space="preserve"> or $11.3 billion</w:t>
      </w:r>
      <w:r w:rsidR="00DA7A30" w:rsidRPr="009E2B03">
        <w:rPr>
          <w:rFonts w:ascii="Calibri Light" w:eastAsia="Times New Roman" w:hAnsi="Calibri Light"/>
          <w:sz w:val="22"/>
          <w:szCs w:val="22"/>
          <w:lang w:eastAsia="en-AU"/>
        </w:rPr>
        <w:t xml:space="preserve"> in 201</w:t>
      </w:r>
      <w:r w:rsidR="00E774F9" w:rsidRPr="009E2B03">
        <w:rPr>
          <w:rFonts w:ascii="Calibri Light" w:eastAsia="Times New Roman" w:hAnsi="Calibri Light"/>
          <w:sz w:val="22"/>
          <w:szCs w:val="22"/>
          <w:lang w:eastAsia="en-AU"/>
        </w:rPr>
        <w:t>5-1</w:t>
      </w:r>
      <w:r w:rsidR="00DA7A30" w:rsidRPr="009E2B03">
        <w:rPr>
          <w:rFonts w:ascii="Calibri Light" w:eastAsia="Times New Roman" w:hAnsi="Calibri Light"/>
          <w:sz w:val="22"/>
          <w:szCs w:val="22"/>
          <w:lang w:eastAsia="en-AU"/>
        </w:rPr>
        <w:t>6</w:t>
      </w:r>
      <w:r w:rsidR="00B53815" w:rsidRPr="009E2B03">
        <w:rPr>
          <w:rFonts w:ascii="Calibri Light" w:eastAsia="Times New Roman" w:hAnsi="Calibri Light"/>
          <w:sz w:val="22"/>
          <w:szCs w:val="22"/>
          <w:lang w:eastAsia="en-AU"/>
        </w:rPr>
        <w:t>).</w:t>
      </w:r>
      <w:r w:rsidRPr="009E2B03">
        <w:rPr>
          <w:rFonts w:ascii="Calibri Light" w:eastAsia="Times New Roman" w:hAnsi="Calibri Light"/>
          <w:sz w:val="22"/>
          <w:szCs w:val="22"/>
          <w:lang w:eastAsia="en-AU"/>
        </w:rPr>
        <w:t xml:space="preserve"> </w:t>
      </w:r>
    </w:p>
    <w:p w14:paraId="5D4316D8" w14:textId="77777777" w:rsidR="006A35C5" w:rsidRPr="009E2B03" w:rsidRDefault="00F571E8" w:rsidP="00067B42">
      <w:pPr>
        <w:pBdr>
          <w:top w:val="single" w:sz="4" w:space="1" w:color="auto"/>
          <w:left w:val="single" w:sz="4" w:space="4" w:color="auto"/>
          <w:bottom w:val="single" w:sz="4" w:space="1" w:color="auto"/>
          <w:right w:val="single" w:sz="4" w:space="4" w:color="auto"/>
        </w:pBdr>
        <w:shd w:val="clear" w:color="auto" w:fill="F3F0F4"/>
        <w:rPr>
          <w:rFonts w:ascii="Calibri Light" w:eastAsia="Times New Roman" w:hAnsi="Calibri Light"/>
          <w:sz w:val="22"/>
          <w:szCs w:val="22"/>
          <w:lang w:eastAsia="en-AU"/>
        </w:rPr>
      </w:pPr>
      <w:r w:rsidRPr="009E2B03">
        <w:rPr>
          <w:rFonts w:ascii="Calibri Light" w:eastAsia="Times New Roman" w:hAnsi="Calibri Light"/>
          <w:sz w:val="22"/>
          <w:szCs w:val="22"/>
          <w:lang w:eastAsia="en-AU"/>
        </w:rPr>
        <w:t xml:space="preserve">Although victims and survivors bear the largest costs associated with violence, family and friends are </w:t>
      </w:r>
      <w:r w:rsidR="00113E44" w:rsidRPr="009E2B03">
        <w:rPr>
          <w:rFonts w:ascii="Calibri Light" w:eastAsia="Times New Roman" w:hAnsi="Calibri Light"/>
          <w:sz w:val="22"/>
          <w:szCs w:val="22"/>
          <w:lang w:eastAsia="en-AU"/>
        </w:rPr>
        <w:t>often the first point of contact for women seeking advice or support. According to the PSS, 68.1 per cent</w:t>
      </w:r>
      <w:r w:rsidRPr="009E2B03">
        <w:rPr>
          <w:rFonts w:ascii="Calibri Light" w:eastAsia="Times New Roman" w:hAnsi="Calibri Light"/>
          <w:sz w:val="22"/>
          <w:szCs w:val="22"/>
          <w:lang w:eastAsia="en-AU"/>
        </w:rPr>
        <w:t xml:space="preserve"> of women seek support or advice after a violent incident, and by far the largest group from which the support or advice is first sought i</w:t>
      </w:r>
      <w:r w:rsidR="00113E44" w:rsidRPr="009E2B03">
        <w:rPr>
          <w:rFonts w:ascii="Calibri Light" w:eastAsia="Times New Roman" w:hAnsi="Calibri Light"/>
          <w:sz w:val="22"/>
          <w:szCs w:val="22"/>
          <w:lang w:eastAsia="en-AU"/>
        </w:rPr>
        <w:t>s from family and friends (64.1 per cent</w:t>
      </w:r>
      <w:r w:rsidRPr="009E2B03">
        <w:rPr>
          <w:rFonts w:ascii="Calibri Light" w:eastAsia="Times New Roman" w:hAnsi="Calibri Light"/>
          <w:sz w:val="22"/>
          <w:szCs w:val="22"/>
          <w:lang w:eastAsia="en-AU"/>
        </w:rPr>
        <w:t xml:space="preserve">). This places family and friends in a unique position in which they can offer support, both financial and non-financial, and advice as to where a victim or survivor </w:t>
      </w:r>
      <w:r w:rsidR="00C92CB5" w:rsidRPr="009E2B03">
        <w:rPr>
          <w:rFonts w:ascii="Calibri Light" w:eastAsia="Times New Roman" w:hAnsi="Calibri Light"/>
          <w:sz w:val="22"/>
          <w:szCs w:val="22"/>
          <w:lang w:eastAsia="en-AU"/>
        </w:rPr>
        <w:t xml:space="preserve">can seek additional assistance. </w:t>
      </w:r>
    </w:p>
    <w:p w14:paraId="71D04896" w14:textId="77777777" w:rsidR="00F571E8" w:rsidRPr="009E2B03" w:rsidRDefault="00D27BF8" w:rsidP="00067B42">
      <w:pPr>
        <w:pBdr>
          <w:top w:val="single" w:sz="4" w:space="1" w:color="auto"/>
          <w:left w:val="single" w:sz="4" w:space="4" w:color="auto"/>
          <w:bottom w:val="single" w:sz="4" w:space="1" w:color="auto"/>
          <w:right w:val="single" w:sz="4" w:space="4" w:color="auto"/>
        </w:pBdr>
        <w:shd w:val="clear" w:color="auto" w:fill="F3F0F4"/>
        <w:rPr>
          <w:rFonts w:ascii="Calibri Light" w:eastAsia="Times New Roman" w:hAnsi="Calibri Light"/>
          <w:sz w:val="22"/>
          <w:szCs w:val="22"/>
          <w:lang w:eastAsia="en-AU"/>
        </w:rPr>
      </w:pPr>
      <w:r w:rsidRPr="009E2B03">
        <w:rPr>
          <w:rFonts w:ascii="Calibri Light" w:eastAsia="Times New Roman" w:hAnsi="Calibri Light"/>
          <w:sz w:val="22"/>
          <w:szCs w:val="22"/>
          <w:lang w:eastAsia="en-AU"/>
        </w:rPr>
        <w:t>However, there is currently limited research with a targeted focus on the impact of violence on friends and family</w:t>
      </w:r>
      <w:r w:rsidR="006A35C5" w:rsidRPr="009E2B03">
        <w:rPr>
          <w:rFonts w:ascii="Calibri Light" w:eastAsia="Times New Roman" w:hAnsi="Calibri Light"/>
          <w:sz w:val="22"/>
          <w:szCs w:val="22"/>
          <w:lang w:eastAsia="en-AU"/>
        </w:rPr>
        <w:t xml:space="preserve"> and as such, understanding the </w:t>
      </w:r>
      <w:r w:rsidRPr="009E2B03">
        <w:rPr>
          <w:rFonts w:ascii="Calibri Light" w:eastAsia="Times New Roman" w:hAnsi="Calibri Light"/>
          <w:sz w:val="22"/>
          <w:szCs w:val="22"/>
          <w:lang w:eastAsia="en-AU"/>
        </w:rPr>
        <w:t>full extent of the</w:t>
      </w:r>
      <w:r w:rsidR="006A35C5" w:rsidRPr="009E2B03">
        <w:rPr>
          <w:rFonts w:ascii="Calibri Light" w:eastAsia="Times New Roman" w:hAnsi="Calibri Light"/>
          <w:sz w:val="22"/>
          <w:szCs w:val="22"/>
          <w:lang w:eastAsia="en-AU"/>
        </w:rPr>
        <w:t xml:space="preserve"> associated</w:t>
      </w:r>
      <w:r w:rsidRPr="009E2B03">
        <w:rPr>
          <w:rFonts w:ascii="Calibri Light" w:eastAsia="Times New Roman" w:hAnsi="Calibri Light"/>
          <w:sz w:val="22"/>
          <w:szCs w:val="22"/>
          <w:lang w:eastAsia="en-AU"/>
        </w:rPr>
        <w:t xml:space="preserve"> economic and non-economic costs </w:t>
      </w:r>
      <w:r w:rsidR="006A35C5" w:rsidRPr="009E2B03">
        <w:rPr>
          <w:rFonts w:ascii="Calibri Light" w:eastAsia="Times New Roman" w:hAnsi="Calibri Light"/>
          <w:sz w:val="22"/>
          <w:szCs w:val="22"/>
          <w:lang w:eastAsia="en-AU"/>
        </w:rPr>
        <w:t>will require further research</w:t>
      </w:r>
      <w:r w:rsidR="00C82F91" w:rsidRPr="009E2B03">
        <w:rPr>
          <w:rFonts w:ascii="Calibri Light" w:eastAsia="Times New Roman" w:hAnsi="Calibri Light"/>
          <w:sz w:val="22"/>
          <w:szCs w:val="22"/>
          <w:lang w:eastAsia="en-AU"/>
        </w:rPr>
        <w:t>.</w:t>
      </w:r>
    </w:p>
    <w:p w14:paraId="5E7DA6D0" w14:textId="77777777" w:rsidR="00ED6C12" w:rsidRPr="009E2B03" w:rsidRDefault="00ED6C12" w:rsidP="00ED6C12">
      <w:pPr>
        <w:pStyle w:val="Heading2"/>
        <w:numPr>
          <w:ilvl w:val="1"/>
          <w:numId w:val="19"/>
        </w:numPr>
        <w:rPr>
          <w:rFonts w:ascii="Calibri Light" w:hAnsi="Calibri Light"/>
          <w:color w:val="6D2077"/>
          <w:sz w:val="36"/>
        </w:rPr>
      </w:pPr>
      <w:bookmarkStart w:id="74" w:name="_Toc445981198"/>
      <w:bookmarkStart w:id="75" w:name="_Ref446399605"/>
      <w:bookmarkStart w:id="76" w:name="_Ref447040451"/>
      <w:bookmarkStart w:id="77" w:name="_Toc449553519"/>
      <w:bookmarkEnd w:id="71"/>
      <w:r w:rsidRPr="009E2B03">
        <w:rPr>
          <w:rFonts w:ascii="Calibri Light" w:hAnsi="Calibri Light"/>
          <w:color w:val="6D2077"/>
          <w:sz w:val="36"/>
        </w:rPr>
        <w:lastRenderedPageBreak/>
        <w:t>Cost impacts</w:t>
      </w:r>
      <w:bookmarkEnd w:id="74"/>
      <w:bookmarkEnd w:id="75"/>
      <w:bookmarkEnd w:id="76"/>
      <w:bookmarkEnd w:id="77"/>
    </w:p>
    <w:p w14:paraId="15757160" w14:textId="77777777" w:rsidR="00ED6C12" w:rsidRPr="009E2B03" w:rsidRDefault="00ED6C12" w:rsidP="00ED6C12">
      <w:pPr>
        <w:pStyle w:val="BodyText"/>
        <w:rPr>
          <w:rFonts w:ascii="Calibri Light" w:hAnsi="Calibri Light"/>
          <w:sz w:val="22"/>
        </w:rPr>
      </w:pPr>
      <w:r w:rsidRPr="009E2B03">
        <w:rPr>
          <w:rFonts w:ascii="Calibri Light" w:hAnsi="Calibri Light"/>
          <w:sz w:val="22"/>
        </w:rPr>
        <w:t>The following sections provide further analysis of the results of the cost estimations, including a detailed discussion of each of the seven cost categories and the key cost drivers for each. The following section</w:t>
      </w:r>
      <w:r w:rsidR="00B567AB" w:rsidRPr="009E2B03">
        <w:rPr>
          <w:rFonts w:ascii="Calibri Light" w:hAnsi="Calibri Light"/>
          <w:sz w:val="22"/>
        </w:rPr>
        <w:t>s</w:t>
      </w:r>
      <w:r w:rsidRPr="009E2B03">
        <w:rPr>
          <w:rFonts w:ascii="Calibri Light" w:hAnsi="Calibri Light"/>
          <w:sz w:val="22"/>
        </w:rPr>
        <w:t xml:space="preserve"> provide a broad evidence base around the cost impacts of violence against women on the broader Australian economy and society. The seven cost categories include:</w:t>
      </w:r>
    </w:p>
    <w:p w14:paraId="558B345C" w14:textId="77777777" w:rsidR="00ED6C12" w:rsidRPr="009E2B03" w:rsidRDefault="00ED6C12" w:rsidP="00ED6C12">
      <w:pPr>
        <w:pStyle w:val="BodyBullet"/>
        <w:rPr>
          <w:rFonts w:ascii="Calibri Light" w:hAnsi="Calibri Light" w:cs="Arial"/>
          <w:sz w:val="24"/>
          <w:szCs w:val="22"/>
        </w:rPr>
      </w:pPr>
      <w:r w:rsidRPr="009E2B03">
        <w:rPr>
          <w:rFonts w:ascii="Calibri Light" w:hAnsi="Calibri Light" w:cs="Arial"/>
          <w:sz w:val="22"/>
        </w:rPr>
        <w:t>the pain and suffering experienced by the victim, which can lead to long term effects on psychological and physical health</w:t>
      </w:r>
    </w:p>
    <w:p w14:paraId="58648802" w14:textId="464C17BB" w:rsidR="00ED6C12" w:rsidRPr="009E2B03" w:rsidRDefault="00536649" w:rsidP="00ED6C12">
      <w:pPr>
        <w:pStyle w:val="BodyBullet"/>
        <w:rPr>
          <w:rFonts w:ascii="Calibri Light" w:hAnsi="Calibri Light" w:cs="Arial"/>
          <w:sz w:val="22"/>
          <w:szCs w:val="20"/>
        </w:rPr>
      </w:pPr>
      <w:r w:rsidRPr="009E2B03">
        <w:rPr>
          <w:rFonts w:ascii="Calibri Light" w:hAnsi="Calibri Light" w:cs="Arial"/>
          <w:sz w:val="22"/>
        </w:rPr>
        <w:t>health costs including</w:t>
      </w:r>
      <w:r w:rsidR="00ED6C12" w:rsidRPr="009E2B03">
        <w:rPr>
          <w:rFonts w:ascii="Calibri Light" w:hAnsi="Calibri Light" w:cs="Arial"/>
          <w:sz w:val="22"/>
        </w:rPr>
        <w:t xml:space="preserve"> public and private health system costs associated with treating the effects of violence against women</w:t>
      </w:r>
    </w:p>
    <w:p w14:paraId="23C2A5B8"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production-related costs, including the cost of being absent from work, and employer administrative costs (for example, employee replacement)</w:t>
      </w:r>
    </w:p>
    <w:p w14:paraId="7D5C5A62"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consumption-related costs, including replacing damaged property, defaulting on bad debts, and the costs of moving</w:t>
      </w:r>
    </w:p>
    <w:p w14:paraId="5B0459EF"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second generation costs are the costs of children witnessing and living with violence, including child protection services and increased juvenile and adult crime</w:t>
      </w:r>
    </w:p>
    <w:p w14:paraId="50FB1B3C"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administrative and other costs, including police, incarceration, court system costs, counselling, and violence prevention programs</w:t>
      </w:r>
    </w:p>
    <w:p w14:paraId="4C50BED6"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transfer costs, which are the inefficiencies associated with the payment of government benefits.</w:t>
      </w:r>
    </w:p>
    <w:p w14:paraId="50B6031D"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It is important to note that the cost estimates below provide a baseline estimate of total costs. Due to limitations around the scope and availability of data, there are challenges to identifying the costs for at-risk and vulnerable cohorts of women and as a result, the baseline figure may not necessarily reflect the full extent of the costs of violence associated with more complex cohorts and the intersections between different risk factors faced by women. </w:t>
      </w:r>
    </w:p>
    <w:p w14:paraId="71A25489" w14:textId="77777777" w:rsidR="00ED6C12" w:rsidRPr="009E2B03" w:rsidRDefault="00ED6C12" w:rsidP="00ED6C12">
      <w:pPr>
        <w:pStyle w:val="BodyText"/>
        <w:rPr>
          <w:rFonts w:ascii="Calibri Light" w:hAnsi="Calibri Light"/>
          <w:sz w:val="22"/>
        </w:rPr>
      </w:pPr>
      <w:r w:rsidRPr="009E2B03">
        <w:rPr>
          <w:rFonts w:ascii="Calibri Light" w:hAnsi="Calibri Light"/>
          <w:sz w:val="22"/>
        </w:rPr>
        <w:t>A more detailed discussion of the risks of these vulnerable cohorts and the likely cost impacts on the broader system is provided in Section</w:t>
      </w:r>
      <w:r w:rsidR="00403232" w:rsidRPr="009E2B03">
        <w:rPr>
          <w:rFonts w:ascii="Calibri Light" w:hAnsi="Calibri Light"/>
          <w:sz w:val="22"/>
        </w:rPr>
        <w:t xml:space="preserve"> </w:t>
      </w:r>
      <w:r w:rsidR="00403232" w:rsidRPr="009E2B03">
        <w:rPr>
          <w:rFonts w:ascii="Calibri Light" w:hAnsi="Calibri Light"/>
          <w:sz w:val="22"/>
        </w:rPr>
        <w:fldChar w:fldCharType="begin"/>
      </w:r>
      <w:r w:rsidR="00403232" w:rsidRPr="009E2B03">
        <w:rPr>
          <w:rFonts w:ascii="Calibri Light" w:hAnsi="Calibri Light"/>
          <w:sz w:val="22"/>
        </w:rPr>
        <w:instrText xml:space="preserve"> REF _Ref447122682 \r \h </w:instrText>
      </w:r>
      <w:r w:rsidR="009B0258" w:rsidRPr="009E2B03">
        <w:rPr>
          <w:rFonts w:ascii="Calibri Light" w:hAnsi="Calibri Light"/>
          <w:sz w:val="22"/>
        </w:rPr>
        <w:instrText xml:space="preserve"> \* MERGEFORMAT </w:instrText>
      </w:r>
      <w:r w:rsidR="00403232" w:rsidRPr="009E2B03">
        <w:rPr>
          <w:rFonts w:ascii="Calibri Light" w:hAnsi="Calibri Light"/>
          <w:sz w:val="22"/>
        </w:rPr>
      </w:r>
      <w:r w:rsidR="00403232" w:rsidRPr="009E2B03">
        <w:rPr>
          <w:rFonts w:ascii="Calibri Light" w:hAnsi="Calibri Light"/>
          <w:sz w:val="22"/>
        </w:rPr>
        <w:fldChar w:fldCharType="separate"/>
      </w:r>
      <w:r w:rsidR="00417237">
        <w:rPr>
          <w:rFonts w:ascii="Calibri Light" w:hAnsi="Calibri Light"/>
          <w:sz w:val="22"/>
        </w:rPr>
        <w:t>4</w:t>
      </w:r>
      <w:r w:rsidR="00403232" w:rsidRPr="009E2B03">
        <w:rPr>
          <w:rFonts w:ascii="Calibri Light" w:hAnsi="Calibri Light"/>
          <w:sz w:val="22"/>
        </w:rPr>
        <w:fldChar w:fldCharType="end"/>
      </w:r>
      <w:r w:rsidRPr="009E2B03">
        <w:rPr>
          <w:rFonts w:ascii="Calibri Light" w:hAnsi="Calibri Light"/>
          <w:sz w:val="22"/>
        </w:rPr>
        <w:t>.</w:t>
      </w:r>
    </w:p>
    <w:p w14:paraId="7B920646" w14:textId="77777777" w:rsidR="00ED6C12" w:rsidRPr="009E2B03" w:rsidRDefault="00ED6C12" w:rsidP="00ED6C12">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Pain, suffering and premature mortality</w:t>
      </w:r>
    </w:p>
    <w:tbl>
      <w:tblPr>
        <w:tblStyle w:val="TableGrid"/>
        <w:tblW w:w="0" w:type="auto"/>
        <w:shd w:val="clear" w:color="auto" w:fill="D9D9D9" w:themeFill="background1" w:themeFillShade="D9"/>
        <w:tblLook w:val="04A0" w:firstRow="1" w:lastRow="0" w:firstColumn="1" w:lastColumn="0" w:noHBand="0" w:noVBand="1"/>
        <w:tblCaption w:val="Box of information on pain, suffering and premature mortality arising from violence against women and their children"/>
      </w:tblPr>
      <w:tblGrid>
        <w:gridCol w:w="9016"/>
      </w:tblGrid>
      <w:tr w:rsidR="00ED6C12" w:rsidRPr="009E2B03" w14:paraId="66F0ACCF" w14:textId="77777777" w:rsidTr="00865FDB">
        <w:trPr>
          <w:tblHeader/>
        </w:trPr>
        <w:tc>
          <w:tcPr>
            <w:tcW w:w="9016" w:type="dxa"/>
            <w:shd w:val="clear" w:color="auto" w:fill="F3F0F4"/>
          </w:tcPr>
          <w:p w14:paraId="2C07AB09" w14:textId="77777777" w:rsidR="00ED6C12" w:rsidRPr="009E2B03" w:rsidRDefault="00ED6C12" w:rsidP="00ED6C12">
            <w:pPr>
              <w:pStyle w:val="BodyBullet"/>
              <w:numPr>
                <w:ilvl w:val="0"/>
                <w:numId w:val="0"/>
              </w:numPr>
              <w:ind w:left="360" w:hanging="360"/>
              <w:rPr>
                <w:rFonts w:ascii="Calibri Light" w:hAnsi="Calibri Light" w:cs="Arial"/>
                <w:b/>
                <w:i/>
                <w:color w:val="6D2077"/>
                <w:sz w:val="22"/>
              </w:rPr>
            </w:pPr>
            <w:r w:rsidRPr="009E2B03">
              <w:rPr>
                <w:rFonts w:ascii="Calibri Light" w:hAnsi="Calibri Light" w:cs="Arial"/>
                <w:b/>
                <w:i/>
                <w:color w:val="6D2077"/>
                <w:sz w:val="22"/>
              </w:rPr>
              <w:t>Key insights</w:t>
            </w:r>
          </w:p>
          <w:p w14:paraId="3D3938A2" w14:textId="77777777" w:rsidR="00ED6C12" w:rsidRPr="009E2B03" w:rsidRDefault="00ED6C12" w:rsidP="00ED6C12">
            <w:pPr>
              <w:pStyle w:val="BodyBullet"/>
              <w:numPr>
                <w:ilvl w:val="0"/>
                <w:numId w:val="0"/>
              </w:numPr>
              <w:rPr>
                <w:rFonts w:ascii="Calibri Light" w:hAnsi="Calibri Light" w:cs="Arial"/>
                <w:b/>
                <w:color w:val="6D2077"/>
                <w:sz w:val="22"/>
              </w:rPr>
            </w:pPr>
            <w:r w:rsidRPr="009E2B03">
              <w:rPr>
                <w:rFonts w:ascii="Calibri Light" w:hAnsi="Calibri Light" w:cs="Arial"/>
                <w:b/>
                <w:color w:val="6D2077"/>
                <w:sz w:val="22"/>
              </w:rPr>
              <w:t xml:space="preserve">Pain, suffering and premature mortality arising from violence against women and their children is estimated to cost women, communities and the economy </w:t>
            </w:r>
            <w:r w:rsidR="00B53719" w:rsidRPr="009E2B03">
              <w:rPr>
                <w:rFonts w:ascii="Calibri Light" w:hAnsi="Calibri Light" w:cs="Arial"/>
                <w:b/>
                <w:color w:val="6D2077"/>
                <w:sz w:val="22"/>
              </w:rPr>
              <w:br/>
            </w:r>
            <w:r w:rsidRPr="009E2B03">
              <w:rPr>
                <w:rFonts w:ascii="Calibri Light" w:hAnsi="Calibri Light" w:cs="Arial"/>
                <w:b/>
                <w:color w:val="6D2077"/>
                <w:sz w:val="22"/>
              </w:rPr>
              <w:t xml:space="preserve">$10.4 billion </w:t>
            </w:r>
            <w:r w:rsidR="0015237E" w:rsidRPr="009E2B03">
              <w:rPr>
                <w:rFonts w:ascii="Calibri Light" w:hAnsi="Calibri Light" w:cs="Arial"/>
                <w:b/>
                <w:color w:val="6D2077"/>
                <w:sz w:val="22"/>
              </w:rPr>
              <w:t>this year</w:t>
            </w:r>
            <w:r w:rsidRPr="009E2B03">
              <w:rPr>
                <w:rFonts w:ascii="Calibri Light" w:hAnsi="Calibri Light" w:cs="Arial"/>
                <w:b/>
                <w:color w:val="6D2077"/>
                <w:sz w:val="22"/>
              </w:rPr>
              <w:t>.</w:t>
            </w:r>
          </w:p>
          <w:p w14:paraId="573E79D0"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Research consistently identifies that individual incidents of violence can lead to long term health impacts, including mental health problems and an increased risk of chronic illness and pain, reproductive health problems, smoking, drinking alcohol and drug use.</w:t>
            </w:r>
          </w:p>
          <w:p w14:paraId="12D40E09"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An estimated 58 per cent to 60 per cent of violence against women also results in feelings of fear and/or anxiety. This demonstrates the long term impacts of a violent incident as well as the concurrent effects of violence and psychological impacts.</w:t>
            </w:r>
          </w:p>
          <w:p w14:paraId="6C2B3134"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An estimated 50 per cent to 80 per cent of women using psychiatric services are recorded as having experienced a history of sexual abuse or assault. This highlights that violence may be a substantial cause of women’s mental health issues across Australia.</w:t>
            </w:r>
          </w:p>
          <w:p w14:paraId="500B9219"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In addition to being a contributing factor in violence against women, research has identified that women who had been exposed to at least one form of violence report a 23 per cent rate of lifetime substance use disorder.</w:t>
            </w:r>
            <w:r w:rsidRPr="009E2B03">
              <w:rPr>
                <w:rFonts w:ascii="Calibri Light" w:hAnsi="Calibri Light" w:cs="Arial"/>
                <w:sz w:val="22"/>
                <w:lang w:val="en-US"/>
              </w:rPr>
              <w:t xml:space="preserve"> </w:t>
            </w:r>
          </w:p>
        </w:tc>
      </w:tr>
    </w:tbl>
    <w:p w14:paraId="3A227856" w14:textId="77777777" w:rsidR="00ED6C12" w:rsidRPr="009E2B03" w:rsidRDefault="00ED6C12" w:rsidP="00ED6C12">
      <w:pPr>
        <w:pStyle w:val="BodyText"/>
        <w:rPr>
          <w:rFonts w:ascii="Calibri Light" w:hAnsi="Calibri Light"/>
          <w:sz w:val="22"/>
        </w:rPr>
      </w:pPr>
      <w:r w:rsidRPr="009E2B03">
        <w:rPr>
          <w:rFonts w:ascii="Calibri Light" w:hAnsi="Calibri Light"/>
          <w:sz w:val="22"/>
        </w:rPr>
        <w:lastRenderedPageBreak/>
        <w:t>Violence against women can cause substantial pain and suffering, with long term impacts on psychological and physical health continuing well after the incident. The ongoing emotional, physiological and physical impacts are a common experience amongst women who are the victim of violence or abuse. For example, based on Victorian Police data, between 2006 and 2010 over 50 per cent of women over the age of 18 who had experienced violence identified being fearful of the perpetrator. Consistent with this conclusion, the PSS identifies that 58 per cent of women who have been physically assaulted and 60 per cent who have been sexually assaulted have subsequently experienced fear or anxiety.</w:t>
      </w:r>
      <w:r w:rsidRPr="009E2B03">
        <w:rPr>
          <w:rStyle w:val="FootnoteReference"/>
          <w:rFonts w:ascii="Calibri Light" w:hAnsi="Calibri Light"/>
          <w:sz w:val="22"/>
        </w:rPr>
        <w:footnoteReference w:id="24"/>
      </w:r>
    </w:p>
    <w:p w14:paraId="576F4DBD" w14:textId="77777777" w:rsidR="00ED6C12" w:rsidRPr="009E2B03" w:rsidRDefault="00ED6C12" w:rsidP="00ED6C12">
      <w:pPr>
        <w:pStyle w:val="BodyText"/>
        <w:rPr>
          <w:rFonts w:ascii="Calibri Light" w:hAnsi="Calibri Light"/>
          <w:sz w:val="22"/>
        </w:rPr>
      </w:pPr>
      <w:r w:rsidRPr="009E2B03">
        <w:rPr>
          <w:rFonts w:ascii="Calibri Light" w:hAnsi="Calibri Light"/>
          <w:sz w:val="22"/>
        </w:rPr>
        <w:t>These estimates identify the high proportion of women who suffer emotional and psychological impacts from their experience of violence. The multilayered experience of violence is also apparent, with individual incidents of one type of violence leading to ongoing impacts that are very different in nature. The long term health impacts can be significant, with research conducted by VicHealth in 2008 indicating that verbal, emotional and psychological abuse may have a larger and more prolonged impact on women than physical violence.</w:t>
      </w:r>
      <w:r w:rsidRPr="009E2B03">
        <w:rPr>
          <w:rStyle w:val="FootnoteReference"/>
          <w:rFonts w:ascii="Calibri Light" w:hAnsi="Calibri Light"/>
          <w:sz w:val="22"/>
        </w:rPr>
        <w:footnoteReference w:id="25"/>
      </w:r>
      <w:r w:rsidRPr="009E2B03">
        <w:rPr>
          <w:rFonts w:ascii="Calibri Light" w:hAnsi="Calibri Light"/>
          <w:sz w:val="22"/>
        </w:rPr>
        <w:t xml:space="preserve"> Equally important is the conclusion that some of the most significant risks to women’s long term physical health are heightened after experiencing partner violence – this can include increased risk of chronic illness and pain, reproductive health problems, smoking, </w:t>
      </w:r>
      <w:r w:rsidR="00B67A70" w:rsidRPr="009E2B03">
        <w:rPr>
          <w:rFonts w:ascii="Calibri Light" w:hAnsi="Calibri Light"/>
          <w:sz w:val="22"/>
        </w:rPr>
        <w:t>and drug and alcohol abuse</w:t>
      </w:r>
      <w:r w:rsidRPr="009E2B03">
        <w:rPr>
          <w:rFonts w:ascii="Calibri Light" w:hAnsi="Calibri Light"/>
          <w:sz w:val="22"/>
        </w:rPr>
        <w:t>.</w:t>
      </w:r>
      <w:r w:rsidRPr="009E2B03">
        <w:rPr>
          <w:rStyle w:val="FootnoteReference"/>
          <w:rFonts w:ascii="Calibri Light" w:hAnsi="Calibri Light"/>
          <w:sz w:val="22"/>
        </w:rPr>
        <w:footnoteReference w:id="26"/>
      </w:r>
    </w:p>
    <w:p w14:paraId="640624F9" w14:textId="77777777" w:rsidR="00ED6C12" w:rsidRPr="009E2B03" w:rsidRDefault="00ED6C12" w:rsidP="00ED6C12">
      <w:pPr>
        <w:pStyle w:val="BodyText"/>
        <w:rPr>
          <w:rFonts w:ascii="Calibri Light" w:hAnsi="Calibri Light"/>
          <w:sz w:val="22"/>
        </w:rPr>
      </w:pPr>
      <w:r w:rsidRPr="009E2B03">
        <w:rPr>
          <w:rFonts w:ascii="Calibri Light" w:hAnsi="Calibri Light"/>
          <w:sz w:val="22"/>
        </w:rPr>
        <w:fldChar w:fldCharType="begin"/>
      </w:r>
      <w:r w:rsidRPr="009E2B03">
        <w:rPr>
          <w:rFonts w:ascii="Calibri Light" w:hAnsi="Calibri Light"/>
          <w:sz w:val="22"/>
        </w:rPr>
        <w:instrText xml:space="preserve"> REF _Ref447198931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 xml:space="preserve">Table </w:t>
      </w:r>
      <w:r w:rsidR="00417237">
        <w:rPr>
          <w:rFonts w:ascii="Calibri Light" w:hAnsi="Calibri Light"/>
          <w:noProof/>
          <w:sz w:val="22"/>
        </w:rPr>
        <w:t>3</w:t>
      </w:r>
      <w:r w:rsidR="00417237" w:rsidRPr="009E2B03">
        <w:rPr>
          <w:rFonts w:ascii="Calibri Light" w:hAnsi="Calibri Light"/>
          <w:noProof/>
          <w:sz w:val="22"/>
        </w:rPr>
        <w:noBreakHyphen/>
      </w:r>
      <w:r w:rsidR="00417237">
        <w:rPr>
          <w:rFonts w:ascii="Calibri Light" w:hAnsi="Calibri Light"/>
          <w:noProof/>
          <w:sz w:val="22"/>
        </w:rPr>
        <w:t>2</w:t>
      </w:r>
      <w:r w:rsidRPr="009E2B03">
        <w:rPr>
          <w:rFonts w:ascii="Calibri Light" w:hAnsi="Calibri Light"/>
          <w:sz w:val="22"/>
        </w:rPr>
        <w:fldChar w:fldCharType="end"/>
      </w:r>
      <w:r w:rsidRPr="009E2B03">
        <w:rPr>
          <w:rFonts w:ascii="Calibri Light" w:hAnsi="Calibri Light"/>
          <w:sz w:val="22"/>
        </w:rPr>
        <w:t xml:space="preserve"> identifies the cost impact of each individual psychological, physical and emotion</w:t>
      </w:r>
      <w:r w:rsidR="00B53719" w:rsidRPr="009E2B03">
        <w:rPr>
          <w:rFonts w:ascii="Calibri Light" w:hAnsi="Calibri Light"/>
          <w:sz w:val="22"/>
        </w:rPr>
        <w:t>al</w:t>
      </w:r>
      <w:r w:rsidRPr="009E2B03">
        <w:rPr>
          <w:rFonts w:ascii="Calibri Light" w:hAnsi="Calibri Light"/>
          <w:sz w:val="22"/>
        </w:rPr>
        <w:t xml:space="preserve"> consequence resulting from domestic violence across Australia.</w:t>
      </w:r>
    </w:p>
    <w:p w14:paraId="5AC55213" w14:textId="77777777" w:rsidR="00ED6C12" w:rsidRPr="009E2B03" w:rsidRDefault="00ED6C12" w:rsidP="00ED6C12">
      <w:pPr>
        <w:pStyle w:val="Caption"/>
        <w:rPr>
          <w:rFonts w:ascii="Calibri Light" w:hAnsi="Calibri Light" w:cs="Arial"/>
          <w:sz w:val="22"/>
        </w:rPr>
      </w:pPr>
      <w:bookmarkStart w:id="78" w:name="_Ref447198931"/>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bookmarkEnd w:id="78"/>
      <w:r w:rsidRPr="009E2B03">
        <w:rPr>
          <w:rFonts w:ascii="Calibri Light" w:hAnsi="Calibri Light" w:cs="Arial"/>
          <w:sz w:val="22"/>
        </w:rPr>
        <w:t>: Estimations of the cost impact of violence on women's physical and mental health</w:t>
      </w:r>
    </w:p>
    <w:tbl>
      <w:tblPr>
        <w:tblStyle w:val="KPMGtable1"/>
        <w:tblW w:w="0" w:type="auto"/>
        <w:tblLook w:val="04A0" w:firstRow="1" w:lastRow="0" w:firstColumn="1" w:lastColumn="0" w:noHBand="0" w:noVBand="1"/>
        <w:tblCaption w:val="Table of information on estimations of the cost impact of violence on women's physical and mental health"/>
      </w:tblPr>
      <w:tblGrid>
        <w:gridCol w:w="4135"/>
        <w:gridCol w:w="2343"/>
        <w:gridCol w:w="2287"/>
      </w:tblGrid>
      <w:tr w:rsidR="00ED6C12" w:rsidRPr="009E2B03" w14:paraId="7CCAD828" w14:textId="77777777" w:rsidTr="00C95D8A">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4135" w:type="dxa"/>
            <w:shd w:val="clear" w:color="auto" w:fill="6D2077"/>
          </w:tcPr>
          <w:p w14:paraId="5EEA9923" w14:textId="77777777" w:rsidR="00ED6C12" w:rsidRPr="009E2B03" w:rsidRDefault="00ED6C12" w:rsidP="00ED6C12">
            <w:pPr>
              <w:pStyle w:val="BodyText"/>
              <w:spacing w:before="40" w:after="40" w:line="276" w:lineRule="auto"/>
              <w:rPr>
                <w:rFonts w:ascii="Calibri Light" w:hAnsi="Calibri Light" w:cs="Arial"/>
                <w:b/>
                <w:szCs w:val="18"/>
              </w:rPr>
            </w:pPr>
          </w:p>
        </w:tc>
        <w:tc>
          <w:tcPr>
            <w:tcW w:w="2343" w:type="dxa"/>
            <w:shd w:val="clear" w:color="auto" w:fill="6D2077"/>
            <w:vAlign w:val="center"/>
          </w:tcPr>
          <w:p w14:paraId="6901C5AE" w14:textId="77777777" w:rsidR="00ED6C12" w:rsidRPr="009E2B03" w:rsidRDefault="00ED6C12" w:rsidP="00B67A70">
            <w:pPr>
              <w:pStyle w:val="BodyText"/>
              <w:spacing w:before="40" w:after="40" w:line="276" w:lineRule="auto"/>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Cost ($ million)</w:t>
            </w:r>
          </w:p>
        </w:tc>
        <w:tc>
          <w:tcPr>
            <w:tcW w:w="2287" w:type="dxa"/>
            <w:shd w:val="clear" w:color="auto" w:fill="6D2077"/>
            <w:vAlign w:val="center"/>
          </w:tcPr>
          <w:p w14:paraId="0409889E" w14:textId="77777777" w:rsidR="00ED6C12" w:rsidRPr="009E2B03" w:rsidRDefault="00ED6C12" w:rsidP="00B67A70">
            <w:pPr>
              <w:pStyle w:val="BodyText"/>
              <w:spacing w:before="40" w:after="40" w:line="276" w:lineRule="auto"/>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 of total</w:t>
            </w:r>
          </w:p>
        </w:tc>
      </w:tr>
      <w:tr w:rsidR="00ED6C12" w:rsidRPr="009E2B03" w14:paraId="496CE0A1" w14:textId="77777777" w:rsidTr="00C95D8A">
        <w:trPr>
          <w:trHeight w:val="329"/>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0CD370AB"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Depression</w:t>
            </w:r>
          </w:p>
        </w:tc>
        <w:tc>
          <w:tcPr>
            <w:tcW w:w="2343" w:type="dxa"/>
            <w:vAlign w:val="center"/>
          </w:tcPr>
          <w:p w14:paraId="26960699"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3,812</w:t>
            </w:r>
          </w:p>
        </w:tc>
        <w:tc>
          <w:tcPr>
            <w:tcW w:w="2287" w:type="dxa"/>
            <w:vAlign w:val="center"/>
          </w:tcPr>
          <w:p w14:paraId="6487D114"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37</w:t>
            </w:r>
          </w:p>
        </w:tc>
      </w:tr>
      <w:tr w:rsidR="00ED6C12" w:rsidRPr="009E2B03" w14:paraId="5923983C" w14:textId="77777777" w:rsidTr="00C95D8A">
        <w:trPr>
          <w:trHeight w:val="321"/>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70F25DB2"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Anxiety</w:t>
            </w:r>
          </w:p>
        </w:tc>
        <w:tc>
          <w:tcPr>
            <w:tcW w:w="2343" w:type="dxa"/>
            <w:vAlign w:val="center"/>
          </w:tcPr>
          <w:p w14:paraId="1D01745F"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2,359</w:t>
            </w:r>
          </w:p>
        </w:tc>
        <w:tc>
          <w:tcPr>
            <w:tcW w:w="2287" w:type="dxa"/>
            <w:vAlign w:val="center"/>
          </w:tcPr>
          <w:p w14:paraId="5BDA19FB"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23</w:t>
            </w:r>
          </w:p>
        </w:tc>
      </w:tr>
      <w:tr w:rsidR="00ED6C12" w:rsidRPr="009E2B03" w14:paraId="7FD92ABD" w14:textId="77777777" w:rsidTr="00C95D8A">
        <w:trPr>
          <w:trHeight w:val="329"/>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45941EC5"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Suicide</w:t>
            </w:r>
          </w:p>
        </w:tc>
        <w:tc>
          <w:tcPr>
            <w:tcW w:w="2343" w:type="dxa"/>
            <w:vAlign w:val="center"/>
          </w:tcPr>
          <w:p w14:paraId="5E6D57C3"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1,280</w:t>
            </w:r>
          </w:p>
        </w:tc>
        <w:tc>
          <w:tcPr>
            <w:tcW w:w="2287" w:type="dxa"/>
            <w:vAlign w:val="center"/>
          </w:tcPr>
          <w:p w14:paraId="23CCB8C5"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12</w:t>
            </w:r>
          </w:p>
        </w:tc>
      </w:tr>
      <w:tr w:rsidR="00ED6C12" w:rsidRPr="009E2B03" w14:paraId="550D9F22" w14:textId="77777777" w:rsidTr="00C95D8A">
        <w:trPr>
          <w:trHeight w:val="329"/>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4949984F"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Alcohol</w:t>
            </w:r>
          </w:p>
        </w:tc>
        <w:tc>
          <w:tcPr>
            <w:tcW w:w="2343" w:type="dxa"/>
            <w:vAlign w:val="center"/>
          </w:tcPr>
          <w:p w14:paraId="2764EE16"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1,024</w:t>
            </w:r>
          </w:p>
        </w:tc>
        <w:tc>
          <w:tcPr>
            <w:tcW w:w="2287" w:type="dxa"/>
            <w:vAlign w:val="center"/>
          </w:tcPr>
          <w:p w14:paraId="660E7E3C"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10</w:t>
            </w:r>
          </w:p>
        </w:tc>
      </w:tr>
      <w:tr w:rsidR="00ED6C12" w:rsidRPr="009E2B03" w14:paraId="5D4F6927" w14:textId="77777777" w:rsidTr="00C95D8A">
        <w:trPr>
          <w:trHeight w:val="321"/>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069EC54E"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Tobacco</w:t>
            </w:r>
          </w:p>
        </w:tc>
        <w:tc>
          <w:tcPr>
            <w:tcW w:w="2343" w:type="dxa"/>
            <w:vAlign w:val="center"/>
          </w:tcPr>
          <w:p w14:paraId="1403EEAC"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1,014</w:t>
            </w:r>
          </w:p>
        </w:tc>
        <w:tc>
          <w:tcPr>
            <w:tcW w:w="2287" w:type="dxa"/>
            <w:vAlign w:val="center"/>
          </w:tcPr>
          <w:p w14:paraId="75E7EBD6"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10</w:t>
            </w:r>
          </w:p>
        </w:tc>
      </w:tr>
      <w:tr w:rsidR="00ED6C12" w:rsidRPr="009E2B03" w14:paraId="5DD5B42B" w14:textId="77777777" w:rsidTr="00C95D8A">
        <w:trPr>
          <w:trHeight w:val="329"/>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4A81D31C"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Drug use</w:t>
            </w:r>
          </w:p>
        </w:tc>
        <w:tc>
          <w:tcPr>
            <w:tcW w:w="2343" w:type="dxa"/>
            <w:vAlign w:val="center"/>
          </w:tcPr>
          <w:p w14:paraId="718CC01F"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509</w:t>
            </w:r>
          </w:p>
        </w:tc>
        <w:tc>
          <w:tcPr>
            <w:tcW w:w="2287" w:type="dxa"/>
            <w:vAlign w:val="center"/>
          </w:tcPr>
          <w:p w14:paraId="3FB35521"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5</w:t>
            </w:r>
          </w:p>
        </w:tc>
      </w:tr>
      <w:tr w:rsidR="00ED6C12" w:rsidRPr="009E2B03" w14:paraId="226225F1" w14:textId="77777777" w:rsidTr="00C95D8A">
        <w:trPr>
          <w:trHeight w:val="329"/>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6A6DC603"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Femicide</w:t>
            </w:r>
          </w:p>
        </w:tc>
        <w:tc>
          <w:tcPr>
            <w:tcW w:w="2343" w:type="dxa"/>
            <w:vAlign w:val="center"/>
          </w:tcPr>
          <w:p w14:paraId="10524C9D"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421</w:t>
            </w:r>
          </w:p>
        </w:tc>
        <w:tc>
          <w:tcPr>
            <w:tcW w:w="2287" w:type="dxa"/>
            <w:vAlign w:val="center"/>
          </w:tcPr>
          <w:p w14:paraId="4051EF9D"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w:t>
            </w:r>
          </w:p>
        </w:tc>
      </w:tr>
      <w:tr w:rsidR="00ED6C12" w:rsidRPr="009E2B03" w14:paraId="50834DF0" w14:textId="77777777" w:rsidTr="00C95D8A">
        <w:trPr>
          <w:trHeight w:val="321"/>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2A56421A"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Physical injuries</w:t>
            </w:r>
          </w:p>
        </w:tc>
        <w:tc>
          <w:tcPr>
            <w:tcW w:w="2343" w:type="dxa"/>
            <w:vAlign w:val="center"/>
          </w:tcPr>
          <w:p w14:paraId="4A32B816"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374</w:t>
            </w:r>
          </w:p>
        </w:tc>
        <w:tc>
          <w:tcPr>
            <w:tcW w:w="2287" w:type="dxa"/>
            <w:vAlign w:val="center"/>
          </w:tcPr>
          <w:p w14:paraId="16CCF943"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w:t>
            </w:r>
          </w:p>
        </w:tc>
      </w:tr>
      <w:tr w:rsidR="00ED6C12" w:rsidRPr="009E2B03" w14:paraId="5EF36DE7" w14:textId="77777777" w:rsidTr="00C95D8A">
        <w:trPr>
          <w:trHeight w:val="338"/>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5851DEC8"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Cervical cancer</w:t>
            </w:r>
          </w:p>
        </w:tc>
        <w:tc>
          <w:tcPr>
            <w:tcW w:w="2343" w:type="dxa"/>
            <w:vAlign w:val="center"/>
          </w:tcPr>
          <w:p w14:paraId="57DC7C64"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162</w:t>
            </w:r>
          </w:p>
        </w:tc>
        <w:tc>
          <w:tcPr>
            <w:tcW w:w="2287" w:type="dxa"/>
            <w:vAlign w:val="center"/>
          </w:tcPr>
          <w:p w14:paraId="409CEB15"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w:t>
            </w:r>
          </w:p>
        </w:tc>
      </w:tr>
      <w:tr w:rsidR="00ED6C12" w:rsidRPr="009E2B03" w14:paraId="307404AE" w14:textId="77777777" w:rsidTr="00C95D8A">
        <w:trPr>
          <w:trHeight w:val="329"/>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3BCC18A0"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Eating disorders</w:t>
            </w:r>
          </w:p>
        </w:tc>
        <w:tc>
          <w:tcPr>
            <w:tcW w:w="2343" w:type="dxa"/>
            <w:vAlign w:val="center"/>
          </w:tcPr>
          <w:p w14:paraId="1FD98692"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137</w:t>
            </w:r>
          </w:p>
        </w:tc>
        <w:tc>
          <w:tcPr>
            <w:tcW w:w="2287" w:type="dxa"/>
            <w:vAlign w:val="center"/>
          </w:tcPr>
          <w:p w14:paraId="770C5DB6"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w:t>
            </w:r>
          </w:p>
        </w:tc>
      </w:tr>
      <w:tr w:rsidR="00ED6C12" w:rsidRPr="009E2B03" w14:paraId="7A93A885" w14:textId="77777777" w:rsidTr="00C95D8A">
        <w:trPr>
          <w:trHeight w:val="321"/>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6DE460E6" w14:textId="77777777" w:rsidR="00ED6C12" w:rsidRPr="009E2B03" w:rsidRDefault="00ED6C12" w:rsidP="00B67A70">
            <w:pPr>
              <w:pStyle w:val="BodyText"/>
              <w:spacing w:before="40" w:after="40" w:line="276" w:lineRule="auto"/>
              <w:rPr>
                <w:rFonts w:ascii="Calibri Light" w:hAnsi="Calibri Light" w:cs="Arial"/>
                <w:szCs w:val="18"/>
              </w:rPr>
            </w:pPr>
            <w:r w:rsidRPr="009E2B03">
              <w:rPr>
                <w:rFonts w:ascii="Calibri Light" w:hAnsi="Calibri Light" w:cs="Arial"/>
                <w:szCs w:val="18"/>
              </w:rPr>
              <w:t>Sexually transmitted diseases</w:t>
            </w:r>
          </w:p>
        </w:tc>
        <w:tc>
          <w:tcPr>
            <w:tcW w:w="2343" w:type="dxa"/>
            <w:vAlign w:val="center"/>
          </w:tcPr>
          <w:p w14:paraId="6D6641A7"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rPr>
              <w:t>59</w:t>
            </w:r>
          </w:p>
        </w:tc>
        <w:tc>
          <w:tcPr>
            <w:tcW w:w="2287" w:type="dxa"/>
            <w:vAlign w:val="center"/>
          </w:tcPr>
          <w:p w14:paraId="06F1854E"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w:t>
            </w:r>
          </w:p>
        </w:tc>
      </w:tr>
      <w:tr w:rsidR="00ED6C12" w:rsidRPr="009E2B03" w14:paraId="402D77ED" w14:textId="77777777" w:rsidTr="00C95D8A">
        <w:trPr>
          <w:trHeight w:val="329"/>
        </w:trPr>
        <w:tc>
          <w:tcPr>
            <w:cnfStyle w:val="001000000000" w:firstRow="0" w:lastRow="0" w:firstColumn="1" w:lastColumn="0" w:oddVBand="0" w:evenVBand="0" w:oddHBand="0" w:evenHBand="0" w:firstRowFirstColumn="0" w:firstRowLastColumn="0" w:lastRowFirstColumn="0" w:lastRowLastColumn="0"/>
            <w:tcW w:w="4135" w:type="dxa"/>
            <w:shd w:val="clear" w:color="auto" w:fill="F3F0F4"/>
            <w:vAlign w:val="center"/>
          </w:tcPr>
          <w:p w14:paraId="0DB4F672" w14:textId="77777777" w:rsidR="00ED6C12" w:rsidRPr="009E2B03" w:rsidRDefault="00ED6C12" w:rsidP="00B67A70">
            <w:pPr>
              <w:pStyle w:val="BodyText"/>
              <w:spacing w:before="40" w:after="40" w:line="276" w:lineRule="auto"/>
              <w:rPr>
                <w:rFonts w:ascii="Calibri Light" w:hAnsi="Calibri Light" w:cs="Arial"/>
                <w:b/>
                <w:color w:val="6D2077"/>
                <w:szCs w:val="18"/>
              </w:rPr>
            </w:pPr>
            <w:r w:rsidRPr="009E2B03">
              <w:rPr>
                <w:rFonts w:ascii="Calibri Light" w:hAnsi="Calibri Light" w:cs="Arial"/>
                <w:b/>
                <w:color w:val="6D2077"/>
                <w:szCs w:val="18"/>
              </w:rPr>
              <w:t>Total</w:t>
            </w:r>
          </w:p>
        </w:tc>
        <w:tc>
          <w:tcPr>
            <w:tcW w:w="2343" w:type="dxa"/>
            <w:vAlign w:val="center"/>
          </w:tcPr>
          <w:p w14:paraId="725F3E44"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6D2077"/>
                <w:szCs w:val="18"/>
              </w:rPr>
            </w:pPr>
            <w:r w:rsidRPr="009E2B03">
              <w:rPr>
                <w:rFonts w:ascii="Calibri Light" w:hAnsi="Calibri Light" w:cs="Arial"/>
                <w:b/>
                <w:color w:val="6D2077"/>
                <w:szCs w:val="18"/>
              </w:rPr>
              <w:t>10,416</w:t>
            </w:r>
          </w:p>
        </w:tc>
        <w:tc>
          <w:tcPr>
            <w:tcW w:w="2287" w:type="dxa"/>
            <w:vAlign w:val="center"/>
          </w:tcPr>
          <w:p w14:paraId="4AE4A226" w14:textId="77777777" w:rsidR="00ED6C12" w:rsidRPr="009E2B03" w:rsidRDefault="00ED6C12" w:rsidP="00B67A70">
            <w:pPr>
              <w:pStyle w:val="BodyText"/>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6D2077"/>
                <w:szCs w:val="18"/>
              </w:rPr>
            </w:pPr>
            <w:r w:rsidRPr="009E2B03">
              <w:rPr>
                <w:rFonts w:ascii="Calibri Light" w:hAnsi="Calibri Light" w:cs="Arial"/>
                <w:b/>
                <w:color w:val="6D2077"/>
                <w:szCs w:val="18"/>
              </w:rPr>
              <w:t>100</w:t>
            </w:r>
          </w:p>
        </w:tc>
      </w:tr>
    </w:tbl>
    <w:p w14:paraId="2B5E9D0F" w14:textId="77777777" w:rsidR="00ED6C12" w:rsidRPr="009E2B03" w:rsidRDefault="00ED6C12" w:rsidP="00ED6C12">
      <w:pPr>
        <w:pStyle w:val="BodyText"/>
        <w:rPr>
          <w:rFonts w:ascii="Calibri Light" w:hAnsi="Calibri Light"/>
        </w:rPr>
      </w:pPr>
      <w:r w:rsidRPr="009E2B03">
        <w:rPr>
          <w:rFonts w:ascii="Calibri Light" w:hAnsi="Calibri Light"/>
        </w:rPr>
        <w:t xml:space="preserve">Note: These calculations are determined by disability adjusted life year </w:t>
      </w:r>
      <w:r w:rsidR="00B67A70" w:rsidRPr="009E2B03">
        <w:rPr>
          <w:rFonts w:ascii="Calibri Light" w:hAnsi="Calibri Light"/>
        </w:rPr>
        <w:t xml:space="preserve">(DALY) </w:t>
      </w:r>
      <w:r w:rsidRPr="009E2B03">
        <w:rPr>
          <w:rFonts w:ascii="Calibri Light" w:hAnsi="Calibri Light"/>
        </w:rPr>
        <w:t xml:space="preserve">fractions published by the World Health Organisation and </w:t>
      </w:r>
      <w:r w:rsidR="00B67A70" w:rsidRPr="009E2B03">
        <w:rPr>
          <w:rFonts w:ascii="Calibri Light" w:hAnsi="Calibri Light"/>
        </w:rPr>
        <w:t>AIHW</w:t>
      </w:r>
      <w:r w:rsidRPr="009E2B03">
        <w:rPr>
          <w:rFonts w:ascii="Calibri Light" w:hAnsi="Calibri Light"/>
        </w:rPr>
        <w:t>, which estimate the varied impacts of violence on the quality of life of affected women. These impacts are measured based on different consequences of violence, such as depression and anxiety, and the approximate reduction in mental, physical health and capacity caused or interrelated with the experience of violence. As such, the DALY fractions provide a proxy measure for the economic and non-</w:t>
      </w:r>
      <w:r w:rsidRPr="009E2B03">
        <w:rPr>
          <w:rFonts w:ascii="Calibri Light" w:hAnsi="Calibri Light"/>
        </w:rPr>
        <w:lastRenderedPageBreak/>
        <w:t>economic impact of violence on women’s life and the resulting reduction in personal wellbeing that continues to affect them over the longer term.</w:t>
      </w:r>
    </w:p>
    <w:p w14:paraId="67BC19BF" w14:textId="77777777" w:rsidR="00ED6C12" w:rsidRPr="009E2B03" w:rsidRDefault="00ED6C12" w:rsidP="00ED6C12">
      <w:pPr>
        <w:pStyle w:val="BodyText"/>
        <w:rPr>
          <w:rFonts w:ascii="Calibri Light" w:hAnsi="Calibri Light"/>
        </w:rPr>
      </w:pPr>
      <w:r w:rsidRPr="009E2B03">
        <w:rPr>
          <w:rFonts w:ascii="Calibri Light" w:hAnsi="Calibri Light"/>
        </w:rPr>
        <w:t>Source: KPMG breakdown of pain, suffering and premature mortality.</w:t>
      </w:r>
    </w:p>
    <w:p w14:paraId="3634914C" w14:textId="77777777" w:rsidR="00ED6C12" w:rsidRPr="009E2B03" w:rsidRDefault="00ED6C12" w:rsidP="00ED6C12">
      <w:pPr>
        <w:pStyle w:val="BodyText"/>
        <w:rPr>
          <w:rFonts w:ascii="Calibri Light" w:hAnsi="Calibri Light"/>
          <w:sz w:val="22"/>
          <w:lang w:val="en-US"/>
        </w:rPr>
      </w:pPr>
      <w:r w:rsidRPr="009E2B03">
        <w:rPr>
          <w:rFonts w:ascii="Calibri Light" w:hAnsi="Calibri Light"/>
          <w:sz w:val="22"/>
          <w:lang w:val="en-US"/>
        </w:rPr>
        <w:fldChar w:fldCharType="begin"/>
      </w:r>
      <w:r w:rsidRPr="009E2B03">
        <w:rPr>
          <w:rFonts w:ascii="Calibri Light" w:hAnsi="Calibri Light"/>
          <w:sz w:val="22"/>
          <w:lang w:val="en-US"/>
        </w:rPr>
        <w:instrText xml:space="preserve"> REF _Ref447198931 \h </w:instrText>
      </w:r>
      <w:r w:rsidR="009B0258" w:rsidRPr="009E2B03">
        <w:rPr>
          <w:rFonts w:ascii="Calibri Light" w:hAnsi="Calibri Light"/>
          <w:sz w:val="22"/>
          <w:lang w:val="en-US"/>
        </w:rPr>
        <w:instrText xml:space="preserve"> \* MERGEFORMAT </w:instrText>
      </w:r>
      <w:r w:rsidRPr="009E2B03">
        <w:rPr>
          <w:rFonts w:ascii="Calibri Light" w:hAnsi="Calibri Light"/>
          <w:sz w:val="22"/>
          <w:lang w:val="en-US"/>
        </w:rPr>
      </w:r>
      <w:r w:rsidRPr="009E2B03">
        <w:rPr>
          <w:rFonts w:ascii="Calibri Light" w:hAnsi="Calibri Light"/>
          <w:sz w:val="22"/>
          <w:lang w:val="en-US"/>
        </w:rPr>
        <w:fldChar w:fldCharType="separate"/>
      </w:r>
      <w:r w:rsidR="00417237" w:rsidRPr="009E2B03">
        <w:rPr>
          <w:rFonts w:ascii="Calibri Light" w:hAnsi="Calibri Light"/>
          <w:sz w:val="22"/>
        </w:rPr>
        <w:t xml:space="preserve">Table </w:t>
      </w:r>
      <w:r w:rsidR="00417237">
        <w:rPr>
          <w:rFonts w:ascii="Calibri Light" w:hAnsi="Calibri Light"/>
          <w:noProof/>
          <w:sz w:val="22"/>
        </w:rPr>
        <w:t>3</w:t>
      </w:r>
      <w:r w:rsidR="00417237" w:rsidRPr="009E2B03">
        <w:rPr>
          <w:rFonts w:ascii="Calibri Light" w:hAnsi="Calibri Light"/>
          <w:noProof/>
          <w:sz w:val="22"/>
        </w:rPr>
        <w:noBreakHyphen/>
      </w:r>
      <w:r w:rsidR="00417237">
        <w:rPr>
          <w:rFonts w:ascii="Calibri Light" w:hAnsi="Calibri Light"/>
          <w:noProof/>
          <w:sz w:val="22"/>
        </w:rPr>
        <w:t>2</w:t>
      </w:r>
      <w:r w:rsidRPr="009E2B03">
        <w:rPr>
          <w:rFonts w:ascii="Calibri Light" w:hAnsi="Calibri Light"/>
          <w:sz w:val="22"/>
          <w:lang w:val="en-US"/>
        </w:rPr>
        <w:fldChar w:fldCharType="end"/>
      </w:r>
      <w:r w:rsidRPr="009E2B03">
        <w:rPr>
          <w:rFonts w:ascii="Calibri Light" w:hAnsi="Calibri Light"/>
          <w:sz w:val="22"/>
          <w:lang w:val="en-US"/>
        </w:rPr>
        <w:t xml:space="preserve"> indicates that depression and anxiety are the most substantial impacts on women’s mental and physical health (60 per cent), followed by substance abuse in relation to alcohol, tobacco and drug use (25 per cent). Suicide and femicide account for approximately 16 per cent of cost impacts</w:t>
      </w:r>
      <w:r w:rsidR="00B53719" w:rsidRPr="009E2B03">
        <w:rPr>
          <w:rFonts w:ascii="Calibri Light" w:hAnsi="Calibri Light"/>
          <w:sz w:val="22"/>
          <w:lang w:val="en-US"/>
        </w:rPr>
        <w:t>;</w:t>
      </w:r>
      <w:r w:rsidRPr="009E2B03">
        <w:rPr>
          <w:rFonts w:ascii="Calibri Light" w:hAnsi="Calibri Light"/>
          <w:sz w:val="22"/>
          <w:lang w:val="en-US"/>
        </w:rPr>
        <w:t xml:space="preserve"> increased significance </w:t>
      </w:r>
      <w:r w:rsidR="00B53719" w:rsidRPr="009E2B03">
        <w:rPr>
          <w:rFonts w:ascii="Calibri Light" w:hAnsi="Calibri Light"/>
          <w:sz w:val="22"/>
          <w:lang w:val="en-US"/>
        </w:rPr>
        <w:t xml:space="preserve">is </w:t>
      </w:r>
      <w:r w:rsidRPr="009E2B03">
        <w:rPr>
          <w:rFonts w:ascii="Calibri Light" w:hAnsi="Calibri Light"/>
          <w:sz w:val="22"/>
          <w:lang w:val="en-US"/>
        </w:rPr>
        <w:t>attached to this category given the nature of impacts on women’s lives. The sections below provide more detailed analysis and description of these three impact categories and the long term consequences for affected women.</w:t>
      </w:r>
    </w:p>
    <w:p w14:paraId="19B6F371" w14:textId="77777777" w:rsidR="00ED6C12" w:rsidRPr="009E2B03" w:rsidRDefault="00ED6C12" w:rsidP="00ED6C12">
      <w:pPr>
        <w:pStyle w:val="Heading4"/>
        <w:rPr>
          <w:rFonts w:ascii="Calibri Light" w:hAnsi="Calibri Light"/>
          <w:color w:val="6D2077"/>
          <w:sz w:val="22"/>
        </w:rPr>
      </w:pPr>
      <w:r w:rsidRPr="009E2B03">
        <w:rPr>
          <w:rFonts w:ascii="Calibri Light" w:hAnsi="Calibri Light"/>
          <w:color w:val="6D2077"/>
          <w:sz w:val="22"/>
          <w:lang w:val="en-US"/>
        </w:rPr>
        <w:t>Anxiety and depressions – mental disorders and violence against women</w:t>
      </w:r>
    </w:p>
    <w:p w14:paraId="1AA5FFEF" w14:textId="77777777" w:rsidR="00ED6C12" w:rsidRPr="009E2B03" w:rsidRDefault="00ED6C12" w:rsidP="00ED6C12">
      <w:pPr>
        <w:pStyle w:val="BodyText"/>
        <w:rPr>
          <w:rFonts w:ascii="Calibri Light" w:hAnsi="Calibri Light"/>
          <w:sz w:val="22"/>
        </w:rPr>
      </w:pPr>
      <w:r w:rsidRPr="009E2B03">
        <w:rPr>
          <w:rFonts w:ascii="Calibri Light" w:hAnsi="Calibri Light"/>
          <w:sz w:val="22"/>
        </w:rPr>
        <w:t>Mental disorders such as anxiety and depression are a major factor contributing to the burden faced by women and their children who are victims of violence.</w:t>
      </w:r>
      <w:r w:rsidRPr="009E2B03">
        <w:rPr>
          <w:rStyle w:val="FootnoteReference"/>
          <w:rFonts w:ascii="Calibri Light" w:hAnsi="Calibri Light"/>
          <w:sz w:val="22"/>
        </w:rPr>
        <w:footnoteReference w:id="27"/>
      </w:r>
      <w:r w:rsidRPr="009E2B03">
        <w:rPr>
          <w:rFonts w:ascii="Calibri Light" w:hAnsi="Calibri Light"/>
          <w:sz w:val="22"/>
        </w:rPr>
        <w:t xml:space="preserve"> According to a 2007 report by AIHW, depression and anxiety are predicted to be the single greatest contributor to the disease burden for Australian women by 2023.</w:t>
      </w:r>
      <w:r w:rsidRPr="009E2B03">
        <w:rPr>
          <w:rStyle w:val="FootnoteReference"/>
          <w:rFonts w:ascii="Calibri Light" w:hAnsi="Calibri Light"/>
          <w:sz w:val="22"/>
        </w:rPr>
        <w:footnoteReference w:id="28"/>
      </w:r>
      <w:r w:rsidRPr="009E2B03">
        <w:rPr>
          <w:rFonts w:ascii="Calibri Light" w:hAnsi="Calibri Light"/>
          <w:sz w:val="22"/>
        </w:rPr>
        <w:t xml:space="preserve"> In addition, an estimated 50 per cent to 80 per cent of women using psychiatric services are recorded as having a history of sexual abuse or assault.</w:t>
      </w:r>
      <w:r w:rsidRPr="009E2B03">
        <w:rPr>
          <w:rStyle w:val="FootnoteReference"/>
          <w:rFonts w:ascii="Calibri Light" w:hAnsi="Calibri Light"/>
          <w:sz w:val="22"/>
        </w:rPr>
        <w:footnoteReference w:id="29"/>
      </w:r>
      <w:r w:rsidRPr="009E2B03">
        <w:rPr>
          <w:rFonts w:ascii="Calibri Light" w:hAnsi="Calibri Light"/>
          <w:sz w:val="22"/>
        </w:rPr>
        <w:t xml:space="preserve"> This indicates that over half the mental health issues experienced by women (and their associated long term health impacts) may be related to the experience of violence.</w:t>
      </w:r>
    </w:p>
    <w:p w14:paraId="6D582B0B" w14:textId="77777777" w:rsidR="00ED6C12" w:rsidRPr="009E2B03" w:rsidRDefault="00ED6C12" w:rsidP="00ED6C12">
      <w:pPr>
        <w:pStyle w:val="BodyText"/>
        <w:rPr>
          <w:rFonts w:ascii="Calibri Light" w:hAnsi="Calibri Light"/>
          <w:sz w:val="22"/>
        </w:rPr>
      </w:pPr>
      <w:r w:rsidRPr="009E2B03">
        <w:rPr>
          <w:rFonts w:ascii="Calibri Light" w:hAnsi="Calibri Light"/>
          <w:sz w:val="22"/>
          <w:lang w:val="en-US"/>
        </w:rPr>
        <w:t xml:space="preserve">Consistent with these studies, a large national research project based on the 2007 Australian National Mental Health and Wellbeing Survey explored the prevalence of gender based violence in women and the relationship with mental disorders and psychosocial function. The study of 4,451 women found that gender based violence was associated with more severe current mental disorder, higher rates of three or more lifetime disorders, </w:t>
      </w:r>
      <w:r w:rsidR="00B67A70" w:rsidRPr="009E2B03">
        <w:rPr>
          <w:rFonts w:ascii="Calibri Light" w:hAnsi="Calibri Light"/>
          <w:sz w:val="22"/>
          <w:lang w:val="en-US"/>
        </w:rPr>
        <w:t xml:space="preserve">lower </w:t>
      </w:r>
      <w:r w:rsidRPr="009E2B03">
        <w:rPr>
          <w:rFonts w:ascii="Calibri Light" w:hAnsi="Calibri Light"/>
          <w:sz w:val="22"/>
          <w:lang w:val="en-US"/>
        </w:rPr>
        <w:t>quality of life, physical disability, an increase in disability days, and overall disability. The study found that:</w:t>
      </w:r>
    </w:p>
    <w:p w14:paraId="6A78402D" w14:textId="77777777" w:rsidR="00ED6C12" w:rsidRPr="009E2B03" w:rsidRDefault="00B53719" w:rsidP="00ED6C12">
      <w:pPr>
        <w:pStyle w:val="BodyBullet"/>
        <w:rPr>
          <w:rFonts w:ascii="Calibri Light" w:hAnsi="Calibri Light" w:cs="Arial"/>
          <w:sz w:val="22"/>
        </w:rPr>
      </w:pPr>
      <w:r w:rsidRPr="009E2B03">
        <w:rPr>
          <w:rFonts w:ascii="Calibri Light" w:hAnsi="Calibri Light" w:cs="Arial"/>
          <w:sz w:val="22"/>
        </w:rPr>
        <w:t>T</w:t>
      </w:r>
      <w:r w:rsidR="00ED6C12" w:rsidRPr="009E2B03">
        <w:rPr>
          <w:rFonts w:ascii="Calibri Light" w:hAnsi="Calibri Light" w:cs="Arial"/>
          <w:sz w:val="22"/>
        </w:rPr>
        <w:t>he prevalence rate for any mental disorder was 57.3 per cent for women exposed to a single form of gender based violence, compared to a prevalence rate of 28 per cent among women who had not been exposed to any form of gender based violence</w:t>
      </w:r>
      <w:r w:rsidRPr="009E2B03">
        <w:rPr>
          <w:rFonts w:ascii="Calibri Light" w:hAnsi="Calibri Light" w:cs="Arial"/>
          <w:sz w:val="22"/>
        </w:rPr>
        <w:t>.</w:t>
      </w:r>
    </w:p>
    <w:p w14:paraId="2242EFDE" w14:textId="77777777" w:rsidR="00ED6C12" w:rsidRPr="009E2B03" w:rsidRDefault="00B53719" w:rsidP="00ED6C12">
      <w:pPr>
        <w:pStyle w:val="BodyBullet"/>
        <w:rPr>
          <w:rFonts w:ascii="Calibri Light" w:hAnsi="Calibri Light" w:cs="Arial"/>
          <w:sz w:val="22"/>
        </w:rPr>
      </w:pPr>
      <w:r w:rsidRPr="009E2B03">
        <w:rPr>
          <w:rFonts w:ascii="Calibri Light" w:hAnsi="Calibri Light" w:cs="Arial"/>
          <w:sz w:val="22"/>
        </w:rPr>
        <w:t>T</w:t>
      </w:r>
      <w:r w:rsidR="00ED6C12" w:rsidRPr="009E2B03">
        <w:rPr>
          <w:rFonts w:ascii="Calibri Light" w:hAnsi="Calibri Light" w:cs="Arial"/>
          <w:sz w:val="22"/>
        </w:rPr>
        <w:t>he prevalence rate for any mental disorder was 89.4 per cent of women exposed to more than two types of gender based violence, defined by the study as intimate partner violence, stalking, sexual assault, or rape</w:t>
      </w:r>
      <w:r w:rsidRPr="009E2B03">
        <w:rPr>
          <w:rFonts w:ascii="Calibri Light" w:hAnsi="Calibri Light" w:cs="Arial"/>
          <w:sz w:val="22"/>
        </w:rPr>
        <w:t>.</w:t>
      </w:r>
    </w:p>
    <w:p w14:paraId="7CF8D23D" w14:textId="77777777" w:rsidR="00ED6C12" w:rsidRPr="009E2B03" w:rsidRDefault="00B53719" w:rsidP="00ED6C12">
      <w:pPr>
        <w:pStyle w:val="BodyBullet"/>
        <w:rPr>
          <w:rFonts w:ascii="Calibri Light" w:hAnsi="Calibri Light" w:cs="Arial"/>
          <w:sz w:val="22"/>
        </w:rPr>
      </w:pPr>
      <w:r w:rsidRPr="009E2B03">
        <w:rPr>
          <w:rFonts w:ascii="Calibri Light" w:hAnsi="Calibri Light" w:cs="Arial"/>
          <w:sz w:val="22"/>
        </w:rPr>
        <w:t>M</w:t>
      </w:r>
      <w:r w:rsidR="00ED6C12" w:rsidRPr="009E2B03">
        <w:rPr>
          <w:rFonts w:ascii="Calibri Light" w:hAnsi="Calibri Light" w:cs="Arial"/>
          <w:sz w:val="22"/>
        </w:rPr>
        <w:t>ultivariate analysis concluded that women who have been exposed to one form of gender based violence reported a 30.7 per cent (weighted figure) rate of lifetime mood disorder, 38.5 per cent of lifetime anxiety disorder and a 15.2 per cent rate of lifetime post-traumatic stress disorder (PTSD).</w:t>
      </w:r>
      <w:r w:rsidR="00ED6C12" w:rsidRPr="009E2B03">
        <w:rPr>
          <w:rFonts w:ascii="Calibri Light" w:hAnsi="Calibri Light" w:cs="Arial"/>
          <w:sz w:val="22"/>
          <w:vertAlign w:val="superscript"/>
        </w:rPr>
        <w:footnoteReference w:id="30"/>
      </w:r>
    </w:p>
    <w:p w14:paraId="70A67002"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These statistics identify the significant co-occurrence of violence and mental health – and also the importance in understanding mental illness as simultaneously a </w:t>
      </w:r>
      <w:r w:rsidR="00B53719" w:rsidRPr="009E2B03">
        <w:rPr>
          <w:rFonts w:ascii="Calibri Light" w:hAnsi="Calibri Light"/>
          <w:sz w:val="22"/>
        </w:rPr>
        <w:t>cause</w:t>
      </w:r>
      <w:r w:rsidRPr="009E2B03">
        <w:rPr>
          <w:rFonts w:ascii="Calibri Light" w:hAnsi="Calibri Light"/>
          <w:sz w:val="22"/>
        </w:rPr>
        <w:t xml:space="preserve"> of violence, a factor increasing the risk of violence, and an impact of violence. As a result, victims of violence may experience a wide range of disorders in attempting to cope with the trauma and psychological impact of incidence of violence – particularly if the impacts of violence continue over the long term.</w:t>
      </w:r>
      <w:r w:rsidRPr="009E2B03">
        <w:rPr>
          <w:rStyle w:val="FootnoteReference"/>
          <w:rFonts w:ascii="Calibri Light" w:hAnsi="Calibri Light"/>
          <w:sz w:val="22"/>
        </w:rPr>
        <w:footnoteReference w:id="31"/>
      </w:r>
      <w:r w:rsidRPr="009E2B03">
        <w:rPr>
          <w:rFonts w:ascii="Calibri Light" w:hAnsi="Calibri Light"/>
          <w:sz w:val="22"/>
        </w:rPr>
        <w:t xml:space="preserve"> </w:t>
      </w:r>
    </w:p>
    <w:p w14:paraId="3C23F4B0" w14:textId="77777777" w:rsidR="00ED6C12" w:rsidRPr="009E2B03" w:rsidRDefault="00ED6C12" w:rsidP="00ED6C12">
      <w:pPr>
        <w:pStyle w:val="Heading4"/>
        <w:rPr>
          <w:rFonts w:ascii="Calibri Light" w:hAnsi="Calibri Light"/>
          <w:color w:val="6D2077"/>
          <w:sz w:val="22"/>
          <w:lang w:val="en-US"/>
        </w:rPr>
      </w:pPr>
      <w:r w:rsidRPr="009E2B03">
        <w:rPr>
          <w:rFonts w:ascii="Calibri Light" w:hAnsi="Calibri Light"/>
          <w:color w:val="6D2077"/>
          <w:sz w:val="22"/>
          <w:lang w:val="en-US"/>
        </w:rPr>
        <w:lastRenderedPageBreak/>
        <w:t>Drug and alcohol abuse</w:t>
      </w:r>
    </w:p>
    <w:p w14:paraId="4A6ED66F" w14:textId="77777777" w:rsidR="00ED6C12" w:rsidRPr="009E2B03" w:rsidRDefault="00ED6C12" w:rsidP="00ED6C12">
      <w:pPr>
        <w:spacing w:before="0" w:after="160" w:line="259" w:lineRule="auto"/>
        <w:rPr>
          <w:rFonts w:ascii="Calibri Light" w:hAnsi="Calibri Light"/>
          <w:sz w:val="22"/>
        </w:rPr>
      </w:pPr>
      <w:r w:rsidRPr="009E2B03">
        <w:rPr>
          <w:rFonts w:ascii="Calibri Light" w:hAnsi="Calibri Light"/>
          <w:sz w:val="22"/>
          <w:lang w:val="en-US"/>
        </w:rPr>
        <w:t>As identified by the World Health Organisation</w:t>
      </w:r>
      <w:r w:rsidR="00B67A70" w:rsidRPr="009E2B03">
        <w:rPr>
          <w:rFonts w:ascii="Calibri Light" w:hAnsi="Calibri Light"/>
          <w:sz w:val="22"/>
          <w:lang w:val="en-US"/>
        </w:rPr>
        <w:t xml:space="preserve"> (WHO)</w:t>
      </w:r>
      <w:r w:rsidRPr="009E2B03">
        <w:rPr>
          <w:rFonts w:ascii="Calibri Light" w:hAnsi="Calibri Light"/>
          <w:sz w:val="22"/>
          <w:lang w:val="en-US"/>
        </w:rPr>
        <w:t>, women’s exposure to violence is associated with risk behaviours such as substance abuse disorders, smoking</w:t>
      </w:r>
      <w:r w:rsidR="00B72D22" w:rsidRPr="009E2B03">
        <w:rPr>
          <w:rFonts w:ascii="Calibri Light" w:hAnsi="Calibri Light"/>
          <w:sz w:val="22"/>
          <w:lang w:val="en-US"/>
        </w:rPr>
        <w:t xml:space="preserve"> and</w:t>
      </w:r>
      <w:r w:rsidRPr="009E2B03">
        <w:rPr>
          <w:rFonts w:ascii="Calibri Light" w:hAnsi="Calibri Light"/>
          <w:sz w:val="22"/>
          <w:lang w:val="en-US"/>
        </w:rPr>
        <w:t xml:space="preserve"> alcohol abuse as well as broader negative health outcomes.</w:t>
      </w:r>
      <w:r w:rsidRPr="009E2B03">
        <w:rPr>
          <w:rStyle w:val="FootnoteReference"/>
          <w:rFonts w:ascii="Calibri Light" w:hAnsi="Calibri Light"/>
          <w:sz w:val="22"/>
          <w:lang w:val="en-US"/>
        </w:rPr>
        <w:footnoteReference w:id="32"/>
      </w:r>
      <w:r w:rsidRPr="009E2B03">
        <w:rPr>
          <w:rFonts w:ascii="Calibri Light" w:hAnsi="Calibri Light"/>
          <w:sz w:val="22"/>
          <w:lang w:val="en-US"/>
        </w:rPr>
        <w:t xml:space="preserve"> </w:t>
      </w:r>
      <w:r w:rsidRPr="009E2B03">
        <w:rPr>
          <w:rFonts w:ascii="Calibri Light" w:hAnsi="Calibri Light"/>
          <w:sz w:val="22"/>
        </w:rPr>
        <w:t>As with mental disorders, research identifies drug and alcohol abuse as both a risk factor for, and an impact of, incidents of violence.</w:t>
      </w:r>
      <w:r w:rsidRPr="009E2B03">
        <w:rPr>
          <w:rStyle w:val="FootnoteReference"/>
          <w:rFonts w:ascii="Calibri Light" w:hAnsi="Calibri Light"/>
          <w:sz w:val="22"/>
        </w:rPr>
        <w:footnoteReference w:id="33"/>
      </w:r>
      <w:r w:rsidRPr="009E2B03">
        <w:rPr>
          <w:rFonts w:ascii="Calibri Light" w:hAnsi="Calibri Light"/>
          <w:sz w:val="22"/>
        </w:rPr>
        <w:t xml:space="preserve"> As an impact of violence, research has highlighted drug and alcohol abuse as a</w:t>
      </w:r>
      <w:r w:rsidR="00B72D22" w:rsidRPr="009E2B03">
        <w:rPr>
          <w:rFonts w:ascii="Calibri Light" w:hAnsi="Calibri Light"/>
          <w:sz w:val="22"/>
        </w:rPr>
        <w:t xml:space="preserve">n important </w:t>
      </w:r>
      <w:r w:rsidRPr="009E2B03">
        <w:rPr>
          <w:rFonts w:ascii="Calibri Light" w:hAnsi="Calibri Light"/>
          <w:sz w:val="22"/>
        </w:rPr>
        <w:t>factor contributing to the long term harm and costs faced by the victim as well as their families, communities and the Australian society as a whole.</w:t>
      </w:r>
      <w:r w:rsidRPr="009E2B03">
        <w:rPr>
          <w:rStyle w:val="FootnoteReference"/>
          <w:rFonts w:ascii="Calibri Light" w:hAnsi="Calibri Light"/>
          <w:sz w:val="22"/>
        </w:rPr>
        <w:footnoteReference w:id="34"/>
      </w:r>
      <w:r w:rsidRPr="009E2B03">
        <w:rPr>
          <w:rFonts w:ascii="Calibri Light" w:hAnsi="Calibri Light"/>
          <w:sz w:val="22"/>
        </w:rPr>
        <w:t xml:space="preserve"> For example, research based primarily on 2007 survey data from the </w:t>
      </w:r>
      <w:r w:rsidRPr="009E2B03">
        <w:rPr>
          <w:rFonts w:ascii="Calibri Light" w:hAnsi="Calibri Light"/>
          <w:sz w:val="22"/>
          <w:lang w:val="en-US"/>
        </w:rPr>
        <w:t>Australian National Mental Health and Wellbeing Survey</w:t>
      </w:r>
      <w:r w:rsidRPr="009E2B03">
        <w:rPr>
          <w:rFonts w:ascii="Calibri Light" w:hAnsi="Calibri Light"/>
          <w:sz w:val="22"/>
        </w:rPr>
        <w:t xml:space="preserve"> found that women who had been exposed to at least one form of violence reported a </w:t>
      </w:r>
      <w:r w:rsidRPr="009E2B03">
        <w:rPr>
          <w:rFonts w:ascii="Calibri Light" w:hAnsi="Calibri Light"/>
          <w:sz w:val="22"/>
          <w:lang w:val="en-US"/>
        </w:rPr>
        <w:t xml:space="preserve">23 per cent rate of lifetime substance use disorder. </w:t>
      </w:r>
    </w:p>
    <w:p w14:paraId="192539A4" w14:textId="77777777" w:rsidR="00ED6C12" w:rsidRPr="009E2B03" w:rsidRDefault="00ED6C12" w:rsidP="00ED6C12">
      <w:pPr>
        <w:rPr>
          <w:rFonts w:ascii="Calibri Light" w:hAnsi="Calibri Light"/>
          <w:sz w:val="22"/>
          <w:lang w:val="en-US"/>
        </w:rPr>
      </w:pPr>
      <w:r w:rsidRPr="009E2B03">
        <w:rPr>
          <w:rFonts w:ascii="Calibri Light" w:hAnsi="Calibri Light"/>
          <w:sz w:val="22"/>
        </w:rPr>
        <w:t>Alcohol and drug usage by perpetrators can be a contributing factor in increasing the vulnerability of women to violence. The 2012 PSS collected information about the involvement of drugs and alcohol in the most recent incident of violence against women. The survey found that 53 per cent of women aged 18 and over who had been physically assaulted by a male, stated that alcohol or drugs had been involved in their most recent incident of physical assault. The following points are drawn from Table 3-3 below:</w:t>
      </w:r>
    </w:p>
    <w:p w14:paraId="44210FD6" w14:textId="77777777" w:rsidR="00ED6C12" w:rsidRPr="009E2B03" w:rsidRDefault="00B72D22" w:rsidP="00ED6C12">
      <w:pPr>
        <w:pStyle w:val="BodyBullet"/>
        <w:rPr>
          <w:rFonts w:ascii="Calibri Light" w:hAnsi="Calibri Light" w:cs="Arial"/>
          <w:sz w:val="22"/>
        </w:rPr>
      </w:pPr>
      <w:r w:rsidRPr="009E2B03">
        <w:rPr>
          <w:rFonts w:ascii="Calibri Light" w:hAnsi="Calibri Light" w:cs="Arial"/>
          <w:sz w:val="22"/>
        </w:rPr>
        <w:t>O</w:t>
      </w:r>
      <w:r w:rsidR="00ED6C12" w:rsidRPr="009E2B03">
        <w:rPr>
          <w:rFonts w:ascii="Calibri Light" w:hAnsi="Calibri Light" w:cs="Arial"/>
          <w:sz w:val="22"/>
        </w:rPr>
        <w:t>f all females aged 15 and over who experienced an incident of sexual assault by a male</w:t>
      </w:r>
      <w:r w:rsidRPr="009E2B03">
        <w:rPr>
          <w:rFonts w:ascii="Calibri Light" w:hAnsi="Calibri Light" w:cs="Arial"/>
          <w:sz w:val="22"/>
        </w:rPr>
        <w:t>, 48.2 per cent (410,900),</w:t>
      </w:r>
      <w:r w:rsidR="00ED6C12" w:rsidRPr="009E2B03">
        <w:rPr>
          <w:rFonts w:ascii="Calibri Light" w:hAnsi="Calibri Light" w:cs="Arial"/>
          <w:sz w:val="22"/>
        </w:rPr>
        <w:t xml:space="preserve"> responded that the perpetrator was under the influence of alcohol or drugs</w:t>
      </w:r>
      <w:r w:rsidRPr="009E2B03">
        <w:rPr>
          <w:rFonts w:ascii="Calibri Light" w:hAnsi="Calibri Light" w:cs="Arial"/>
          <w:sz w:val="22"/>
        </w:rPr>
        <w:t>.</w:t>
      </w:r>
    </w:p>
    <w:p w14:paraId="4369549E" w14:textId="77777777" w:rsidR="00ED6C12" w:rsidRPr="009E2B03" w:rsidRDefault="00B72D22" w:rsidP="00ED6C12">
      <w:pPr>
        <w:pStyle w:val="BodyBullet"/>
        <w:rPr>
          <w:rFonts w:ascii="Calibri Light" w:hAnsi="Calibri Light" w:cs="Arial"/>
          <w:sz w:val="22"/>
        </w:rPr>
      </w:pPr>
      <w:r w:rsidRPr="009E2B03">
        <w:rPr>
          <w:rFonts w:ascii="Calibri Light" w:hAnsi="Calibri Light" w:cs="Arial"/>
          <w:sz w:val="22"/>
        </w:rPr>
        <w:t>O</w:t>
      </w:r>
      <w:r w:rsidR="00ED6C12" w:rsidRPr="009E2B03">
        <w:rPr>
          <w:rFonts w:ascii="Calibri Light" w:hAnsi="Calibri Light" w:cs="Arial"/>
          <w:sz w:val="22"/>
        </w:rPr>
        <w:t>f all females aged 15 and over who experienced an incident of physical assault by a male</w:t>
      </w:r>
      <w:r w:rsidRPr="009E2B03">
        <w:rPr>
          <w:rFonts w:ascii="Calibri Light" w:hAnsi="Calibri Light" w:cs="Arial"/>
          <w:sz w:val="22"/>
        </w:rPr>
        <w:t>, 51 per cent (874,700),</w:t>
      </w:r>
      <w:r w:rsidR="00ED6C12" w:rsidRPr="009E2B03">
        <w:rPr>
          <w:rFonts w:ascii="Calibri Light" w:hAnsi="Calibri Light" w:cs="Arial"/>
          <w:sz w:val="22"/>
        </w:rPr>
        <w:t xml:space="preserve"> responded that the perpetrator was under the influence of alcohol or drugs</w:t>
      </w:r>
      <w:r w:rsidRPr="009E2B03">
        <w:rPr>
          <w:rFonts w:ascii="Calibri Light" w:hAnsi="Calibri Light" w:cs="Arial"/>
          <w:sz w:val="22"/>
        </w:rPr>
        <w:t>.</w:t>
      </w:r>
    </w:p>
    <w:p w14:paraId="3ADFFD00" w14:textId="77777777" w:rsidR="00ED6C12" w:rsidRPr="009E2B03" w:rsidRDefault="00B72D22" w:rsidP="00ED6C12">
      <w:pPr>
        <w:pStyle w:val="BodyBullet"/>
        <w:rPr>
          <w:rFonts w:ascii="Calibri Light" w:hAnsi="Calibri Light" w:cs="Arial"/>
          <w:sz w:val="22"/>
        </w:rPr>
      </w:pPr>
      <w:r w:rsidRPr="009E2B03">
        <w:rPr>
          <w:rFonts w:ascii="Calibri Light" w:hAnsi="Calibri Light" w:cs="Arial"/>
          <w:sz w:val="22"/>
        </w:rPr>
        <w:t>I</w:t>
      </w:r>
      <w:r w:rsidR="00ED6C12" w:rsidRPr="009E2B03">
        <w:rPr>
          <w:rFonts w:ascii="Calibri Light" w:hAnsi="Calibri Light" w:cs="Arial"/>
          <w:sz w:val="22"/>
        </w:rPr>
        <w:t xml:space="preserve">n over half a million incidents of sexual or physical threat, the perpetrator was under the influence of drugs or alcohol. </w:t>
      </w:r>
    </w:p>
    <w:p w14:paraId="3DF9CD68" w14:textId="77777777" w:rsidR="00ED6C12" w:rsidRPr="009E2B03" w:rsidRDefault="00ED6C12" w:rsidP="00ED6C12">
      <w:pPr>
        <w:pStyle w:val="Caption"/>
        <w:rPr>
          <w:rFonts w:ascii="Calibri Light" w:hAnsi="Calibri Light" w:cs="Arial"/>
          <w:sz w:val="22"/>
        </w:rPr>
      </w:pPr>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Pr="009E2B03">
        <w:rPr>
          <w:rFonts w:ascii="Calibri Light" w:hAnsi="Calibri Light" w:cs="Arial"/>
          <w:sz w:val="22"/>
        </w:rPr>
        <w:t>: 2012 PSS survey data for females who have experienced violence since the age of 15, whether drugs/alcohol was involved in the most recent incident of violence</w:t>
      </w:r>
    </w:p>
    <w:tbl>
      <w:tblPr>
        <w:tblStyle w:val="KPMGtable1"/>
        <w:tblW w:w="9046" w:type="dxa"/>
        <w:tblInd w:w="5" w:type="dxa"/>
        <w:tblLook w:val="04A0" w:firstRow="1" w:lastRow="0" w:firstColumn="1" w:lastColumn="0" w:noHBand="0" w:noVBand="1"/>
        <w:tblCaption w:val="Table of information on 2012 PSS survey data for females who have experienced violence since the age of 15, whether drugs/alcohol was involved in the most recent incident of violence"/>
      </w:tblPr>
      <w:tblGrid>
        <w:gridCol w:w="1809"/>
        <w:gridCol w:w="1809"/>
        <w:gridCol w:w="1809"/>
        <w:gridCol w:w="1809"/>
        <w:gridCol w:w="1810"/>
      </w:tblGrid>
      <w:tr w:rsidR="00EA63FD" w:rsidRPr="00EA63FD" w14:paraId="487E8787" w14:textId="77777777" w:rsidTr="00E431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002060"/>
          </w:tcPr>
          <w:p w14:paraId="4B0B6DD8" w14:textId="77777777" w:rsidR="00EA63FD" w:rsidRPr="00EA63FD" w:rsidRDefault="00EA63FD" w:rsidP="00B67A70">
            <w:pPr>
              <w:pStyle w:val="ListParagraph"/>
              <w:spacing w:before="40" w:after="40"/>
              <w:ind w:left="0"/>
              <w:jc w:val="right"/>
              <w:rPr>
                <w:rFonts w:ascii="Calibri Light" w:hAnsi="Calibri Light"/>
                <w:b/>
                <w:szCs w:val="18"/>
              </w:rPr>
            </w:pPr>
          </w:p>
        </w:tc>
        <w:tc>
          <w:tcPr>
            <w:tcW w:w="1809" w:type="dxa"/>
            <w:shd w:val="clear" w:color="auto" w:fill="002060"/>
            <w:vAlign w:val="center"/>
          </w:tcPr>
          <w:p w14:paraId="1081D369" w14:textId="6AE0AD48"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rPr>
            </w:pPr>
            <w:r w:rsidRPr="00EA63FD">
              <w:rPr>
                <w:rFonts w:ascii="Calibri Light" w:hAnsi="Calibri Light" w:cs="Arial"/>
                <w:b/>
                <w:szCs w:val="18"/>
              </w:rPr>
              <w:t>Respondent was under the influence of drugs/alcohol</w:t>
            </w:r>
          </w:p>
        </w:tc>
        <w:tc>
          <w:tcPr>
            <w:tcW w:w="1809" w:type="dxa"/>
            <w:shd w:val="clear" w:color="auto" w:fill="002060"/>
            <w:vAlign w:val="center"/>
          </w:tcPr>
          <w:p w14:paraId="5F9811C0" w14:textId="77777777"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rPr>
            </w:pPr>
          </w:p>
        </w:tc>
        <w:tc>
          <w:tcPr>
            <w:tcW w:w="1809" w:type="dxa"/>
            <w:shd w:val="clear" w:color="auto" w:fill="002060"/>
            <w:vAlign w:val="center"/>
          </w:tcPr>
          <w:p w14:paraId="67EDCBD6" w14:textId="4E77CD90"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rPr>
            </w:pPr>
            <w:r w:rsidRPr="00EA63FD">
              <w:rPr>
                <w:rFonts w:ascii="Calibri Light" w:hAnsi="Calibri Light" w:cs="Arial"/>
                <w:b/>
                <w:szCs w:val="18"/>
              </w:rPr>
              <w:t>Perpetrator was under the influence of drugs/alcohol</w:t>
            </w:r>
          </w:p>
        </w:tc>
        <w:tc>
          <w:tcPr>
            <w:tcW w:w="1810" w:type="dxa"/>
            <w:shd w:val="clear" w:color="auto" w:fill="002060"/>
            <w:vAlign w:val="center"/>
          </w:tcPr>
          <w:p w14:paraId="28B1CFD3" w14:textId="77777777"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rPr>
            </w:pPr>
          </w:p>
        </w:tc>
      </w:tr>
      <w:tr w:rsidR="00EA63FD" w:rsidRPr="00EA63FD" w14:paraId="423CB9C7" w14:textId="77777777" w:rsidTr="00E431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002060"/>
          </w:tcPr>
          <w:p w14:paraId="70CE3A63" w14:textId="77777777" w:rsidR="00EA63FD" w:rsidRPr="00EA63FD" w:rsidRDefault="00EA63FD" w:rsidP="00B67A70">
            <w:pPr>
              <w:pStyle w:val="ListParagraph"/>
              <w:spacing w:before="40" w:after="40"/>
              <w:ind w:left="0"/>
              <w:jc w:val="right"/>
              <w:rPr>
                <w:rFonts w:ascii="Calibri Light" w:hAnsi="Calibri Light"/>
                <w:b/>
                <w:szCs w:val="18"/>
              </w:rPr>
            </w:pPr>
          </w:p>
        </w:tc>
        <w:tc>
          <w:tcPr>
            <w:tcW w:w="1809" w:type="dxa"/>
            <w:shd w:val="clear" w:color="auto" w:fill="002060"/>
            <w:vAlign w:val="center"/>
          </w:tcPr>
          <w:p w14:paraId="7FA69504" w14:textId="4DD7F491"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EA63FD">
              <w:rPr>
                <w:rFonts w:ascii="Calibri Light" w:hAnsi="Calibri Light" w:cs="Arial"/>
                <w:b/>
                <w:szCs w:val="18"/>
              </w:rPr>
              <w:t>Number</w:t>
            </w:r>
          </w:p>
        </w:tc>
        <w:tc>
          <w:tcPr>
            <w:tcW w:w="1809" w:type="dxa"/>
            <w:shd w:val="clear" w:color="auto" w:fill="002060"/>
            <w:vAlign w:val="center"/>
          </w:tcPr>
          <w:p w14:paraId="34AFC033" w14:textId="77777777"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EA63FD">
              <w:rPr>
                <w:rFonts w:ascii="Calibri Light" w:hAnsi="Calibri Light" w:cs="Arial"/>
                <w:b/>
                <w:szCs w:val="18"/>
              </w:rPr>
              <w:t>% of total</w:t>
            </w:r>
          </w:p>
        </w:tc>
        <w:tc>
          <w:tcPr>
            <w:tcW w:w="1809" w:type="dxa"/>
            <w:shd w:val="clear" w:color="auto" w:fill="002060"/>
            <w:vAlign w:val="center"/>
          </w:tcPr>
          <w:p w14:paraId="556D4735" w14:textId="77777777"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EA63FD">
              <w:rPr>
                <w:rFonts w:ascii="Calibri Light" w:hAnsi="Calibri Light" w:cs="Arial"/>
                <w:b/>
                <w:szCs w:val="18"/>
              </w:rPr>
              <w:t xml:space="preserve">Number </w:t>
            </w:r>
          </w:p>
        </w:tc>
        <w:tc>
          <w:tcPr>
            <w:tcW w:w="1810" w:type="dxa"/>
            <w:shd w:val="clear" w:color="auto" w:fill="002060"/>
            <w:vAlign w:val="center"/>
          </w:tcPr>
          <w:p w14:paraId="5C519E8F" w14:textId="77777777" w:rsidR="00EA63FD" w:rsidRPr="00EA63FD" w:rsidRDefault="00EA63FD" w:rsidP="00B67A70">
            <w:pPr>
              <w:pStyle w:val="ListParagraph"/>
              <w:spacing w:before="40" w:after="40"/>
              <w:ind w:left="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EA63FD">
              <w:rPr>
                <w:rFonts w:ascii="Calibri Light" w:hAnsi="Calibri Light" w:cs="Arial"/>
                <w:b/>
                <w:szCs w:val="18"/>
              </w:rPr>
              <w:t>% of total</w:t>
            </w:r>
          </w:p>
        </w:tc>
      </w:tr>
      <w:tr w:rsidR="00EA63FD" w:rsidRPr="009E2B03" w14:paraId="1FDE39B0" w14:textId="77777777" w:rsidTr="00EA63FD">
        <w:tc>
          <w:tcPr>
            <w:cnfStyle w:val="001000000000" w:firstRow="0" w:lastRow="0" w:firstColumn="1" w:lastColumn="0" w:oddVBand="0" w:evenVBand="0" w:oddHBand="0" w:evenHBand="0" w:firstRowFirstColumn="0" w:firstRowLastColumn="0" w:lastRowFirstColumn="0" w:lastRowLastColumn="0"/>
            <w:tcW w:w="1809" w:type="dxa"/>
          </w:tcPr>
          <w:p w14:paraId="2AD4B7DC" w14:textId="1D26C410" w:rsidR="00EA63FD" w:rsidRPr="009E2B03" w:rsidRDefault="00EA63FD" w:rsidP="00B67A70">
            <w:pPr>
              <w:spacing w:before="40" w:after="40"/>
              <w:jc w:val="right"/>
              <w:rPr>
                <w:rFonts w:ascii="Calibri Light" w:hAnsi="Calibri Light"/>
                <w:szCs w:val="18"/>
              </w:rPr>
            </w:pPr>
            <w:r w:rsidRPr="009E2B03">
              <w:rPr>
                <w:rFonts w:ascii="Calibri Light" w:hAnsi="Calibri Light" w:cs="Arial"/>
                <w:b/>
                <w:color w:val="6D2077"/>
                <w:szCs w:val="18"/>
              </w:rPr>
              <w:t>Sexual Assault</w:t>
            </w:r>
          </w:p>
        </w:tc>
        <w:tc>
          <w:tcPr>
            <w:tcW w:w="1809" w:type="dxa"/>
            <w:vAlign w:val="center"/>
          </w:tcPr>
          <w:p w14:paraId="2B7F50FC" w14:textId="32A2CE65"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162,800</w:t>
            </w:r>
          </w:p>
        </w:tc>
        <w:tc>
          <w:tcPr>
            <w:tcW w:w="1809" w:type="dxa"/>
            <w:vAlign w:val="center"/>
          </w:tcPr>
          <w:p w14:paraId="4E5290FD"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19.1</w:t>
            </w:r>
          </w:p>
        </w:tc>
        <w:tc>
          <w:tcPr>
            <w:tcW w:w="1809" w:type="dxa"/>
            <w:vAlign w:val="center"/>
          </w:tcPr>
          <w:p w14:paraId="509111A7"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410,900</w:t>
            </w:r>
          </w:p>
        </w:tc>
        <w:tc>
          <w:tcPr>
            <w:tcW w:w="1810" w:type="dxa"/>
            <w:vAlign w:val="center"/>
          </w:tcPr>
          <w:p w14:paraId="685F020A"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48.2</w:t>
            </w:r>
          </w:p>
        </w:tc>
      </w:tr>
      <w:tr w:rsidR="00EA63FD" w:rsidRPr="009E2B03" w14:paraId="75890DD5" w14:textId="77777777" w:rsidTr="00EA63FD">
        <w:tc>
          <w:tcPr>
            <w:cnfStyle w:val="001000000000" w:firstRow="0" w:lastRow="0" w:firstColumn="1" w:lastColumn="0" w:oddVBand="0" w:evenVBand="0" w:oddHBand="0" w:evenHBand="0" w:firstRowFirstColumn="0" w:firstRowLastColumn="0" w:lastRowFirstColumn="0" w:lastRowLastColumn="0"/>
            <w:tcW w:w="1809" w:type="dxa"/>
          </w:tcPr>
          <w:p w14:paraId="77E90093" w14:textId="733C5514" w:rsidR="00EA63FD" w:rsidRPr="009E2B03" w:rsidRDefault="00EA63FD" w:rsidP="00B67A70">
            <w:pPr>
              <w:spacing w:before="40" w:after="40"/>
              <w:jc w:val="right"/>
              <w:rPr>
                <w:rFonts w:ascii="Calibri Light" w:hAnsi="Calibri Light"/>
                <w:szCs w:val="18"/>
              </w:rPr>
            </w:pPr>
            <w:r w:rsidRPr="009E2B03">
              <w:rPr>
                <w:rFonts w:ascii="Calibri Light" w:hAnsi="Calibri Light" w:cs="Arial"/>
                <w:b/>
                <w:color w:val="6D2077"/>
                <w:szCs w:val="18"/>
              </w:rPr>
              <w:t xml:space="preserve">Physical Assault </w:t>
            </w:r>
          </w:p>
        </w:tc>
        <w:tc>
          <w:tcPr>
            <w:tcW w:w="1809" w:type="dxa"/>
            <w:vAlign w:val="center"/>
          </w:tcPr>
          <w:p w14:paraId="6420201D" w14:textId="3D9E2B1E"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132,700</w:t>
            </w:r>
          </w:p>
        </w:tc>
        <w:tc>
          <w:tcPr>
            <w:tcW w:w="1809" w:type="dxa"/>
            <w:vAlign w:val="center"/>
          </w:tcPr>
          <w:p w14:paraId="3F7CEC60"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7.7</w:t>
            </w:r>
          </w:p>
        </w:tc>
        <w:tc>
          <w:tcPr>
            <w:tcW w:w="1809" w:type="dxa"/>
            <w:vAlign w:val="center"/>
          </w:tcPr>
          <w:p w14:paraId="3684F1AC"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874,700</w:t>
            </w:r>
          </w:p>
        </w:tc>
        <w:tc>
          <w:tcPr>
            <w:tcW w:w="1810" w:type="dxa"/>
            <w:vAlign w:val="center"/>
          </w:tcPr>
          <w:p w14:paraId="25382250"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51.0</w:t>
            </w:r>
          </w:p>
        </w:tc>
      </w:tr>
      <w:tr w:rsidR="00EA63FD" w:rsidRPr="009E2B03" w14:paraId="254CC521" w14:textId="77777777" w:rsidTr="00EA63FD">
        <w:tc>
          <w:tcPr>
            <w:cnfStyle w:val="001000000000" w:firstRow="0" w:lastRow="0" w:firstColumn="1" w:lastColumn="0" w:oddVBand="0" w:evenVBand="0" w:oddHBand="0" w:evenHBand="0" w:firstRowFirstColumn="0" w:firstRowLastColumn="0" w:lastRowFirstColumn="0" w:lastRowLastColumn="0"/>
            <w:tcW w:w="1809" w:type="dxa"/>
          </w:tcPr>
          <w:p w14:paraId="561D685E" w14:textId="6C98D41A" w:rsidR="00EA63FD" w:rsidRPr="009E2B03" w:rsidRDefault="00EA63FD" w:rsidP="00B67A70">
            <w:pPr>
              <w:spacing w:before="40" w:after="40"/>
              <w:jc w:val="right"/>
              <w:rPr>
                <w:rFonts w:ascii="Calibri Light" w:hAnsi="Calibri Light"/>
                <w:szCs w:val="18"/>
              </w:rPr>
            </w:pPr>
            <w:r w:rsidRPr="009E2B03">
              <w:rPr>
                <w:rFonts w:ascii="Calibri Light" w:hAnsi="Calibri Light" w:cs="Arial"/>
                <w:b/>
                <w:color w:val="6D2077"/>
                <w:szCs w:val="18"/>
              </w:rPr>
              <w:t>Sexual Threat</w:t>
            </w:r>
          </w:p>
        </w:tc>
        <w:tc>
          <w:tcPr>
            <w:tcW w:w="1809" w:type="dxa"/>
            <w:vAlign w:val="center"/>
          </w:tcPr>
          <w:p w14:paraId="4E45E890" w14:textId="40C81012"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25,600</w:t>
            </w:r>
          </w:p>
        </w:tc>
        <w:tc>
          <w:tcPr>
            <w:tcW w:w="1809" w:type="dxa"/>
            <w:vAlign w:val="center"/>
          </w:tcPr>
          <w:p w14:paraId="6AF7C8F5"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10.9</w:t>
            </w:r>
          </w:p>
        </w:tc>
        <w:tc>
          <w:tcPr>
            <w:tcW w:w="1809" w:type="dxa"/>
            <w:vAlign w:val="center"/>
          </w:tcPr>
          <w:p w14:paraId="3EE54761"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125,500</w:t>
            </w:r>
          </w:p>
        </w:tc>
        <w:tc>
          <w:tcPr>
            <w:tcW w:w="1810" w:type="dxa"/>
            <w:vAlign w:val="center"/>
          </w:tcPr>
          <w:p w14:paraId="7CF02F1F"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53.5</w:t>
            </w:r>
          </w:p>
        </w:tc>
      </w:tr>
      <w:tr w:rsidR="00EA63FD" w:rsidRPr="009E2B03" w14:paraId="10B795F9" w14:textId="77777777" w:rsidTr="00EA63FD">
        <w:tc>
          <w:tcPr>
            <w:cnfStyle w:val="001000000000" w:firstRow="0" w:lastRow="0" w:firstColumn="1" w:lastColumn="0" w:oddVBand="0" w:evenVBand="0" w:oddHBand="0" w:evenHBand="0" w:firstRowFirstColumn="0" w:firstRowLastColumn="0" w:lastRowFirstColumn="0" w:lastRowLastColumn="0"/>
            <w:tcW w:w="1809" w:type="dxa"/>
          </w:tcPr>
          <w:p w14:paraId="5D76E08A" w14:textId="3E0DE29B" w:rsidR="00EA63FD" w:rsidRPr="009E2B03" w:rsidRDefault="00EA63FD" w:rsidP="00B67A70">
            <w:pPr>
              <w:spacing w:before="40" w:after="40"/>
              <w:jc w:val="right"/>
              <w:rPr>
                <w:rFonts w:ascii="Calibri Light" w:hAnsi="Calibri Light"/>
                <w:szCs w:val="18"/>
              </w:rPr>
            </w:pPr>
            <w:r w:rsidRPr="009E2B03">
              <w:rPr>
                <w:rFonts w:ascii="Calibri Light" w:hAnsi="Calibri Light" w:cs="Arial"/>
                <w:b/>
                <w:color w:val="6D2077"/>
                <w:szCs w:val="18"/>
              </w:rPr>
              <w:t>Physical Threat</w:t>
            </w:r>
          </w:p>
        </w:tc>
        <w:tc>
          <w:tcPr>
            <w:tcW w:w="1809" w:type="dxa"/>
            <w:vAlign w:val="center"/>
          </w:tcPr>
          <w:p w14:paraId="038624D5" w14:textId="4139B238"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43,000</w:t>
            </w:r>
          </w:p>
        </w:tc>
        <w:tc>
          <w:tcPr>
            <w:tcW w:w="1809" w:type="dxa"/>
            <w:vAlign w:val="center"/>
          </w:tcPr>
          <w:p w14:paraId="4C3FC031"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6.1</w:t>
            </w:r>
          </w:p>
        </w:tc>
        <w:tc>
          <w:tcPr>
            <w:tcW w:w="1809" w:type="dxa"/>
            <w:vAlign w:val="center"/>
          </w:tcPr>
          <w:p w14:paraId="44BCF636"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339,500</w:t>
            </w:r>
          </w:p>
        </w:tc>
        <w:tc>
          <w:tcPr>
            <w:tcW w:w="1810" w:type="dxa"/>
            <w:vAlign w:val="center"/>
          </w:tcPr>
          <w:p w14:paraId="203E4A5D" w14:textId="77777777" w:rsidR="00EA63FD" w:rsidRPr="009E2B03" w:rsidRDefault="00EA63FD" w:rsidP="00B67A70">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48.3</w:t>
            </w:r>
          </w:p>
        </w:tc>
      </w:tr>
    </w:tbl>
    <w:p w14:paraId="6E01302B" w14:textId="77777777" w:rsidR="00ED6C12" w:rsidRPr="009E2B03" w:rsidRDefault="00ED6C12" w:rsidP="00ED6C12">
      <w:pPr>
        <w:rPr>
          <w:rFonts w:ascii="Calibri Light" w:hAnsi="Calibri Light"/>
        </w:rPr>
      </w:pPr>
      <w:r w:rsidRPr="009E2B03">
        <w:rPr>
          <w:rFonts w:ascii="Calibri Light" w:hAnsi="Calibri Light"/>
        </w:rPr>
        <w:t>Source: ABS Personal Safety Survey 2012, Table 18. Note: estimates for sexual threat have a relative standard error of 25 per cent to 50 per cent.</w:t>
      </w:r>
    </w:p>
    <w:p w14:paraId="3EA1E319" w14:textId="77777777" w:rsidR="00ED6C12" w:rsidRPr="009E2B03" w:rsidRDefault="00ED6C12" w:rsidP="00ED6C12">
      <w:pPr>
        <w:pStyle w:val="BodyText"/>
        <w:rPr>
          <w:rFonts w:ascii="Calibri Light" w:hAnsi="Calibri Light"/>
          <w:sz w:val="22"/>
          <w:lang w:val="en-US"/>
        </w:rPr>
      </w:pPr>
      <w:r w:rsidRPr="009E2B03">
        <w:rPr>
          <w:rFonts w:ascii="Calibri Light" w:hAnsi="Calibri Light"/>
          <w:sz w:val="22"/>
          <w:lang w:val="en-US"/>
        </w:rPr>
        <w:t xml:space="preserve">Available crime statistics present a consistent picture in regards to the contribution of drugs and alcohol to domestic violence incidents. For example, between 2001 and 2010, NSW </w:t>
      </w:r>
      <w:r w:rsidR="008D2E70" w:rsidRPr="009E2B03">
        <w:rPr>
          <w:rFonts w:ascii="Calibri Light" w:hAnsi="Calibri Light"/>
          <w:sz w:val="22"/>
          <w:lang w:val="en-US"/>
        </w:rPr>
        <w:t>BOCSAR</w:t>
      </w:r>
      <w:r w:rsidRPr="009E2B03">
        <w:rPr>
          <w:rFonts w:ascii="Calibri Light" w:hAnsi="Calibri Light"/>
          <w:sz w:val="22"/>
          <w:lang w:val="en-US"/>
        </w:rPr>
        <w:t xml:space="preserve"> found that 41 per cent of all incidents of domestic assault reported to the police were alcohol related. This varied geographically – the percentage of alcohol related incidents in Sydney was 35 per cent, and the percentage of alcohol related incidents for </w:t>
      </w:r>
      <w:r w:rsidR="00B72D22" w:rsidRPr="009E2B03">
        <w:rPr>
          <w:rFonts w:ascii="Calibri Light" w:hAnsi="Calibri Light"/>
          <w:sz w:val="22"/>
          <w:lang w:val="en-US"/>
        </w:rPr>
        <w:t>f</w:t>
      </w:r>
      <w:r w:rsidRPr="009E2B03">
        <w:rPr>
          <w:rFonts w:ascii="Calibri Light" w:hAnsi="Calibri Light"/>
          <w:sz w:val="22"/>
          <w:lang w:val="en-US"/>
        </w:rPr>
        <w:t xml:space="preserve">ar </w:t>
      </w:r>
      <w:r w:rsidR="00B72D22" w:rsidRPr="009E2B03">
        <w:rPr>
          <w:rFonts w:ascii="Calibri Light" w:hAnsi="Calibri Light"/>
          <w:sz w:val="22"/>
          <w:lang w:val="en-US"/>
        </w:rPr>
        <w:t>w</w:t>
      </w:r>
      <w:r w:rsidRPr="009E2B03">
        <w:rPr>
          <w:rFonts w:ascii="Calibri Light" w:hAnsi="Calibri Light"/>
          <w:sz w:val="22"/>
          <w:lang w:val="en-US"/>
        </w:rPr>
        <w:t>estern NSW was 62 per cent.</w:t>
      </w:r>
      <w:r w:rsidRPr="009E2B03">
        <w:rPr>
          <w:rFonts w:ascii="Calibri Light" w:hAnsi="Calibri Light"/>
          <w:sz w:val="22"/>
          <w:vertAlign w:val="superscript"/>
          <w:lang w:val="en-US"/>
        </w:rPr>
        <w:footnoteReference w:id="35"/>
      </w:r>
      <w:r w:rsidRPr="009E2B03">
        <w:rPr>
          <w:rFonts w:ascii="Calibri Light" w:hAnsi="Calibri Light"/>
          <w:sz w:val="22"/>
          <w:lang w:val="en-US"/>
        </w:rPr>
        <w:tab/>
      </w:r>
    </w:p>
    <w:p w14:paraId="63920B20" w14:textId="77777777" w:rsidR="00ED6C12" w:rsidRPr="009E2B03" w:rsidRDefault="00ED6C12" w:rsidP="00ED6C12">
      <w:pPr>
        <w:pStyle w:val="Heading4"/>
        <w:rPr>
          <w:rFonts w:ascii="Calibri Light" w:hAnsi="Calibri Light"/>
          <w:color w:val="6D2077"/>
          <w:sz w:val="22"/>
          <w:lang w:val="en-US"/>
        </w:rPr>
      </w:pPr>
      <w:r w:rsidRPr="009E2B03">
        <w:rPr>
          <w:rFonts w:ascii="Calibri Light" w:hAnsi="Calibri Light"/>
          <w:color w:val="6D2077"/>
          <w:sz w:val="22"/>
          <w:lang w:val="en-US"/>
        </w:rPr>
        <w:lastRenderedPageBreak/>
        <w:t>Femicide and Suicide</w:t>
      </w:r>
    </w:p>
    <w:p w14:paraId="74C1AAAE" w14:textId="77777777" w:rsidR="00ED6C12" w:rsidRPr="009E2B03" w:rsidRDefault="00ED6C12" w:rsidP="00ED6C12">
      <w:pPr>
        <w:pStyle w:val="BodyText"/>
        <w:rPr>
          <w:rFonts w:ascii="Calibri Light" w:hAnsi="Calibri Light"/>
          <w:sz w:val="22"/>
          <w:lang w:val="en-US"/>
        </w:rPr>
      </w:pPr>
      <w:r w:rsidRPr="009E2B03">
        <w:rPr>
          <w:rFonts w:ascii="Calibri Light" w:hAnsi="Calibri Light"/>
          <w:sz w:val="22"/>
          <w:lang w:val="en-US"/>
        </w:rPr>
        <w:t xml:space="preserve">Given the significance attributed to suicide (12 per cent) in the cost categories above, there is substantially less research conducted in Australia about the impacts of violence on </w:t>
      </w:r>
      <w:r w:rsidR="002052D9" w:rsidRPr="009E2B03">
        <w:rPr>
          <w:rFonts w:ascii="Calibri Light" w:hAnsi="Calibri Light"/>
          <w:sz w:val="22"/>
          <w:lang w:val="en-US"/>
        </w:rPr>
        <w:t xml:space="preserve">the instigation of </w:t>
      </w:r>
      <w:r w:rsidRPr="009E2B03">
        <w:rPr>
          <w:rFonts w:ascii="Calibri Light" w:hAnsi="Calibri Light"/>
          <w:sz w:val="22"/>
          <w:lang w:val="en-US"/>
        </w:rPr>
        <w:t>suicidal i</w:t>
      </w:r>
      <w:r w:rsidR="002052D9" w:rsidRPr="009E2B03">
        <w:rPr>
          <w:rFonts w:ascii="Calibri Light" w:hAnsi="Calibri Light"/>
          <w:sz w:val="22"/>
          <w:lang w:val="en-US"/>
        </w:rPr>
        <w:t>ntent</w:t>
      </w:r>
      <w:r w:rsidRPr="009E2B03">
        <w:rPr>
          <w:rFonts w:ascii="Calibri Light" w:hAnsi="Calibri Light"/>
          <w:sz w:val="22"/>
          <w:lang w:val="en-US"/>
        </w:rPr>
        <w:t>, and the links between victims of violence and suicide attempts. This suggests an area of data collection and analysis that may require further research in the Australian context. Internationally, several studies have been conducted examin</w:t>
      </w:r>
      <w:r w:rsidR="002052D9" w:rsidRPr="009E2B03">
        <w:rPr>
          <w:rFonts w:ascii="Calibri Light" w:hAnsi="Calibri Light"/>
          <w:sz w:val="22"/>
          <w:lang w:val="en-US"/>
        </w:rPr>
        <w:t>ing</w:t>
      </w:r>
      <w:r w:rsidRPr="009E2B03">
        <w:rPr>
          <w:rFonts w:ascii="Calibri Light" w:hAnsi="Calibri Light"/>
          <w:sz w:val="22"/>
          <w:lang w:val="en-US"/>
        </w:rPr>
        <w:t xml:space="preserve"> this link. A 2007 American study of 113 psychiatric inpatients reported that 73 women indicated having attempted suicide, and that women who reported a history of attempted suicide were more likely to report an incident of domestic violence compared to those with no history of attempted suicide.</w:t>
      </w:r>
      <w:r w:rsidRPr="009E2B03">
        <w:rPr>
          <w:rStyle w:val="FootnoteReference"/>
          <w:rFonts w:ascii="Calibri Light" w:hAnsi="Calibri Light"/>
          <w:sz w:val="22"/>
          <w:lang w:val="en-US"/>
        </w:rPr>
        <w:footnoteReference w:id="36"/>
      </w:r>
      <w:r w:rsidRPr="009E2B03">
        <w:rPr>
          <w:rFonts w:ascii="Calibri Light" w:hAnsi="Calibri Light"/>
          <w:sz w:val="22"/>
          <w:lang w:val="en-US"/>
        </w:rPr>
        <w:t xml:space="preserve"> </w:t>
      </w:r>
    </w:p>
    <w:p w14:paraId="44BDD02B" w14:textId="77777777" w:rsidR="00ED6C12" w:rsidRPr="009E2B03" w:rsidRDefault="00ED6C1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Health costs</w:t>
      </w:r>
    </w:p>
    <w:tbl>
      <w:tblPr>
        <w:tblStyle w:val="TableGrid"/>
        <w:tblW w:w="0" w:type="auto"/>
        <w:shd w:val="clear" w:color="auto" w:fill="D9D9D9" w:themeFill="background1" w:themeFillShade="D9"/>
        <w:tblLook w:val="04A0" w:firstRow="1" w:lastRow="0" w:firstColumn="1" w:lastColumn="0" w:noHBand="0" w:noVBand="1"/>
        <w:tblCaption w:val="Box of information on health costs"/>
        <w:tblDescription w:val="KPMG estimates that the impact on the health system resulting from violence against women and their children will cost victims, communities and government $1.4 billion this year."/>
      </w:tblPr>
      <w:tblGrid>
        <w:gridCol w:w="9016"/>
      </w:tblGrid>
      <w:tr w:rsidR="00ED6C12" w:rsidRPr="009E2B03" w14:paraId="188EB7B2" w14:textId="77777777" w:rsidTr="00865FDB">
        <w:trPr>
          <w:tblHeader/>
        </w:trPr>
        <w:tc>
          <w:tcPr>
            <w:tcW w:w="9016" w:type="dxa"/>
            <w:shd w:val="clear" w:color="auto" w:fill="F3F0F4"/>
          </w:tcPr>
          <w:p w14:paraId="40E7DE4F" w14:textId="77777777" w:rsidR="00ED6C12" w:rsidRPr="009E2B03" w:rsidRDefault="00ED6C12" w:rsidP="00ED6C12">
            <w:pPr>
              <w:pStyle w:val="BodyBullet"/>
              <w:numPr>
                <w:ilvl w:val="0"/>
                <w:numId w:val="0"/>
              </w:numPr>
              <w:ind w:left="360" w:hanging="360"/>
              <w:rPr>
                <w:rFonts w:ascii="Calibri Light" w:hAnsi="Calibri Light" w:cs="Arial"/>
                <w:b/>
                <w:i/>
                <w:color w:val="6D2077"/>
                <w:sz w:val="22"/>
              </w:rPr>
            </w:pPr>
            <w:r w:rsidRPr="009E2B03">
              <w:rPr>
                <w:rFonts w:ascii="Calibri Light" w:hAnsi="Calibri Light" w:cs="Arial"/>
                <w:b/>
                <w:i/>
                <w:color w:val="6D2077"/>
                <w:sz w:val="22"/>
              </w:rPr>
              <w:t>Key insights</w:t>
            </w:r>
          </w:p>
          <w:p w14:paraId="1A484AA1" w14:textId="77777777" w:rsidR="00ED6C12" w:rsidRPr="009E2B03" w:rsidRDefault="00ED6C12" w:rsidP="00ED6C12">
            <w:pPr>
              <w:pStyle w:val="BodyBullet"/>
              <w:numPr>
                <w:ilvl w:val="0"/>
                <w:numId w:val="0"/>
              </w:numPr>
              <w:rPr>
                <w:rFonts w:ascii="Calibri Light" w:hAnsi="Calibri Light" w:cs="Arial"/>
                <w:b/>
                <w:color w:val="6D2077"/>
                <w:sz w:val="22"/>
              </w:rPr>
            </w:pPr>
            <w:r w:rsidRPr="009E2B03">
              <w:rPr>
                <w:rFonts w:ascii="Calibri Light" w:hAnsi="Calibri Light" w:cs="Arial"/>
                <w:b/>
                <w:color w:val="6D2077"/>
                <w:sz w:val="22"/>
              </w:rPr>
              <w:t xml:space="preserve">KPMG estimates that the impact on the health system resulting from violence against women and their children </w:t>
            </w:r>
            <w:r w:rsidR="002052D9" w:rsidRPr="009E2B03">
              <w:rPr>
                <w:rFonts w:ascii="Calibri Light" w:hAnsi="Calibri Light" w:cs="Arial"/>
                <w:b/>
                <w:color w:val="6D2077"/>
                <w:sz w:val="22"/>
              </w:rPr>
              <w:t xml:space="preserve">will </w:t>
            </w:r>
            <w:r w:rsidRPr="009E2B03">
              <w:rPr>
                <w:rFonts w:ascii="Calibri Light" w:hAnsi="Calibri Light" w:cs="Arial"/>
                <w:b/>
                <w:color w:val="6D2077"/>
                <w:sz w:val="22"/>
              </w:rPr>
              <w:t xml:space="preserve">cost victims, communities and government </w:t>
            </w:r>
            <w:r w:rsidR="002052D9" w:rsidRPr="009E2B03">
              <w:rPr>
                <w:rFonts w:ascii="Calibri Light" w:hAnsi="Calibri Light" w:cs="Arial"/>
                <w:b/>
                <w:color w:val="6D2077"/>
                <w:sz w:val="22"/>
              </w:rPr>
              <w:br/>
            </w:r>
            <w:r w:rsidRPr="009E2B03">
              <w:rPr>
                <w:rFonts w:ascii="Calibri Light" w:hAnsi="Calibri Light" w:cs="Arial"/>
                <w:b/>
                <w:color w:val="6D2077"/>
                <w:sz w:val="22"/>
              </w:rPr>
              <w:t xml:space="preserve">$1.4 billion </w:t>
            </w:r>
            <w:r w:rsidR="0015237E" w:rsidRPr="009E2B03">
              <w:rPr>
                <w:rFonts w:ascii="Calibri Light" w:hAnsi="Calibri Light" w:cs="Arial"/>
                <w:b/>
                <w:color w:val="6D2077"/>
                <w:sz w:val="22"/>
              </w:rPr>
              <w:t>this</w:t>
            </w:r>
            <w:r w:rsidRPr="009E2B03">
              <w:rPr>
                <w:rFonts w:ascii="Calibri Light" w:hAnsi="Calibri Light" w:cs="Arial"/>
                <w:b/>
                <w:color w:val="6D2077"/>
                <w:sz w:val="22"/>
              </w:rPr>
              <w:t xml:space="preserve"> year.</w:t>
            </w:r>
          </w:p>
          <w:p w14:paraId="6263B25E"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 xml:space="preserve">Increased demand for hospital and other health services can impact on the availability of service provision, as well as impacting workforce requirements and levels of utilisation of facilities, providing substantial challenges for the health system in planning and ensuring adequate care for victims, as well as the broader community. </w:t>
            </w:r>
          </w:p>
          <w:p w14:paraId="25BE9C9D"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The effects of violence on the hospital system also continue well after the initial incident with additional costs to the health system resulting from ongoing or subsequent physical and mental health impacts sustained following an incident, or over time.</w:t>
            </w:r>
          </w:p>
          <w:p w14:paraId="1C8AEC0F"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Hospitals and emergency departments in particular are an important site for identifying violence against women who do not seek assistance from intervention services, providing insight into the prevalence, frequency and severity of violence and the health impacts.</w:t>
            </w:r>
          </w:p>
        </w:tc>
      </w:tr>
    </w:tbl>
    <w:p w14:paraId="3629DCA4"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Violence against women and their children has a substantial effect on the health of victims and on the hospital system providing assistance and support to women experiencing violence. Based on updated cost calculations, KPMG estimates that the total cost of health impacts and care is $1.4 billion each year. </w:t>
      </w:r>
      <w:r w:rsidRPr="009E2B03">
        <w:rPr>
          <w:rFonts w:ascii="Calibri Light" w:hAnsi="Calibri Light"/>
          <w:sz w:val="22"/>
        </w:rPr>
        <w:fldChar w:fldCharType="begin"/>
      </w:r>
      <w:r w:rsidRPr="009E2B03">
        <w:rPr>
          <w:rFonts w:ascii="Calibri Light" w:hAnsi="Calibri Light"/>
          <w:sz w:val="22"/>
        </w:rPr>
        <w:instrText xml:space="preserve"> REF _Ref447290978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 xml:space="preserve">Table </w:t>
      </w:r>
      <w:r w:rsidR="00417237">
        <w:rPr>
          <w:rFonts w:ascii="Calibri Light" w:hAnsi="Calibri Light"/>
          <w:noProof/>
          <w:sz w:val="22"/>
        </w:rPr>
        <w:t>3</w:t>
      </w:r>
      <w:r w:rsidR="00417237" w:rsidRPr="009E2B03">
        <w:rPr>
          <w:rFonts w:ascii="Calibri Light" w:hAnsi="Calibri Light"/>
          <w:noProof/>
          <w:sz w:val="22"/>
        </w:rPr>
        <w:noBreakHyphen/>
      </w:r>
      <w:r w:rsidR="00417237">
        <w:rPr>
          <w:rFonts w:ascii="Calibri Light" w:hAnsi="Calibri Light"/>
          <w:noProof/>
          <w:sz w:val="22"/>
        </w:rPr>
        <w:t>4</w:t>
      </w:r>
      <w:r w:rsidRPr="009E2B03">
        <w:rPr>
          <w:rFonts w:ascii="Calibri Light" w:hAnsi="Calibri Light"/>
          <w:sz w:val="22"/>
        </w:rPr>
        <w:fldChar w:fldCharType="end"/>
      </w:r>
      <w:r w:rsidRPr="009E2B03">
        <w:rPr>
          <w:rFonts w:ascii="Calibri Light" w:hAnsi="Calibri Light"/>
          <w:sz w:val="22"/>
        </w:rPr>
        <w:t xml:space="preserve"> below provides an overview of these health related costs and the cost burden faced by government, victims, the community and also the perpetrator across Australia. The analysis demonstrates that Commonwealth and jurisdictional level governments are responsible for meeting the majority of the health costs resulting from violence against women. </w:t>
      </w:r>
    </w:p>
    <w:p w14:paraId="7F024329" w14:textId="77777777" w:rsidR="00ED6C12" w:rsidRPr="009E2B03" w:rsidRDefault="00ED6C12" w:rsidP="00ED6C12">
      <w:pPr>
        <w:pStyle w:val="Caption"/>
        <w:rPr>
          <w:rFonts w:ascii="Calibri Light" w:hAnsi="Calibri Light" w:cs="Arial"/>
          <w:sz w:val="22"/>
        </w:rPr>
      </w:pPr>
      <w:bookmarkStart w:id="79" w:name="_Ref447290978"/>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bookmarkEnd w:id="79"/>
      <w:r w:rsidRPr="009E2B03">
        <w:rPr>
          <w:rFonts w:ascii="Calibri Light" w:hAnsi="Calibri Light" w:cs="Arial"/>
          <w:sz w:val="22"/>
        </w:rPr>
        <w:t>: The bearer of costs from the impact of violence on health</w:t>
      </w:r>
    </w:p>
    <w:tbl>
      <w:tblPr>
        <w:tblStyle w:val="KPMGtable1"/>
        <w:tblW w:w="0" w:type="auto"/>
        <w:tblLook w:val="04A0" w:firstRow="1" w:lastRow="0" w:firstColumn="1" w:lastColumn="0" w:noHBand="0" w:noVBand="1"/>
        <w:tblCaption w:val="Table of information on the bearer of costs from the impact of violence on health"/>
      </w:tblPr>
      <w:tblGrid>
        <w:gridCol w:w="4248"/>
        <w:gridCol w:w="2384"/>
        <w:gridCol w:w="2384"/>
      </w:tblGrid>
      <w:tr w:rsidR="00ED6C12" w:rsidRPr="009E2B03" w14:paraId="6BC5E95A"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shd w:val="clear" w:color="auto" w:fill="6D2077"/>
          </w:tcPr>
          <w:p w14:paraId="14D775F5" w14:textId="77777777" w:rsidR="00ED6C12" w:rsidRPr="009E2B03" w:rsidRDefault="00ED6C12" w:rsidP="008D2E70">
            <w:pPr>
              <w:pStyle w:val="BodyText"/>
              <w:spacing w:before="40" w:after="40"/>
              <w:rPr>
                <w:rFonts w:ascii="Calibri Light" w:hAnsi="Calibri Light" w:cs="Arial"/>
                <w:b/>
              </w:rPr>
            </w:pPr>
            <w:r w:rsidRPr="009E2B03">
              <w:rPr>
                <w:rFonts w:ascii="Calibri Light" w:hAnsi="Calibri Light" w:cs="Arial"/>
                <w:b/>
              </w:rPr>
              <w:t>Cost bearer</w:t>
            </w:r>
          </w:p>
        </w:tc>
        <w:tc>
          <w:tcPr>
            <w:tcW w:w="2384" w:type="dxa"/>
            <w:shd w:val="clear" w:color="auto" w:fill="6D2077"/>
          </w:tcPr>
          <w:p w14:paraId="28D4E76F" w14:textId="77777777" w:rsidR="00ED6C12" w:rsidRPr="009E2B03" w:rsidRDefault="00ED6C12" w:rsidP="008D2E70">
            <w:pPr>
              <w:pStyle w:val="BodyText"/>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rPr>
            </w:pPr>
            <w:r w:rsidRPr="009E2B03">
              <w:rPr>
                <w:rFonts w:ascii="Calibri Light" w:hAnsi="Calibri Light" w:cs="Arial"/>
                <w:b/>
              </w:rPr>
              <w:t>Cost ($ million)</w:t>
            </w:r>
          </w:p>
        </w:tc>
        <w:tc>
          <w:tcPr>
            <w:tcW w:w="2384" w:type="dxa"/>
            <w:shd w:val="clear" w:color="auto" w:fill="6D2077"/>
          </w:tcPr>
          <w:p w14:paraId="0ABF6658" w14:textId="77777777" w:rsidR="00ED6C12" w:rsidRPr="009E2B03" w:rsidRDefault="00ED6C12" w:rsidP="008D2E70">
            <w:pPr>
              <w:pStyle w:val="BodyText"/>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rPr>
            </w:pPr>
            <w:r w:rsidRPr="009E2B03">
              <w:rPr>
                <w:rFonts w:ascii="Calibri Light" w:hAnsi="Calibri Light" w:cs="Arial"/>
                <w:b/>
              </w:rPr>
              <w:t>% of total</w:t>
            </w:r>
          </w:p>
        </w:tc>
      </w:tr>
      <w:tr w:rsidR="00ED6C12" w:rsidRPr="009E2B03" w14:paraId="690542D8" w14:textId="77777777" w:rsidTr="00C95D8A">
        <w:tc>
          <w:tcPr>
            <w:cnfStyle w:val="001000000000" w:firstRow="0" w:lastRow="0" w:firstColumn="1" w:lastColumn="0" w:oddVBand="0" w:evenVBand="0" w:oddHBand="0" w:evenHBand="0" w:firstRowFirstColumn="0" w:firstRowLastColumn="0" w:lastRowFirstColumn="0" w:lastRowLastColumn="0"/>
            <w:tcW w:w="4248" w:type="dxa"/>
            <w:shd w:val="clear" w:color="auto" w:fill="F3F0F4"/>
          </w:tcPr>
          <w:p w14:paraId="2296020E" w14:textId="77777777" w:rsidR="00ED6C12" w:rsidRPr="009E2B03" w:rsidRDefault="00ED6C12" w:rsidP="008D2E70">
            <w:pPr>
              <w:pStyle w:val="BodyText"/>
              <w:spacing w:before="40" w:after="40"/>
              <w:rPr>
                <w:rFonts w:ascii="Calibri Light" w:hAnsi="Calibri Light" w:cs="Arial"/>
              </w:rPr>
            </w:pPr>
            <w:r w:rsidRPr="009E2B03">
              <w:rPr>
                <w:rFonts w:ascii="Calibri Light" w:hAnsi="Calibri Light" w:cs="Arial"/>
              </w:rPr>
              <w:t>Commonwealth</w:t>
            </w:r>
            <w:r w:rsidR="002052D9" w:rsidRPr="009E2B03">
              <w:rPr>
                <w:rFonts w:ascii="Calibri Light" w:hAnsi="Calibri Light" w:cs="Arial"/>
              </w:rPr>
              <w:t>,</w:t>
            </w:r>
            <w:r w:rsidRPr="009E2B03">
              <w:rPr>
                <w:rFonts w:ascii="Calibri Light" w:hAnsi="Calibri Light" w:cs="Arial"/>
              </w:rPr>
              <w:t xml:space="preserve"> </w:t>
            </w:r>
            <w:r w:rsidR="002052D9" w:rsidRPr="009E2B03">
              <w:rPr>
                <w:rFonts w:ascii="Calibri Light" w:hAnsi="Calibri Light" w:cs="Arial"/>
              </w:rPr>
              <w:t>s</w:t>
            </w:r>
            <w:r w:rsidRPr="009E2B03">
              <w:rPr>
                <w:rFonts w:ascii="Calibri Light" w:hAnsi="Calibri Light" w:cs="Arial"/>
              </w:rPr>
              <w:t>tate</w:t>
            </w:r>
            <w:r w:rsidR="002052D9" w:rsidRPr="009E2B03">
              <w:rPr>
                <w:rFonts w:ascii="Calibri Light" w:hAnsi="Calibri Light" w:cs="Arial"/>
              </w:rPr>
              <w:t xml:space="preserve"> and t</w:t>
            </w:r>
            <w:r w:rsidRPr="009E2B03">
              <w:rPr>
                <w:rFonts w:ascii="Calibri Light" w:hAnsi="Calibri Light" w:cs="Arial"/>
              </w:rPr>
              <w:t>erritory governments</w:t>
            </w:r>
          </w:p>
        </w:tc>
        <w:tc>
          <w:tcPr>
            <w:tcW w:w="2384" w:type="dxa"/>
          </w:tcPr>
          <w:p w14:paraId="6FD99D56"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923</w:t>
            </w:r>
          </w:p>
        </w:tc>
        <w:tc>
          <w:tcPr>
            <w:tcW w:w="2384" w:type="dxa"/>
          </w:tcPr>
          <w:p w14:paraId="0A75ECAC"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68</w:t>
            </w:r>
          </w:p>
        </w:tc>
      </w:tr>
      <w:tr w:rsidR="00ED6C12" w:rsidRPr="009E2B03" w14:paraId="341C0A01" w14:textId="77777777" w:rsidTr="00C95D8A">
        <w:tc>
          <w:tcPr>
            <w:cnfStyle w:val="001000000000" w:firstRow="0" w:lastRow="0" w:firstColumn="1" w:lastColumn="0" w:oddVBand="0" w:evenVBand="0" w:oddHBand="0" w:evenHBand="0" w:firstRowFirstColumn="0" w:firstRowLastColumn="0" w:lastRowFirstColumn="0" w:lastRowLastColumn="0"/>
            <w:tcW w:w="4248" w:type="dxa"/>
            <w:shd w:val="clear" w:color="auto" w:fill="F3F0F4"/>
          </w:tcPr>
          <w:p w14:paraId="09E259CC" w14:textId="77777777" w:rsidR="00ED6C12" w:rsidRPr="009E2B03" w:rsidRDefault="00ED6C12" w:rsidP="008D2E70">
            <w:pPr>
              <w:pStyle w:val="BodyText"/>
              <w:spacing w:before="40" w:after="40"/>
              <w:rPr>
                <w:rFonts w:ascii="Calibri Light" w:hAnsi="Calibri Light" w:cs="Arial"/>
              </w:rPr>
            </w:pPr>
            <w:r w:rsidRPr="009E2B03">
              <w:rPr>
                <w:rFonts w:ascii="Calibri Light" w:hAnsi="Calibri Light" w:cs="Arial"/>
              </w:rPr>
              <w:t>Victim/survivor</w:t>
            </w:r>
          </w:p>
        </w:tc>
        <w:tc>
          <w:tcPr>
            <w:tcW w:w="2384" w:type="dxa"/>
          </w:tcPr>
          <w:p w14:paraId="4B9BAE37"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271</w:t>
            </w:r>
          </w:p>
        </w:tc>
        <w:tc>
          <w:tcPr>
            <w:tcW w:w="2384" w:type="dxa"/>
          </w:tcPr>
          <w:p w14:paraId="2E775C48"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20</w:t>
            </w:r>
          </w:p>
        </w:tc>
      </w:tr>
      <w:tr w:rsidR="00ED6C12" w:rsidRPr="009E2B03" w14:paraId="4AC9A95D" w14:textId="77777777" w:rsidTr="00C95D8A">
        <w:tc>
          <w:tcPr>
            <w:cnfStyle w:val="001000000000" w:firstRow="0" w:lastRow="0" w:firstColumn="1" w:lastColumn="0" w:oddVBand="0" w:evenVBand="0" w:oddHBand="0" w:evenHBand="0" w:firstRowFirstColumn="0" w:firstRowLastColumn="0" w:lastRowFirstColumn="0" w:lastRowLastColumn="0"/>
            <w:tcW w:w="4248" w:type="dxa"/>
            <w:shd w:val="clear" w:color="auto" w:fill="F3F0F4"/>
          </w:tcPr>
          <w:p w14:paraId="32B885A8" w14:textId="77777777" w:rsidR="00ED6C12" w:rsidRPr="009E2B03" w:rsidRDefault="00ED6C12" w:rsidP="008D2E70">
            <w:pPr>
              <w:pStyle w:val="BodyText"/>
              <w:spacing w:before="40" w:after="40"/>
              <w:rPr>
                <w:rFonts w:ascii="Calibri Light" w:hAnsi="Calibri Light" w:cs="Arial"/>
              </w:rPr>
            </w:pPr>
            <w:r w:rsidRPr="009E2B03">
              <w:rPr>
                <w:rFonts w:ascii="Calibri Light" w:hAnsi="Calibri Light" w:cs="Arial"/>
              </w:rPr>
              <w:t>Community/society</w:t>
            </w:r>
          </w:p>
        </w:tc>
        <w:tc>
          <w:tcPr>
            <w:tcW w:w="2384" w:type="dxa"/>
          </w:tcPr>
          <w:p w14:paraId="6BEC47D5"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149</w:t>
            </w:r>
          </w:p>
        </w:tc>
        <w:tc>
          <w:tcPr>
            <w:tcW w:w="2384" w:type="dxa"/>
          </w:tcPr>
          <w:p w14:paraId="628CB35C"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11</w:t>
            </w:r>
          </w:p>
        </w:tc>
      </w:tr>
      <w:tr w:rsidR="00ED6C12" w:rsidRPr="009E2B03" w14:paraId="34CF2BF8" w14:textId="77777777" w:rsidTr="00C95D8A">
        <w:tc>
          <w:tcPr>
            <w:cnfStyle w:val="001000000000" w:firstRow="0" w:lastRow="0" w:firstColumn="1" w:lastColumn="0" w:oddVBand="0" w:evenVBand="0" w:oddHBand="0" w:evenHBand="0" w:firstRowFirstColumn="0" w:firstRowLastColumn="0" w:lastRowFirstColumn="0" w:lastRowLastColumn="0"/>
            <w:tcW w:w="4248" w:type="dxa"/>
            <w:shd w:val="clear" w:color="auto" w:fill="F3F0F4"/>
          </w:tcPr>
          <w:p w14:paraId="35731F91" w14:textId="77777777" w:rsidR="00ED6C12" w:rsidRPr="009E2B03" w:rsidRDefault="00ED6C12" w:rsidP="008D2E70">
            <w:pPr>
              <w:pStyle w:val="BodyText"/>
              <w:spacing w:before="40" w:after="40"/>
              <w:rPr>
                <w:rFonts w:ascii="Calibri Light" w:hAnsi="Calibri Light" w:cs="Arial"/>
              </w:rPr>
            </w:pPr>
            <w:r w:rsidRPr="009E2B03">
              <w:rPr>
                <w:rFonts w:ascii="Calibri Light" w:hAnsi="Calibri Light" w:cs="Arial"/>
              </w:rPr>
              <w:t>Perpetrator</w:t>
            </w:r>
          </w:p>
        </w:tc>
        <w:tc>
          <w:tcPr>
            <w:tcW w:w="2384" w:type="dxa"/>
          </w:tcPr>
          <w:p w14:paraId="1C8EBBCB"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14</w:t>
            </w:r>
          </w:p>
        </w:tc>
        <w:tc>
          <w:tcPr>
            <w:tcW w:w="2384" w:type="dxa"/>
          </w:tcPr>
          <w:p w14:paraId="2AC7247A"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1</w:t>
            </w:r>
          </w:p>
        </w:tc>
      </w:tr>
      <w:tr w:rsidR="00ED6C12" w:rsidRPr="009E2B03" w14:paraId="48779AFD" w14:textId="77777777" w:rsidTr="00C95D8A">
        <w:tc>
          <w:tcPr>
            <w:cnfStyle w:val="001000000000" w:firstRow="0" w:lastRow="0" w:firstColumn="1" w:lastColumn="0" w:oddVBand="0" w:evenVBand="0" w:oddHBand="0" w:evenHBand="0" w:firstRowFirstColumn="0" w:firstRowLastColumn="0" w:lastRowFirstColumn="0" w:lastRowLastColumn="0"/>
            <w:tcW w:w="4248" w:type="dxa"/>
            <w:shd w:val="clear" w:color="auto" w:fill="F3F0F4"/>
          </w:tcPr>
          <w:p w14:paraId="0AD6A629" w14:textId="77777777" w:rsidR="00ED6C12" w:rsidRPr="009E2B03" w:rsidRDefault="00ED6C12" w:rsidP="008D2E70">
            <w:pPr>
              <w:pStyle w:val="BodyText"/>
              <w:spacing w:before="40" w:after="40"/>
              <w:rPr>
                <w:rFonts w:ascii="Calibri Light" w:hAnsi="Calibri Light" w:cs="Arial"/>
                <w:b/>
                <w:color w:val="6D2077"/>
              </w:rPr>
            </w:pPr>
            <w:r w:rsidRPr="009E2B03">
              <w:rPr>
                <w:rFonts w:ascii="Calibri Light" w:hAnsi="Calibri Light" w:cs="Arial"/>
                <w:b/>
                <w:color w:val="6D2077"/>
              </w:rPr>
              <w:t>Total</w:t>
            </w:r>
          </w:p>
        </w:tc>
        <w:tc>
          <w:tcPr>
            <w:tcW w:w="2384" w:type="dxa"/>
          </w:tcPr>
          <w:p w14:paraId="67B116EF"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6D2077"/>
              </w:rPr>
            </w:pPr>
            <w:r w:rsidRPr="009E2B03">
              <w:rPr>
                <w:rFonts w:ascii="Calibri Light" w:hAnsi="Calibri Light" w:cs="Arial"/>
                <w:b/>
                <w:color w:val="6D2077"/>
              </w:rPr>
              <w:t>1,358</w:t>
            </w:r>
          </w:p>
        </w:tc>
        <w:tc>
          <w:tcPr>
            <w:tcW w:w="2384" w:type="dxa"/>
          </w:tcPr>
          <w:p w14:paraId="0FC9B6D4" w14:textId="77777777" w:rsidR="00ED6C12" w:rsidRPr="009E2B03" w:rsidRDefault="00ED6C12" w:rsidP="008D2E70">
            <w:pPr>
              <w:pStyle w:val="BodyText"/>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color w:val="6D2077"/>
              </w:rPr>
            </w:pPr>
            <w:r w:rsidRPr="009E2B03">
              <w:rPr>
                <w:rFonts w:ascii="Calibri Light" w:hAnsi="Calibri Light" w:cs="Arial"/>
                <w:b/>
                <w:color w:val="6D2077"/>
              </w:rPr>
              <w:t>100</w:t>
            </w:r>
          </w:p>
        </w:tc>
      </w:tr>
    </w:tbl>
    <w:p w14:paraId="2F81A9B0" w14:textId="77777777" w:rsidR="00ED6C12" w:rsidRPr="009E2B03" w:rsidRDefault="00ED6C12" w:rsidP="00ED6C12">
      <w:pPr>
        <w:rPr>
          <w:rFonts w:ascii="Calibri Light" w:hAnsi="Calibri Light"/>
        </w:rPr>
      </w:pPr>
      <w:r w:rsidRPr="009E2B03">
        <w:rPr>
          <w:rFonts w:ascii="Calibri Light" w:hAnsi="Calibri Light"/>
        </w:rPr>
        <w:t>Source: KPMG</w:t>
      </w:r>
      <w:r w:rsidR="008D2E70" w:rsidRPr="009E2B03">
        <w:rPr>
          <w:rFonts w:ascii="Calibri Light" w:hAnsi="Calibri Light"/>
        </w:rPr>
        <w:t xml:space="preserve">. </w:t>
      </w:r>
    </w:p>
    <w:p w14:paraId="1C578D3F" w14:textId="77777777" w:rsidR="00ED6C12" w:rsidRPr="009E2B03" w:rsidRDefault="00ED6C12" w:rsidP="00ED6C12">
      <w:pPr>
        <w:pStyle w:val="BodyText"/>
        <w:rPr>
          <w:rFonts w:ascii="Calibri Light" w:hAnsi="Calibri Light"/>
          <w:sz w:val="22"/>
        </w:rPr>
      </w:pPr>
      <w:r w:rsidRPr="009E2B03">
        <w:rPr>
          <w:rFonts w:ascii="Calibri Light" w:hAnsi="Calibri Light"/>
          <w:sz w:val="22"/>
        </w:rPr>
        <w:lastRenderedPageBreak/>
        <w:t xml:space="preserve">The cost estimates above comprise impacts on the public and private health system associated with treating a victim of violence. The increased demand for hospital and other health services can impact on the availability of service provision, as well as </w:t>
      </w:r>
      <w:r w:rsidR="002052D9" w:rsidRPr="009E2B03">
        <w:rPr>
          <w:rFonts w:ascii="Calibri Light" w:hAnsi="Calibri Light"/>
          <w:sz w:val="22"/>
        </w:rPr>
        <w:t xml:space="preserve">contributing to </w:t>
      </w:r>
      <w:r w:rsidRPr="009E2B03">
        <w:rPr>
          <w:rFonts w:ascii="Calibri Light" w:hAnsi="Calibri Light"/>
          <w:sz w:val="22"/>
        </w:rPr>
        <w:t>workforce requirements and facility utilisation levels. Together</w:t>
      </w:r>
      <w:r w:rsidR="002052D9" w:rsidRPr="009E2B03">
        <w:rPr>
          <w:rFonts w:ascii="Calibri Light" w:hAnsi="Calibri Light"/>
          <w:sz w:val="22"/>
        </w:rPr>
        <w:t xml:space="preserve"> these demands</w:t>
      </w:r>
      <w:r w:rsidRPr="009E2B03">
        <w:rPr>
          <w:rFonts w:ascii="Calibri Light" w:hAnsi="Calibri Light"/>
          <w:sz w:val="22"/>
        </w:rPr>
        <w:t>, provid</w:t>
      </w:r>
      <w:r w:rsidR="002052D9" w:rsidRPr="009E2B03">
        <w:rPr>
          <w:rFonts w:ascii="Calibri Light" w:hAnsi="Calibri Light"/>
          <w:sz w:val="22"/>
        </w:rPr>
        <w:t>e</w:t>
      </w:r>
      <w:r w:rsidRPr="009E2B03">
        <w:rPr>
          <w:rFonts w:ascii="Calibri Light" w:hAnsi="Calibri Light"/>
          <w:sz w:val="22"/>
        </w:rPr>
        <w:t xml:space="preserve"> substantial challenges for the health system in planning and ensuring adequate care for victims, as well as the broader community. </w:t>
      </w:r>
    </w:p>
    <w:p w14:paraId="65D2683A"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Costs are directly accrued from the health impacts sustained at the time of the incident. The most common health impact is physical injury sustained as a result of the incident of violence. Physical injuries present a range of cost impacts for Australia’s health system. Individuals requiring medical attention may present at hospital emergency departments, see a general practitioner, or present at targeted health services for women who are victims of violence. The nature of the health impact may mean ongoing treatment is necessary. Hospitalisation, surgery, rehabilitation and recovery may </w:t>
      </w:r>
      <w:r w:rsidR="008D2E70" w:rsidRPr="009E2B03">
        <w:rPr>
          <w:rFonts w:ascii="Calibri Light" w:hAnsi="Calibri Light"/>
          <w:sz w:val="22"/>
        </w:rPr>
        <w:t xml:space="preserve">also </w:t>
      </w:r>
      <w:r w:rsidRPr="009E2B03">
        <w:rPr>
          <w:rFonts w:ascii="Calibri Light" w:hAnsi="Calibri Light"/>
          <w:sz w:val="22"/>
        </w:rPr>
        <w:t>add to the cost burden for health systems.</w:t>
      </w:r>
    </w:p>
    <w:p w14:paraId="53F557B4" w14:textId="77777777" w:rsidR="00ED6C12" w:rsidRPr="009E2B03" w:rsidRDefault="00ED6C12" w:rsidP="00ED6C12">
      <w:pPr>
        <w:pStyle w:val="Caption"/>
        <w:rPr>
          <w:rFonts w:ascii="Calibri Light" w:hAnsi="Calibri Light" w:cs="Arial"/>
          <w:i w:val="0"/>
          <w:sz w:val="22"/>
        </w:rPr>
      </w:pPr>
      <w:r w:rsidRPr="009E2B03">
        <w:rPr>
          <w:rFonts w:ascii="Calibri Light" w:hAnsi="Calibri Light" w:cs="Arial"/>
          <w:i w:val="0"/>
          <w:sz w:val="22"/>
        </w:rPr>
        <w:fldChar w:fldCharType="begin"/>
      </w:r>
      <w:r w:rsidRPr="009E2B03">
        <w:rPr>
          <w:rFonts w:ascii="Calibri Light" w:hAnsi="Calibri Light" w:cs="Arial"/>
          <w:i w:val="0"/>
          <w:sz w:val="22"/>
        </w:rPr>
        <w:instrText xml:space="preserve"> REF _Ref447291095 \h  \* MERGEFORMAT </w:instrText>
      </w:r>
      <w:r w:rsidRPr="009E2B03">
        <w:rPr>
          <w:rFonts w:ascii="Calibri Light" w:hAnsi="Calibri Light" w:cs="Arial"/>
          <w:i w:val="0"/>
          <w:sz w:val="22"/>
        </w:rPr>
      </w:r>
      <w:r w:rsidR="00417237">
        <w:rPr>
          <w:rFonts w:ascii="Calibri Light" w:hAnsi="Calibri Light" w:cs="Arial"/>
          <w:i w:val="0"/>
          <w:sz w:val="22"/>
        </w:rPr>
        <w:fldChar w:fldCharType="separate"/>
      </w:r>
      <w:r w:rsidR="00417237" w:rsidRPr="009E2B03">
        <w:rPr>
          <w:rFonts w:ascii="Calibri Light" w:hAnsi="Calibri Light" w:cs="Arial"/>
          <w:sz w:val="22"/>
        </w:rPr>
        <w:t xml:space="preserve">Box </w:t>
      </w:r>
      <w:r w:rsidR="00417237">
        <w:rPr>
          <w:rFonts w:ascii="Calibri Light" w:hAnsi="Calibri Light" w:cs="Arial"/>
          <w:noProof/>
          <w:sz w:val="22"/>
        </w:rPr>
        <w:t>3</w:t>
      </w:r>
      <w:r w:rsidR="00417237" w:rsidRPr="009E2B03">
        <w:rPr>
          <w:rFonts w:ascii="Calibri Light" w:hAnsi="Calibri Light" w:cs="Arial"/>
          <w:sz w:val="22"/>
        </w:rPr>
        <w:noBreakHyphen/>
      </w:r>
      <w:r w:rsidR="00417237">
        <w:rPr>
          <w:rFonts w:ascii="Calibri Light" w:hAnsi="Calibri Light" w:cs="Arial"/>
          <w:noProof/>
          <w:sz w:val="22"/>
        </w:rPr>
        <w:t>2</w:t>
      </w:r>
      <w:r w:rsidR="00417237" w:rsidRPr="009E2B03">
        <w:rPr>
          <w:rFonts w:ascii="Calibri Light" w:hAnsi="Calibri Light" w:cs="Arial"/>
          <w:sz w:val="22"/>
        </w:rPr>
        <w:t>: The impact of violence on hospital emergency departments</w:t>
      </w:r>
      <w:r w:rsidRPr="009E2B03">
        <w:rPr>
          <w:rFonts w:ascii="Calibri Light" w:hAnsi="Calibri Light" w:cs="Arial"/>
          <w:i w:val="0"/>
          <w:sz w:val="22"/>
        </w:rPr>
        <w:fldChar w:fldCharType="end"/>
      </w:r>
      <w:r w:rsidRPr="009E2B03">
        <w:rPr>
          <w:rFonts w:ascii="Calibri Light" w:hAnsi="Calibri Light" w:cs="Arial"/>
          <w:i w:val="0"/>
          <w:sz w:val="22"/>
        </w:rPr>
        <w:fldChar w:fldCharType="begin"/>
      </w:r>
      <w:r w:rsidRPr="009E2B03">
        <w:rPr>
          <w:rFonts w:ascii="Calibri Light" w:hAnsi="Calibri Light" w:cs="Arial"/>
          <w:i w:val="0"/>
          <w:sz w:val="22"/>
        </w:rPr>
        <w:instrText xml:space="preserve"> REF _Ref447291102 \h  \* MERGEFORMAT </w:instrText>
      </w:r>
      <w:r w:rsidRPr="009E2B03">
        <w:rPr>
          <w:rFonts w:ascii="Calibri Light" w:hAnsi="Calibri Light" w:cs="Arial"/>
          <w:i w:val="0"/>
          <w:sz w:val="22"/>
        </w:rPr>
      </w:r>
      <w:r w:rsidRPr="009E2B03">
        <w:rPr>
          <w:rFonts w:ascii="Calibri Light" w:hAnsi="Calibri Light" w:cs="Arial"/>
          <w:i w:val="0"/>
          <w:sz w:val="22"/>
        </w:rPr>
        <w:fldChar w:fldCharType="separate"/>
      </w:r>
      <w:r w:rsidR="00417237" w:rsidRPr="00417237">
        <w:rPr>
          <w:rFonts w:ascii="Calibri Light" w:hAnsi="Calibri Light" w:cs="Arial"/>
          <w:i w:val="0"/>
          <w:sz w:val="22"/>
        </w:rPr>
        <w:t xml:space="preserve">Box </w:t>
      </w:r>
      <w:r w:rsidR="00417237" w:rsidRPr="00417237">
        <w:rPr>
          <w:rFonts w:ascii="Calibri Light" w:hAnsi="Calibri Light" w:cs="Arial"/>
          <w:i w:val="0"/>
          <w:noProof/>
          <w:sz w:val="22"/>
        </w:rPr>
        <w:t>3</w:t>
      </w:r>
      <w:r w:rsidR="00417237" w:rsidRPr="00417237">
        <w:rPr>
          <w:rFonts w:ascii="Calibri Light" w:hAnsi="Calibri Light" w:cs="Arial"/>
          <w:i w:val="0"/>
          <w:noProof/>
          <w:sz w:val="22"/>
        </w:rPr>
        <w:noBreakHyphen/>
        <w:t>2</w:t>
      </w:r>
      <w:r w:rsidRPr="009E2B03">
        <w:rPr>
          <w:rFonts w:ascii="Calibri Light" w:hAnsi="Calibri Light" w:cs="Arial"/>
          <w:i w:val="0"/>
          <w:sz w:val="22"/>
        </w:rPr>
        <w:fldChar w:fldCharType="end"/>
      </w:r>
      <w:r w:rsidRPr="009E2B03">
        <w:rPr>
          <w:rFonts w:ascii="Calibri Light" w:hAnsi="Calibri Light" w:cs="Arial"/>
          <w:i w:val="0"/>
          <w:sz w:val="22"/>
        </w:rPr>
        <w:t xml:space="preserve"> below identifies the impact of violent incidents on emergency departments, where victims of violence and abuse often find support in crisis situations.</w:t>
      </w:r>
    </w:p>
    <w:p w14:paraId="06327E0B" w14:textId="77777777" w:rsidR="00ED6C12" w:rsidRPr="009E2B03" w:rsidRDefault="00ED6C12" w:rsidP="00ED6C12">
      <w:pPr>
        <w:pStyle w:val="Caption"/>
        <w:rPr>
          <w:rFonts w:ascii="Calibri Light" w:hAnsi="Calibri Light" w:cs="Arial"/>
          <w:sz w:val="22"/>
        </w:rPr>
      </w:pPr>
      <w:bookmarkStart w:id="80" w:name="_Ref447291102"/>
      <w:bookmarkStart w:id="81" w:name="_Ref447291095"/>
      <w:r w:rsidRPr="009E2B03">
        <w:rPr>
          <w:rFonts w:ascii="Calibri Light" w:hAnsi="Calibri Light" w:cs="Arial"/>
          <w:sz w:val="22"/>
        </w:rPr>
        <w:t xml:space="preserve">Box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8D2E70"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Box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bookmarkEnd w:id="80"/>
      <w:r w:rsidRPr="009E2B03">
        <w:rPr>
          <w:rFonts w:ascii="Calibri Light" w:hAnsi="Calibri Light" w:cs="Arial"/>
          <w:sz w:val="22"/>
        </w:rPr>
        <w:t>: The impact of violence on hospital emergency departments</w:t>
      </w:r>
      <w:bookmarkEnd w:id="81"/>
    </w:p>
    <w:p w14:paraId="5A1A23D1" w14:textId="77777777" w:rsidR="00ED6C12" w:rsidRPr="009E2B03" w:rsidRDefault="00ED6C12" w:rsidP="00C95D8A">
      <w:pPr>
        <w:pStyle w:val="BodyText"/>
        <w:pBdr>
          <w:top w:val="single" w:sz="4" w:space="1" w:color="auto"/>
          <w:left w:val="single" w:sz="4" w:space="1" w:color="auto"/>
          <w:bottom w:val="single" w:sz="4" w:space="1" w:color="auto"/>
          <w:right w:val="single" w:sz="4" w:space="1" w:color="auto"/>
        </w:pBdr>
        <w:shd w:val="clear" w:color="auto" w:fill="F3F0F4"/>
        <w:rPr>
          <w:rFonts w:ascii="Calibri Light" w:hAnsi="Calibri Light"/>
          <w:sz w:val="22"/>
        </w:rPr>
      </w:pPr>
      <w:r w:rsidRPr="009E2B03">
        <w:rPr>
          <w:rFonts w:ascii="Calibri Light" w:hAnsi="Calibri Light"/>
          <w:sz w:val="22"/>
        </w:rPr>
        <w:t>Given the nature and severity of physical and sexual assault, many women attend emergency departments following an incident or are directed to hospitals by police, family and friends, and services providers. As a consequence, emergency department records can provide insight into the extent and severity of violence, the frequency of violence and the impact of violence on vulnerable women. For example, research based on 400 pregnant women within Victoria identified that 27 per cent experienced physical and psychological violence and abuse in their current relationship, and 20 per cent reported experiencing substantial levels of physical violence throughout their pregnancy.</w:t>
      </w:r>
    </w:p>
    <w:p w14:paraId="37DCEF21" w14:textId="77777777" w:rsidR="00ED6C12" w:rsidRPr="009E2B03" w:rsidRDefault="00ED6C12" w:rsidP="00C95D8A">
      <w:pPr>
        <w:pStyle w:val="BodyText"/>
        <w:pBdr>
          <w:top w:val="single" w:sz="4" w:space="1" w:color="auto"/>
          <w:left w:val="single" w:sz="4" w:space="1" w:color="auto"/>
          <w:bottom w:val="single" w:sz="4" w:space="1" w:color="auto"/>
          <w:right w:val="single" w:sz="4" w:space="1" w:color="auto"/>
        </w:pBdr>
        <w:shd w:val="clear" w:color="auto" w:fill="F3F0F4"/>
        <w:rPr>
          <w:rFonts w:ascii="Calibri Light" w:hAnsi="Calibri Light"/>
          <w:sz w:val="22"/>
        </w:rPr>
      </w:pPr>
      <w:r w:rsidRPr="009E2B03">
        <w:rPr>
          <w:rFonts w:ascii="Calibri Light" w:hAnsi="Calibri Light"/>
          <w:sz w:val="22"/>
        </w:rPr>
        <w:t>The Victorian Emergency Minimum Dataset (VEMD) collects information from those attending an emergency department in the state. Analysis of the VEMD identifies that:</w:t>
      </w:r>
    </w:p>
    <w:p w14:paraId="31CE958A" w14:textId="77777777" w:rsidR="00ED6C12" w:rsidRPr="009E2B03" w:rsidRDefault="00C44B5D"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B</w:t>
      </w:r>
      <w:r w:rsidR="00ED6C12" w:rsidRPr="009E2B03">
        <w:rPr>
          <w:rFonts w:ascii="Calibri Light" w:hAnsi="Calibri Light" w:cs="Arial"/>
          <w:sz w:val="22"/>
        </w:rPr>
        <w:t>etween 2007 and 2013, approximately 65 per cent of adult females attending an emergency department experienced physical injury through being struck by another person</w:t>
      </w:r>
      <w:r w:rsidRPr="009E2B03">
        <w:rPr>
          <w:rFonts w:ascii="Calibri Light" w:hAnsi="Calibri Light" w:cs="Arial"/>
          <w:sz w:val="22"/>
        </w:rPr>
        <w:t>.</w:t>
      </w:r>
    </w:p>
    <w:p w14:paraId="5D4B8CB9" w14:textId="77777777" w:rsidR="00ED6C12" w:rsidRPr="009E2B03" w:rsidRDefault="00C44B5D"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A</w:t>
      </w:r>
      <w:r w:rsidR="00ED6C12" w:rsidRPr="009E2B03">
        <w:rPr>
          <w:rFonts w:ascii="Calibri Light" w:hAnsi="Calibri Light" w:cs="Arial"/>
          <w:sz w:val="22"/>
        </w:rPr>
        <w:t>dult females recorded within the VEMD hospital data were more than twice as likely to have multiple injuries as were adult male patients.</w:t>
      </w:r>
    </w:p>
    <w:p w14:paraId="36627AE3" w14:textId="77777777" w:rsidR="00ED6C12" w:rsidRPr="009E2B03" w:rsidRDefault="00ED6C12" w:rsidP="00C95D8A">
      <w:pPr>
        <w:pStyle w:val="BodyText"/>
        <w:pBdr>
          <w:top w:val="single" w:sz="4" w:space="1" w:color="auto"/>
          <w:left w:val="single" w:sz="4" w:space="1" w:color="auto"/>
          <w:bottom w:val="single" w:sz="4" w:space="1" w:color="auto"/>
          <w:right w:val="single" w:sz="4" w:space="1" w:color="auto"/>
        </w:pBdr>
        <w:shd w:val="clear" w:color="auto" w:fill="F3F0F4"/>
        <w:rPr>
          <w:rFonts w:ascii="Calibri Light" w:hAnsi="Calibri Light"/>
          <w:sz w:val="22"/>
        </w:rPr>
      </w:pPr>
      <w:r w:rsidRPr="009E2B03">
        <w:rPr>
          <w:rFonts w:ascii="Calibri Light" w:hAnsi="Calibri Light"/>
          <w:sz w:val="22"/>
        </w:rPr>
        <w:t>These statistics illustrate the importance of the information gathered by hospitals as a means of identifying the prevalence of violence against women, particularly those who do not seek assistance from intervention services.</w:t>
      </w:r>
      <w:r w:rsidRPr="009E2B03">
        <w:rPr>
          <w:rStyle w:val="FootnoteReference"/>
          <w:rFonts w:ascii="Calibri Light" w:hAnsi="Calibri Light"/>
          <w:sz w:val="22"/>
        </w:rPr>
        <w:footnoteReference w:id="37"/>
      </w:r>
      <w:r w:rsidRPr="009E2B03">
        <w:rPr>
          <w:rFonts w:ascii="Calibri Light" w:hAnsi="Calibri Light"/>
          <w:sz w:val="22"/>
        </w:rPr>
        <w:t xml:space="preserve"> However, there are limitations to the data collected. It is particularly difficult to accurately identify the full scope of patients presenting to hospital because of barriers to the detection and disclosure of domestic violence. For example, records of emergency departments across Victoria indicate that of the 1,352,129 admissions in 2007-08, three per cent or 568 were deemed to be the result of either maltreatment/assault by a domestic partner or child neglect/maltreatment by a parent or guardian. However, analysis of the VEMD suggests domestic violence may form a larger percentage of the 17,981 presentations to emergency departments because of human intent injuries.</w:t>
      </w:r>
    </w:p>
    <w:p w14:paraId="7B111C98" w14:textId="77777777" w:rsidR="00ED6C12" w:rsidRPr="009E2B03" w:rsidRDefault="00ED6C12" w:rsidP="00ED6C12">
      <w:pPr>
        <w:pStyle w:val="BodyText"/>
        <w:rPr>
          <w:rFonts w:ascii="Calibri Light" w:hAnsi="Calibri Light"/>
        </w:rPr>
      </w:pPr>
      <w:r w:rsidRPr="009E2B03">
        <w:rPr>
          <w:rFonts w:ascii="Calibri Light" w:hAnsi="Calibri Light"/>
        </w:rPr>
        <w:t>Source: Victorian Emergency Minimum Dataset; KPMG analysis.</w:t>
      </w:r>
    </w:p>
    <w:p w14:paraId="5A82F405" w14:textId="77777777" w:rsidR="00ED6C12" w:rsidRPr="009E2B03" w:rsidRDefault="00ED6C12" w:rsidP="00ED6C12">
      <w:pPr>
        <w:pStyle w:val="BodyText"/>
        <w:shd w:val="clear" w:color="auto" w:fill="FFFFFF" w:themeFill="background1"/>
        <w:rPr>
          <w:rFonts w:ascii="Calibri Light" w:hAnsi="Calibri Light"/>
          <w:sz w:val="22"/>
        </w:rPr>
      </w:pPr>
      <w:r w:rsidRPr="009E2B03">
        <w:rPr>
          <w:rFonts w:ascii="Calibri Light" w:hAnsi="Calibri Light"/>
          <w:sz w:val="22"/>
        </w:rPr>
        <w:t xml:space="preserve">The effects of violence toward women can lead to ongoing or subsequent health impacts, resulting in continuing costs for the health system. Research suggests that incidents of violence against women can increase risk factors that impact health and wellbeing, including depression, anxiety, smoking, </w:t>
      </w:r>
      <w:r w:rsidRPr="009E2B03">
        <w:rPr>
          <w:rFonts w:ascii="Calibri Light" w:hAnsi="Calibri Light"/>
          <w:sz w:val="22"/>
        </w:rPr>
        <w:lastRenderedPageBreak/>
        <w:t>alcohol abuse and substance abuse.</w:t>
      </w:r>
      <w:r w:rsidRPr="009E2B03">
        <w:rPr>
          <w:rStyle w:val="FootnoteReference"/>
          <w:rFonts w:ascii="Calibri Light" w:hAnsi="Calibri Light"/>
          <w:sz w:val="22"/>
        </w:rPr>
        <w:footnoteReference w:id="38"/>
      </w:r>
      <w:r w:rsidRPr="009E2B03">
        <w:rPr>
          <w:rFonts w:ascii="Calibri Light" w:hAnsi="Calibri Light"/>
          <w:sz w:val="22"/>
        </w:rPr>
        <w:t xml:space="preserve"> For example, a 1998 study estimated that around one third of all people with mental health problems presenting to hospital emergency departments attributed these problems to family violence. As such, hospitals are also </w:t>
      </w:r>
      <w:r w:rsidR="00747285" w:rsidRPr="009E2B03">
        <w:rPr>
          <w:rFonts w:ascii="Calibri Light" w:hAnsi="Calibri Light"/>
          <w:sz w:val="22"/>
        </w:rPr>
        <w:t>affected</w:t>
      </w:r>
      <w:r w:rsidRPr="009E2B03">
        <w:rPr>
          <w:rFonts w:ascii="Calibri Light" w:hAnsi="Calibri Light"/>
          <w:sz w:val="22"/>
        </w:rPr>
        <w:t xml:space="preserve"> by the emotional and physiological </w:t>
      </w:r>
      <w:r w:rsidR="00747285" w:rsidRPr="009E2B03">
        <w:rPr>
          <w:rFonts w:ascii="Calibri Light" w:hAnsi="Calibri Light"/>
          <w:sz w:val="22"/>
        </w:rPr>
        <w:t xml:space="preserve">results </w:t>
      </w:r>
      <w:r w:rsidRPr="009E2B03">
        <w:rPr>
          <w:rFonts w:ascii="Calibri Light" w:hAnsi="Calibri Light"/>
          <w:sz w:val="22"/>
        </w:rPr>
        <w:t>of past episodes of violence, and are often responsible for supporting women who are s</w:t>
      </w:r>
      <w:r w:rsidR="00747285" w:rsidRPr="009E2B03">
        <w:rPr>
          <w:rFonts w:ascii="Calibri Light" w:hAnsi="Calibri Light"/>
          <w:sz w:val="22"/>
        </w:rPr>
        <w:t>uffering the consequences of</w:t>
      </w:r>
      <w:r w:rsidRPr="009E2B03">
        <w:rPr>
          <w:rFonts w:ascii="Calibri Light" w:hAnsi="Calibri Light"/>
          <w:sz w:val="22"/>
        </w:rPr>
        <w:t xml:space="preserve"> violence.</w:t>
      </w:r>
    </w:p>
    <w:p w14:paraId="6CD846F2" w14:textId="77777777" w:rsidR="00ED6C12" w:rsidRPr="009E2B03" w:rsidRDefault="00ED6C12" w:rsidP="00ED6C12">
      <w:pPr>
        <w:pStyle w:val="BodyText"/>
        <w:rPr>
          <w:rFonts w:ascii="Calibri Light" w:hAnsi="Calibri Light"/>
          <w:sz w:val="22"/>
        </w:rPr>
      </w:pPr>
      <w:r w:rsidRPr="009E2B03">
        <w:rPr>
          <w:rFonts w:ascii="Calibri Light" w:hAnsi="Calibri Light"/>
          <w:sz w:val="22"/>
        </w:rPr>
        <w:t>S</w:t>
      </w:r>
      <w:r w:rsidR="008D2E70" w:rsidRPr="009E2B03">
        <w:rPr>
          <w:rFonts w:ascii="Calibri Light" w:hAnsi="Calibri Light"/>
          <w:sz w:val="22"/>
        </w:rPr>
        <w:t>upporting the service system</w:t>
      </w:r>
      <w:r w:rsidRPr="009E2B03">
        <w:rPr>
          <w:rFonts w:ascii="Calibri Light" w:hAnsi="Calibri Light"/>
          <w:sz w:val="22"/>
        </w:rPr>
        <w:t xml:space="preserve"> to treat these health problems is a significant cost burden for governments. Costs may be incurred over a long period of time, or may not present for a time after an incident of violence. Repeated instances of violence and abuse may also increase the risks of long term health impacts, with ongoing instances of violence contributing to longer-term mental and physical health problems.</w:t>
      </w:r>
      <w:r w:rsidRPr="009E2B03">
        <w:rPr>
          <w:rStyle w:val="FootnoteReference"/>
          <w:rFonts w:ascii="Calibri Light" w:hAnsi="Calibri Light"/>
          <w:sz w:val="22"/>
        </w:rPr>
        <w:footnoteReference w:id="39"/>
      </w:r>
      <w:r w:rsidRPr="009E2B03">
        <w:rPr>
          <w:rFonts w:ascii="Calibri Light" w:hAnsi="Calibri Light"/>
          <w:sz w:val="22"/>
        </w:rPr>
        <w:t xml:space="preserve"> </w:t>
      </w:r>
    </w:p>
    <w:p w14:paraId="402697AB" w14:textId="77777777" w:rsidR="00ED6C12" w:rsidRPr="009E2B03" w:rsidRDefault="00ED6C1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Production-related costs</w:t>
      </w:r>
    </w:p>
    <w:tbl>
      <w:tblPr>
        <w:tblStyle w:val="TableGrid"/>
        <w:tblW w:w="0" w:type="auto"/>
        <w:shd w:val="clear" w:color="auto" w:fill="D9D9D9" w:themeFill="background1" w:themeFillShade="D9"/>
        <w:tblLook w:val="04A0" w:firstRow="1" w:lastRow="0" w:firstColumn="1" w:lastColumn="0" w:noHBand="0" w:noVBand="1"/>
        <w:tblCaption w:val="Box of information on production related costs"/>
        <w:tblDescription w:val="KPMG estimates that the impact of violence against women and their children on production and the business sector will cost the victim, community and Australian economy $1.9 billion this year."/>
      </w:tblPr>
      <w:tblGrid>
        <w:gridCol w:w="9016"/>
      </w:tblGrid>
      <w:tr w:rsidR="00ED6C12" w:rsidRPr="009E2B03" w14:paraId="12A04F8C" w14:textId="77777777" w:rsidTr="00865FDB">
        <w:trPr>
          <w:tblHeader/>
        </w:trPr>
        <w:tc>
          <w:tcPr>
            <w:tcW w:w="9016" w:type="dxa"/>
            <w:shd w:val="clear" w:color="auto" w:fill="F3F0F4"/>
          </w:tcPr>
          <w:p w14:paraId="23954860" w14:textId="77777777" w:rsidR="00ED6C12" w:rsidRPr="009E2B03" w:rsidRDefault="00ED6C12" w:rsidP="00ED6C12">
            <w:pPr>
              <w:pStyle w:val="BodyBullet"/>
              <w:numPr>
                <w:ilvl w:val="0"/>
                <w:numId w:val="0"/>
              </w:numPr>
              <w:tabs>
                <w:tab w:val="left" w:pos="2595"/>
              </w:tabs>
              <w:ind w:left="360" w:hanging="360"/>
              <w:rPr>
                <w:rFonts w:ascii="Calibri Light" w:hAnsi="Calibri Light" w:cs="Arial"/>
                <w:b/>
                <w:i/>
                <w:color w:val="6D2077"/>
                <w:sz w:val="22"/>
              </w:rPr>
            </w:pPr>
            <w:r w:rsidRPr="009E2B03">
              <w:rPr>
                <w:rFonts w:ascii="Calibri Light" w:hAnsi="Calibri Light" w:cs="Arial"/>
                <w:b/>
                <w:i/>
                <w:color w:val="6D2077"/>
                <w:sz w:val="22"/>
              </w:rPr>
              <w:t>Key insights</w:t>
            </w:r>
            <w:r w:rsidRPr="009E2B03">
              <w:rPr>
                <w:rFonts w:ascii="Calibri Light" w:hAnsi="Calibri Light" w:cs="Arial"/>
                <w:b/>
                <w:i/>
                <w:color w:val="6D2077"/>
                <w:sz w:val="22"/>
              </w:rPr>
              <w:tab/>
            </w:r>
          </w:p>
          <w:p w14:paraId="310648C4" w14:textId="77777777" w:rsidR="00ED6C12" w:rsidRPr="009E2B03" w:rsidRDefault="00ED6C12" w:rsidP="00ED6C12">
            <w:pPr>
              <w:pStyle w:val="BodyBullet"/>
              <w:numPr>
                <w:ilvl w:val="0"/>
                <w:numId w:val="0"/>
              </w:numPr>
              <w:rPr>
                <w:rFonts w:ascii="Calibri Light" w:hAnsi="Calibri Light" w:cs="Arial"/>
                <w:b/>
                <w:color w:val="6D2077"/>
                <w:sz w:val="22"/>
              </w:rPr>
            </w:pPr>
            <w:r w:rsidRPr="009E2B03">
              <w:rPr>
                <w:rFonts w:ascii="Calibri Light" w:hAnsi="Calibri Light" w:cs="Arial"/>
                <w:b/>
                <w:color w:val="6D2077"/>
                <w:sz w:val="22"/>
              </w:rPr>
              <w:t xml:space="preserve">KPMG estimates that the impact of violence against women and their children on production and the business sector </w:t>
            </w:r>
            <w:r w:rsidR="00747285" w:rsidRPr="009E2B03">
              <w:rPr>
                <w:rFonts w:ascii="Calibri Light" w:hAnsi="Calibri Light" w:cs="Arial"/>
                <w:b/>
                <w:color w:val="6D2077"/>
                <w:sz w:val="22"/>
              </w:rPr>
              <w:t xml:space="preserve">will </w:t>
            </w:r>
            <w:r w:rsidRPr="009E2B03">
              <w:rPr>
                <w:rFonts w:ascii="Calibri Light" w:hAnsi="Calibri Light" w:cs="Arial"/>
                <w:b/>
                <w:color w:val="6D2077"/>
                <w:sz w:val="22"/>
              </w:rPr>
              <w:t xml:space="preserve">cost the victim, community and Australian economy $1.9 billion </w:t>
            </w:r>
            <w:r w:rsidR="0015237E" w:rsidRPr="009E2B03">
              <w:rPr>
                <w:rFonts w:ascii="Calibri Light" w:hAnsi="Calibri Light" w:cs="Arial"/>
                <w:b/>
                <w:color w:val="6D2077"/>
                <w:sz w:val="22"/>
              </w:rPr>
              <w:t>this</w:t>
            </w:r>
            <w:r w:rsidRPr="009E2B03">
              <w:rPr>
                <w:rFonts w:ascii="Calibri Light" w:hAnsi="Calibri Light" w:cs="Arial"/>
                <w:b/>
                <w:color w:val="6D2077"/>
                <w:sz w:val="22"/>
              </w:rPr>
              <w:t xml:space="preserve"> year. </w:t>
            </w:r>
          </w:p>
          <w:p w14:paraId="59226264"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 xml:space="preserve">Victim absenteeism from paid work and inability to perform household chores and voluntary work is estimated to cost $860 million, while perpetrator absenteeism </w:t>
            </w:r>
            <w:r w:rsidR="008D2E70" w:rsidRPr="009E2B03">
              <w:rPr>
                <w:rFonts w:ascii="Calibri Light" w:hAnsi="Calibri Light" w:cs="Arial"/>
                <w:sz w:val="22"/>
              </w:rPr>
              <w:t>is estimated to cost</w:t>
            </w:r>
            <w:r w:rsidRPr="009E2B03">
              <w:rPr>
                <w:rFonts w:ascii="Calibri Light" w:hAnsi="Calibri Light" w:cs="Arial"/>
                <w:sz w:val="22"/>
              </w:rPr>
              <w:t xml:space="preserve"> $443 million and additional management costs, including search, hiring and training replacements </w:t>
            </w:r>
            <w:r w:rsidR="008D2E70" w:rsidRPr="009E2B03">
              <w:rPr>
                <w:rFonts w:ascii="Calibri Light" w:hAnsi="Calibri Light" w:cs="Arial"/>
                <w:sz w:val="22"/>
              </w:rPr>
              <w:t>is estimated to cost</w:t>
            </w:r>
            <w:r w:rsidRPr="009E2B03">
              <w:rPr>
                <w:rFonts w:ascii="Calibri Light" w:hAnsi="Calibri Light" w:cs="Arial"/>
                <w:sz w:val="22"/>
              </w:rPr>
              <w:t xml:space="preserve"> $96 million. </w:t>
            </w:r>
          </w:p>
          <w:p w14:paraId="17257258"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Sexual harassment affects approximately one in seven women every year across Australia. Within the workplace, the economic and non-economic impacts of harassment can affect women’s emotional and psychological health, their ability to perform tasks, and can impact on their desire or motivation to attend work.</w:t>
            </w:r>
          </w:p>
        </w:tc>
      </w:tr>
    </w:tbl>
    <w:p w14:paraId="2B185C77"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Violence against women and their children </w:t>
      </w:r>
      <w:r w:rsidR="00747285" w:rsidRPr="009E2B03">
        <w:rPr>
          <w:rFonts w:ascii="Calibri Light" w:hAnsi="Calibri Light"/>
          <w:sz w:val="22"/>
        </w:rPr>
        <w:t>affects</w:t>
      </w:r>
      <w:r w:rsidRPr="009E2B03">
        <w:rPr>
          <w:rFonts w:ascii="Calibri Light" w:hAnsi="Calibri Light"/>
          <w:sz w:val="22"/>
        </w:rPr>
        <w:t xml:space="preserve"> a range of business-based activity; in particular absenteeism and reduced productivity levels. Consistent with our previous approach, we have included in our cost analysis the economic impact of domestic violence on production as follows:</w:t>
      </w:r>
    </w:p>
    <w:p w14:paraId="60A01A52" w14:textId="77777777" w:rsidR="00ED6C12" w:rsidRPr="009E2B03" w:rsidRDefault="00747285" w:rsidP="00ED6C12">
      <w:pPr>
        <w:pStyle w:val="BodyBullet"/>
        <w:rPr>
          <w:rFonts w:ascii="Calibri Light" w:hAnsi="Calibri Light" w:cs="Arial"/>
          <w:sz w:val="22"/>
        </w:rPr>
      </w:pPr>
      <w:r w:rsidRPr="009E2B03">
        <w:rPr>
          <w:rFonts w:ascii="Calibri Light" w:hAnsi="Calibri Light" w:cs="Arial"/>
          <w:sz w:val="22"/>
        </w:rPr>
        <w:t>V</w:t>
      </w:r>
      <w:r w:rsidR="00ED6C12" w:rsidRPr="009E2B03">
        <w:rPr>
          <w:rFonts w:ascii="Calibri Light" w:hAnsi="Calibri Light" w:cs="Arial"/>
          <w:sz w:val="22"/>
        </w:rPr>
        <w:t>ictim absenteeism from paid work and inability to perform household chores and voluntary work</w:t>
      </w:r>
      <w:r w:rsidRPr="009E2B03">
        <w:rPr>
          <w:rFonts w:ascii="Calibri Light" w:hAnsi="Calibri Light" w:cs="Arial"/>
          <w:sz w:val="22"/>
        </w:rPr>
        <w:t xml:space="preserve"> costs $860 million.</w:t>
      </w:r>
    </w:p>
    <w:p w14:paraId="791E9480" w14:textId="77777777" w:rsidR="00ED6C12" w:rsidRPr="009E2B03" w:rsidRDefault="00747285" w:rsidP="00ED6C12">
      <w:pPr>
        <w:pStyle w:val="BodyBullet"/>
        <w:rPr>
          <w:rFonts w:ascii="Calibri Light" w:hAnsi="Calibri Light" w:cs="Arial"/>
          <w:sz w:val="22"/>
        </w:rPr>
      </w:pPr>
      <w:r w:rsidRPr="009E2B03">
        <w:rPr>
          <w:rFonts w:ascii="Calibri Light" w:hAnsi="Calibri Light" w:cs="Arial"/>
          <w:sz w:val="22"/>
        </w:rPr>
        <w:t>P</w:t>
      </w:r>
      <w:r w:rsidR="00ED6C12" w:rsidRPr="009E2B03">
        <w:rPr>
          <w:rFonts w:ascii="Calibri Light" w:hAnsi="Calibri Light" w:cs="Arial"/>
          <w:sz w:val="22"/>
        </w:rPr>
        <w:t>erpetrator absenteeism from paid and unpaid work</w:t>
      </w:r>
      <w:r w:rsidRPr="009E2B03">
        <w:rPr>
          <w:rFonts w:ascii="Calibri Light" w:hAnsi="Calibri Light" w:cs="Arial"/>
          <w:sz w:val="22"/>
        </w:rPr>
        <w:t xml:space="preserve"> costs $443 million.</w:t>
      </w:r>
    </w:p>
    <w:p w14:paraId="2533F51A" w14:textId="77777777" w:rsidR="00ED6C12" w:rsidRPr="009E2B03" w:rsidRDefault="00747285" w:rsidP="00ED6C12">
      <w:pPr>
        <w:pStyle w:val="BodyBullet"/>
        <w:rPr>
          <w:rFonts w:ascii="Calibri Light" w:hAnsi="Calibri Light" w:cs="Arial"/>
          <w:sz w:val="22"/>
        </w:rPr>
      </w:pPr>
      <w:r w:rsidRPr="009E2B03">
        <w:rPr>
          <w:rFonts w:ascii="Calibri Light" w:hAnsi="Calibri Light" w:cs="Arial"/>
          <w:sz w:val="22"/>
        </w:rPr>
        <w:t>A</w:t>
      </w:r>
      <w:r w:rsidR="00ED6C12" w:rsidRPr="009E2B03">
        <w:rPr>
          <w:rFonts w:ascii="Calibri Light" w:hAnsi="Calibri Light" w:cs="Arial"/>
          <w:sz w:val="22"/>
        </w:rPr>
        <w:t>dditional management costs, including for search, hiring and training replacements</w:t>
      </w:r>
      <w:r w:rsidRPr="009E2B03">
        <w:rPr>
          <w:rFonts w:ascii="Calibri Light" w:hAnsi="Calibri Light" w:cs="Arial"/>
          <w:sz w:val="22"/>
        </w:rPr>
        <w:t xml:space="preserve"> costs $96 million.</w:t>
      </w:r>
    </w:p>
    <w:p w14:paraId="554EB0FF" w14:textId="77777777" w:rsidR="00ED6C12" w:rsidRPr="009E2B03" w:rsidRDefault="00747285" w:rsidP="00ED6C12">
      <w:pPr>
        <w:pStyle w:val="BodyBullet"/>
        <w:rPr>
          <w:rFonts w:ascii="Calibri Light" w:hAnsi="Calibri Light" w:cs="Arial"/>
          <w:sz w:val="22"/>
        </w:rPr>
      </w:pPr>
      <w:r w:rsidRPr="009E2B03">
        <w:rPr>
          <w:rFonts w:ascii="Calibri Light" w:hAnsi="Calibri Light" w:cs="Arial"/>
          <w:sz w:val="22"/>
        </w:rPr>
        <w:t xml:space="preserve">The cost of </w:t>
      </w:r>
      <w:r w:rsidR="00ED6C12" w:rsidRPr="009E2B03">
        <w:rPr>
          <w:rFonts w:ascii="Calibri Light" w:hAnsi="Calibri Light" w:cs="Arial"/>
          <w:sz w:val="22"/>
        </w:rPr>
        <w:t>lost production from premature death</w:t>
      </w:r>
      <w:r w:rsidRPr="009E2B03">
        <w:rPr>
          <w:rFonts w:ascii="Calibri Light" w:hAnsi="Calibri Light" w:cs="Arial"/>
          <w:sz w:val="22"/>
        </w:rPr>
        <w:t xml:space="preserve"> is $519 million</w:t>
      </w:r>
      <w:r w:rsidR="00ED6C12" w:rsidRPr="009E2B03">
        <w:rPr>
          <w:rFonts w:ascii="Calibri Light" w:hAnsi="Calibri Light" w:cs="Arial"/>
          <w:sz w:val="22"/>
        </w:rPr>
        <w:t>.</w:t>
      </w:r>
    </w:p>
    <w:p w14:paraId="46E91C93" w14:textId="77777777" w:rsidR="00ED6C12" w:rsidRPr="009E2B03" w:rsidRDefault="00ED6C12" w:rsidP="00ED6C12">
      <w:pPr>
        <w:pStyle w:val="BodyText"/>
        <w:rPr>
          <w:rFonts w:ascii="Calibri Light" w:hAnsi="Calibri Light"/>
          <w:sz w:val="22"/>
        </w:rPr>
      </w:pPr>
      <w:r w:rsidRPr="009E2B03">
        <w:rPr>
          <w:rFonts w:ascii="Calibri Light" w:hAnsi="Calibri Light"/>
          <w:sz w:val="22"/>
        </w:rPr>
        <w:t>Our analysis indicates that violence against women and children can result in a significant cost impact on the workplace. The cost derives principally from the experience and long term effects of violence on victims, however costs also derive from perpetrators (for example</w:t>
      </w:r>
      <w:r w:rsidR="008D2E70" w:rsidRPr="009E2B03">
        <w:rPr>
          <w:rFonts w:ascii="Calibri Light" w:hAnsi="Calibri Light"/>
          <w:sz w:val="22"/>
        </w:rPr>
        <w:t>,</w:t>
      </w:r>
      <w:r w:rsidRPr="009E2B03">
        <w:rPr>
          <w:rFonts w:ascii="Calibri Light" w:hAnsi="Calibri Light"/>
          <w:sz w:val="22"/>
        </w:rPr>
        <w:t xml:space="preserve"> time spent in the criminal justice system). </w:t>
      </w:r>
    </w:p>
    <w:p w14:paraId="77FA097E" w14:textId="77777777" w:rsidR="00ED6C12" w:rsidRPr="009E2B03" w:rsidRDefault="00ED6C12" w:rsidP="00ED6C12">
      <w:pPr>
        <w:pStyle w:val="BodyText"/>
        <w:rPr>
          <w:rFonts w:ascii="Calibri Light" w:hAnsi="Calibri Light"/>
          <w:sz w:val="22"/>
        </w:rPr>
      </w:pPr>
      <w:r w:rsidRPr="009E2B03">
        <w:rPr>
          <w:rFonts w:ascii="Calibri Light" w:hAnsi="Calibri Light"/>
          <w:sz w:val="22"/>
        </w:rPr>
        <w:t>The long term impacts of violence on women can also lead to a reduction in productivity through reduced concentration and participation in the workforce, and reduced productive capacity for generating future income. These consequences may, in turn, lead to increased use of government financial support and, if violence occurs in parallel with or causes experiences of economic abuse, result in increased financial inequality in an abusive relationship and a lack of control or a feeling of inability to escape the situation.</w:t>
      </w:r>
    </w:p>
    <w:p w14:paraId="4E4B1BA9" w14:textId="77777777" w:rsidR="008D2E70" w:rsidRPr="009E2B03" w:rsidRDefault="008D2E70" w:rsidP="008D2E70">
      <w:pPr>
        <w:pStyle w:val="Caption"/>
        <w:rPr>
          <w:rFonts w:ascii="Calibri Light" w:hAnsi="Calibri Light" w:cs="Arial"/>
          <w:sz w:val="22"/>
        </w:rPr>
      </w:pPr>
      <w:r w:rsidRPr="009E2B03">
        <w:rPr>
          <w:rFonts w:ascii="Calibri Light" w:hAnsi="Calibri Light" w:cs="Arial"/>
          <w:sz w:val="22"/>
        </w:rPr>
        <w:lastRenderedPageBreak/>
        <w:t xml:space="preserve">Box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Box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Pr="009E2B03">
        <w:rPr>
          <w:rFonts w:ascii="Calibri Light" w:hAnsi="Calibri Light" w:cs="Arial"/>
          <w:sz w:val="22"/>
        </w:rPr>
        <w:t>: The impact of sexual harassment on the workplace</w:t>
      </w:r>
    </w:p>
    <w:p w14:paraId="32710A06" w14:textId="1066A029" w:rsidR="00ED6C12" w:rsidRPr="009E2B03" w:rsidRDefault="00ED6C12" w:rsidP="00C95D8A">
      <w:pPr>
        <w:pStyle w:val="BodyText"/>
        <w:pBdr>
          <w:top w:val="single" w:sz="4" w:space="1" w:color="auto"/>
          <w:left w:val="single" w:sz="4" w:space="1" w:color="auto"/>
          <w:bottom w:val="single" w:sz="4" w:space="1" w:color="auto"/>
          <w:right w:val="single" w:sz="4" w:space="1" w:color="auto"/>
        </w:pBdr>
        <w:shd w:val="clear" w:color="auto" w:fill="F3F0F4"/>
        <w:rPr>
          <w:rFonts w:ascii="Calibri Light" w:hAnsi="Calibri Light"/>
          <w:sz w:val="22"/>
        </w:rPr>
      </w:pPr>
      <w:r w:rsidRPr="009E2B03">
        <w:rPr>
          <w:rFonts w:ascii="Calibri Light" w:hAnsi="Calibri Light"/>
          <w:sz w:val="22"/>
        </w:rPr>
        <w:t>V</w:t>
      </w:r>
      <w:r w:rsidR="00536649" w:rsidRPr="009E2B03">
        <w:rPr>
          <w:rFonts w:ascii="Calibri Light" w:hAnsi="Calibri Light"/>
          <w:sz w:val="22"/>
        </w:rPr>
        <w:t>iolence against women can also a</w:t>
      </w:r>
      <w:r w:rsidRPr="009E2B03">
        <w:rPr>
          <w:rFonts w:ascii="Calibri Light" w:hAnsi="Calibri Light"/>
          <w:sz w:val="22"/>
        </w:rPr>
        <w:t>ffect the functioning of workplaces and relationships between employees. While the impact of sexual harassment is not costed in this study, it should be identified as a key issue affecting business activity and workplace health and safety. It affects women across different social environments. The ABS has released additional data, collected in the 2012 PSS, that relates to questions asked about sexual harassment. The answers to those questions indicate that:</w:t>
      </w:r>
    </w:p>
    <w:p w14:paraId="359A43AC" w14:textId="77777777" w:rsidR="00ED6C12" w:rsidRPr="009E2B03" w:rsidRDefault="00747285"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W</w:t>
      </w:r>
      <w:r w:rsidR="00ED6C12" w:rsidRPr="009E2B03">
        <w:rPr>
          <w:rFonts w:ascii="Calibri Light" w:hAnsi="Calibri Light" w:cs="Arial"/>
          <w:sz w:val="22"/>
        </w:rPr>
        <w:t>omen experienc</w:t>
      </w:r>
      <w:r w:rsidRPr="009E2B03">
        <w:rPr>
          <w:rFonts w:ascii="Calibri Light" w:hAnsi="Calibri Light" w:cs="Arial"/>
          <w:sz w:val="22"/>
        </w:rPr>
        <w:t>ing</w:t>
      </w:r>
      <w:r w:rsidR="00ED6C12" w:rsidRPr="009E2B03">
        <w:rPr>
          <w:rFonts w:ascii="Calibri Light" w:hAnsi="Calibri Light" w:cs="Arial"/>
          <w:sz w:val="22"/>
        </w:rPr>
        <w:t xml:space="preserve"> sexual harassment in the 12 month period prior to the survey </w:t>
      </w:r>
      <w:r w:rsidRPr="009E2B03">
        <w:rPr>
          <w:rFonts w:ascii="Calibri Light" w:hAnsi="Calibri Light" w:cs="Arial"/>
          <w:sz w:val="22"/>
        </w:rPr>
        <w:t xml:space="preserve">numbered 1,297,000, </w:t>
      </w:r>
      <w:r w:rsidR="00ED6C12" w:rsidRPr="009E2B03">
        <w:rPr>
          <w:rFonts w:ascii="Calibri Light" w:hAnsi="Calibri Light" w:cs="Arial"/>
          <w:sz w:val="22"/>
        </w:rPr>
        <w:t>with 94 per cent of incidence from harassment by a man</w:t>
      </w:r>
      <w:r w:rsidRPr="009E2B03">
        <w:rPr>
          <w:rFonts w:ascii="Calibri Light" w:hAnsi="Calibri Light" w:cs="Arial"/>
          <w:sz w:val="22"/>
        </w:rPr>
        <w:t>.</w:t>
      </w:r>
    </w:p>
    <w:p w14:paraId="7A22FFDD" w14:textId="77777777" w:rsidR="00ED6C12" w:rsidRPr="009E2B03" w:rsidRDefault="00747285"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W</w:t>
      </w:r>
      <w:r w:rsidR="00ED6C12" w:rsidRPr="009E2B03">
        <w:rPr>
          <w:rFonts w:ascii="Calibri Light" w:hAnsi="Calibri Light" w:cs="Arial"/>
          <w:sz w:val="22"/>
        </w:rPr>
        <w:t>omen experienc</w:t>
      </w:r>
      <w:r w:rsidRPr="009E2B03">
        <w:rPr>
          <w:rFonts w:ascii="Calibri Light" w:hAnsi="Calibri Light" w:cs="Arial"/>
          <w:sz w:val="22"/>
        </w:rPr>
        <w:t>ing</w:t>
      </w:r>
      <w:r w:rsidR="00ED6C12" w:rsidRPr="009E2B03">
        <w:rPr>
          <w:rFonts w:ascii="Calibri Light" w:hAnsi="Calibri Light" w:cs="Arial"/>
          <w:sz w:val="22"/>
        </w:rPr>
        <w:t xml:space="preserve"> sexual harassment in their lifetime</w:t>
      </w:r>
      <w:r w:rsidRPr="009E2B03">
        <w:rPr>
          <w:rFonts w:ascii="Calibri Light" w:hAnsi="Calibri Light" w:cs="Arial"/>
          <w:sz w:val="22"/>
        </w:rPr>
        <w:t xml:space="preserve"> numbered 4,221,000,</w:t>
      </w:r>
      <w:r w:rsidR="00ED6C12" w:rsidRPr="009E2B03">
        <w:rPr>
          <w:rFonts w:ascii="Calibri Light" w:hAnsi="Calibri Light" w:cs="Arial"/>
          <w:sz w:val="22"/>
        </w:rPr>
        <w:t xml:space="preserve"> with 98 per cent of incidence from harassment by a man</w:t>
      </w:r>
      <w:r w:rsidRPr="009E2B03">
        <w:rPr>
          <w:rFonts w:ascii="Calibri Light" w:hAnsi="Calibri Light" w:cs="Arial"/>
          <w:sz w:val="22"/>
        </w:rPr>
        <w:t>.</w:t>
      </w:r>
    </w:p>
    <w:p w14:paraId="2BBEAE15" w14:textId="77777777" w:rsidR="00ED6C12" w:rsidRPr="009E2B03" w:rsidRDefault="00747285"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T</w:t>
      </w:r>
      <w:r w:rsidR="00ED6C12" w:rsidRPr="009E2B03">
        <w:rPr>
          <w:rFonts w:ascii="Calibri Light" w:hAnsi="Calibri Light" w:cs="Arial"/>
          <w:sz w:val="22"/>
        </w:rPr>
        <w:t xml:space="preserve">he most common form of sexual harassment in the 12 month period prior to the survey was from experiencing inappropriate comments (150,000 women), followed by indecent text, email or posts (73,000 women). </w:t>
      </w:r>
    </w:p>
    <w:p w14:paraId="4D292B94" w14:textId="77777777" w:rsidR="00ED6C12" w:rsidRPr="009E2B03" w:rsidRDefault="00ED6C12" w:rsidP="00C95D8A">
      <w:pPr>
        <w:pStyle w:val="BodyText"/>
        <w:pBdr>
          <w:top w:val="single" w:sz="4" w:space="1" w:color="auto"/>
          <w:left w:val="single" w:sz="4" w:space="1" w:color="auto"/>
          <w:bottom w:val="single" w:sz="4" w:space="1" w:color="auto"/>
          <w:right w:val="single" w:sz="4" w:space="1" w:color="auto"/>
        </w:pBdr>
        <w:shd w:val="clear" w:color="auto" w:fill="F3F0F4"/>
        <w:rPr>
          <w:rFonts w:ascii="Calibri Light" w:hAnsi="Calibri Light"/>
          <w:sz w:val="22"/>
        </w:rPr>
      </w:pPr>
      <w:r w:rsidRPr="009E2B03">
        <w:rPr>
          <w:rFonts w:ascii="Calibri Light" w:hAnsi="Calibri Light"/>
          <w:sz w:val="22"/>
        </w:rPr>
        <w:t xml:space="preserve">These figures indicate that sexual harassment is not a marginal occurrence, but affects approximately one in seven women every year across Australia. Within the workplace, the economic and non-economic impacts of harassment can affect women’s emotional and psychological health, their ability to perform tasks, and can impact on their desire or motivation to attend work. </w:t>
      </w:r>
    </w:p>
    <w:p w14:paraId="3F799F56" w14:textId="77777777" w:rsidR="00ED6C12" w:rsidRPr="009E2B03" w:rsidRDefault="00ED6C12" w:rsidP="00ED6C12">
      <w:pPr>
        <w:pStyle w:val="BodyText"/>
        <w:rPr>
          <w:rFonts w:ascii="Calibri Light" w:hAnsi="Calibri Light"/>
        </w:rPr>
      </w:pPr>
      <w:r w:rsidRPr="009E2B03">
        <w:rPr>
          <w:rFonts w:ascii="Calibri Light" w:hAnsi="Calibri Light"/>
        </w:rPr>
        <w:t>Source: ABS Personal Safety Survey 2012; KPMG analysis.</w:t>
      </w:r>
    </w:p>
    <w:p w14:paraId="37E28687" w14:textId="77777777" w:rsidR="00ED6C12" w:rsidRPr="009E2B03" w:rsidRDefault="00ED6C1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Consumption-related costs</w:t>
      </w:r>
    </w:p>
    <w:tbl>
      <w:tblPr>
        <w:tblStyle w:val="TableGrid"/>
        <w:tblW w:w="0" w:type="auto"/>
        <w:shd w:val="clear" w:color="auto" w:fill="BFBFBF" w:themeFill="background1" w:themeFillShade="BF"/>
        <w:tblLook w:val="04A0" w:firstRow="1" w:lastRow="0" w:firstColumn="1" w:lastColumn="0" w:noHBand="0" w:noVBand="1"/>
        <w:tblCaption w:val="Box of information on consumption related costs"/>
        <w:tblDescription w:val="KPMG estimates that the impact of violence against women and their children on consumption related activities and personal goods will cost the Australian economy $4.4 billion this year."/>
      </w:tblPr>
      <w:tblGrid>
        <w:gridCol w:w="9016"/>
      </w:tblGrid>
      <w:tr w:rsidR="00ED6C12" w:rsidRPr="009E2B03" w14:paraId="7A67E1EB" w14:textId="77777777" w:rsidTr="00865FDB">
        <w:trPr>
          <w:tblHeader/>
        </w:trPr>
        <w:tc>
          <w:tcPr>
            <w:tcW w:w="9016" w:type="dxa"/>
            <w:shd w:val="clear" w:color="auto" w:fill="F3F0F4"/>
          </w:tcPr>
          <w:p w14:paraId="084FAC2F" w14:textId="77777777" w:rsidR="00ED6C12" w:rsidRPr="009E2B03" w:rsidRDefault="00ED6C12" w:rsidP="00ED6C12">
            <w:pPr>
              <w:pStyle w:val="BodyBullet"/>
              <w:numPr>
                <w:ilvl w:val="0"/>
                <w:numId w:val="0"/>
              </w:numPr>
              <w:ind w:left="360" w:hanging="360"/>
              <w:rPr>
                <w:rFonts w:ascii="Calibri Light" w:hAnsi="Calibri Light" w:cs="Arial"/>
                <w:b/>
                <w:i/>
                <w:color w:val="6D2077"/>
                <w:sz w:val="22"/>
              </w:rPr>
            </w:pPr>
            <w:r w:rsidRPr="009E2B03">
              <w:rPr>
                <w:rFonts w:ascii="Calibri Light" w:hAnsi="Calibri Light" w:cs="Arial"/>
                <w:b/>
                <w:i/>
                <w:color w:val="6D2077"/>
                <w:sz w:val="22"/>
              </w:rPr>
              <w:t>Key insights:</w:t>
            </w:r>
          </w:p>
          <w:p w14:paraId="738D30F5" w14:textId="77777777" w:rsidR="00ED6C12" w:rsidRPr="009E2B03" w:rsidRDefault="00ED6C12" w:rsidP="00ED6C12">
            <w:pPr>
              <w:pStyle w:val="BodyBullet"/>
              <w:numPr>
                <w:ilvl w:val="0"/>
                <w:numId w:val="0"/>
              </w:numPr>
              <w:rPr>
                <w:rFonts w:ascii="Calibri Light" w:hAnsi="Calibri Light" w:cs="Arial"/>
                <w:b/>
                <w:color w:val="6D2077"/>
                <w:sz w:val="22"/>
              </w:rPr>
            </w:pPr>
            <w:r w:rsidRPr="009E2B03">
              <w:rPr>
                <w:rFonts w:ascii="Calibri Light" w:hAnsi="Calibri Light" w:cs="Arial"/>
                <w:b/>
                <w:color w:val="6D2077"/>
                <w:sz w:val="22"/>
              </w:rPr>
              <w:t>KPMG estimates that the impact of violence against women and their children on consumption related activities and personal goods</w:t>
            </w:r>
            <w:r w:rsidR="00747285" w:rsidRPr="009E2B03">
              <w:rPr>
                <w:rFonts w:ascii="Calibri Light" w:hAnsi="Calibri Light" w:cs="Arial"/>
                <w:b/>
                <w:color w:val="6D2077"/>
                <w:sz w:val="22"/>
              </w:rPr>
              <w:t xml:space="preserve"> will</w:t>
            </w:r>
            <w:r w:rsidRPr="009E2B03">
              <w:rPr>
                <w:rFonts w:ascii="Calibri Light" w:hAnsi="Calibri Light" w:cs="Arial"/>
                <w:b/>
                <w:color w:val="6D2077"/>
                <w:sz w:val="22"/>
              </w:rPr>
              <w:t xml:space="preserve"> cost the Australian economy $4.4 billion </w:t>
            </w:r>
            <w:r w:rsidR="0015237E" w:rsidRPr="009E2B03">
              <w:rPr>
                <w:rFonts w:ascii="Calibri Light" w:hAnsi="Calibri Light" w:cs="Arial"/>
                <w:b/>
                <w:color w:val="6D2077"/>
                <w:sz w:val="22"/>
              </w:rPr>
              <w:t>this</w:t>
            </w:r>
            <w:r w:rsidRPr="009E2B03">
              <w:rPr>
                <w:rFonts w:ascii="Calibri Light" w:hAnsi="Calibri Light" w:cs="Arial"/>
                <w:b/>
                <w:color w:val="6D2077"/>
                <w:sz w:val="22"/>
              </w:rPr>
              <w:t xml:space="preserve"> year.</w:t>
            </w:r>
          </w:p>
          <w:p w14:paraId="0A9C1574"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 xml:space="preserve">Incidence of violence against women can force victims to relocate if they reside with the perpetrator, causing a loss of economic of scale and increased individual costs. This is likely to result in changes to consumption spending patterns. This can substantially </w:t>
            </w:r>
            <w:r w:rsidR="00747285" w:rsidRPr="009E2B03">
              <w:rPr>
                <w:rFonts w:ascii="Calibri Light" w:hAnsi="Calibri Light" w:cs="Arial"/>
                <w:sz w:val="22"/>
              </w:rPr>
              <w:t>a</w:t>
            </w:r>
            <w:r w:rsidRPr="009E2B03">
              <w:rPr>
                <w:rFonts w:ascii="Calibri Light" w:hAnsi="Calibri Light" w:cs="Arial"/>
                <w:sz w:val="22"/>
              </w:rPr>
              <w:t>ffect a victim’s economic opportunities, indicating the compounding effect of multiple forms of violence and the importance of further analysis on the relationship between violence and financial inequality.</w:t>
            </w:r>
          </w:p>
          <w:p w14:paraId="20EFACBA"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Damage to personal property as an act of violence or caused by a violent incident can have a significant impact on women’s economic assets. The cost of replacing goods and material possessions</w:t>
            </w:r>
            <w:r w:rsidR="00356228" w:rsidRPr="009E2B03">
              <w:rPr>
                <w:rFonts w:ascii="Calibri Light" w:hAnsi="Calibri Light" w:cs="Arial"/>
                <w:sz w:val="22"/>
              </w:rPr>
              <w:t xml:space="preserve"> affects</w:t>
            </w:r>
            <w:r w:rsidRPr="009E2B03">
              <w:rPr>
                <w:rFonts w:ascii="Calibri Light" w:hAnsi="Calibri Light" w:cs="Arial"/>
                <w:sz w:val="22"/>
              </w:rPr>
              <w:t xml:space="preserve"> household finances. In some circumstances, women in an abusive relationship may not be able to afford full replacement costs, leading to the potential for a lower standard of living as a result of the violence.</w:t>
            </w:r>
          </w:p>
          <w:p w14:paraId="25C22E25"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 xml:space="preserve">New research into ‘economic abuse’ indicates that where economic inequality and financial control within partner relationships exist, the victim (or their family and friends) may have to bear a significant consumption cost. This can lead to debt through a partner accumulating inappropriate loans, and defaulting on bad debt, </w:t>
            </w:r>
            <w:r w:rsidR="00356228" w:rsidRPr="009E2B03">
              <w:rPr>
                <w:rFonts w:ascii="Calibri Light" w:hAnsi="Calibri Light" w:cs="Arial"/>
                <w:sz w:val="22"/>
              </w:rPr>
              <w:t xml:space="preserve">damaging </w:t>
            </w:r>
            <w:r w:rsidRPr="009E2B03">
              <w:rPr>
                <w:rFonts w:ascii="Calibri Light" w:hAnsi="Calibri Light" w:cs="Arial"/>
                <w:sz w:val="22"/>
              </w:rPr>
              <w:t>the financial security and well-being of women who experience these form of economic abuse.</w:t>
            </w:r>
          </w:p>
          <w:p w14:paraId="2570FB5D"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Victims may suffer ongoing financial consequences of economic abuse, even after separation. For example, a perpetrator of economic abuse may withhold financial support for, or refuse to relinquish financial control over, victims and their children.</w:t>
            </w:r>
          </w:p>
        </w:tc>
      </w:tr>
    </w:tbl>
    <w:p w14:paraId="7E52EAFB" w14:textId="77777777" w:rsidR="00ED6C12" w:rsidRPr="009E2B03" w:rsidRDefault="00ED6C12" w:rsidP="00ED6C12">
      <w:pPr>
        <w:rPr>
          <w:rFonts w:ascii="Calibri Light" w:hAnsi="Calibri Light"/>
          <w:sz w:val="22"/>
          <w:lang w:val="en-US"/>
        </w:rPr>
      </w:pPr>
      <w:r w:rsidRPr="009E2B03">
        <w:rPr>
          <w:rFonts w:ascii="Calibri Light" w:hAnsi="Calibri Light"/>
          <w:sz w:val="22"/>
          <w:lang w:val="en-US"/>
        </w:rPr>
        <w:t xml:space="preserve">Consumption costs refers to costs which are incurred when consumption patterns are affected by violence against women and their children. These consumption related costs are estimated at 20 per cent of the total costs calculated in this report, and are largely borne by the victim of violence, along </w:t>
      </w:r>
      <w:r w:rsidRPr="009E2B03">
        <w:rPr>
          <w:rFonts w:ascii="Calibri Light" w:hAnsi="Calibri Light"/>
          <w:sz w:val="22"/>
          <w:lang w:val="en-US"/>
        </w:rPr>
        <w:lastRenderedPageBreak/>
        <w:t>with their family and friends. The most significant of these costs are the short-term costs of replacing damaged property and the long-term loss of economies of scale in consumption.</w:t>
      </w:r>
    </w:p>
    <w:p w14:paraId="4E0D8DB4" w14:textId="77777777" w:rsidR="00ED6C12" w:rsidRPr="009E2B03" w:rsidRDefault="00ED6C12" w:rsidP="00E005CB">
      <w:pPr>
        <w:pStyle w:val="BodyBullet"/>
        <w:numPr>
          <w:ilvl w:val="0"/>
          <w:numId w:val="0"/>
        </w:numPr>
        <w:rPr>
          <w:rFonts w:ascii="Calibri Light" w:hAnsi="Calibri Light" w:cs="Arial"/>
          <w:sz w:val="22"/>
        </w:rPr>
      </w:pPr>
      <w:r w:rsidRPr="009E2B03">
        <w:rPr>
          <w:rFonts w:ascii="Calibri Light" w:hAnsi="Calibri Light" w:cs="Arial"/>
          <w:b/>
          <w:color w:val="6D2077"/>
          <w:sz w:val="22"/>
        </w:rPr>
        <w:t>Loss of economies of scale:</w:t>
      </w:r>
      <w:r w:rsidRPr="009E2B03">
        <w:rPr>
          <w:rFonts w:ascii="Calibri Light" w:hAnsi="Calibri Light" w:cs="Arial"/>
          <w:color w:val="6D2077"/>
          <w:sz w:val="22"/>
        </w:rPr>
        <w:t xml:space="preserve"> </w:t>
      </w:r>
      <w:r w:rsidRPr="009E2B03">
        <w:rPr>
          <w:rFonts w:ascii="Calibri Light" w:hAnsi="Calibri Light" w:cs="Arial"/>
          <w:sz w:val="22"/>
        </w:rPr>
        <w:t xml:space="preserve">incidence of violence against women can force victims to relocate if they reside with the perpetrator, causing a loss of economic of scale and increased individual costs that affect consumption spending patterns. This can substantially </w:t>
      </w:r>
      <w:r w:rsidR="00335776" w:rsidRPr="009E2B03">
        <w:rPr>
          <w:rFonts w:ascii="Calibri Light" w:hAnsi="Calibri Light" w:cs="Arial"/>
          <w:sz w:val="22"/>
        </w:rPr>
        <w:t>a</w:t>
      </w:r>
      <w:r w:rsidRPr="009E2B03">
        <w:rPr>
          <w:rFonts w:ascii="Calibri Light" w:hAnsi="Calibri Light" w:cs="Arial"/>
          <w:sz w:val="22"/>
        </w:rPr>
        <w:t>ffect a victims economic opportunities, indicating the compounding effect of multiple forms of violence and the importance of further analysis on the relationship between violence and financial inequality.</w:t>
      </w:r>
    </w:p>
    <w:p w14:paraId="7902093B" w14:textId="77777777" w:rsidR="00ED6C12" w:rsidRPr="009E2B03" w:rsidRDefault="00ED6C12" w:rsidP="00E005CB">
      <w:pPr>
        <w:pStyle w:val="BodyBullet"/>
        <w:numPr>
          <w:ilvl w:val="0"/>
          <w:numId w:val="0"/>
        </w:numPr>
        <w:rPr>
          <w:rFonts w:ascii="Calibri Light" w:hAnsi="Calibri Light" w:cs="Arial"/>
          <w:sz w:val="22"/>
        </w:rPr>
      </w:pPr>
      <w:r w:rsidRPr="009E2B03">
        <w:rPr>
          <w:rFonts w:ascii="Calibri Light" w:hAnsi="Calibri Light" w:cs="Arial"/>
          <w:b/>
          <w:color w:val="6D2077"/>
          <w:sz w:val="22"/>
        </w:rPr>
        <w:t>Property damage:</w:t>
      </w:r>
      <w:r w:rsidRPr="009E2B03">
        <w:rPr>
          <w:rFonts w:ascii="Calibri Light" w:hAnsi="Calibri Light" w:cs="Arial"/>
          <w:sz w:val="22"/>
        </w:rPr>
        <w:t xml:space="preserve"> the damage of personal property as an act of violence or caused by a violent incident can have a significant impact on women’s economic assets, with the cost of replacing goods and material possessions </w:t>
      </w:r>
      <w:r w:rsidR="00335776" w:rsidRPr="009E2B03">
        <w:rPr>
          <w:rFonts w:ascii="Calibri Light" w:hAnsi="Calibri Light" w:cs="Arial"/>
          <w:sz w:val="22"/>
        </w:rPr>
        <w:t xml:space="preserve">having a negative effect </w:t>
      </w:r>
      <w:r w:rsidRPr="009E2B03">
        <w:rPr>
          <w:rFonts w:ascii="Calibri Light" w:hAnsi="Calibri Light" w:cs="Arial"/>
          <w:sz w:val="22"/>
        </w:rPr>
        <w:t>on household finances. In some circumstances, women in an abus</w:t>
      </w:r>
      <w:r w:rsidR="00335776" w:rsidRPr="009E2B03">
        <w:rPr>
          <w:rFonts w:ascii="Calibri Light" w:hAnsi="Calibri Light" w:cs="Arial"/>
          <w:sz w:val="22"/>
        </w:rPr>
        <w:t>ive</w:t>
      </w:r>
      <w:r w:rsidRPr="009E2B03">
        <w:rPr>
          <w:rFonts w:ascii="Calibri Light" w:hAnsi="Calibri Light" w:cs="Arial"/>
          <w:sz w:val="22"/>
        </w:rPr>
        <w:t xml:space="preserve"> relationship may not be able to afford full replacement costs, leading to the potential for a lower standard of living resulting from violence.</w:t>
      </w:r>
    </w:p>
    <w:p w14:paraId="5E290A47" w14:textId="77777777" w:rsidR="00ED6C12" w:rsidRPr="009E2B03" w:rsidRDefault="00ED6C12" w:rsidP="00ED6C12">
      <w:pPr>
        <w:pStyle w:val="Caption"/>
        <w:rPr>
          <w:rFonts w:ascii="Calibri Light" w:hAnsi="Calibri Light" w:cs="Arial"/>
          <w:sz w:val="22"/>
        </w:rPr>
      </w:pPr>
      <w:r w:rsidRPr="009E2B03">
        <w:rPr>
          <w:rFonts w:ascii="Calibri Light" w:hAnsi="Calibri Light" w:cs="Arial"/>
          <w:sz w:val="22"/>
        </w:rPr>
        <w:t xml:space="preserve">Box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8D2E70"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Box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r w:rsidRPr="009E2B03">
        <w:rPr>
          <w:rFonts w:ascii="Calibri Light" w:hAnsi="Calibri Light" w:cs="Arial"/>
          <w:sz w:val="22"/>
        </w:rPr>
        <w:t>: Economic abuse and consumption costs</w:t>
      </w:r>
    </w:p>
    <w:p w14:paraId="677C2AB8" w14:textId="77777777" w:rsidR="00ED6C12" w:rsidRPr="009E2B03" w:rsidRDefault="00ED6C12" w:rsidP="00C95D8A">
      <w:pPr>
        <w:pStyle w:val="BodyText"/>
        <w:pBdr>
          <w:top w:val="single" w:sz="4" w:space="1" w:color="auto"/>
          <w:left w:val="single" w:sz="4" w:space="1" w:color="auto"/>
          <w:bottom w:val="single" w:sz="4" w:space="1" w:color="auto"/>
          <w:right w:val="single" w:sz="4" w:space="1" w:color="auto"/>
        </w:pBdr>
        <w:shd w:val="clear" w:color="auto" w:fill="F3F0F4"/>
        <w:tabs>
          <w:tab w:val="num" w:pos="482"/>
        </w:tabs>
        <w:rPr>
          <w:rFonts w:ascii="Calibri Light" w:hAnsi="Calibri Light"/>
          <w:sz w:val="22"/>
        </w:rPr>
      </w:pPr>
      <w:r w:rsidRPr="009E2B03">
        <w:rPr>
          <w:rFonts w:ascii="Calibri Light" w:hAnsi="Calibri Light"/>
          <w:sz w:val="22"/>
        </w:rPr>
        <w:t xml:space="preserve">New research into the category of ‘economic abuse’ indicates that where economic inequality and financial control within partner relationships exist, </w:t>
      </w:r>
      <w:r w:rsidR="00335776" w:rsidRPr="009E2B03">
        <w:rPr>
          <w:rFonts w:ascii="Calibri Light" w:hAnsi="Calibri Light"/>
          <w:sz w:val="22"/>
        </w:rPr>
        <w:t xml:space="preserve">individuals </w:t>
      </w:r>
      <w:r w:rsidRPr="009E2B03">
        <w:rPr>
          <w:rFonts w:ascii="Calibri Light" w:hAnsi="Calibri Light"/>
          <w:sz w:val="22"/>
        </w:rPr>
        <w:t xml:space="preserve">can </w:t>
      </w:r>
      <w:r w:rsidR="00335776" w:rsidRPr="009E2B03">
        <w:rPr>
          <w:rFonts w:ascii="Calibri Light" w:hAnsi="Calibri Light"/>
          <w:sz w:val="22"/>
        </w:rPr>
        <w:t>bear</w:t>
      </w:r>
      <w:r w:rsidRPr="009E2B03">
        <w:rPr>
          <w:rFonts w:ascii="Calibri Light" w:hAnsi="Calibri Light"/>
          <w:sz w:val="22"/>
        </w:rPr>
        <w:t xml:space="preserve"> significant consumption cost</w:t>
      </w:r>
      <w:r w:rsidR="00335776" w:rsidRPr="009E2B03">
        <w:rPr>
          <w:rFonts w:ascii="Calibri Light" w:hAnsi="Calibri Light"/>
          <w:sz w:val="22"/>
        </w:rPr>
        <w:t>s</w:t>
      </w:r>
      <w:r w:rsidRPr="009E2B03">
        <w:rPr>
          <w:rFonts w:ascii="Calibri Light" w:hAnsi="Calibri Light"/>
          <w:sz w:val="22"/>
        </w:rPr>
        <w:t>, particularly the victim or their famil</w:t>
      </w:r>
      <w:r w:rsidR="00E005CB" w:rsidRPr="009E2B03">
        <w:rPr>
          <w:rFonts w:ascii="Calibri Light" w:hAnsi="Calibri Light"/>
          <w:sz w:val="22"/>
        </w:rPr>
        <w:t>y and friends. Economic abuse can be</w:t>
      </w:r>
      <w:r w:rsidRPr="009E2B03">
        <w:rPr>
          <w:rFonts w:ascii="Calibri Light" w:hAnsi="Calibri Light"/>
          <w:sz w:val="22"/>
        </w:rPr>
        <w:t xml:space="preserve"> </w:t>
      </w:r>
      <w:r w:rsidR="00335776" w:rsidRPr="009E2B03">
        <w:rPr>
          <w:rFonts w:ascii="Calibri Light" w:hAnsi="Calibri Light"/>
          <w:sz w:val="22"/>
        </w:rPr>
        <w:t xml:space="preserve">closely </w:t>
      </w:r>
      <w:r w:rsidRPr="009E2B03">
        <w:rPr>
          <w:rFonts w:ascii="Calibri Light" w:hAnsi="Calibri Light"/>
          <w:sz w:val="22"/>
        </w:rPr>
        <w:t>linked with other forms of domestic abuse. A 2014 W</w:t>
      </w:r>
      <w:r w:rsidR="00CB4876" w:rsidRPr="009E2B03">
        <w:rPr>
          <w:rFonts w:ascii="Calibri Light" w:hAnsi="Calibri Light"/>
          <w:sz w:val="22"/>
        </w:rPr>
        <w:t>omen’s Information and Referral Exchange (W</w:t>
      </w:r>
      <w:r w:rsidRPr="009E2B03">
        <w:rPr>
          <w:rFonts w:ascii="Calibri Light" w:hAnsi="Calibri Light"/>
          <w:sz w:val="22"/>
        </w:rPr>
        <w:t>IRE</w:t>
      </w:r>
      <w:r w:rsidR="00CB4876" w:rsidRPr="009E2B03">
        <w:rPr>
          <w:rFonts w:ascii="Calibri Light" w:hAnsi="Calibri Light"/>
          <w:sz w:val="22"/>
        </w:rPr>
        <w:t>)</w:t>
      </w:r>
      <w:r w:rsidRPr="009E2B03">
        <w:rPr>
          <w:rFonts w:ascii="Calibri Light" w:hAnsi="Calibri Light"/>
          <w:sz w:val="22"/>
        </w:rPr>
        <w:t xml:space="preserve"> report estimates that 80 to 90 per cent of women who seek support from domestic violence services have experienced financial abuse.</w:t>
      </w:r>
      <w:r w:rsidRPr="009E2B03">
        <w:rPr>
          <w:rStyle w:val="FootnoteReference"/>
          <w:rFonts w:ascii="Calibri Light" w:hAnsi="Calibri Light"/>
          <w:sz w:val="22"/>
        </w:rPr>
        <w:footnoteReference w:id="40"/>
      </w:r>
      <w:r w:rsidRPr="009E2B03">
        <w:rPr>
          <w:rFonts w:ascii="Calibri Light" w:hAnsi="Calibri Light"/>
          <w:sz w:val="22"/>
        </w:rPr>
        <w:t xml:space="preserve"> Consumption costs which are linked to economic abuse may include:</w:t>
      </w:r>
    </w:p>
    <w:p w14:paraId="217FC863" w14:textId="77777777" w:rsidR="00ED6C12" w:rsidRPr="009E2B03" w:rsidRDefault="00ED6C1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b/>
          <w:color w:val="6D2077"/>
          <w:sz w:val="22"/>
        </w:rPr>
        <w:t>Accumulation of debt:</w:t>
      </w:r>
      <w:r w:rsidRPr="009E2B03">
        <w:rPr>
          <w:rFonts w:ascii="Calibri Light" w:hAnsi="Calibri Light" w:cs="Arial"/>
          <w:sz w:val="22"/>
        </w:rPr>
        <w:t xml:space="preserve"> a partner with financial control in the relationship may accumulate inappropriate loans, purchases or debts – a form of economic abuse where the ongoing cost is likely to be borne by the victim. This debt burden may be shared, or financial obligations may be taken out in the name of the victim – presenting additional costs for the victim. </w:t>
      </w:r>
    </w:p>
    <w:p w14:paraId="3E3734E3" w14:textId="77777777" w:rsidR="00ED6C12" w:rsidRPr="009E2B03" w:rsidRDefault="00ED6C1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b/>
          <w:color w:val="6D2077"/>
          <w:sz w:val="22"/>
        </w:rPr>
        <w:t>Defaulting on bad debts:</w:t>
      </w:r>
      <w:r w:rsidRPr="009E2B03">
        <w:rPr>
          <w:rFonts w:ascii="Calibri Light" w:hAnsi="Calibri Light" w:cs="Arial"/>
          <w:sz w:val="22"/>
        </w:rPr>
        <w:t xml:space="preserve"> In circumstances where the victim or perpetrator of economic abuse is unable to repay accumulated debts, a default may be necessary</w:t>
      </w:r>
      <w:r w:rsidR="00335776" w:rsidRPr="009E2B03">
        <w:rPr>
          <w:rFonts w:ascii="Calibri Light" w:hAnsi="Calibri Light" w:cs="Arial"/>
          <w:sz w:val="22"/>
        </w:rPr>
        <w:t>. This</w:t>
      </w:r>
      <w:r w:rsidRPr="009E2B03">
        <w:rPr>
          <w:rFonts w:ascii="Calibri Light" w:hAnsi="Calibri Light" w:cs="Arial"/>
          <w:sz w:val="22"/>
        </w:rPr>
        <w:t xml:space="preserve"> can have long-term impacts on the financial security and well-being of women who experience this form of economic abuse. </w:t>
      </w:r>
    </w:p>
    <w:p w14:paraId="66F4C7C6" w14:textId="77777777" w:rsidR="00ED6C12" w:rsidRPr="009E2B03" w:rsidRDefault="00ED6C1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b/>
          <w:color w:val="6D2077"/>
          <w:sz w:val="22"/>
        </w:rPr>
        <w:t>Controlling access to economic resources/withholding financial support:</w:t>
      </w:r>
      <w:r w:rsidRPr="009E2B03">
        <w:rPr>
          <w:rFonts w:ascii="Calibri Light" w:hAnsi="Calibri Light" w:cs="Arial"/>
          <w:sz w:val="22"/>
        </w:rPr>
        <w:t xml:space="preserve"> victims may suffer ongoing financial consequences of economic abuse, even after separation, where a perpetrator of economic abuse may withhold financial support or refuse to relinquish financial control for victims and their children.</w:t>
      </w:r>
      <w:r w:rsidRPr="009E2B03">
        <w:rPr>
          <w:rFonts w:ascii="Calibri Light" w:hAnsi="Calibri Light" w:cs="Arial"/>
          <w:sz w:val="22"/>
          <w:vertAlign w:val="superscript"/>
        </w:rPr>
        <w:t xml:space="preserve"> </w:t>
      </w:r>
    </w:p>
    <w:p w14:paraId="57A0D291" w14:textId="1D565404" w:rsidR="00036345" w:rsidRDefault="00ED6C12" w:rsidP="00ED6C12">
      <w:pPr>
        <w:pStyle w:val="BodyText"/>
        <w:rPr>
          <w:rFonts w:ascii="Calibri Light" w:hAnsi="Calibri Light"/>
        </w:rPr>
      </w:pPr>
      <w:r w:rsidRPr="009E2B03">
        <w:rPr>
          <w:rFonts w:ascii="Calibri Light" w:hAnsi="Calibri Light"/>
        </w:rPr>
        <w:t>Source: ABS Personal Safety Survey 2012; KPMG analysis.</w:t>
      </w:r>
      <w:r w:rsidR="00036345">
        <w:rPr>
          <w:rFonts w:ascii="Calibri Light" w:hAnsi="Calibri Light"/>
        </w:rPr>
        <w:br w:type="page"/>
      </w:r>
    </w:p>
    <w:p w14:paraId="13E1D354" w14:textId="77777777" w:rsidR="00ED6C12" w:rsidRPr="009E2B03" w:rsidRDefault="00ED6C12" w:rsidP="00ED6C12">
      <w:pPr>
        <w:pStyle w:val="BodyText"/>
        <w:rPr>
          <w:rFonts w:ascii="Calibri Light" w:hAnsi="Calibri Light"/>
        </w:rPr>
      </w:pPr>
    </w:p>
    <w:p w14:paraId="4FBAE422" w14:textId="77777777" w:rsidR="00ED6C12" w:rsidRPr="009E2B03" w:rsidRDefault="00ED6C1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Second generation costs</w:t>
      </w:r>
    </w:p>
    <w:tbl>
      <w:tblPr>
        <w:tblStyle w:val="TableGrid"/>
        <w:tblW w:w="0" w:type="auto"/>
        <w:shd w:val="clear" w:color="auto" w:fill="D9D9D9" w:themeFill="background1" w:themeFillShade="D9"/>
        <w:tblLook w:val="04A0" w:firstRow="1" w:lastRow="0" w:firstColumn="1" w:lastColumn="0" w:noHBand="0" w:noVBand="1"/>
        <w:tblCaption w:val="Box of information on second generation costs"/>
        <w:tblDescription w:val="KPMG estimates that the second generational impacts from violence against women and their children will cost the Australian economy $333 million this year, including the ongoing psychological consequences of experience and exposure to violence by children in different development stages."/>
      </w:tblPr>
      <w:tblGrid>
        <w:gridCol w:w="9016"/>
      </w:tblGrid>
      <w:tr w:rsidR="00ED6C12" w:rsidRPr="009E2B03" w14:paraId="238C0E77" w14:textId="77777777" w:rsidTr="00865FDB">
        <w:trPr>
          <w:tblHeader/>
        </w:trPr>
        <w:tc>
          <w:tcPr>
            <w:tcW w:w="9016" w:type="dxa"/>
            <w:shd w:val="clear" w:color="auto" w:fill="F3F0F4"/>
          </w:tcPr>
          <w:p w14:paraId="4FCED5ED" w14:textId="77777777" w:rsidR="00ED6C12" w:rsidRPr="0040054B" w:rsidRDefault="00ED6C12" w:rsidP="0040054B">
            <w:pPr>
              <w:rPr>
                <w:b/>
                <w:i/>
              </w:rPr>
            </w:pPr>
            <w:r w:rsidRPr="0040054B">
              <w:rPr>
                <w:b/>
                <w:i/>
              </w:rPr>
              <w:t>Key insights</w:t>
            </w:r>
          </w:p>
          <w:p w14:paraId="4CF1BC50" w14:textId="77777777" w:rsidR="00ED6C12" w:rsidRPr="009E2B03" w:rsidRDefault="00ED6C12" w:rsidP="00ED6C12">
            <w:pPr>
              <w:pStyle w:val="BodyBullet"/>
              <w:numPr>
                <w:ilvl w:val="0"/>
                <w:numId w:val="0"/>
              </w:numPr>
              <w:rPr>
                <w:rFonts w:ascii="Calibri Light" w:hAnsi="Calibri Light" w:cs="Arial"/>
                <w:b/>
                <w:color w:val="6D2077"/>
                <w:sz w:val="22"/>
              </w:rPr>
            </w:pPr>
            <w:r w:rsidRPr="009E2B03">
              <w:rPr>
                <w:rFonts w:ascii="Calibri Light" w:hAnsi="Calibri Light" w:cs="Arial"/>
                <w:b/>
                <w:color w:val="6D2077"/>
                <w:sz w:val="22"/>
              </w:rPr>
              <w:t xml:space="preserve">KPMG estimates that the second generational impacts from violence against women and their children </w:t>
            </w:r>
            <w:r w:rsidR="00335776" w:rsidRPr="009E2B03">
              <w:rPr>
                <w:rFonts w:ascii="Calibri Light" w:hAnsi="Calibri Light" w:cs="Arial"/>
                <w:b/>
                <w:color w:val="6D2077"/>
                <w:sz w:val="22"/>
              </w:rPr>
              <w:t xml:space="preserve">will </w:t>
            </w:r>
            <w:r w:rsidRPr="009E2B03">
              <w:rPr>
                <w:rFonts w:ascii="Calibri Light" w:hAnsi="Calibri Light" w:cs="Arial"/>
                <w:b/>
                <w:color w:val="6D2077"/>
                <w:sz w:val="22"/>
              </w:rPr>
              <w:t xml:space="preserve">cost the Australian economy $333 million </w:t>
            </w:r>
            <w:r w:rsidR="0015237E" w:rsidRPr="009E2B03">
              <w:rPr>
                <w:rFonts w:ascii="Calibri Light" w:hAnsi="Calibri Light" w:cs="Arial"/>
                <w:b/>
                <w:color w:val="6D2077"/>
                <w:sz w:val="22"/>
              </w:rPr>
              <w:t>this</w:t>
            </w:r>
            <w:r w:rsidRPr="009E2B03">
              <w:rPr>
                <w:rFonts w:ascii="Calibri Light" w:hAnsi="Calibri Light" w:cs="Arial"/>
                <w:b/>
                <w:color w:val="6D2077"/>
                <w:sz w:val="22"/>
              </w:rPr>
              <w:t xml:space="preserve"> year, including the ongoing psychological consequences of experience and exposure to violence by children in different development stages.</w:t>
            </w:r>
          </w:p>
          <w:p w14:paraId="70D23362"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 xml:space="preserve">Psychological, behavioural and health issues vary greatly for the different developmental stages of childhood. </w:t>
            </w:r>
          </w:p>
          <w:p w14:paraId="4B0A2D23" w14:textId="77777777" w:rsidR="00ED6C12" w:rsidRPr="009E2B03" w:rsidRDefault="00ED6C12" w:rsidP="00C95D8A">
            <w:pPr>
              <w:pStyle w:val="BodyBullet"/>
              <w:shd w:val="clear" w:color="auto" w:fill="F3F0F4"/>
              <w:rPr>
                <w:rFonts w:ascii="Calibri Light" w:hAnsi="Calibri Light" w:cs="Arial"/>
                <w:sz w:val="22"/>
              </w:rPr>
            </w:pPr>
            <w:r w:rsidRPr="009E2B03">
              <w:rPr>
                <w:rFonts w:ascii="Calibri Light" w:hAnsi="Calibri Light" w:cs="Arial"/>
                <w:sz w:val="22"/>
              </w:rPr>
              <w:t>In the majority of cases, violence perpetrated against women by a current or previous partner is witnessed (seen or heard) by children in their care.</w:t>
            </w:r>
          </w:p>
          <w:p w14:paraId="60727F57" w14:textId="77777777" w:rsidR="00ED6C12" w:rsidRPr="009E2B03" w:rsidRDefault="00ED6C12" w:rsidP="00C95D8A">
            <w:pPr>
              <w:pStyle w:val="BodyBullet"/>
              <w:shd w:val="clear" w:color="auto" w:fill="F3F0F4"/>
              <w:rPr>
                <w:rFonts w:ascii="Calibri Light" w:hAnsi="Calibri Light" w:cs="Arial"/>
                <w:sz w:val="22"/>
                <w:lang w:val="en-US"/>
              </w:rPr>
            </w:pPr>
            <w:r w:rsidRPr="009E2B03">
              <w:rPr>
                <w:rFonts w:ascii="Calibri Light" w:hAnsi="Calibri Light" w:cs="Arial"/>
                <w:sz w:val="22"/>
              </w:rPr>
              <w:t>Research suggests that there is a higher risk of child abuse (physical and sexual) in households where violence against women occurs.</w:t>
            </w:r>
          </w:p>
        </w:tc>
      </w:tr>
    </w:tbl>
    <w:p w14:paraId="4F13A73F"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Violence against women can have long term consequences for family members in the presence of an abusive or violent relationship that </w:t>
      </w:r>
      <w:r w:rsidRPr="009E2B03">
        <w:rPr>
          <w:rFonts w:ascii="Calibri Light" w:hAnsi="Calibri Light"/>
          <w:sz w:val="22"/>
          <w:lang w:val="en-US"/>
        </w:rPr>
        <w:t>extends beyond the victim and the perpetrator</w:t>
      </w:r>
      <w:r w:rsidRPr="009E2B03">
        <w:rPr>
          <w:rFonts w:ascii="Calibri Light" w:hAnsi="Calibri Light"/>
          <w:sz w:val="22"/>
        </w:rPr>
        <w:t xml:space="preserve">. </w:t>
      </w:r>
      <w:r w:rsidRPr="009E2B03">
        <w:rPr>
          <w:rFonts w:ascii="Calibri Light" w:hAnsi="Calibri Light"/>
          <w:sz w:val="22"/>
          <w:lang w:val="en-US"/>
        </w:rPr>
        <w:t>According</w:t>
      </w:r>
      <w:r w:rsidR="00512222" w:rsidRPr="009E2B03">
        <w:rPr>
          <w:rFonts w:ascii="Calibri Light" w:hAnsi="Calibri Light"/>
          <w:sz w:val="22"/>
          <w:lang w:val="en-US"/>
        </w:rPr>
        <w:t xml:space="preserve"> to</w:t>
      </w:r>
      <w:r w:rsidRPr="009E2B03">
        <w:rPr>
          <w:rFonts w:ascii="Calibri Light" w:hAnsi="Calibri Light"/>
          <w:sz w:val="22"/>
          <w:lang w:val="en-US"/>
        </w:rPr>
        <w:t xml:space="preserve"> the 2012 ABS PSS, over half a million children are estimated to have seen or heard an incident of violence against their mother or female carer.</w:t>
      </w:r>
      <w:r w:rsidRPr="009E2B03">
        <w:rPr>
          <w:rStyle w:val="FootnoteReference"/>
          <w:rFonts w:ascii="Calibri Light" w:hAnsi="Calibri Light"/>
          <w:sz w:val="22"/>
          <w:lang w:val="en-US"/>
        </w:rPr>
        <w:footnoteReference w:id="41"/>
      </w:r>
      <w:r w:rsidRPr="009E2B03">
        <w:rPr>
          <w:rFonts w:ascii="Calibri Light" w:hAnsi="Calibri Light"/>
          <w:sz w:val="22"/>
          <w:lang w:val="en-US"/>
        </w:rPr>
        <w:t xml:space="preserve"> </w:t>
      </w:r>
      <w:r w:rsidRPr="009E2B03">
        <w:rPr>
          <w:rFonts w:ascii="Calibri Light" w:hAnsi="Calibri Light"/>
          <w:sz w:val="22"/>
        </w:rPr>
        <w:t>Research has identified that children are highly susceptible to the long term impacts of violence, particularly those in early stages of physiological development.</w:t>
      </w:r>
      <w:r w:rsidRPr="009E2B03">
        <w:rPr>
          <w:rStyle w:val="FootnoteReference"/>
          <w:rFonts w:ascii="Calibri Light" w:hAnsi="Calibri Light"/>
          <w:sz w:val="22"/>
        </w:rPr>
        <w:footnoteReference w:id="42"/>
      </w:r>
      <w:r w:rsidRPr="009E2B03">
        <w:rPr>
          <w:rFonts w:ascii="Calibri Light" w:hAnsi="Calibri Light"/>
          <w:sz w:val="22"/>
        </w:rPr>
        <w:t xml:space="preserve"> This can lead to mental health issues through teenage years. Statistics indicate a correlation between children who have been in the presence of domestic violence and higher levels of incarceration.</w:t>
      </w:r>
      <w:r w:rsidRPr="009E2B03">
        <w:rPr>
          <w:rStyle w:val="FootnoteReference"/>
          <w:rFonts w:ascii="Calibri Light" w:hAnsi="Calibri Light"/>
          <w:sz w:val="22"/>
        </w:rPr>
        <w:footnoteReference w:id="43"/>
      </w:r>
      <w:r w:rsidRPr="009E2B03">
        <w:rPr>
          <w:rFonts w:ascii="Calibri Light" w:hAnsi="Calibri Light"/>
          <w:sz w:val="22"/>
        </w:rPr>
        <w:t xml:space="preserve"> This future adult and juvenile crime is estimated by KPMG to cost the Australian economy </w:t>
      </w:r>
      <w:r w:rsidR="00512222" w:rsidRPr="009E2B03">
        <w:rPr>
          <w:rFonts w:ascii="Calibri Light" w:hAnsi="Calibri Light"/>
          <w:sz w:val="22"/>
        </w:rPr>
        <w:br/>
      </w:r>
      <w:r w:rsidRPr="009E2B03">
        <w:rPr>
          <w:rFonts w:ascii="Calibri Light" w:hAnsi="Calibri Light"/>
          <w:sz w:val="22"/>
        </w:rPr>
        <w:t xml:space="preserve">$222 million each year. </w:t>
      </w:r>
    </w:p>
    <w:p w14:paraId="400408AF" w14:textId="77777777" w:rsidR="00ED6C12" w:rsidRPr="009E2B03" w:rsidRDefault="00ED6C12" w:rsidP="00ED6C12">
      <w:pPr>
        <w:pStyle w:val="BodyText"/>
        <w:rPr>
          <w:rFonts w:ascii="Calibri Light" w:hAnsi="Calibri Light"/>
          <w:sz w:val="22"/>
        </w:rPr>
      </w:pPr>
      <w:r w:rsidRPr="009E2B03">
        <w:rPr>
          <w:rFonts w:ascii="Calibri Light" w:hAnsi="Calibri Light"/>
          <w:sz w:val="22"/>
        </w:rPr>
        <w:t xml:space="preserve">A child’s mental health can be significantly affected by their experience of, or exposure to, violence in the home. The psychological, developmental and wellbeing impacts for children who are raised in a household where violence occurs indicate that the consequent effects and issues can extend across generations, </w:t>
      </w:r>
      <w:r w:rsidR="00512222" w:rsidRPr="009E2B03">
        <w:rPr>
          <w:rFonts w:ascii="Calibri Light" w:hAnsi="Calibri Light"/>
          <w:sz w:val="22"/>
        </w:rPr>
        <w:t xml:space="preserve">with attendant impacts on </w:t>
      </w:r>
      <w:r w:rsidRPr="009E2B03">
        <w:rPr>
          <w:rFonts w:ascii="Calibri Light" w:hAnsi="Calibri Light"/>
          <w:sz w:val="22"/>
        </w:rPr>
        <w:t xml:space="preserve">family dynamics and developmental patterns. These impacts are particularly notable for children in the first few years of life, when they can be highly susceptible to external influences, such as parental influence and the home environment. </w:t>
      </w:r>
    </w:p>
    <w:p w14:paraId="75CDF185" w14:textId="77777777" w:rsidR="00ED6C12" w:rsidRPr="009E2B03" w:rsidRDefault="00ED6C12" w:rsidP="00ED6C12">
      <w:pPr>
        <w:pStyle w:val="BodyText"/>
        <w:rPr>
          <w:rFonts w:ascii="Calibri Light" w:hAnsi="Calibri Light"/>
          <w:sz w:val="22"/>
        </w:rPr>
      </w:pPr>
      <w:r w:rsidRPr="009E2B03">
        <w:rPr>
          <w:rFonts w:ascii="Calibri Light" w:hAnsi="Calibri Light"/>
          <w:sz w:val="22"/>
        </w:rPr>
        <w:t>As a result, children who witness violence in the household are at greater risk of anxiety, mood disorders, and trauma symptoms, along with other issues such as experiencing ongoing loneliness, fear, peer conflict and antisocial behaviour. They are also at a higher risk of developmental problems, with impaired social and learning outcomes that may have longer term impacts on education outcomes and their capacity in the labour market.</w:t>
      </w:r>
      <w:r w:rsidRPr="009E2B03">
        <w:rPr>
          <w:rStyle w:val="FootnoteReference"/>
          <w:rFonts w:ascii="Calibri Light" w:hAnsi="Calibri Light"/>
          <w:sz w:val="22"/>
        </w:rPr>
        <w:footnoteReference w:id="44"/>
      </w:r>
    </w:p>
    <w:p w14:paraId="78B7743F" w14:textId="77777777" w:rsidR="00ED6C12" w:rsidRPr="009E2B03" w:rsidRDefault="00ED6C12" w:rsidP="00ED6C12">
      <w:pPr>
        <w:pStyle w:val="BodyText"/>
        <w:rPr>
          <w:rFonts w:ascii="Calibri Light" w:hAnsi="Calibri Light"/>
          <w:sz w:val="22"/>
          <w:lang w:val="en-US"/>
        </w:rPr>
      </w:pPr>
      <w:r w:rsidRPr="009E2B03">
        <w:rPr>
          <w:rFonts w:ascii="Calibri Light" w:hAnsi="Calibri Light"/>
          <w:sz w:val="22"/>
          <w:lang w:val="en-US"/>
        </w:rPr>
        <w:t>According to 2012 PSS estimates, over half a million children are estimated to have seen or heard an incident of violence against their mother or a female carer. The survey also found that:</w:t>
      </w:r>
      <w:r w:rsidRPr="009E2B03">
        <w:rPr>
          <w:rStyle w:val="FootnoteReference"/>
          <w:rFonts w:ascii="Calibri Light" w:hAnsi="Calibri Light"/>
          <w:sz w:val="22"/>
          <w:lang w:val="en-US"/>
        </w:rPr>
        <w:t xml:space="preserve"> </w:t>
      </w:r>
      <w:r w:rsidRPr="009E2B03">
        <w:rPr>
          <w:rStyle w:val="FootnoteReference"/>
          <w:rFonts w:ascii="Calibri Light" w:hAnsi="Calibri Light"/>
          <w:sz w:val="22"/>
          <w:lang w:val="en-US"/>
        </w:rPr>
        <w:footnoteReference w:id="45"/>
      </w:r>
    </w:p>
    <w:p w14:paraId="30F39BAF" w14:textId="77777777" w:rsidR="00ED6C12" w:rsidRPr="009E2B03" w:rsidRDefault="00512222" w:rsidP="00ED6C12">
      <w:pPr>
        <w:pStyle w:val="BodyBullet"/>
        <w:rPr>
          <w:rFonts w:ascii="Calibri Light" w:hAnsi="Calibri Light" w:cs="Arial"/>
          <w:sz w:val="22"/>
          <w:szCs w:val="20"/>
          <w:lang w:val="en-US"/>
        </w:rPr>
      </w:pPr>
      <w:r w:rsidRPr="009E2B03">
        <w:rPr>
          <w:rFonts w:ascii="Calibri Light" w:hAnsi="Calibri Light" w:cs="Arial"/>
          <w:sz w:val="22"/>
          <w:szCs w:val="20"/>
          <w:lang w:val="en-US"/>
        </w:rPr>
        <w:t>O</w:t>
      </w:r>
      <w:r w:rsidR="00ED6C12" w:rsidRPr="009E2B03">
        <w:rPr>
          <w:rFonts w:ascii="Calibri Light" w:hAnsi="Calibri Light" w:cs="Arial"/>
          <w:sz w:val="22"/>
          <w:szCs w:val="20"/>
          <w:lang w:val="en-US"/>
        </w:rPr>
        <w:t>f those who experienced violence with a current partner</w:t>
      </w:r>
      <w:r w:rsidRPr="009E2B03">
        <w:rPr>
          <w:rFonts w:ascii="Calibri Light" w:hAnsi="Calibri Light" w:cs="Arial"/>
          <w:sz w:val="22"/>
          <w:szCs w:val="20"/>
          <w:lang w:val="en-US"/>
        </w:rPr>
        <w:t>,58 per cent</w:t>
      </w:r>
      <w:r w:rsidR="00ED6C12" w:rsidRPr="009E2B03">
        <w:rPr>
          <w:rFonts w:ascii="Calibri Light" w:hAnsi="Calibri Light" w:cs="Arial"/>
          <w:sz w:val="22"/>
          <w:szCs w:val="20"/>
          <w:lang w:val="en-US"/>
        </w:rPr>
        <w:t xml:space="preserve"> reported that children in their care had heard, or seen, the incident of violence</w:t>
      </w:r>
      <w:r w:rsidRPr="009E2B03">
        <w:rPr>
          <w:rFonts w:ascii="Calibri Light" w:hAnsi="Calibri Light" w:cs="Arial"/>
          <w:sz w:val="22"/>
          <w:szCs w:val="20"/>
          <w:lang w:val="en-US"/>
        </w:rPr>
        <w:t>.</w:t>
      </w:r>
    </w:p>
    <w:p w14:paraId="0CA859BA" w14:textId="77777777" w:rsidR="00ED6C12" w:rsidRPr="009E2B03" w:rsidRDefault="00512222" w:rsidP="00ED6C12">
      <w:pPr>
        <w:pStyle w:val="BodyBullet"/>
        <w:rPr>
          <w:rFonts w:ascii="Calibri Light" w:hAnsi="Calibri Light" w:cs="Arial"/>
          <w:sz w:val="22"/>
          <w:szCs w:val="20"/>
          <w:lang w:val="en-US"/>
        </w:rPr>
      </w:pPr>
      <w:r w:rsidRPr="009E2B03">
        <w:rPr>
          <w:rFonts w:ascii="Calibri Light" w:hAnsi="Calibri Light" w:cs="Arial"/>
          <w:sz w:val="22"/>
          <w:szCs w:val="20"/>
          <w:lang w:val="en-US"/>
        </w:rPr>
        <w:t>O</w:t>
      </w:r>
      <w:r w:rsidR="00ED6C12" w:rsidRPr="009E2B03">
        <w:rPr>
          <w:rFonts w:ascii="Calibri Light" w:hAnsi="Calibri Light" w:cs="Arial"/>
          <w:sz w:val="22"/>
          <w:szCs w:val="20"/>
          <w:lang w:val="en-US"/>
        </w:rPr>
        <w:t xml:space="preserve">f those who experienced violence with a previous partner, defined in the survey as the most recently violent partner, </w:t>
      </w:r>
      <w:r w:rsidRPr="009E2B03">
        <w:rPr>
          <w:rFonts w:ascii="Calibri Light" w:hAnsi="Calibri Light" w:cs="Arial"/>
          <w:sz w:val="22"/>
          <w:szCs w:val="20"/>
          <w:lang w:val="en-US"/>
        </w:rPr>
        <w:t xml:space="preserve">78 per cent </w:t>
      </w:r>
      <w:r w:rsidR="00ED6C12" w:rsidRPr="009E2B03">
        <w:rPr>
          <w:rFonts w:ascii="Calibri Light" w:hAnsi="Calibri Light" w:cs="Arial"/>
          <w:sz w:val="22"/>
          <w:szCs w:val="20"/>
          <w:lang w:val="en-US"/>
        </w:rPr>
        <w:t>stated children in their care has seen or heard the incident.</w:t>
      </w:r>
    </w:p>
    <w:p w14:paraId="3186DD2F" w14:textId="77777777" w:rsidR="00ED6C12" w:rsidRPr="009E2B03" w:rsidRDefault="00CB4876" w:rsidP="00ED6C12">
      <w:pPr>
        <w:pStyle w:val="BodyBullet"/>
        <w:numPr>
          <w:ilvl w:val="0"/>
          <w:numId w:val="0"/>
        </w:numPr>
        <w:rPr>
          <w:rFonts w:ascii="Calibri Light" w:hAnsi="Calibri Light" w:cs="Arial"/>
          <w:sz w:val="22"/>
          <w:szCs w:val="20"/>
          <w:lang w:val="en-US"/>
        </w:rPr>
      </w:pPr>
      <w:r w:rsidRPr="009E2B03">
        <w:rPr>
          <w:rFonts w:ascii="Calibri Light" w:hAnsi="Calibri Light" w:cs="Arial"/>
          <w:sz w:val="22"/>
          <w:szCs w:val="20"/>
          <w:lang w:val="en-US"/>
        </w:rPr>
        <w:lastRenderedPageBreak/>
        <w:fldChar w:fldCharType="begin"/>
      </w:r>
      <w:r w:rsidRPr="009E2B03">
        <w:rPr>
          <w:rFonts w:ascii="Calibri Light" w:hAnsi="Calibri Light" w:cs="Arial"/>
          <w:sz w:val="22"/>
          <w:szCs w:val="20"/>
          <w:lang w:val="en-US"/>
        </w:rPr>
        <w:instrText xml:space="preserve"> REF _Ref447374009 \h </w:instrText>
      </w:r>
      <w:r w:rsidR="009B0258" w:rsidRPr="009E2B03">
        <w:rPr>
          <w:rFonts w:ascii="Calibri Light" w:hAnsi="Calibri Light" w:cs="Arial"/>
          <w:sz w:val="22"/>
          <w:szCs w:val="20"/>
          <w:lang w:val="en-US"/>
        </w:rPr>
        <w:instrText xml:space="preserve"> \* MERGEFORMAT </w:instrText>
      </w:r>
      <w:r w:rsidRPr="009E2B03">
        <w:rPr>
          <w:rFonts w:ascii="Calibri Light" w:hAnsi="Calibri Light" w:cs="Arial"/>
          <w:sz w:val="22"/>
          <w:szCs w:val="20"/>
          <w:lang w:val="en-US"/>
        </w:rPr>
      </w:r>
      <w:r w:rsidRPr="009E2B03">
        <w:rPr>
          <w:rFonts w:ascii="Calibri Light" w:hAnsi="Calibri Light" w:cs="Arial"/>
          <w:sz w:val="22"/>
          <w:szCs w:val="20"/>
          <w:lang w:val="en-US"/>
        </w:rPr>
        <w:fldChar w:fldCharType="separate"/>
      </w:r>
      <w:r w:rsidR="00417237" w:rsidRPr="009E2B03">
        <w:rPr>
          <w:rFonts w:ascii="Calibri Light" w:hAnsi="Calibri Light" w:cs="Arial"/>
          <w:sz w:val="22"/>
        </w:rPr>
        <w:t xml:space="preserve">Table </w:t>
      </w:r>
      <w:r w:rsidR="00417237">
        <w:rPr>
          <w:rFonts w:ascii="Calibri Light" w:hAnsi="Calibri Light" w:cs="Arial"/>
          <w:noProof/>
          <w:sz w:val="22"/>
        </w:rPr>
        <w:t>3</w:t>
      </w:r>
      <w:r w:rsidR="00417237" w:rsidRPr="009E2B03">
        <w:rPr>
          <w:rFonts w:ascii="Calibri Light" w:hAnsi="Calibri Light" w:cs="Arial"/>
          <w:noProof/>
          <w:sz w:val="22"/>
        </w:rPr>
        <w:noBreakHyphen/>
      </w:r>
      <w:r w:rsidR="00417237">
        <w:rPr>
          <w:rFonts w:ascii="Calibri Light" w:hAnsi="Calibri Light" w:cs="Arial"/>
          <w:noProof/>
          <w:sz w:val="22"/>
        </w:rPr>
        <w:t>5</w:t>
      </w:r>
      <w:r w:rsidRPr="009E2B03">
        <w:rPr>
          <w:rFonts w:ascii="Calibri Light" w:hAnsi="Calibri Light" w:cs="Arial"/>
          <w:sz w:val="22"/>
          <w:szCs w:val="20"/>
          <w:lang w:val="en-US"/>
        </w:rPr>
        <w:fldChar w:fldCharType="end"/>
      </w:r>
      <w:r w:rsidRPr="009E2B03">
        <w:rPr>
          <w:rFonts w:ascii="Calibri Light" w:hAnsi="Calibri Light" w:cs="Arial"/>
          <w:sz w:val="22"/>
          <w:szCs w:val="20"/>
          <w:lang w:val="en-US"/>
        </w:rPr>
        <w:t xml:space="preserve"> </w:t>
      </w:r>
      <w:r w:rsidR="00ED6C12" w:rsidRPr="009E2B03">
        <w:rPr>
          <w:rFonts w:ascii="Calibri Light" w:hAnsi="Calibri Light" w:cs="Arial"/>
          <w:sz w:val="22"/>
          <w:szCs w:val="20"/>
          <w:lang w:val="en-US"/>
        </w:rPr>
        <w:t>shows the prevalence of children witnessing violence across the WSS (1996) and PSS (2005, 2012)</w:t>
      </w:r>
    </w:p>
    <w:p w14:paraId="1DE018C9" w14:textId="77777777" w:rsidR="00CB4876" w:rsidRPr="009E2B03" w:rsidRDefault="00CB4876" w:rsidP="00CB4876">
      <w:pPr>
        <w:pStyle w:val="Caption"/>
        <w:rPr>
          <w:rFonts w:ascii="Calibri Light" w:hAnsi="Calibri Light" w:cs="Arial"/>
          <w:sz w:val="22"/>
        </w:rPr>
      </w:pPr>
      <w:bookmarkStart w:id="82" w:name="_Ref447374009"/>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5</w:t>
      </w:r>
      <w:r w:rsidR="00CF0F96" w:rsidRPr="009E2B03">
        <w:rPr>
          <w:rFonts w:ascii="Calibri Light" w:hAnsi="Calibri Light" w:cs="Arial"/>
          <w:noProof/>
          <w:sz w:val="22"/>
        </w:rPr>
        <w:fldChar w:fldCharType="end"/>
      </w:r>
      <w:bookmarkEnd w:id="82"/>
      <w:r w:rsidRPr="009E2B03">
        <w:rPr>
          <w:rFonts w:ascii="Calibri Light" w:hAnsi="Calibri Light" w:cs="Arial"/>
          <w:sz w:val="22"/>
        </w:rPr>
        <w:t>: Change in the number of children witnessing violence, 1996 and 2012</w:t>
      </w:r>
    </w:p>
    <w:tbl>
      <w:tblPr>
        <w:tblStyle w:val="KPMGtable1"/>
        <w:tblW w:w="0" w:type="auto"/>
        <w:tblLook w:val="04A0" w:firstRow="1" w:lastRow="0" w:firstColumn="1" w:lastColumn="0" w:noHBand="0" w:noVBand="1"/>
        <w:tblCaption w:val="Table of information on the change in the number of children witnessing violence, 1996 and 2012"/>
      </w:tblPr>
      <w:tblGrid>
        <w:gridCol w:w="3318"/>
        <w:gridCol w:w="1186"/>
        <w:gridCol w:w="798"/>
        <w:gridCol w:w="922"/>
        <w:gridCol w:w="1186"/>
        <w:gridCol w:w="916"/>
        <w:gridCol w:w="916"/>
      </w:tblGrid>
      <w:tr w:rsidR="00E72EAD" w:rsidRPr="009E2B03" w14:paraId="4B253A71" w14:textId="77777777" w:rsidTr="00E431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8" w:type="dxa"/>
            <w:tcBorders>
              <w:top w:val="single" w:sz="4" w:space="0" w:color="7599C9"/>
              <w:left w:val="nil"/>
              <w:bottom w:val="single" w:sz="4" w:space="0" w:color="7599C9"/>
              <w:right w:val="single" w:sz="4" w:space="0" w:color="7599C9"/>
            </w:tcBorders>
            <w:shd w:val="clear" w:color="auto" w:fill="2B133D"/>
          </w:tcPr>
          <w:p w14:paraId="58BDEEDC" w14:textId="250D53DC" w:rsidR="00E72EAD" w:rsidRPr="009E2B03" w:rsidRDefault="00E72EAD" w:rsidP="00ED6C12">
            <w:pPr>
              <w:pStyle w:val="ListBullet"/>
              <w:numPr>
                <w:ilvl w:val="0"/>
                <w:numId w:val="0"/>
              </w:numPr>
              <w:tabs>
                <w:tab w:val="left" w:pos="720"/>
              </w:tabs>
              <w:spacing w:before="40" w:after="40"/>
              <w:rPr>
                <w:rFonts w:ascii="Calibri Light" w:hAnsi="Calibri Light"/>
                <w:b/>
                <w:color w:val="6D2077"/>
                <w:szCs w:val="18"/>
              </w:rPr>
            </w:pPr>
            <w:r w:rsidRPr="009E2B03">
              <w:rPr>
                <w:rFonts w:ascii="Calibri Light" w:hAnsi="Calibri Light" w:cs="Arial"/>
                <w:b/>
                <w:szCs w:val="18"/>
              </w:rPr>
              <w:t>For women with children in their care during the relationship:</w:t>
            </w:r>
          </w:p>
        </w:tc>
        <w:tc>
          <w:tcPr>
            <w:tcW w:w="1186" w:type="dxa"/>
            <w:tcBorders>
              <w:top w:val="single" w:sz="4" w:space="0" w:color="7599C9"/>
              <w:left w:val="single" w:sz="4" w:space="0" w:color="7599C9"/>
              <w:bottom w:val="single" w:sz="4" w:space="0" w:color="7599C9"/>
              <w:right w:val="single" w:sz="4" w:space="0" w:color="7599C9"/>
            </w:tcBorders>
            <w:shd w:val="clear" w:color="auto" w:fill="2B133D"/>
            <w:vAlign w:val="center"/>
          </w:tcPr>
          <w:p w14:paraId="098147D7" w14:textId="74E8B82A" w:rsidR="00E72EAD" w:rsidRPr="00E72EAD" w:rsidRDefault="00E72EAD" w:rsidP="008D2E70">
            <w:pPr>
              <w:pStyle w:val="ListBullet"/>
              <w:numPr>
                <w:ilvl w:val="0"/>
                <w:numId w:val="0"/>
              </w:numPr>
              <w:tabs>
                <w:tab w:val="left" w:pos="720"/>
              </w:tabs>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color w:val="7030A0"/>
                <w:szCs w:val="18"/>
              </w:rPr>
            </w:pPr>
            <w:r w:rsidRPr="009E2B03">
              <w:rPr>
                <w:rFonts w:ascii="Calibri Light" w:hAnsi="Calibri Light" w:cs="Arial"/>
                <w:b/>
                <w:szCs w:val="18"/>
              </w:rPr>
              <w:t>Experienced violence with current partner (%)</w:t>
            </w:r>
          </w:p>
        </w:tc>
        <w:tc>
          <w:tcPr>
            <w:tcW w:w="798" w:type="dxa"/>
            <w:tcBorders>
              <w:top w:val="single" w:sz="4" w:space="0" w:color="7599C9"/>
              <w:left w:val="single" w:sz="4" w:space="0" w:color="7599C9"/>
              <w:bottom w:val="single" w:sz="4" w:space="0" w:color="7599C9"/>
              <w:right w:val="single" w:sz="4" w:space="0" w:color="7599C9"/>
            </w:tcBorders>
            <w:shd w:val="clear" w:color="auto" w:fill="2B133D"/>
            <w:vAlign w:val="center"/>
          </w:tcPr>
          <w:p w14:paraId="3FADB562" w14:textId="77777777" w:rsidR="00E72EAD" w:rsidRPr="00E72EAD" w:rsidRDefault="00E72EAD" w:rsidP="008D2E70">
            <w:pPr>
              <w:pStyle w:val="ListBullet"/>
              <w:numPr>
                <w:ilvl w:val="0"/>
                <w:numId w:val="0"/>
              </w:numPr>
              <w:tabs>
                <w:tab w:val="left" w:pos="720"/>
              </w:tabs>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color w:val="7030A0"/>
                <w:szCs w:val="18"/>
              </w:rPr>
            </w:pPr>
          </w:p>
        </w:tc>
        <w:tc>
          <w:tcPr>
            <w:tcW w:w="922" w:type="dxa"/>
            <w:tcBorders>
              <w:top w:val="single" w:sz="4" w:space="0" w:color="7599C9"/>
              <w:left w:val="single" w:sz="4" w:space="0" w:color="7599C9"/>
              <w:bottom w:val="single" w:sz="4" w:space="0" w:color="7599C9"/>
              <w:right w:val="single" w:sz="4" w:space="0" w:color="7599C9"/>
            </w:tcBorders>
            <w:shd w:val="clear" w:color="auto" w:fill="2B133D"/>
            <w:vAlign w:val="center"/>
          </w:tcPr>
          <w:p w14:paraId="061445E0" w14:textId="77777777" w:rsidR="00E72EAD" w:rsidRPr="00E72EAD" w:rsidRDefault="00E72EAD" w:rsidP="008D2E70">
            <w:pPr>
              <w:pStyle w:val="ListBullet"/>
              <w:numPr>
                <w:ilvl w:val="0"/>
                <w:numId w:val="0"/>
              </w:numPr>
              <w:tabs>
                <w:tab w:val="left" w:pos="720"/>
              </w:tabs>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color w:val="7030A0"/>
                <w:szCs w:val="18"/>
              </w:rPr>
            </w:pPr>
          </w:p>
        </w:tc>
        <w:tc>
          <w:tcPr>
            <w:tcW w:w="1186" w:type="dxa"/>
            <w:tcBorders>
              <w:top w:val="single" w:sz="4" w:space="0" w:color="7599C9"/>
              <w:left w:val="single" w:sz="4" w:space="0" w:color="7599C9"/>
              <w:bottom w:val="single" w:sz="4" w:space="0" w:color="7599C9"/>
              <w:right w:val="single" w:sz="4" w:space="0" w:color="7599C9"/>
            </w:tcBorders>
            <w:shd w:val="clear" w:color="auto" w:fill="2B133D"/>
            <w:vAlign w:val="center"/>
          </w:tcPr>
          <w:p w14:paraId="52C94A9C" w14:textId="61625B6C" w:rsidR="00E72EAD" w:rsidRPr="00E72EAD" w:rsidRDefault="00E72EAD" w:rsidP="008D2E70">
            <w:pPr>
              <w:pStyle w:val="ListBullet"/>
              <w:numPr>
                <w:ilvl w:val="0"/>
                <w:numId w:val="0"/>
              </w:numPr>
              <w:tabs>
                <w:tab w:val="left" w:pos="720"/>
              </w:tabs>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color w:val="7030A0"/>
                <w:szCs w:val="18"/>
              </w:rPr>
            </w:pPr>
            <w:r w:rsidRPr="009E2B03">
              <w:rPr>
                <w:rFonts w:ascii="Calibri Light" w:hAnsi="Calibri Light" w:cs="Arial"/>
                <w:b/>
                <w:szCs w:val="18"/>
              </w:rPr>
              <w:t>Experienced violence with previous partner (%)</w:t>
            </w:r>
          </w:p>
        </w:tc>
        <w:tc>
          <w:tcPr>
            <w:tcW w:w="916" w:type="dxa"/>
            <w:tcBorders>
              <w:top w:val="single" w:sz="4" w:space="0" w:color="7599C9"/>
              <w:left w:val="single" w:sz="4" w:space="0" w:color="7599C9"/>
              <w:bottom w:val="single" w:sz="4" w:space="0" w:color="7599C9"/>
              <w:right w:val="single" w:sz="4" w:space="0" w:color="7599C9"/>
            </w:tcBorders>
            <w:shd w:val="clear" w:color="auto" w:fill="2B133D"/>
            <w:vAlign w:val="center"/>
          </w:tcPr>
          <w:p w14:paraId="0F403145" w14:textId="77777777" w:rsidR="00E72EAD" w:rsidRPr="00E72EAD" w:rsidRDefault="00E72EAD" w:rsidP="008D2E70">
            <w:pPr>
              <w:pStyle w:val="ListBullet"/>
              <w:numPr>
                <w:ilvl w:val="0"/>
                <w:numId w:val="0"/>
              </w:numPr>
              <w:tabs>
                <w:tab w:val="left" w:pos="720"/>
              </w:tabs>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color w:val="7030A0"/>
                <w:szCs w:val="18"/>
              </w:rPr>
            </w:pPr>
          </w:p>
        </w:tc>
        <w:tc>
          <w:tcPr>
            <w:tcW w:w="916" w:type="dxa"/>
            <w:tcBorders>
              <w:top w:val="single" w:sz="4" w:space="0" w:color="7599C9"/>
              <w:left w:val="single" w:sz="4" w:space="0" w:color="7599C9"/>
              <w:bottom w:val="single" w:sz="4" w:space="0" w:color="7599C9"/>
              <w:right w:val="nil"/>
            </w:tcBorders>
            <w:shd w:val="clear" w:color="auto" w:fill="2B133D"/>
            <w:vAlign w:val="center"/>
          </w:tcPr>
          <w:p w14:paraId="2CAEDB71" w14:textId="77777777" w:rsidR="00E72EAD" w:rsidRPr="00E72EAD" w:rsidRDefault="00E72EAD" w:rsidP="008D2E70">
            <w:pPr>
              <w:pStyle w:val="ListBullet"/>
              <w:numPr>
                <w:ilvl w:val="0"/>
                <w:numId w:val="0"/>
              </w:numPr>
              <w:tabs>
                <w:tab w:val="left" w:pos="720"/>
              </w:tabs>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color w:val="7030A0"/>
                <w:szCs w:val="18"/>
              </w:rPr>
            </w:pPr>
          </w:p>
        </w:tc>
      </w:tr>
      <w:tr w:rsidR="00E72EAD" w:rsidRPr="009E2B03" w14:paraId="6D460411" w14:textId="77777777" w:rsidTr="00E72EAD">
        <w:tc>
          <w:tcPr>
            <w:cnfStyle w:val="001000000000" w:firstRow="0" w:lastRow="0" w:firstColumn="1" w:lastColumn="0" w:oddVBand="0" w:evenVBand="0" w:oddHBand="0" w:evenHBand="0" w:firstRowFirstColumn="0" w:firstRowLastColumn="0" w:lastRowFirstColumn="0" w:lastRowLastColumn="0"/>
            <w:tcW w:w="3318" w:type="dxa"/>
            <w:tcBorders>
              <w:top w:val="single" w:sz="4" w:space="0" w:color="7599C9"/>
              <w:left w:val="nil"/>
              <w:bottom w:val="single" w:sz="4" w:space="0" w:color="7599C9"/>
              <w:right w:val="single" w:sz="4" w:space="0" w:color="7599C9"/>
            </w:tcBorders>
            <w:shd w:val="clear" w:color="auto" w:fill="F3F0F4"/>
          </w:tcPr>
          <w:p w14:paraId="3AFA2E37" w14:textId="77777777" w:rsidR="00E72EAD" w:rsidRPr="009E2B03" w:rsidRDefault="00E72EAD" w:rsidP="00ED6C12">
            <w:pPr>
              <w:pStyle w:val="ListBullet"/>
              <w:numPr>
                <w:ilvl w:val="0"/>
                <w:numId w:val="0"/>
              </w:numPr>
              <w:tabs>
                <w:tab w:val="left" w:pos="720"/>
              </w:tabs>
              <w:spacing w:before="40" w:after="40"/>
              <w:rPr>
                <w:rFonts w:ascii="Calibri Light" w:hAnsi="Calibri Light"/>
                <w:b/>
                <w:color w:val="6D2077"/>
                <w:szCs w:val="18"/>
              </w:rPr>
            </w:pPr>
          </w:p>
        </w:tc>
        <w:tc>
          <w:tcPr>
            <w:tcW w:w="1186" w:type="dxa"/>
            <w:tcBorders>
              <w:top w:val="single" w:sz="4" w:space="0" w:color="7599C9"/>
              <w:left w:val="single" w:sz="4" w:space="0" w:color="7599C9"/>
              <w:bottom w:val="single" w:sz="4" w:space="0" w:color="7599C9"/>
              <w:right w:val="single" w:sz="4" w:space="0" w:color="7599C9"/>
            </w:tcBorders>
            <w:vAlign w:val="center"/>
          </w:tcPr>
          <w:p w14:paraId="2ACBCEF2" w14:textId="4A8B4475" w:rsidR="00E72EAD" w:rsidRPr="00E72EAD"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7030A0"/>
                <w:szCs w:val="18"/>
              </w:rPr>
            </w:pPr>
            <w:r w:rsidRPr="00E72EAD">
              <w:rPr>
                <w:rFonts w:ascii="Calibri Light" w:hAnsi="Calibri Light" w:cs="Arial"/>
                <w:b/>
                <w:color w:val="7030A0"/>
                <w:szCs w:val="18"/>
              </w:rPr>
              <w:t>1996</w:t>
            </w:r>
          </w:p>
        </w:tc>
        <w:tc>
          <w:tcPr>
            <w:tcW w:w="798" w:type="dxa"/>
            <w:tcBorders>
              <w:top w:val="single" w:sz="4" w:space="0" w:color="7599C9"/>
              <w:left w:val="single" w:sz="4" w:space="0" w:color="7599C9"/>
              <w:bottom w:val="single" w:sz="4" w:space="0" w:color="7599C9"/>
              <w:right w:val="single" w:sz="4" w:space="0" w:color="7599C9"/>
            </w:tcBorders>
            <w:vAlign w:val="center"/>
          </w:tcPr>
          <w:p w14:paraId="67CEE105" w14:textId="5BCE087B" w:rsidR="00E72EAD" w:rsidRPr="00E72EAD"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7030A0"/>
                <w:szCs w:val="18"/>
              </w:rPr>
            </w:pPr>
            <w:r w:rsidRPr="00E72EAD">
              <w:rPr>
                <w:rFonts w:ascii="Calibri Light" w:hAnsi="Calibri Light" w:cs="Arial"/>
                <w:b/>
                <w:color w:val="7030A0"/>
                <w:szCs w:val="18"/>
              </w:rPr>
              <w:t>2005</w:t>
            </w:r>
          </w:p>
        </w:tc>
        <w:tc>
          <w:tcPr>
            <w:tcW w:w="922" w:type="dxa"/>
            <w:tcBorders>
              <w:top w:val="single" w:sz="4" w:space="0" w:color="7599C9"/>
              <w:left w:val="single" w:sz="4" w:space="0" w:color="7599C9"/>
              <w:bottom w:val="single" w:sz="4" w:space="0" w:color="7599C9"/>
              <w:right w:val="single" w:sz="4" w:space="0" w:color="7599C9"/>
            </w:tcBorders>
            <w:vAlign w:val="center"/>
          </w:tcPr>
          <w:p w14:paraId="069B651F" w14:textId="0A283792" w:rsidR="00E72EAD" w:rsidRPr="00E72EAD"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7030A0"/>
                <w:szCs w:val="18"/>
              </w:rPr>
            </w:pPr>
            <w:r w:rsidRPr="00E72EAD">
              <w:rPr>
                <w:rFonts w:ascii="Calibri Light" w:hAnsi="Calibri Light" w:cs="Arial"/>
                <w:b/>
                <w:color w:val="7030A0"/>
                <w:szCs w:val="18"/>
              </w:rPr>
              <w:t>2012</w:t>
            </w:r>
          </w:p>
        </w:tc>
        <w:tc>
          <w:tcPr>
            <w:tcW w:w="1186" w:type="dxa"/>
            <w:tcBorders>
              <w:top w:val="single" w:sz="4" w:space="0" w:color="7599C9"/>
              <w:left w:val="single" w:sz="4" w:space="0" w:color="7599C9"/>
              <w:bottom w:val="single" w:sz="4" w:space="0" w:color="7599C9"/>
              <w:right w:val="single" w:sz="4" w:space="0" w:color="7599C9"/>
            </w:tcBorders>
            <w:vAlign w:val="center"/>
          </w:tcPr>
          <w:p w14:paraId="128303BF" w14:textId="43E88A32" w:rsidR="00E72EAD" w:rsidRPr="00E72EAD"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7030A0"/>
                <w:szCs w:val="18"/>
              </w:rPr>
            </w:pPr>
            <w:r w:rsidRPr="00E72EAD">
              <w:rPr>
                <w:rFonts w:ascii="Calibri Light" w:hAnsi="Calibri Light" w:cs="Arial"/>
                <w:b/>
                <w:color w:val="7030A0"/>
                <w:szCs w:val="18"/>
              </w:rPr>
              <w:t>1996</w:t>
            </w:r>
          </w:p>
        </w:tc>
        <w:tc>
          <w:tcPr>
            <w:tcW w:w="916" w:type="dxa"/>
            <w:tcBorders>
              <w:top w:val="single" w:sz="4" w:space="0" w:color="7599C9"/>
              <w:left w:val="single" w:sz="4" w:space="0" w:color="7599C9"/>
              <w:bottom w:val="single" w:sz="4" w:space="0" w:color="7599C9"/>
              <w:right w:val="single" w:sz="4" w:space="0" w:color="7599C9"/>
            </w:tcBorders>
            <w:vAlign w:val="center"/>
          </w:tcPr>
          <w:p w14:paraId="473373AE" w14:textId="4B0A75CF" w:rsidR="00E72EAD" w:rsidRPr="00E72EAD"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7030A0"/>
                <w:szCs w:val="18"/>
              </w:rPr>
            </w:pPr>
            <w:r w:rsidRPr="00E72EAD">
              <w:rPr>
                <w:rFonts w:ascii="Calibri Light" w:hAnsi="Calibri Light" w:cs="Arial"/>
                <w:b/>
                <w:color w:val="7030A0"/>
                <w:szCs w:val="18"/>
              </w:rPr>
              <w:t>2005</w:t>
            </w:r>
          </w:p>
        </w:tc>
        <w:tc>
          <w:tcPr>
            <w:tcW w:w="916" w:type="dxa"/>
            <w:tcBorders>
              <w:top w:val="single" w:sz="4" w:space="0" w:color="7599C9"/>
              <w:left w:val="single" w:sz="4" w:space="0" w:color="7599C9"/>
              <w:bottom w:val="single" w:sz="4" w:space="0" w:color="7599C9"/>
              <w:right w:val="nil"/>
            </w:tcBorders>
            <w:vAlign w:val="center"/>
          </w:tcPr>
          <w:p w14:paraId="1BE9A405" w14:textId="6B565146" w:rsidR="00E72EAD" w:rsidRPr="00E72EAD"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7030A0"/>
                <w:szCs w:val="18"/>
              </w:rPr>
            </w:pPr>
            <w:r w:rsidRPr="00E72EAD">
              <w:rPr>
                <w:rFonts w:ascii="Calibri Light" w:hAnsi="Calibri Light" w:cs="Arial"/>
                <w:b/>
                <w:color w:val="7030A0"/>
                <w:szCs w:val="18"/>
              </w:rPr>
              <w:t>2012</w:t>
            </w:r>
          </w:p>
        </w:tc>
      </w:tr>
      <w:tr w:rsidR="00E72EAD" w:rsidRPr="009E2B03" w14:paraId="082792BF" w14:textId="77777777" w:rsidTr="00E72EAD">
        <w:tc>
          <w:tcPr>
            <w:cnfStyle w:val="001000000000" w:firstRow="0" w:lastRow="0" w:firstColumn="1" w:lastColumn="0" w:oddVBand="0" w:evenVBand="0" w:oddHBand="0" w:evenHBand="0" w:firstRowFirstColumn="0" w:firstRowLastColumn="0" w:lastRowFirstColumn="0" w:lastRowLastColumn="0"/>
            <w:tcW w:w="3318" w:type="dxa"/>
            <w:tcBorders>
              <w:top w:val="single" w:sz="4" w:space="0" w:color="7599C9"/>
              <w:left w:val="nil"/>
              <w:bottom w:val="single" w:sz="4" w:space="0" w:color="7599C9"/>
              <w:right w:val="single" w:sz="4" w:space="0" w:color="7599C9"/>
            </w:tcBorders>
            <w:shd w:val="clear" w:color="auto" w:fill="F3F0F4"/>
            <w:hideMark/>
          </w:tcPr>
          <w:p w14:paraId="48EDD4B3" w14:textId="77777777" w:rsidR="00E72EAD" w:rsidRPr="009E2B03" w:rsidRDefault="00E72EAD" w:rsidP="00ED6C12">
            <w:pPr>
              <w:pStyle w:val="ListBullet"/>
              <w:numPr>
                <w:ilvl w:val="0"/>
                <w:numId w:val="0"/>
              </w:numPr>
              <w:tabs>
                <w:tab w:val="left" w:pos="720"/>
              </w:tabs>
              <w:spacing w:before="40" w:after="40"/>
              <w:rPr>
                <w:rFonts w:ascii="Calibri Light" w:hAnsi="Calibri Light" w:cs="Arial"/>
                <w:b/>
                <w:color w:val="6D2077"/>
                <w:szCs w:val="18"/>
              </w:rPr>
            </w:pPr>
            <w:r w:rsidRPr="009E2B03">
              <w:rPr>
                <w:rFonts w:ascii="Calibri Light" w:hAnsi="Calibri Light" w:cs="Arial"/>
                <w:b/>
                <w:color w:val="6D2077"/>
                <w:szCs w:val="18"/>
              </w:rPr>
              <w:t>Children had seen/heard incident of violence</w:t>
            </w:r>
          </w:p>
        </w:tc>
        <w:tc>
          <w:tcPr>
            <w:tcW w:w="1186" w:type="dxa"/>
            <w:tcBorders>
              <w:top w:val="single" w:sz="4" w:space="0" w:color="7599C9"/>
              <w:left w:val="single" w:sz="4" w:space="0" w:color="7599C9"/>
              <w:bottom w:val="single" w:sz="4" w:space="0" w:color="7599C9"/>
              <w:right w:val="single" w:sz="4" w:space="0" w:color="7599C9"/>
            </w:tcBorders>
            <w:vAlign w:val="center"/>
            <w:hideMark/>
          </w:tcPr>
          <w:p w14:paraId="6705A3AD"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63</w:t>
            </w:r>
          </w:p>
        </w:tc>
        <w:tc>
          <w:tcPr>
            <w:tcW w:w="798" w:type="dxa"/>
            <w:tcBorders>
              <w:top w:val="single" w:sz="4" w:space="0" w:color="7599C9"/>
              <w:left w:val="single" w:sz="4" w:space="0" w:color="7599C9"/>
              <w:bottom w:val="single" w:sz="4" w:space="0" w:color="7599C9"/>
              <w:right w:val="single" w:sz="4" w:space="0" w:color="7599C9"/>
            </w:tcBorders>
            <w:vAlign w:val="center"/>
            <w:hideMark/>
          </w:tcPr>
          <w:p w14:paraId="5E651D15"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59</w:t>
            </w:r>
          </w:p>
        </w:tc>
        <w:tc>
          <w:tcPr>
            <w:tcW w:w="922" w:type="dxa"/>
            <w:tcBorders>
              <w:top w:val="single" w:sz="4" w:space="0" w:color="7599C9"/>
              <w:left w:val="single" w:sz="4" w:space="0" w:color="7599C9"/>
              <w:bottom w:val="single" w:sz="4" w:space="0" w:color="7599C9"/>
              <w:right w:val="single" w:sz="4" w:space="0" w:color="7599C9"/>
            </w:tcBorders>
            <w:vAlign w:val="center"/>
            <w:hideMark/>
          </w:tcPr>
          <w:p w14:paraId="6819846B"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58</w:t>
            </w:r>
          </w:p>
        </w:tc>
        <w:tc>
          <w:tcPr>
            <w:tcW w:w="1186" w:type="dxa"/>
            <w:tcBorders>
              <w:top w:val="single" w:sz="4" w:space="0" w:color="7599C9"/>
              <w:left w:val="single" w:sz="4" w:space="0" w:color="7599C9"/>
              <w:bottom w:val="single" w:sz="4" w:space="0" w:color="7599C9"/>
              <w:right w:val="single" w:sz="4" w:space="0" w:color="7599C9"/>
            </w:tcBorders>
            <w:vAlign w:val="center"/>
            <w:hideMark/>
          </w:tcPr>
          <w:p w14:paraId="35F9FC40"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68</w:t>
            </w:r>
          </w:p>
        </w:tc>
        <w:tc>
          <w:tcPr>
            <w:tcW w:w="916" w:type="dxa"/>
            <w:tcBorders>
              <w:top w:val="single" w:sz="4" w:space="0" w:color="7599C9"/>
              <w:left w:val="single" w:sz="4" w:space="0" w:color="7599C9"/>
              <w:bottom w:val="single" w:sz="4" w:space="0" w:color="7599C9"/>
              <w:right w:val="single" w:sz="4" w:space="0" w:color="7599C9"/>
            </w:tcBorders>
            <w:vAlign w:val="center"/>
            <w:hideMark/>
          </w:tcPr>
          <w:p w14:paraId="524EF4FF"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63</w:t>
            </w:r>
          </w:p>
        </w:tc>
        <w:tc>
          <w:tcPr>
            <w:tcW w:w="916" w:type="dxa"/>
            <w:tcBorders>
              <w:top w:val="single" w:sz="4" w:space="0" w:color="7599C9"/>
              <w:left w:val="single" w:sz="4" w:space="0" w:color="7599C9"/>
              <w:bottom w:val="single" w:sz="4" w:space="0" w:color="7599C9"/>
              <w:right w:val="nil"/>
            </w:tcBorders>
            <w:vAlign w:val="center"/>
            <w:hideMark/>
          </w:tcPr>
          <w:p w14:paraId="3A19BAFF"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77</w:t>
            </w:r>
          </w:p>
        </w:tc>
      </w:tr>
      <w:tr w:rsidR="00E72EAD" w:rsidRPr="009E2B03" w14:paraId="0EAAA484" w14:textId="77777777" w:rsidTr="00E72EAD">
        <w:tc>
          <w:tcPr>
            <w:cnfStyle w:val="001000000000" w:firstRow="0" w:lastRow="0" w:firstColumn="1" w:lastColumn="0" w:oddVBand="0" w:evenVBand="0" w:oddHBand="0" w:evenHBand="0" w:firstRowFirstColumn="0" w:firstRowLastColumn="0" w:lastRowFirstColumn="0" w:lastRowLastColumn="0"/>
            <w:tcW w:w="3318" w:type="dxa"/>
            <w:tcBorders>
              <w:top w:val="single" w:sz="4" w:space="0" w:color="7599C9"/>
              <w:left w:val="nil"/>
              <w:bottom w:val="single" w:sz="4" w:space="0" w:color="7599C9"/>
              <w:right w:val="single" w:sz="4" w:space="0" w:color="7599C9"/>
            </w:tcBorders>
            <w:shd w:val="clear" w:color="auto" w:fill="F3F0F4"/>
            <w:hideMark/>
          </w:tcPr>
          <w:p w14:paraId="71354F26" w14:textId="77777777" w:rsidR="00E72EAD" w:rsidRPr="009E2B03" w:rsidRDefault="00E72EAD" w:rsidP="00ED6C12">
            <w:pPr>
              <w:pStyle w:val="ListBullet"/>
              <w:numPr>
                <w:ilvl w:val="0"/>
                <w:numId w:val="0"/>
              </w:numPr>
              <w:tabs>
                <w:tab w:val="left" w:pos="720"/>
              </w:tabs>
              <w:spacing w:before="40" w:after="40"/>
              <w:rPr>
                <w:rFonts w:ascii="Calibri Light" w:hAnsi="Calibri Light" w:cs="Arial"/>
                <w:b/>
                <w:color w:val="6D2077"/>
                <w:szCs w:val="18"/>
              </w:rPr>
            </w:pPr>
            <w:r w:rsidRPr="009E2B03">
              <w:rPr>
                <w:rFonts w:ascii="Calibri Light" w:hAnsi="Calibri Light" w:cs="Arial"/>
                <w:b/>
                <w:color w:val="6D2077"/>
                <w:szCs w:val="18"/>
              </w:rPr>
              <w:t>Children had not seen/heard incident of violence</w:t>
            </w:r>
          </w:p>
        </w:tc>
        <w:tc>
          <w:tcPr>
            <w:tcW w:w="1186" w:type="dxa"/>
            <w:tcBorders>
              <w:top w:val="single" w:sz="4" w:space="0" w:color="7599C9"/>
              <w:left w:val="single" w:sz="4" w:space="0" w:color="7599C9"/>
              <w:bottom w:val="single" w:sz="4" w:space="0" w:color="7599C9"/>
              <w:right w:val="single" w:sz="4" w:space="0" w:color="7599C9"/>
            </w:tcBorders>
            <w:vAlign w:val="center"/>
            <w:hideMark/>
          </w:tcPr>
          <w:p w14:paraId="252A53A0"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37</w:t>
            </w:r>
          </w:p>
        </w:tc>
        <w:tc>
          <w:tcPr>
            <w:tcW w:w="798" w:type="dxa"/>
            <w:tcBorders>
              <w:top w:val="single" w:sz="4" w:space="0" w:color="7599C9"/>
              <w:left w:val="single" w:sz="4" w:space="0" w:color="7599C9"/>
              <w:bottom w:val="single" w:sz="4" w:space="0" w:color="7599C9"/>
              <w:right w:val="single" w:sz="4" w:space="0" w:color="7599C9"/>
            </w:tcBorders>
            <w:vAlign w:val="center"/>
            <w:hideMark/>
          </w:tcPr>
          <w:p w14:paraId="63D6ED7A"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41</w:t>
            </w:r>
          </w:p>
        </w:tc>
        <w:tc>
          <w:tcPr>
            <w:tcW w:w="922" w:type="dxa"/>
            <w:tcBorders>
              <w:top w:val="single" w:sz="4" w:space="0" w:color="7599C9"/>
              <w:left w:val="single" w:sz="4" w:space="0" w:color="7599C9"/>
              <w:bottom w:val="single" w:sz="4" w:space="0" w:color="7599C9"/>
              <w:right w:val="single" w:sz="4" w:space="0" w:color="7599C9"/>
            </w:tcBorders>
            <w:vAlign w:val="center"/>
            <w:hideMark/>
          </w:tcPr>
          <w:p w14:paraId="47613EAE"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42</w:t>
            </w:r>
          </w:p>
        </w:tc>
        <w:tc>
          <w:tcPr>
            <w:tcW w:w="1186" w:type="dxa"/>
            <w:tcBorders>
              <w:top w:val="single" w:sz="4" w:space="0" w:color="7599C9"/>
              <w:left w:val="single" w:sz="4" w:space="0" w:color="7599C9"/>
              <w:bottom w:val="single" w:sz="4" w:space="0" w:color="7599C9"/>
              <w:right w:val="single" w:sz="4" w:space="0" w:color="7599C9"/>
            </w:tcBorders>
            <w:vAlign w:val="center"/>
            <w:hideMark/>
          </w:tcPr>
          <w:p w14:paraId="78AE7F7C"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32</w:t>
            </w:r>
          </w:p>
        </w:tc>
        <w:tc>
          <w:tcPr>
            <w:tcW w:w="916" w:type="dxa"/>
            <w:tcBorders>
              <w:top w:val="single" w:sz="4" w:space="0" w:color="7599C9"/>
              <w:left w:val="single" w:sz="4" w:space="0" w:color="7599C9"/>
              <w:bottom w:val="single" w:sz="4" w:space="0" w:color="7599C9"/>
              <w:right w:val="single" w:sz="4" w:space="0" w:color="7599C9"/>
            </w:tcBorders>
            <w:vAlign w:val="center"/>
            <w:hideMark/>
          </w:tcPr>
          <w:p w14:paraId="595DB5ED"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37</w:t>
            </w:r>
          </w:p>
        </w:tc>
        <w:tc>
          <w:tcPr>
            <w:tcW w:w="916" w:type="dxa"/>
            <w:tcBorders>
              <w:top w:val="single" w:sz="4" w:space="0" w:color="7599C9"/>
              <w:left w:val="single" w:sz="4" w:space="0" w:color="7599C9"/>
              <w:bottom w:val="single" w:sz="4" w:space="0" w:color="7599C9"/>
              <w:right w:val="nil"/>
            </w:tcBorders>
            <w:vAlign w:val="center"/>
            <w:hideMark/>
          </w:tcPr>
          <w:p w14:paraId="7B1924ED" w14:textId="77777777" w:rsidR="00E72EAD" w:rsidRPr="009E2B03" w:rsidRDefault="00E72EAD" w:rsidP="008D2E70">
            <w:pPr>
              <w:pStyle w:val="ListBullet"/>
              <w:numPr>
                <w:ilvl w:val="0"/>
                <w:numId w:val="0"/>
              </w:numPr>
              <w:tabs>
                <w:tab w:val="left" w:pos="720"/>
              </w:tabs>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23</w:t>
            </w:r>
          </w:p>
        </w:tc>
      </w:tr>
    </w:tbl>
    <w:p w14:paraId="43761EB7" w14:textId="77777777" w:rsidR="009A0A52" w:rsidRPr="009E2B03" w:rsidRDefault="009A0A52" w:rsidP="00ED6C12">
      <w:pPr>
        <w:pStyle w:val="ListBullet"/>
        <w:numPr>
          <w:ilvl w:val="0"/>
          <w:numId w:val="0"/>
        </w:numPr>
        <w:tabs>
          <w:tab w:val="left" w:pos="720"/>
        </w:tabs>
        <w:rPr>
          <w:rFonts w:ascii="Calibri Light" w:hAnsi="Calibri Light"/>
          <w:szCs w:val="18"/>
        </w:rPr>
      </w:pPr>
      <w:r w:rsidRPr="009E2B03">
        <w:rPr>
          <w:rFonts w:ascii="Calibri Light" w:hAnsi="Calibri Light"/>
          <w:szCs w:val="18"/>
        </w:rPr>
        <w:t>Note: A woman could have experienced violence with a current partner and a previous partner. The category of ‘children had not heard/seen violence’ also includes a small number of reports where women were not sure if the children had heard/seen the incident.</w:t>
      </w:r>
    </w:p>
    <w:p w14:paraId="25852641" w14:textId="77777777" w:rsidR="00ED6C12" w:rsidRPr="009E2B03" w:rsidRDefault="00ED6C12" w:rsidP="00ED6C12">
      <w:pPr>
        <w:pStyle w:val="ListBullet"/>
        <w:numPr>
          <w:ilvl w:val="0"/>
          <w:numId w:val="0"/>
        </w:numPr>
        <w:tabs>
          <w:tab w:val="left" w:pos="720"/>
        </w:tabs>
        <w:rPr>
          <w:rFonts w:ascii="Calibri Light" w:hAnsi="Calibri Light"/>
          <w:szCs w:val="18"/>
        </w:rPr>
      </w:pPr>
      <w:r w:rsidRPr="009E2B03">
        <w:rPr>
          <w:rFonts w:ascii="Calibri Light" w:hAnsi="Calibri Light"/>
          <w:szCs w:val="18"/>
        </w:rPr>
        <w:t>Source: ABS P</w:t>
      </w:r>
      <w:r w:rsidR="009D5103" w:rsidRPr="009E2B03">
        <w:rPr>
          <w:rFonts w:ascii="Calibri Light" w:hAnsi="Calibri Light"/>
          <w:szCs w:val="18"/>
        </w:rPr>
        <w:t>ersonal Safety Survey</w:t>
      </w:r>
      <w:r w:rsidRPr="009E2B03">
        <w:rPr>
          <w:rFonts w:ascii="Calibri Light" w:hAnsi="Calibri Light"/>
          <w:szCs w:val="18"/>
        </w:rPr>
        <w:t xml:space="preserve"> 2012</w:t>
      </w:r>
      <w:r w:rsidR="009D5103" w:rsidRPr="009E2B03">
        <w:rPr>
          <w:rFonts w:ascii="Calibri Light" w:hAnsi="Calibri Light"/>
          <w:szCs w:val="18"/>
        </w:rPr>
        <w:t xml:space="preserve"> and 2005, Women’s Safety Survey</w:t>
      </w:r>
      <w:r w:rsidRPr="009E2B03">
        <w:rPr>
          <w:rFonts w:ascii="Calibri Light" w:hAnsi="Calibri Light"/>
          <w:szCs w:val="18"/>
        </w:rPr>
        <w:t xml:space="preserve"> 1996</w:t>
      </w:r>
      <w:r w:rsidR="009D5103" w:rsidRPr="009E2B03">
        <w:rPr>
          <w:rFonts w:ascii="Calibri Light" w:hAnsi="Calibri Light"/>
          <w:szCs w:val="18"/>
        </w:rPr>
        <w:t xml:space="preserve">. </w:t>
      </w:r>
    </w:p>
    <w:p w14:paraId="001941F1" w14:textId="4C6F66F7" w:rsidR="00ED6C12" w:rsidRPr="009E2B03" w:rsidRDefault="00ED6C12" w:rsidP="00ED6C12">
      <w:pPr>
        <w:rPr>
          <w:rFonts w:ascii="Calibri Light" w:hAnsi="Calibri Light"/>
          <w:sz w:val="22"/>
          <w:lang w:val="en-US"/>
        </w:rPr>
      </w:pPr>
      <w:r w:rsidRPr="009E2B03">
        <w:rPr>
          <w:rFonts w:ascii="Calibri Light" w:hAnsi="Calibri Light"/>
          <w:sz w:val="22"/>
          <w:lang w:val="en-US"/>
        </w:rPr>
        <w:t xml:space="preserve">It can be seen that regardless of whether the incident of violence occurred with a current or previous partner of the mother or female carer of a child, the majority of children had been witnesses of violence. The rates of children witnessing violence are higher when considering previous rather than current partners. This may suggest that multiple incidents of violence may have occurred over the period, or that women may be more likely to report a higher rate when considering a previous abusive partner. </w:t>
      </w:r>
    </w:p>
    <w:p w14:paraId="6403621C" w14:textId="77777777" w:rsidR="00ED6C12" w:rsidRPr="009E2B03" w:rsidRDefault="00ED6C12" w:rsidP="00ED6C12">
      <w:pPr>
        <w:pStyle w:val="BodyBullet"/>
        <w:numPr>
          <w:ilvl w:val="0"/>
          <w:numId w:val="0"/>
        </w:numPr>
        <w:rPr>
          <w:rFonts w:ascii="Calibri Light" w:hAnsi="Calibri Light" w:cs="Arial"/>
          <w:sz w:val="22"/>
          <w:lang w:val="en-US"/>
        </w:rPr>
      </w:pPr>
      <w:r w:rsidRPr="009E2B03">
        <w:rPr>
          <w:rFonts w:ascii="Calibri Light" w:hAnsi="Calibri Light" w:cs="Arial"/>
          <w:sz w:val="22"/>
          <w:lang w:val="en-US"/>
        </w:rPr>
        <w:t>Significant research has been conducted, internationally and in Australia, about the direct and indirect impacts for the children of women who are victims of violence.</w:t>
      </w:r>
      <w:r w:rsidRPr="009E2B03">
        <w:rPr>
          <w:rStyle w:val="FootnoteReference"/>
          <w:rFonts w:ascii="Calibri Light" w:hAnsi="Calibri Light" w:cs="Arial"/>
          <w:sz w:val="22"/>
          <w:lang w:val="en-US"/>
        </w:rPr>
        <w:footnoteReference w:id="46"/>
      </w:r>
      <w:r w:rsidRPr="009E2B03">
        <w:rPr>
          <w:rFonts w:ascii="Calibri Light" w:hAnsi="Calibri Light" w:cs="Arial"/>
          <w:sz w:val="22"/>
          <w:lang w:val="en-US"/>
        </w:rPr>
        <w:t xml:space="preserve"> The impacts identified in recent research as issues for children in households where violence against women has occurred </w:t>
      </w:r>
      <w:r w:rsidR="009D5103" w:rsidRPr="009E2B03">
        <w:rPr>
          <w:rFonts w:ascii="Calibri Light" w:hAnsi="Calibri Light" w:cs="Arial"/>
          <w:sz w:val="22"/>
          <w:lang w:val="en-US"/>
        </w:rPr>
        <w:t>–</w:t>
      </w:r>
      <w:r w:rsidRPr="009E2B03">
        <w:rPr>
          <w:rFonts w:ascii="Calibri Light" w:hAnsi="Calibri Light" w:cs="Arial"/>
          <w:sz w:val="22"/>
          <w:lang w:val="en-US"/>
        </w:rPr>
        <w:t xml:space="preserve"> even if the incident of violence is not explicitly witnessed by the child </w:t>
      </w:r>
      <w:r w:rsidR="00512222" w:rsidRPr="009E2B03">
        <w:rPr>
          <w:rFonts w:ascii="Calibri Light" w:hAnsi="Calibri Light" w:cs="Arial"/>
          <w:sz w:val="22"/>
          <w:lang w:val="en-US"/>
        </w:rPr>
        <w:t xml:space="preserve">- </w:t>
      </w:r>
      <w:r w:rsidRPr="009E2B03">
        <w:rPr>
          <w:rFonts w:ascii="Calibri Light" w:hAnsi="Calibri Light" w:cs="Arial"/>
          <w:sz w:val="22"/>
          <w:lang w:val="en-US"/>
        </w:rPr>
        <w:t>are summarised below.</w:t>
      </w:r>
    </w:p>
    <w:p w14:paraId="70D7C8C7" w14:textId="77777777" w:rsidR="00ED6C12" w:rsidRPr="009E2B03" w:rsidRDefault="00ED6C12" w:rsidP="00E34132">
      <w:pPr>
        <w:pStyle w:val="BodyBullet"/>
        <w:numPr>
          <w:ilvl w:val="0"/>
          <w:numId w:val="0"/>
        </w:numPr>
        <w:rPr>
          <w:rFonts w:ascii="Calibri Light" w:hAnsi="Calibri Light" w:cs="Arial"/>
          <w:sz w:val="22"/>
          <w:lang w:val="en-US"/>
        </w:rPr>
      </w:pPr>
      <w:r w:rsidRPr="009E2B03">
        <w:rPr>
          <w:rFonts w:ascii="Calibri Light" w:hAnsi="Calibri Light" w:cs="Arial"/>
          <w:b/>
          <w:color w:val="6D2077"/>
          <w:sz w:val="22"/>
          <w:lang w:val="en-US"/>
        </w:rPr>
        <w:t>Psychological and behavioural issues</w:t>
      </w:r>
      <w:r w:rsidRPr="009E2B03">
        <w:rPr>
          <w:rFonts w:ascii="Calibri Light" w:hAnsi="Calibri Light" w:cs="Arial"/>
          <w:color w:val="6D2077"/>
          <w:sz w:val="22"/>
          <w:lang w:val="en-US"/>
        </w:rPr>
        <w:t xml:space="preserve">. </w:t>
      </w:r>
      <w:r w:rsidRPr="009E2B03">
        <w:rPr>
          <w:rFonts w:ascii="Calibri Light" w:hAnsi="Calibri Light" w:cs="Arial"/>
          <w:sz w:val="22"/>
          <w:lang w:val="en-US"/>
        </w:rPr>
        <w:t>Research in the Australian context has shown that children of victims of violence often experience a range of psychological issues such as depression, fear and anxiety. They may also face loneliness, peer conflict and impaired cognitive functioning, which has a critical impact on education achievement and attainment over the medium term.</w:t>
      </w:r>
      <w:r w:rsidRPr="009E2B03">
        <w:rPr>
          <w:rStyle w:val="FootnoteReference"/>
          <w:rFonts w:ascii="Calibri Light" w:eastAsia="Batang" w:hAnsi="Calibri Light" w:cs="Arial"/>
          <w:sz w:val="22"/>
          <w:lang w:val="en-US"/>
        </w:rPr>
        <w:footnoteReference w:id="47"/>
      </w:r>
      <w:r w:rsidRPr="009E2B03">
        <w:rPr>
          <w:rFonts w:ascii="Calibri Light" w:hAnsi="Calibri Light" w:cs="Arial"/>
          <w:sz w:val="22"/>
          <w:lang w:val="en-US"/>
        </w:rPr>
        <w:t xml:space="preserve"> Changing schools and remedial and special education due to the impact of violence is estimated by KPMG to cost $5 million per year to the Australian economy. </w:t>
      </w:r>
    </w:p>
    <w:p w14:paraId="213E6465" w14:textId="77777777" w:rsidR="00ED6C12" w:rsidRPr="009E2B03" w:rsidRDefault="00ED6C12" w:rsidP="00E34132">
      <w:pPr>
        <w:pStyle w:val="BodyBullet"/>
        <w:numPr>
          <w:ilvl w:val="0"/>
          <w:numId w:val="0"/>
        </w:numPr>
        <w:rPr>
          <w:rFonts w:ascii="Calibri Light" w:hAnsi="Calibri Light" w:cs="Arial"/>
          <w:sz w:val="22"/>
          <w:lang w:val="en-US"/>
        </w:rPr>
      </w:pPr>
      <w:r w:rsidRPr="009E2B03">
        <w:rPr>
          <w:rFonts w:ascii="Calibri Light" w:hAnsi="Calibri Light" w:cs="Arial"/>
          <w:b/>
          <w:color w:val="6D2077"/>
          <w:sz w:val="22"/>
          <w:lang w:val="en-US"/>
        </w:rPr>
        <w:t>Child abuse.</w:t>
      </w:r>
      <w:r w:rsidRPr="009E2B03">
        <w:rPr>
          <w:rFonts w:ascii="Calibri Light" w:hAnsi="Calibri Light" w:cs="Arial"/>
          <w:sz w:val="22"/>
          <w:lang w:val="en-US"/>
        </w:rPr>
        <w:t xml:space="preserve"> It is estimated that family and domestic violence is present in 55 per cent of physical abuse, and 40 per cent of sexual abuse cases against children.</w:t>
      </w:r>
      <w:r w:rsidRPr="009E2B03">
        <w:rPr>
          <w:rStyle w:val="FootnoteReference"/>
          <w:rFonts w:ascii="Calibri Light" w:eastAsia="Batang" w:hAnsi="Calibri Light" w:cs="Arial"/>
          <w:sz w:val="22"/>
          <w:lang w:val="en-US"/>
        </w:rPr>
        <w:footnoteReference w:id="48"/>
      </w:r>
      <w:r w:rsidRPr="009E2B03">
        <w:rPr>
          <w:rFonts w:ascii="Calibri Light" w:hAnsi="Calibri Light" w:cs="Arial"/>
          <w:sz w:val="22"/>
          <w:lang w:val="en-US"/>
        </w:rPr>
        <w:t xml:space="preserve"> Furthermore, incidents where children witness, or are exposed to acts of violence against women are increasingly considered as acts of child abuse, both in Australia and internationally.</w:t>
      </w:r>
      <w:r w:rsidRPr="009E2B03">
        <w:rPr>
          <w:rStyle w:val="FootnoteReference"/>
          <w:rFonts w:ascii="Calibri Light" w:eastAsia="Batang" w:hAnsi="Calibri Light" w:cs="Arial"/>
          <w:sz w:val="22"/>
          <w:lang w:val="en-US"/>
        </w:rPr>
        <w:footnoteReference w:id="49"/>
      </w:r>
      <w:r w:rsidRPr="009E2B03">
        <w:rPr>
          <w:rFonts w:ascii="Calibri Light" w:hAnsi="Calibri Light" w:cs="Arial"/>
          <w:sz w:val="22"/>
          <w:lang w:val="en-US"/>
        </w:rPr>
        <w:t xml:space="preserve"> </w:t>
      </w:r>
    </w:p>
    <w:p w14:paraId="719E31F5" w14:textId="77777777" w:rsidR="00ED6C12" w:rsidRPr="009E2B03" w:rsidRDefault="00ED6C12" w:rsidP="00E34132">
      <w:pPr>
        <w:pStyle w:val="BodyBullet"/>
        <w:numPr>
          <w:ilvl w:val="0"/>
          <w:numId w:val="0"/>
        </w:numPr>
        <w:rPr>
          <w:rFonts w:ascii="Calibri Light" w:hAnsi="Calibri Light" w:cs="Arial"/>
          <w:sz w:val="22"/>
          <w:lang w:val="en-US"/>
        </w:rPr>
      </w:pPr>
      <w:r w:rsidRPr="009E2B03">
        <w:rPr>
          <w:rFonts w:ascii="Calibri Light" w:hAnsi="Calibri Light" w:cs="Arial"/>
          <w:b/>
          <w:color w:val="6D2077"/>
          <w:sz w:val="22"/>
          <w:lang w:val="en-US"/>
        </w:rPr>
        <w:t>Health issues.</w:t>
      </w:r>
      <w:r w:rsidRPr="009E2B03">
        <w:rPr>
          <w:rFonts w:ascii="Calibri Light" w:hAnsi="Calibri Light" w:cs="Arial"/>
          <w:sz w:val="22"/>
          <w:lang w:val="en-US"/>
        </w:rPr>
        <w:t xml:space="preserve"> The incidence of domestic violence in the presence of children has been found to have severe implications on the health of children</w:t>
      </w:r>
      <w:r w:rsidR="005E449D" w:rsidRPr="009E2B03">
        <w:rPr>
          <w:rFonts w:ascii="Calibri Light" w:hAnsi="Calibri Light" w:cs="Arial"/>
          <w:sz w:val="22"/>
          <w:lang w:val="en-US"/>
        </w:rPr>
        <w:t>. T</w:t>
      </w:r>
      <w:r w:rsidRPr="009E2B03">
        <w:rPr>
          <w:rFonts w:ascii="Calibri Light" w:hAnsi="Calibri Light" w:cs="Arial"/>
          <w:sz w:val="22"/>
          <w:lang w:val="en-US"/>
        </w:rPr>
        <w:t>he Australian Crime Commission f</w:t>
      </w:r>
      <w:r w:rsidR="005E449D" w:rsidRPr="009E2B03">
        <w:rPr>
          <w:rFonts w:ascii="Calibri Light" w:hAnsi="Calibri Light" w:cs="Arial"/>
          <w:sz w:val="22"/>
          <w:lang w:val="en-US"/>
        </w:rPr>
        <w:t>ound</w:t>
      </w:r>
      <w:r w:rsidRPr="009E2B03">
        <w:rPr>
          <w:rFonts w:ascii="Calibri Light" w:hAnsi="Calibri Light" w:cs="Arial"/>
          <w:sz w:val="22"/>
          <w:lang w:val="en-US"/>
        </w:rPr>
        <w:t xml:space="preserve"> links between family and domestic violence, and incidents of intentional self-harm or suicide.</w:t>
      </w:r>
      <w:r w:rsidRPr="009E2B03">
        <w:rPr>
          <w:rStyle w:val="FootnoteReference"/>
          <w:rFonts w:ascii="Calibri Light" w:eastAsia="Batang" w:hAnsi="Calibri Light" w:cs="Arial"/>
          <w:sz w:val="22"/>
          <w:lang w:val="en-US"/>
        </w:rPr>
        <w:footnoteReference w:id="50"/>
      </w:r>
      <w:r w:rsidRPr="009E2B03">
        <w:rPr>
          <w:rFonts w:ascii="Calibri Light" w:hAnsi="Calibri Light" w:cs="Arial"/>
          <w:sz w:val="22"/>
          <w:lang w:val="en-US"/>
        </w:rPr>
        <w:t xml:space="preserve"> Living in the </w:t>
      </w:r>
      <w:r w:rsidRPr="009E2B03">
        <w:rPr>
          <w:rFonts w:ascii="Calibri Light" w:hAnsi="Calibri Light" w:cs="Arial"/>
          <w:sz w:val="22"/>
          <w:lang w:val="en-US"/>
        </w:rPr>
        <w:lastRenderedPageBreak/>
        <w:t>presence of violence in the home has been associated with other long term health conditions, such as substance abuse and depression.</w:t>
      </w:r>
      <w:r w:rsidRPr="009E2B03">
        <w:rPr>
          <w:rStyle w:val="FootnoteReference"/>
          <w:rFonts w:ascii="Calibri Light" w:eastAsia="Batang" w:hAnsi="Calibri Light" w:cs="Arial"/>
          <w:sz w:val="22"/>
          <w:lang w:val="en-US"/>
        </w:rPr>
        <w:footnoteReference w:id="51"/>
      </w:r>
    </w:p>
    <w:p w14:paraId="5CEF77D7" w14:textId="77777777" w:rsidR="00ED6C12" w:rsidRPr="009E2B03" w:rsidRDefault="00ED6C12" w:rsidP="00E34132">
      <w:pPr>
        <w:pStyle w:val="BodyBullet"/>
        <w:numPr>
          <w:ilvl w:val="0"/>
          <w:numId w:val="0"/>
        </w:numPr>
        <w:rPr>
          <w:rFonts w:ascii="Calibri Light" w:hAnsi="Calibri Light" w:cs="Arial"/>
          <w:sz w:val="22"/>
          <w:lang w:val="en-US"/>
        </w:rPr>
      </w:pPr>
      <w:r w:rsidRPr="009E2B03">
        <w:rPr>
          <w:rFonts w:ascii="Calibri Light" w:hAnsi="Calibri Light" w:cs="Arial"/>
          <w:b/>
          <w:color w:val="6D2077"/>
          <w:sz w:val="22"/>
          <w:lang w:val="en-US"/>
        </w:rPr>
        <w:t>Ongoing impacts from separation.</w:t>
      </w:r>
      <w:r w:rsidRPr="009E2B03">
        <w:rPr>
          <w:rFonts w:ascii="Calibri Light" w:hAnsi="Calibri Light" w:cs="Arial"/>
          <w:sz w:val="22"/>
          <w:lang w:val="en-US"/>
        </w:rPr>
        <w:t xml:space="preserve"> Conflicts may arise between the interests of the child and the interests of the parents, presenting complexities involving the right to parental contact, engagement in mediation, or separation issues for the child. In a 2010 Australian study, 39 per cent of children did not feel safe with their father post-separation, and nearly 68 per cent of children reported they felt scared or frightened in fights between their parents post-separation.</w:t>
      </w:r>
      <w:r w:rsidRPr="009E2B03">
        <w:rPr>
          <w:rStyle w:val="FootnoteReference"/>
          <w:rFonts w:ascii="Calibri Light" w:eastAsia="Batang" w:hAnsi="Calibri Light" w:cs="Arial"/>
          <w:sz w:val="22"/>
          <w:lang w:val="en-US"/>
        </w:rPr>
        <w:footnoteReference w:id="52"/>
      </w:r>
      <w:r w:rsidRPr="009E2B03">
        <w:rPr>
          <w:rFonts w:ascii="Calibri Light" w:hAnsi="Calibri Light" w:cs="Arial"/>
          <w:sz w:val="22"/>
          <w:lang w:val="en-US"/>
        </w:rPr>
        <w:t xml:space="preserve"> This presents challenges for healthy and cohesive families, as well as concerns for family law and child protection services. Additional child protection and out of home care services due to violence against women are conservatively estimated by KPMG </w:t>
      </w:r>
      <w:r w:rsidR="005E449D" w:rsidRPr="009E2B03">
        <w:rPr>
          <w:rFonts w:ascii="Calibri Light" w:hAnsi="Calibri Light" w:cs="Arial"/>
          <w:sz w:val="22"/>
          <w:lang w:val="en-US"/>
        </w:rPr>
        <w:t xml:space="preserve">to </w:t>
      </w:r>
      <w:r w:rsidRPr="009E2B03">
        <w:rPr>
          <w:rFonts w:ascii="Calibri Light" w:hAnsi="Calibri Light" w:cs="Arial"/>
          <w:sz w:val="22"/>
          <w:lang w:val="en-US"/>
        </w:rPr>
        <w:t>cost</w:t>
      </w:r>
      <w:r w:rsidR="005E449D" w:rsidRPr="009E2B03">
        <w:rPr>
          <w:rFonts w:ascii="Calibri Light" w:hAnsi="Calibri Light" w:cs="Arial"/>
          <w:sz w:val="22"/>
          <w:lang w:val="en-US"/>
        </w:rPr>
        <w:t xml:space="preserve"> the Australian economy</w:t>
      </w:r>
      <w:r w:rsidRPr="009E2B03">
        <w:rPr>
          <w:rFonts w:ascii="Calibri Light" w:hAnsi="Calibri Light" w:cs="Arial"/>
          <w:sz w:val="22"/>
          <w:lang w:val="en-US"/>
        </w:rPr>
        <w:t xml:space="preserve"> $83 million per year.</w:t>
      </w:r>
    </w:p>
    <w:p w14:paraId="69D56C6A" w14:textId="77777777" w:rsidR="00ED6C12" w:rsidRPr="009E2B03" w:rsidRDefault="00ED6C12" w:rsidP="00ED6C12">
      <w:pPr>
        <w:pStyle w:val="BodyBullet"/>
        <w:numPr>
          <w:ilvl w:val="0"/>
          <w:numId w:val="0"/>
        </w:numPr>
        <w:rPr>
          <w:rFonts w:ascii="Calibri Light" w:hAnsi="Calibri Light" w:cs="Arial"/>
          <w:sz w:val="22"/>
          <w:lang w:val="en-US"/>
        </w:rPr>
      </w:pPr>
      <w:r w:rsidRPr="009E2B03">
        <w:rPr>
          <w:rFonts w:ascii="Calibri Light" w:hAnsi="Calibri Light" w:cs="Arial"/>
          <w:sz w:val="22"/>
          <w:lang w:val="en-US"/>
        </w:rPr>
        <w:t>These impacts are significant – though not all children are affected in the same way by violence. However, the ongoing impacts of these considerations, as they interact or present in combination, may have long term impacts on children’s wellbeing and development. Over the duration of childhood, these factors may compound, contributing to the identified long-term impacts on economic outcomes, with resultant reduced productivity, welfare provision, medical costs, and unemployment.</w:t>
      </w:r>
      <w:r w:rsidRPr="009E2B03">
        <w:rPr>
          <w:rStyle w:val="FootnoteReference"/>
          <w:rFonts w:ascii="Calibri Light" w:eastAsia="Batang" w:hAnsi="Calibri Light" w:cs="Arial"/>
          <w:sz w:val="22"/>
          <w:lang w:val="en-US"/>
        </w:rPr>
        <w:footnoteReference w:id="53"/>
      </w:r>
      <w:r w:rsidRPr="009E2B03">
        <w:rPr>
          <w:rFonts w:ascii="Calibri Light" w:hAnsi="Calibri Light" w:cs="Arial"/>
          <w:sz w:val="22"/>
          <w:lang w:val="en-US"/>
        </w:rPr>
        <w:t xml:space="preserve"> </w:t>
      </w:r>
      <w:r w:rsidR="009D5103" w:rsidRPr="009E2B03">
        <w:rPr>
          <w:rFonts w:ascii="Calibri Light" w:hAnsi="Calibri Light" w:cs="Arial"/>
          <w:sz w:val="22"/>
          <w:lang w:val="en-US"/>
        </w:rPr>
        <w:fldChar w:fldCharType="begin"/>
      </w:r>
      <w:r w:rsidR="009D5103" w:rsidRPr="009E2B03">
        <w:rPr>
          <w:rFonts w:ascii="Calibri Light" w:hAnsi="Calibri Light" w:cs="Arial"/>
          <w:sz w:val="22"/>
          <w:lang w:val="en-US"/>
        </w:rPr>
        <w:instrText xml:space="preserve"> REF _Ref447374408 \h </w:instrText>
      </w:r>
      <w:r w:rsidR="009B0258" w:rsidRPr="009E2B03">
        <w:rPr>
          <w:rFonts w:ascii="Calibri Light" w:hAnsi="Calibri Light" w:cs="Arial"/>
          <w:sz w:val="22"/>
          <w:lang w:val="en-US"/>
        </w:rPr>
        <w:instrText xml:space="preserve"> \* MERGEFORMAT </w:instrText>
      </w:r>
      <w:r w:rsidR="009D5103" w:rsidRPr="009E2B03">
        <w:rPr>
          <w:rFonts w:ascii="Calibri Light" w:hAnsi="Calibri Light" w:cs="Arial"/>
          <w:sz w:val="22"/>
          <w:lang w:val="en-US"/>
        </w:rPr>
      </w:r>
      <w:r w:rsidR="009D5103" w:rsidRPr="009E2B03">
        <w:rPr>
          <w:rFonts w:ascii="Calibri Light" w:hAnsi="Calibri Light" w:cs="Arial"/>
          <w:sz w:val="22"/>
          <w:lang w:val="en-US"/>
        </w:rPr>
        <w:fldChar w:fldCharType="separate"/>
      </w:r>
      <w:r w:rsidR="00417237" w:rsidRPr="009E2B03">
        <w:rPr>
          <w:rFonts w:ascii="Calibri Light" w:hAnsi="Calibri Light" w:cs="Arial"/>
          <w:sz w:val="22"/>
        </w:rPr>
        <w:t xml:space="preserve">Box </w:t>
      </w:r>
      <w:r w:rsidR="00417237">
        <w:rPr>
          <w:rFonts w:ascii="Calibri Light" w:hAnsi="Calibri Light" w:cs="Arial"/>
          <w:noProof/>
          <w:sz w:val="22"/>
        </w:rPr>
        <w:t>3</w:t>
      </w:r>
      <w:r w:rsidR="00417237" w:rsidRPr="009E2B03">
        <w:rPr>
          <w:rFonts w:ascii="Calibri Light" w:hAnsi="Calibri Light" w:cs="Arial"/>
          <w:noProof/>
          <w:sz w:val="22"/>
        </w:rPr>
        <w:noBreakHyphen/>
      </w:r>
      <w:r w:rsidR="00417237">
        <w:rPr>
          <w:rFonts w:ascii="Calibri Light" w:hAnsi="Calibri Light" w:cs="Arial"/>
          <w:noProof/>
          <w:sz w:val="22"/>
        </w:rPr>
        <w:t>5</w:t>
      </w:r>
      <w:r w:rsidR="009D5103" w:rsidRPr="009E2B03">
        <w:rPr>
          <w:rFonts w:ascii="Calibri Light" w:hAnsi="Calibri Light" w:cs="Arial"/>
          <w:sz w:val="22"/>
          <w:lang w:val="en-US"/>
        </w:rPr>
        <w:fldChar w:fldCharType="end"/>
      </w:r>
      <w:r w:rsidR="009D5103" w:rsidRPr="009E2B03">
        <w:rPr>
          <w:rFonts w:ascii="Calibri Light" w:hAnsi="Calibri Light" w:cs="Arial"/>
          <w:sz w:val="22"/>
          <w:lang w:val="en-US"/>
        </w:rPr>
        <w:t xml:space="preserve"> </w:t>
      </w:r>
      <w:r w:rsidRPr="009E2B03">
        <w:rPr>
          <w:rFonts w:ascii="Calibri Light" w:hAnsi="Calibri Light" w:cs="Arial"/>
          <w:sz w:val="22"/>
          <w:lang w:val="en-US"/>
        </w:rPr>
        <w:t xml:space="preserve">provides a discussion on the different impacts of violence experienced by cohorts of greater vulnerability. </w:t>
      </w:r>
    </w:p>
    <w:p w14:paraId="3BACFB45" w14:textId="77777777" w:rsidR="00ED6C12" w:rsidRPr="009E2B03" w:rsidRDefault="00ED6C12" w:rsidP="00ED6C12">
      <w:pPr>
        <w:pStyle w:val="Caption"/>
        <w:rPr>
          <w:rFonts w:ascii="Calibri Light" w:hAnsi="Calibri Light" w:cs="Arial"/>
          <w:sz w:val="22"/>
        </w:rPr>
      </w:pPr>
      <w:bookmarkStart w:id="83" w:name="_Ref447374408"/>
      <w:r w:rsidRPr="009E2B03">
        <w:rPr>
          <w:rFonts w:ascii="Calibri Light" w:hAnsi="Calibri Light" w:cs="Arial"/>
          <w:sz w:val="22"/>
        </w:rPr>
        <w:t xml:space="preserve">Box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8D2E70"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Box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5</w:t>
      </w:r>
      <w:r w:rsidR="00CF0F96" w:rsidRPr="009E2B03">
        <w:rPr>
          <w:rFonts w:ascii="Calibri Light" w:hAnsi="Calibri Light" w:cs="Arial"/>
          <w:noProof/>
          <w:sz w:val="22"/>
        </w:rPr>
        <w:fldChar w:fldCharType="end"/>
      </w:r>
      <w:bookmarkEnd w:id="83"/>
      <w:r w:rsidRPr="009E2B03">
        <w:rPr>
          <w:rFonts w:ascii="Calibri Light" w:hAnsi="Calibri Light" w:cs="Arial"/>
          <w:sz w:val="22"/>
        </w:rPr>
        <w:t>: The impact of violence on children within vulnerable groups</w:t>
      </w:r>
    </w:p>
    <w:p w14:paraId="76305AF5" w14:textId="77777777" w:rsidR="00ED6C12" w:rsidRPr="009E2B03" w:rsidRDefault="00ED6C12" w:rsidP="00C95D8A">
      <w:pPr>
        <w:pBdr>
          <w:top w:val="single" w:sz="4" w:space="1" w:color="auto"/>
          <w:left w:val="single" w:sz="4" w:space="4" w:color="auto"/>
          <w:bottom w:val="single" w:sz="4" w:space="1" w:color="auto"/>
          <w:right w:val="single" w:sz="4" w:space="4" w:color="auto"/>
        </w:pBdr>
        <w:shd w:val="clear" w:color="auto" w:fill="F3F0F4"/>
        <w:rPr>
          <w:rFonts w:ascii="Calibri Light" w:eastAsia="Times New Roman" w:hAnsi="Calibri Light"/>
          <w:b/>
          <w:color w:val="6D2077"/>
          <w:sz w:val="22"/>
          <w:szCs w:val="24"/>
          <w:lang w:val="en-US" w:eastAsia="en-AU"/>
        </w:rPr>
      </w:pPr>
      <w:r w:rsidRPr="009E2B03">
        <w:rPr>
          <w:rFonts w:ascii="Calibri Light" w:eastAsia="Times New Roman" w:hAnsi="Calibri Light"/>
          <w:b/>
          <w:color w:val="6D2077"/>
          <w:sz w:val="22"/>
          <w:szCs w:val="24"/>
          <w:lang w:val="en-US" w:eastAsia="en-AU"/>
        </w:rPr>
        <w:t>The impact of violence on children within vulnerable groups</w:t>
      </w:r>
    </w:p>
    <w:p w14:paraId="381E617D" w14:textId="77777777" w:rsidR="00ED6C12" w:rsidRPr="009E2B03" w:rsidRDefault="00ED6C12" w:rsidP="00C95D8A">
      <w:pPr>
        <w:pBdr>
          <w:top w:val="single" w:sz="4" w:space="1" w:color="auto"/>
          <w:left w:val="single" w:sz="4" w:space="4" w:color="auto"/>
          <w:bottom w:val="single" w:sz="4" w:space="1" w:color="auto"/>
          <w:right w:val="single" w:sz="4" w:space="4" w:color="auto"/>
        </w:pBdr>
        <w:shd w:val="clear" w:color="auto" w:fill="F3F0F4"/>
        <w:rPr>
          <w:rFonts w:ascii="Calibri Light" w:hAnsi="Calibri Light"/>
          <w:sz w:val="22"/>
          <w:lang w:val="en-US"/>
        </w:rPr>
      </w:pPr>
      <w:r w:rsidRPr="009E2B03">
        <w:rPr>
          <w:rFonts w:ascii="Calibri Light" w:hAnsi="Calibri Light"/>
          <w:sz w:val="22"/>
          <w:lang w:val="en-US"/>
        </w:rPr>
        <w:t>The co-occurrence of violence against women that are within at-risk cohorts may compound the impact of violence on children. Understanding these intersectionalities and the differing impacts of violence is critical to understanding the experience of violence across cohorts. In particular:</w:t>
      </w:r>
    </w:p>
    <w:p w14:paraId="008ED540" w14:textId="77777777" w:rsidR="00ED6C12" w:rsidRPr="009E2B03" w:rsidRDefault="005E449D" w:rsidP="00C95D8A">
      <w:pPr>
        <w:pStyle w:val="BodyBullet"/>
        <w:pBdr>
          <w:top w:val="single" w:sz="4" w:space="1" w:color="auto"/>
          <w:left w:val="single" w:sz="4" w:space="4" w:color="auto"/>
          <w:bottom w:val="single" w:sz="4" w:space="1" w:color="auto"/>
          <w:right w:val="single" w:sz="4" w:space="4" w:color="auto"/>
        </w:pBdr>
        <w:shd w:val="clear" w:color="auto" w:fill="F3F0F4"/>
        <w:rPr>
          <w:rFonts w:ascii="Calibri Light" w:hAnsi="Calibri Light" w:cs="Arial"/>
          <w:sz w:val="22"/>
        </w:rPr>
      </w:pPr>
      <w:r w:rsidRPr="009E2B03">
        <w:rPr>
          <w:rFonts w:ascii="Calibri Light" w:hAnsi="Calibri Light" w:cs="Arial"/>
          <w:b/>
          <w:color w:val="6D2077"/>
          <w:sz w:val="22"/>
          <w:lang w:val="en-US"/>
        </w:rPr>
        <w:t>Y</w:t>
      </w:r>
      <w:r w:rsidR="00ED6C12" w:rsidRPr="009E2B03">
        <w:rPr>
          <w:rFonts w:ascii="Calibri Light" w:hAnsi="Calibri Light" w:cs="Arial"/>
          <w:b/>
          <w:color w:val="6D2077"/>
          <w:sz w:val="22"/>
          <w:lang w:val="en-US"/>
        </w:rPr>
        <w:t>oung people of an Aboriginal and Torres Strait Islander</w:t>
      </w:r>
      <w:r w:rsidR="00ED6C12" w:rsidRPr="009E2B03" w:rsidDel="00D5154C">
        <w:rPr>
          <w:rFonts w:ascii="Calibri Light" w:hAnsi="Calibri Light" w:cs="Arial"/>
          <w:b/>
          <w:color w:val="6D2077"/>
          <w:sz w:val="22"/>
          <w:lang w:val="en-US"/>
        </w:rPr>
        <w:t xml:space="preserve"> </w:t>
      </w:r>
      <w:r w:rsidR="00ED6C12" w:rsidRPr="009E2B03">
        <w:rPr>
          <w:rFonts w:ascii="Calibri Light" w:hAnsi="Calibri Light" w:cs="Arial"/>
          <w:b/>
          <w:color w:val="6D2077"/>
          <w:sz w:val="22"/>
          <w:lang w:val="en-US"/>
        </w:rPr>
        <w:t>background</w:t>
      </w:r>
      <w:r w:rsidR="00ED6C12" w:rsidRPr="009E2B03">
        <w:rPr>
          <w:rFonts w:ascii="Calibri Light" w:hAnsi="Calibri Light" w:cs="Arial"/>
          <w:sz w:val="22"/>
        </w:rPr>
        <w:t xml:space="preserve"> have been identified as a cohort that faces higher vulnerability to experiencing violence. Further, among young Aboriginal and Torres Strait Islander people, 42 per cent reported witnessing violence against their mother or stepmother, compared to </w:t>
      </w:r>
      <w:r w:rsidRPr="009E2B03">
        <w:rPr>
          <w:rFonts w:ascii="Calibri Light" w:hAnsi="Calibri Light" w:cs="Arial"/>
          <w:sz w:val="22"/>
        </w:rPr>
        <w:t>a</w:t>
      </w:r>
      <w:r w:rsidR="00ED6C12" w:rsidRPr="009E2B03">
        <w:rPr>
          <w:rFonts w:ascii="Calibri Light" w:hAnsi="Calibri Light" w:cs="Arial"/>
          <w:sz w:val="22"/>
        </w:rPr>
        <w:t xml:space="preserve"> national figure </w:t>
      </w:r>
      <w:r w:rsidRPr="009E2B03">
        <w:rPr>
          <w:rFonts w:ascii="Calibri Light" w:hAnsi="Calibri Light" w:cs="Arial"/>
          <w:sz w:val="22"/>
        </w:rPr>
        <w:t>of</w:t>
      </w:r>
      <w:r w:rsidR="00ED6C12" w:rsidRPr="009E2B03">
        <w:rPr>
          <w:rFonts w:ascii="Calibri Light" w:hAnsi="Calibri Light" w:cs="Arial"/>
          <w:sz w:val="22"/>
        </w:rPr>
        <w:t xml:space="preserve"> 23 per cent of either Aboriginal and Torres Strait Islander</w:t>
      </w:r>
      <w:r w:rsidR="00ED6C12" w:rsidRPr="009E2B03" w:rsidDel="00D5154C">
        <w:rPr>
          <w:rFonts w:ascii="Calibri Light" w:hAnsi="Calibri Light" w:cs="Arial"/>
          <w:sz w:val="22"/>
        </w:rPr>
        <w:t xml:space="preserve"> </w:t>
      </w:r>
      <w:r w:rsidR="00ED6C12" w:rsidRPr="009E2B03">
        <w:rPr>
          <w:rFonts w:ascii="Calibri Light" w:hAnsi="Calibri Light" w:cs="Arial"/>
          <w:sz w:val="22"/>
        </w:rPr>
        <w:t>or non- Aboriginal and Torres Strait Islander children</w:t>
      </w:r>
      <w:r w:rsidRPr="009E2B03">
        <w:rPr>
          <w:rFonts w:ascii="Calibri Light" w:hAnsi="Calibri Light" w:cs="Arial"/>
          <w:sz w:val="22"/>
        </w:rPr>
        <w:t>.</w:t>
      </w:r>
    </w:p>
    <w:p w14:paraId="0297ADC1" w14:textId="77777777" w:rsidR="00ED6C12" w:rsidRPr="009E2B03" w:rsidRDefault="005E449D" w:rsidP="00C95D8A">
      <w:pPr>
        <w:pStyle w:val="BodyBullet"/>
        <w:pBdr>
          <w:top w:val="single" w:sz="4" w:space="1" w:color="auto"/>
          <w:left w:val="single" w:sz="4" w:space="4" w:color="auto"/>
          <w:bottom w:val="single" w:sz="4" w:space="1" w:color="auto"/>
          <w:right w:val="single" w:sz="4" w:space="4" w:color="auto"/>
        </w:pBdr>
        <w:shd w:val="clear" w:color="auto" w:fill="F3F0F4"/>
        <w:rPr>
          <w:rFonts w:ascii="Calibri Light" w:hAnsi="Calibri Light" w:cs="Arial"/>
          <w:sz w:val="22"/>
        </w:rPr>
      </w:pPr>
      <w:r w:rsidRPr="009E2B03">
        <w:rPr>
          <w:rFonts w:ascii="Calibri Light" w:hAnsi="Calibri Light" w:cs="Arial"/>
          <w:b/>
          <w:color w:val="6D2077"/>
          <w:sz w:val="22"/>
          <w:lang w:val="en-US"/>
        </w:rPr>
        <w:t>H</w:t>
      </w:r>
      <w:r w:rsidR="00ED6C12" w:rsidRPr="009E2B03">
        <w:rPr>
          <w:rFonts w:ascii="Calibri Light" w:hAnsi="Calibri Light" w:cs="Arial"/>
          <w:b/>
          <w:color w:val="6D2077"/>
          <w:sz w:val="22"/>
          <w:lang w:val="en-US"/>
        </w:rPr>
        <w:t xml:space="preserve">omelessness </w:t>
      </w:r>
      <w:r w:rsidR="00ED6C12" w:rsidRPr="009E2B03">
        <w:rPr>
          <w:rFonts w:ascii="Calibri Light" w:hAnsi="Calibri Light" w:cs="Arial"/>
          <w:sz w:val="22"/>
        </w:rPr>
        <w:t xml:space="preserve">has been identified </w:t>
      </w:r>
      <w:r w:rsidRPr="009E2B03">
        <w:rPr>
          <w:rFonts w:ascii="Calibri Light" w:hAnsi="Calibri Light" w:cs="Arial"/>
          <w:sz w:val="22"/>
        </w:rPr>
        <w:t>as</w:t>
      </w:r>
      <w:r w:rsidR="00ED6C12" w:rsidRPr="009E2B03">
        <w:rPr>
          <w:rFonts w:ascii="Calibri Light" w:hAnsi="Calibri Light" w:cs="Arial"/>
          <w:sz w:val="22"/>
        </w:rPr>
        <w:t xml:space="preserve"> a</w:t>
      </w:r>
      <w:r w:rsidR="00371BF4" w:rsidRPr="009E2B03">
        <w:rPr>
          <w:rFonts w:ascii="Calibri Light" w:hAnsi="Calibri Light" w:cs="Arial"/>
          <w:sz w:val="22"/>
        </w:rPr>
        <w:t>n important</w:t>
      </w:r>
      <w:r w:rsidR="00ED6C12" w:rsidRPr="009E2B03">
        <w:rPr>
          <w:rFonts w:ascii="Calibri Light" w:hAnsi="Calibri Light" w:cs="Arial"/>
          <w:sz w:val="22"/>
        </w:rPr>
        <w:t xml:space="preserve"> factor to consider in understanding violence against women and children. In 2003-04, the total number of children of women escaping domestic violence made up two-thirds of child clients accessing Supported Accommodation and Assistance Program services.</w:t>
      </w:r>
      <w:r w:rsidR="00ED6C12" w:rsidRPr="009E2B03">
        <w:rPr>
          <w:rStyle w:val="FootnoteReference"/>
          <w:rFonts w:ascii="Calibri Light" w:eastAsia="Batang" w:hAnsi="Calibri Light" w:cs="Arial"/>
          <w:sz w:val="22"/>
        </w:rPr>
        <w:footnoteReference w:id="54"/>
      </w:r>
    </w:p>
    <w:p w14:paraId="0FF16CC1" w14:textId="77777777" w:rsidR="00ED6C12" w:rsidRPr="009E2B03" w:rsidRDefault="00ED6C12" w:rsidP="00C95D8A">
      <w:pPr>
        <w:pBdr>
          <w:top w:val="single" w:sz="4" w:space="1" w:color="auto"/>
          <w:left w:val="single" w:sz="4" w:space="4" w:color="auto"/>
          <w:bottom w:val="single" w:sz="4" w:space="1" w:color="auto"/>
          <w:right w:val="single" w:sz="4" w:space="4" w:color="auto"/>
        </w:pBdr>
        <w:shd w:val="clear" w:color="auto" w:fill="F3F0F4"/>
        <w:rPr>
          <w:rFonts w:ascii="Calibri Light" w:hAnsi="Calibri Light"/>
          <w:sz w:val="22"/>
          <w:lang w:val="en-US"/>
        </w:rPr>
      </w:pPr>
      <w:r w:rsidRPr="009E2B03">
        <w:rPr>
          <w:rFonts w:ascii="Calibri Light" w:hAnsi="Calibri Light"/>
          <w:sz w:val="22"/>
          <w:lang w:val="en-US"/>
        </w:rPr>
        <w:t>Furthermore, underreporting – and the fragmented nature of data measuring violence against women and their children – is a</w:t>
      </w:r>
      <w:r w:rsidR="005E449D" w:rsidRPr="009E2B03">
        <w:rPr>
          <w:rFonts w:ascii="Calibri Light" w:hAnsi="Calibri Light"/>
          <w:sz w:val="22"/>
          <w:lang w:val="en-US"/>
        </w:rPr>
        <w:t xml:space="preserve"> significant</w:t>
      </w:r>
      <w:r w:rsidRPr="009E2B03">
        <w:rPr>
          <w:rFonts w:ascii="Calibri Light" w:hAnsi="Calibri Light"/>
          <w:sz w:val="22"/>
          <w:lang w:val="en-US"/>
        </w:rPr>
        <w:t xml:space="preserve"> challenge for estimating the impacts of violence, particularly in accessing and recording accurate information for children. The provision of information is reliant on parents’ accounts, and this presents difficulties where parents may underestimate the extent to which children know about, or are involved in an incident of violence; or where parents and carers are concerned about family separation.</w:t>
      </w:r>
      <w:r w:rsidRPr="009E2B03">
        <w:rPr>
          <w:rStyle w:val="FootnoteReference"/>
          <w:rFonts w:ascii="Calibri Light" w:hAnsi="Calibri Light"/>
          <w:sz w:val="22"/>
          <w:lang w:val="en-US"/>
        </w:rPr>
        <w:footnoteReference w:id="55"/>
      </w:r>
    </w:p>
    <w:p w14:paraId="3BE5EA76" w14:textId="77777777" w:rsidR="00ED6C12" w:rsidRPr="009E2B03" w:rsidRDefault="00ED6C12" w:rsidP="00ED6C12">
      <w:pPr>
        <w:autoSpaceDE w:val="0"/>
        <w:autoSpaceDN w:val="0"/>
        <w:adjustRightInd w:val="0"/>
        <w:spacing w:before="0" w:after="0"/>
        <w:rPr>
          <w:rFonts w:ascii="Calibri Light" w:hAnsi="Calibri Light"/>
          <w:sz w:val="22"/>
          <w:lang w:val="en-US"/>
        </w:rPr>
      </w:pPr>
      <w:r w:rsidRPr="009E2B03">
        <w:rPr>
          <w:rFonts w:ascii="Calibri Light" w:hAnsi="Calibri Light"/>
          <w:sz w:val="22"/>
          <w:lang w:val="en-US"/>
        </w:rPr>
        <w:t xml:space="preserve">Children themselves may also be perpetrators of violence against women. An 11 year study conducted for the Victorian Family Violence Database found that the incidence of violence against a parent or step-parent perpetrated by a child or step-child was consistently around 14 per cent over the period between 1999 and 2010. The majority of these incidents were committed by adolescent </w:t>
      </w:r>
      <w:r w:rsidRPr="009E2B03">
        <w:rPr>
          <w:rFonts w:ascii="Calibri Light" w:hAnsi="Calibri Light"/>
          <w:sz w:val="22"/>
          <w:lang w:val="en-US"/>
        </w:rPr>
        <w:lastRenderedPageBreak/>
        <w:t>children, and one quarter were committed by adult children. According to both police and court data, victims of both male and female perpetrators were more likely to be mothers or step-mothers, although male perpetrators were more common.</w:t>
      </w:r>
      <w:r w:rsidRPr="009E2B03">
        <w:rPr>
          <w:rStyle w:val="FootnoteReference"/>
          <w:rFonts w:ascii="Calibri Light" w:hAnsi="Calibri Light"/>
          <w:sz w:val="22"/>
          <w:lang w:val="en-US"/>
        </w:rPr>
        <w:footnoteReference w:id="56"/>
      </w:r>
      <w:r w:rsidRPr="009E2B03">
        <w:rPr>
          <w:rFonts w:ascii="Calibri Light" w:hAnsi="Calibri Light"/>
          <w:sz w:val="22"/>
          <w:lang w:val="en-US"/>
        </w:rPr>
        <w:t xml:space="preserve"> </w:t>
      </w:r>
    </w:p>
    <w:p w14:paraId="7E6080DA" w14:textId="77777777" w:rsidR="00ED6C12" w:rsidRPr="009E2B03" w:rsidRDefault="00ED6C1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Administration and other costs</w:t>
      </w:r>
    </w:p>
    <w:tbl>
      <w:tblPr>
        <w:tblStyle w:val="TableGrid"/>
        <w:tblW w:w="0" w:type="auto"/>
        <w:shd w:val="clear" w:color="auto" w:fill="D9D9D9" w:themeFill="background1" w:themeFillShade="D9"/>
        <w:tblLook w:val="04A0" w:firstRow="1" w:lastRow="0" w:firstColumn="1" w:lastColumn="0" w:noHBand="0" w:noVBand="1"/>
        <w:tblCaption w:val="Box of information on administration and other costs"/>
        <w:tblDescription w:val="KPMG estimates that the impact of violence against women and their children on the justice, services and funeral sectors will cost the Australian economy $1.7 billion this year. "/>
      </w:tblPr>
      <w:tblGrid>
        <w:gridCol w:w="9016"/>
      </w:tblGrid>
      <w:tr w:rsidR="00ED6C12" w:rsidRPr="009E2B03" w14:paraId="62A0CE28" w14:textId="77777777" w:rsidTr="00865FDB">
        <w:trPr>
          <w:tblHeader/>
        </w:trPr>
        <w:tc>
          <w:tcPr>
            <w:tcW w:w="9016" w:type="dxa"/>
            <w:shd w:val="clear" w:color="auto" w:fill="F3F0F4"/>
          </w:tcPr>
          <w:p w14:paraId="573C1465" w14:textId="77777777" w:rsidR="00ED6C12" w:rsidRPr="009E2B03" w:rsidRDefault="00ED6C12" w:rsidP="00ED6C12">
            <w:pPr>
              <w:pStyle w:val="BodyBullet"/>
              <w:numPr>
                <w:ilvl w:val="0"/>
                <w:numId w:val="0"/>
              </w:numPr>
              <w:ind w:left="360" w:hanging="360"/>
              <w:rPr>
                <w:rFonts w:ascii="Calibri Light" w:hAnsi="Calibri Light" w:cs="Arial"/>
                <w:b/>
                <w:i/>
                <w:color w:val="6D2077"/>
                <w:sz w:val="22"/>
              </w:rPr>
            </w:pPr>
            <w:r w:rsidRPr="009E2B03">
              <w:rPr>
                <w:rFonts w:ascii="Calibri Light" w:hAnsi="Calibri Light" w:cs="Arial"/>
                <w:b/>
                <w:i/>
                <w:color w:val="6D2077"/>
                <w:sz w:val="22"/>
              </w:rPr>
              <w:t>Key insights</w:t>
            </w:r>
          </w:p>
          <w:p w14:paraId="36E7416E" w14:textId="346A855A" w:rsidR="00ED6C12" w:rsidRPr="009E2B03" w:rsidRDefault="00ED6C12" w:rsidP="00ED6C12">
            <w:pPr>
              <w:pStyle w:val="BodyBullet"/>
              <w:numPr>
                <w:ilvl w:val="0"/>
                <w:numId w:val="0"/>
              </w:numPr>
              <w:rPr>
                <w:rFonts w:ascii="Calibri Light" w:hAnsi="Calibri Light" w:cs="Arial"/>
                <w:b/>
                <w:color w:val="6D2077"/>
                <w:sz w:val="22"/>
              </w:rPr>
            </w:pPr>
            <w:r w:rsidRPr="009E2B03">
              <w:rPr>
                <w:rFonts w:ascii="Calibri Light" w:hAnsi="Calibri Light" w:cs="Arial"/>
                <w:b/>
                <w:color w:val="6D2077"/>
                <w:sz w:val="22"/>
              </w:rPr>
              <w:t xml:space="preserve">KPMG estimates that the impact of violence against women and their children on the justice, services and funeral sectors </w:t>
            </w:r>
            <w:r w:rsidR="00A24BE9" w:rsidRPr="009E2B03">
              <w:rPr>
                <w:rFonts w:ascii="Calibri Light" w:hAnsi="Calibri Light" w:cs="Arial"/>
                <w:b/>
                <w:color w:val="6D2077"/>
                <w:sz w:val="22"/>
              </w:rPr>
              <w:t xml:space="preserve">will </w:t>
            </w:r>
            <w:r w:rsidRPr="009E2B03">
              <w:rPr>
                <w:rFonts w:ascii="Calibri Light" w:hAnsi="Calibri Light" w:cs="Arial"/>
                <w:b/>
                <w:color w:val="6D2077"/>
                <w:sz w:val="22"/>
              </w:rPr>
              <w:t xml:space="preserve">cost the Australian economy $1.7 billion </w:t>
            </w:r>
            <w:r w:rsidR="0015237E" w:rsidRPr="009E2B03">
              <w:rPr>
                <w:rFonts w:ascii="Calibri Light" w:hAnsi="Calibri Light" w:cs="Arial"/>
                <w:b/>
                <w:color w:val="6D2077"/>
                <w:sz w:val="22"/>
              </w:rPr>
              <w:t>this</w:t>
            </w:r>
            <w:r w:rsidRPr="009E2B03">
              <w:rPr>
                <w:rFonts w:ascii="Calibri Light" w:hAnsi="Calibri Light" w:cs="Arial"/>
                <w:b/>
                <w:color w:val="6D2077"/>
                <w:sz w:val="22"/>
              </w:rPr>
              <w:t xml:space="preserve"> year. </w:t>
            </w:r>
          </w:p>
          <w:p w14:paraId="60C5F186" w14:textId="77777777" w:rsidR="00ED6C12" w:rsidRPr="009E2B03" w:rsidRDefault="00ED6C12" w:rsidP="00C95D8A">
            <w:pPr>
              <w:pStyle w:val="BodyBullet"/>
              <w:shd w:val="clear" w:color="auto" w:fill="F3F0F4"/>
              <w:rPr>
                <w:rFonts w:ascii="Calibri Light" w:hAnsi="Calibri Light" w:cs="Arial"/>
                <w:sz w:val="22"/>
                <w:lang w:val="en-US"/>
              </w:rPr>
            </w:pPr>
            <w:r w:rsidRPr="009E2B03">
              <w:rPr>
                <w:rFonts w:ascii="Calibri Light" w:hAnsi="Calibri Light" w:cs="Arial"/>
                <w:sz w:val="22"/>
                <w:szCs w:val="20"/>
                <w:lang w:val="en-US"/>
              </w:rPr>
              <w:t>The pathways of perpetrators through the justice system is a substantial cost to government, from the first call to police, to the costs associated with the legal procedure for obtaining an apprehended violence order (AVO), to prosecution and incarceration of a perpetrator. It is estimated that violence against women and their children cost the justice sector $1.1 billion in 2015-16.</w:t>
            </w:r>
          </w:p>
          <w:p w14:paraId="24CF9658" w14:textId="77777777" w:rsidR="00ED6C12" w:rsidRPr="009E2B03" w:rsidRDefault="00ED6C12" w:rsidP="00C95D8A">
            <w:pPr>
              <w:pStyle w:val="BodyBullet"/>
              <w:shd w:val="clear" w:color="auto" w:fill="F3F0F4"/>
              <w:rPr>
                <w:rFonts w:ascii="Calibri Light" w:hAnsi="Calibri Light" w:cs="Arial"/>
                <w:sz w:val="22"/>
                <w:lang w:val="en-US"/>
              </w:rPr>
            </w:pPr>
            <w:r w:rsidRPr="009E2B03">
              <w:rPr>
                <w:rFonts w:ascii="Calibri Light" w:hAnsi="Calibri Light" w:cs="Arial"/>
                <w:sz w:val="22"/>
                <w:szCs w:val="20"/>
                <w:lang w:val="en-US"/>
              </w:rPr>
              <w:t>Domestic violence places greater demand on community service organisations</w:t>
            </w:r>
            <w:r w:rsidR="00A24BE9" w:rsidRPr="009E2B03">
              <w:rPr>
                <w:rFonts w:ascii="Calibri Light" w:hAnsi="Calibri Light" w:cs="Arial"/>
                <w:sz w:val="22"/>
                <w:szCs w:val="20"/>
                <w:lang w:val="en-US"/>
              </w:rPr>
              <w:t>. F</w:t>
            </w:r>
            <w:r w:rsidRPr="009E2B03">
              <w:rPr>
                <w:rFonts w:ascii="Calibri Light" w:hAnsi="Calibri Light" w:cs="Arial"/>
                <w:sz w:val="22"/>
                <w:szCs w:val="20"/>
                <w:lang w:val="en-US"/>
              </w:rPr>
              <w:t xml:space="preserve">or example, one in three individuals requiring assistance from specialist homelessness service organisations are doing so because of domestic violence. </w:t>
            </w:r>
          </w:p>
          <w:p w14:paraId="4AC780B0"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szCs w:val="20"/>
                <w:lang w:val="en-US"/>
              </w:rPr>
              <w:t>It is estimated that community services, including counselling, accommodation, interpreter services, as well as imputed carer cost and paid care totals $596 million over a 12 month period.</w:t>
            </w:r>
          </w:p>
        </w:tc>
      </w:tr>
    </w:tbl>
    <w:p w14:paraId="4E11B5CA" w14:textId="77777777" w:rsidR="00ED6C12" w:rsidRPr="009E2B03" w:rsidRDefault="00ED6C12" w:rsidP="00ED6C12">
      <w:pPr>
        <w:shd w:val="clear" w:color="auto" w:fill="FFFFFF" w:themeFill="background1"/>
        <w:rPr>
          <w:rFonts w:ascii="Calibri Light" w:hAnsi="Calibri Light"/>
          <w:sz w:val="22"/>
        </w:rPr>
      </w:pPr>
      <w:r w:rsidRPr="009E2B03">
        <w:rPr>
          <w:rFonts w:ascii="Calibri Light" w:hAnsi="Calibri Light"/>
          <w:sz w:val="22"/>
        </w:rPr>
        <w:t>Violence against women and children has a substantial impact on the justice system, through the management of perpetrators, and on the services system, through the provisioning of homelessness services, crisis support and other services types. Our calculation of administration costs identifies key costing impacts for these two sectors, as well as the cost of funeral services. A detailed overview of the cost impact on the justice and service sectors is outlined below.</w:t>
      </w:r>
    </w:p>
    <w:p w14:paraId="1877D762" w14:textId="77777777" w:rsidR="00ED6C12" w:rsidRPr="009E2B03" w:rsidRDefault="00ED6C12" w:rsidP="00ED6C12">
      <w:pPr>
        <w:pStyle w:val="Heading4"/>
        <w:rPr>
          <w:rFonts w:ascii="Calibri Light" w:hAnsi="Calibri Light"/>
          <w:color w:val="6D2077"/>
          <w:sz w:val="22"/>
        </w:rPr>
      </w:pPr>
      <w:r w:rsidRPr="009E2B03">
        <w:rPr>
          <w:rFonts w:ascii="Calibri Light" w:hAnsi="Calibri Light"/>
          <w:color w:val="6D2077"/>
          <w:sz w:val="22"/>
        </w:rPr>
        <w:t>Impact on the justice sector</w:t>
      </w:r>
    </w:p>
    <w:p w14:paraId="488E8BA4" w14:textId="77777777" w:rsidR="00ED6C12" w:rsidRPr="009E2B03" w:rsidRDefault="00ED6C12" w:rsidP="00ED6C12">
      <w:pPr>
        <w:shd w:val="clear" w:color="auto" w:fill="FFFFFF" w:themeFill="background1"/>
        <w:rPr>
          <w:rFonts w:ascii="Calibri Light" w:hAnsi="Calibri Light"/>
          <w:sz w:val="22"/>
        </w:rPr>
      </w:pPr>
      <w:r w:rsidRPr="009E2B03">
        <w:rPr>
          <w:rFonts w:ascii="Calibri Light" w:hAnsi="Calibri Light"/>
          <w:sz w:val="22"/>
        </w:rPr>
        <w:t xml:space="preserve">Violence against women and their children is a crime, and this means that the justice sector is central in providing key </w:t>
      </w:r>
      <w:r w:rsidR="009D5103" w:rsidRPr="009E2B03">
        <w:rPr>
          <w:rFonts w:ascii="Calibri Light" w:hAnsi="Calibri Light"/>
          <w:sz w:val="22"/>
        </w:rPr>
        <w:t>services</w:t>
      </w:r>
      <w:r w:rsidRPr="009E2B03">
        <w:rPr>
          <w:rFonts w:ascii="Calibri Light" w:hAnsi="Calibri Light"/>
          <w:sz w:val="22"/>
        </w:rPr>
        <w:t xml:space="preserve"> for addressing violence in Australia. The provision and funding of these services is a cost bu</w:t>
      </w:r>
      <w:r w:rsidR="001A3745" w:rsidRPr="009E2B03">
        <w:rPr>
          <w:rFonts w:ascii="Calibri Light" w:hAnsi="Calibri Light"/>
          <w:sz w:val="22"/>
        </w:rPr>
        <w:t>rden for both Commonwealth and state and t</w:t>
      </w:r>
      <w:r w:rsidRPr="009E2B03">
        <w:rPr>
          <w:rFonts w:ascii="Calibri Light" w:hAnsi="Calibri Light"/>
          <w:sz w:val="22"/>
        </w:rPr>
        <w:t xml:space="preserve">erritory governments in Australia. </w:t>
      </w:r>
    </w:p>
    <w:p w14:paraId="1F8FDF88" w14:textId="77777777" w:rsidR="00ED6C12" w:rsidRPr="009E2B03" w:rsidRDefault="00ED6C12" w:rsidP="00ED6C12">
      <w:pPr>
        <w:shd w:val="clear" w:color="auto" w:fill="FFFFFF" w:themeFill="background1"/>
        <w:rPr>
          <w:rFonts w:ascii="Calibri Light" w:hAnsi="Calibri Light"/>
          <w:sz w:val="22"/>
        </w:rPr>
      </w:pPr>
      <w:r w:rsidRPr="009E2B03">
        <w:rPr>
          <w:rFonts w:ascii="Calibri Light" w:hAnsi="Calibri Light"/>
          <w:sz w:val="22"/>
        </w:rPr>
        <w:t>The primary cost types incurred by the justice sector in engaging with violence against women and their children are set out below. Each of the cost types has been estimated to contribute to roughly one third of the costs of the justice system as a whole. According to KPMG estimates, this corresponds to a</w:t>
      </w:r>
      <w:r w:rsidR="009D5103" w:rsidRPr="009E2B03">
        <w:rPr>
          <w:rFonts w:ascii="Calibri Light" w:hAnsi="Calibri Light"/>
          <w:sz w:val="22"/>
        </w:rPr>
        <w:t>n estimated</w:t>
      </w:r>
      <w:r w:rsidRPr="009E2B03">
        <w:rPr>
          <w:rFonts w:ascii="Calibri Light" w:hAnsi="Calibri Light"/>
          <w:sz w:val="22"/>
        </w:rPr>
        <w:t xml:space="preserve"> cost of $1.1 billion in 2015-16.</w:t>
      </w:r>
    </w:p>
    <w:p w14:paraId="6D7F2CC9" w14:textId="77777777" w:rsidR="00ED6C12" w:rsidRPr="009E2B03" w:rsidRDefault="00ED6C12" w:rsidP="00371BF4">
      <w:pPr>
        <w:pStyle w:val="BodyBullet"/>
        <w:numPr>
          <w:ilvl w:val="0"/>
          <w:numId w:val="0"/>
        </w:numPr>
        <w:rPr>
          <w:rFonts w:ascii="Calibri Light" w:hAnsi="Calibri Light" w:cs="Arial"/>
          <w:b/>
          <w:i/>
          <w:sz w:val="22"/>
        </w:rPr>
      </w:pPr>
      <w:r w:rsidRPr="009E2B03">
        <w:rPr>
          <w:rFonts w:ascii="Calibri Light" w:eastAsia="Batang" w:hAnsi="Calibri Light" w:cs="Arial"/>
          <w:b/>
          <w:color w:val="6D2077"/>
          <w:sz w:val="22"/>
          <w:szCs w:val="36"/>
          <w:lang w:eastAsia="ko-KR"/>
        </w:rPr>
        <w:t>Court systems:</w:t>
      </w:r>
      <w:r w:rsidRPr="009E2B03">
        <w:rPr>
          <w:rFonts w:ascii="Calibri Light" w:hAnsi="Calibri Light" w:cs="Arial"/>
          <w:b/>
          <w:i/>
          <w:sz w:val="22"/>
        </w:rPr>
        <w:t xml:space="preserve"> </w:t>
      </w:r>
      <w:r w:rsidRPr="009E2B03">
        <w:rPr>
          <w:rFonts w:ascii="Calibri Light" w:hAnsi="Calibri Light" w:cs="Arial"/>
          <w:sz w:val="22"/>
        </w:rPr>
        <w:t xml:space="preserve">includes court dealings with the perpetrator, perpetrator defence and AVO and Family Court custody orders, all of which are important components of the process to ensure the crime is handled in accordance with the law, and provide appropriate protection for victims. Following an incident of violence, a victim may seek an AVO or custody order, an important act to ensure the ongoing safety of the victim and their family.  </w:t>
      </w:r>
    </w:p>
    <w:p w14:paraId="42E606B1" w14:textId="77777777" w:rsidR="00ED6C12" w:rsidRPr="009E2B03" w:rsidRDefault="00ED6C12" w:rsidP="00371BF4">
      <w:pPr>
        <w:pStyle w:val="BodyBullet"/>
        <w:numPr>
          <w:ilvl w:val="0"/>
          <w:numId w:val="0"/>
        </w:numPr>
        <w:rPr>
          <w:rFonts w:ascii="Calibri Light" w:hAnsi="Calibri Light" w:cs="Arial"/>
          <w:b/>
          <w:i/>
          <w:sz w:val="22"/>
        </w:rPr>
      </w:pPr>
      <w:r w:rsidRPr="009E2B03">
        <w:rPr>
          <w:rFonts w:ascii="Calibri Light" w:eastAsia="Batang" w:hAnsi="Calibri Light" w:cs="Arial"/>
          <w:b/>
          <w:color w:val="6D2077"/>
          <w:sz w:val="22"/>
          <w:szCs w:val="36"/>
          <w:lang w:eastAsia="ko-KR"/>
        </w:rPr>
        <w:t>Police and incarceration costs:</w:t>
      </w:r>
      <w:r w:rsidRPr="009E2B03">
        <w:rPr>
          <w:rFonts w:ascii="Calibri Light" w:hAnsi="Calibri Light" w:cs="Arial"/>
          <w:b/>
          <w:i/>
          <w:sz w:val="22"/>
        </w:rPr>
        <w:t xml:space="preserve"> </w:t>
      </w:r>
      <w:r w:rsidRPr="009E2B03">
        <w:rPr>
          <w:rFonts w:ascii="Calibri Light" w:hAnsi="Calibri Light" w:cs="Arial"/>
          <w:sz w:val="22"/>
        </w:rPr>
        <w:t>the immediacy of police services are critical in ensuring the safety of victims of violence. Conversely, incarceration costs are incurred at the end of the justice process for perpetrators of violence. Incarceration follows court appearances and sentencing</w:t>
      </w:r>
      <w:r w:rsidR="009D5103" w:rsidRPr="009E2B03">
        <w:rPr>
          <w:rFonts w:ascii="Calibri Light" w:hAnsi="Calibri Light" w:cs="Arial"/>
          <w:sz w:val="22"/>
        </w:rPr>
        <w:t xml:space="preserve"> –</w:t>
      </w:r>
      <w:r w:rsidRPr="009E2B03">
        <w:rPr>
          <w:rFonts w:ascii="Calibri Light" w:hAnsi="Calibri Light" w:cs="Arial"/>
          <w:sz w:val="22"/>
        </w:rPr>
        <w:t xml:space="preserve"> all of which represent individual cost phases. </w:t>
      </w:r>
    </w:p>
    <w:p w14:paraId="0D9B8EE4" w14:textId="77777777" w:rsidR="00ED6C12" w:rsidRPr="009E2B03" w:rsidRDefault="00ED6C12" w:rsidP="00371BF4">
      <w:pPr>
        <w:pStyle w:val="BodyBullet"/>
        <w:numPr>
          <w:ilvl w:val="0"/>
          <w:numId w:val="0"/>
        </w:numPr>
        <w:rPr>
          <w:rFonts w:ascii="Calibri Light" w:hAnsi="Calibri Light" w:cs="Arial"/>
          <w:b/>
          <w:i/>
          <w:sz w:val="22"/>
        </w:rPr>
      </w:pPr>
      <w:r w:rsidRPr="009E2B03">
        <w:rPr>
          <w:rFonts w:ascii="Calibri Light" w:eastAsia="Batang" w:hAnsi="Calibri Light" w:cs="Arial"/>
          <w:b/>
          <w:color w:val="6D2077"/>
          <w:sz w:val="22"/>
          <w:szCs w:val="36"/>
          <w:lang w:eastAsia="ko-KR"/>
        </w:rPr>
        <w:lastRenderedPageBreak/>
        <w:t>Other costs</w:t>
      </w:r>
      <w:r w:rsidRPr="009E2B03">
        <w:rPr>
          <w:rFonts w:ascii="Calibri Light" w:hAnsi="Calibri Light" w:cs="Arial"/>
          <w:b/>
          <w:i/>
          <w:sz w:val="22"/>
        </w:rPr>
        <w:t xml:space="preserve"> </w:t>
      </w:r>
      <w:r w:rsidRPr="009E2B03">
        <w:rPr>
          <w:rFonts w:ascii="Calibri Light" w:hAnsi="Calibri Light" w:cs="Arial"/>
          <w:sz w:val="22"/>
        </w:rPr>
        <w:t xml:space="preserve">includes coronial costs, counselling services, perpetrator programs, interpreter services, funeral costs, imputed carer costs and paid care. These miscellaneous costs are incurred over the lifetime of the justice process for perpetrators and victims. They may be required throughout court or formal procedures (for example interpreter services), or perpetrator programs and counselling services. Some costs and services are required only in certain instances, such as in the incidence of homicide. </w:t>
      </w:r>
    </w:p>
    <w:p w14:paraId="23C58B75" w14:textId="77777777" w:rsidR="00ED6C12" w:rsidRPr="009E2B03" w:rsidRDefault="00ED6C12" w:rsidP="00ED6C12">
      <w:pPr>
        <w:pStyle w:val="Heading4"/>
        <w:rPr>
          <w:rFonts w:ascii="Calibri Light" w:hAnsi="Calibri Light"/>
          <w:color w:val="6D2077"/>
          <w:sz w:val="22"/>
        </w:rPr>
      </w:pPr>
      <w:r w:rsidRPr="009E2B03">
        <w:rPr>
          <w:rFonts w:ascii="Calibri Light" w:hAnsi="Calibri Light"/>
          <w:color w:val="6D2077"/>
          <w:sz w:val="22"/>
        </w:rPr>
        <w:t>Impact on community services</w:t>
      </w:r>
    </w:p>
    <w:p w14:paraId="6C83DE0B" w14:textId="77777777" w:rsidR="00ED6C12" w:rsidRPr="009E2B03" w:rsidRDefault="00ED6C12" w:rsidP="00ED6C12">
      <w:pPr>
        <w:shd w:val="clear" w:color="auto" w:fill="FFFFFF"/>
        <w:rPr>
          <w:rFonts w:ascii="Calibri Light" w:hAnsi="Calibri Light"/>
          <w:sz w:val="22"/>
        </w:rPr>
      </w:pPr>
      <w:r w:rsidRPr="009E2B03">
        <w:rPr>
          <w:rFonts w:ascii="Calibri Light" w:hAnsi="Calibri Light"/>
          <w:sz w:val="22"/>
        </w:rPr>
        <w:t xml:space="preserve">Support services are an essential component of addressing incidents of violence, by ensuring the immediate and ongoing safety, care and wellbeing of the women and their children who are victims of violence. These services are a central component of </w:t>
      </w:r>
      <w:r w:rsidR="00A24BE9" w:rsidRPr="009E2B03">
        <w:rPr>
          <w:rFonts w:ascii="Calibri Light" w:hAnsi="Calibri Light"/>
          <w:sz w:val="22"/>
        </w:rPr>
        <w:t xml:space="preserve">the overall </w:t>
      </w:r>
      <w:r w:rsidRPr="009E2B03">
        <w:rPr>
          <w:rFonts w:ascii="Calibri Light" w:hAnsi="Calibri Light"/>
          <w:sz w:val="22"/>
        </w:rPr>
        <w:t xml:space="preserve">policy response to violence against women and their children, and the costs of these services are primarily borne by governments in the provision and funding these services. These care and support services may be more general, or specifically targeted for women and their children who have experienced violence: </w:t>
      </w:r>
    </w:p>
    <w:p w14:paraId="19EA4455" w14:textId="77777777" w:rsidR="00ED6C12" w:rsidRPr="009E2B03" w:rsidRDefault="00ED6C12" w:rsidP="00ED6C12">
      <w:pPr>
        <w:pStyle w:val="BodyBullet"/>
        <w:rPr>
          <w:rFonts w:ascii="Calibri Light" w:hAnsi="Calibri Light" w:cs="Arial"/>
          <w:sz w:val="22"/>
          <w:szCs w:val="20"/>
        </w:rPr>
      </w:pPr>
      <w:r w:rsidRPr="009E2B03">
        <w:rPr>
          <w:rFonts w:ascii="Calibri Light" w:eastAsia="Batang" w:hAnsi="Calibri Light" w:cs="Arial"/>
          <w:b/>
          <w:color w:val="6D2077"/>
          <w:sz w:val="22"/>
          <w:szCs w:val="36"/>
          <w:lang w:eastAsia="ko-KR"/>
        </w:rPr>
        <w:t>General services:</w:t>
      </w:r>
      <w:r w:rsidRPr="009E2B03">
        <w:rPr>
          <w:rFonts w:ascii="Calibri Light" w:hAnsi="Calibri Light" w:cs="Arial"/>
          <w:sz w:val="22"/>
        </w:rPr>
        <w:t xml:space="preserve"> range from transportation and communication services to refuge shelters and homelessness. These services are provided to a range of clients, alongside women and their children who are victims of violence.</w:t>
      </w:r>
    </w:p>
    <w:p w14:paraId="4B4C3FEE" w14:textId="77777777" w:rsidR="00ED6C12" w:rsidRPr="009E2B03" w:rsidRDefault="00ED6C12" w:rsidP="00ED6C12">
      <w:pPr>
        <w:pStyle w:val="BodyBullet"/>
        <w:rPr>
          <w:rFonts w:ascii="Calibri Light" w:hAnsi="Calibri Light" w:cs="Arial"/>
          <w:sz w:val="22"/>
        </w:rPr>
      </w:pPr>
      <w:r w:rsidRPr="009E2B03">
        <w:rPr>
          <w:rFonts w:ascii="Calibri Light" w:eastAsia="Batang" w:hAnsi="Calibri Light" w:cs="Arial"/>
          <w:b/>
          <w:color w:val="6D2077"/>
          <w:sz w:val="22"/>
          <w:szCs w:val="36"/>
          <w:lang w:eastAsia="ko-KR"/>
        </w:rPr>
        <w:t>Specific support services:</w:t>
      </w:r>
      <w:r w:rsidRPr="009E2B03">
        <w:rPr>
          <w:rFonts w:ascii="Calibri Light" w:hAnsi="Calibri Light" w:cs="Arial"/>
          <w:sz w:val="22"/>
        </w:rPr>
        <w:t xml:space="preserve"> are specific to dealing with incidents of violence, and may include crisis hotlines, emergency support and may have specialised staff with extensive training and capability for dealing with victims or perpetrators of violence. </w:t>
      </w:r>
    </w:p>
    <w:p w14:paraId="473D5923" w14:textId="77777777" w:rsidR="00ED6C12" w:rsidRPr="009E2B03" w:rsidRDefault="00ED6C12" w:rsidP="00ED6C12">
      <w:pPr>
        <w:shd w:val="clear" w:color="auto" w:fill="FFFFFF"/>
        <w:rPr>
          <w:rFonts w:ascii="Calibri Light" w:hAnsi="Calibri Light"/>
          <w:sz w:val="22"/>
        </w:rPr>
      </w:pPr>
      <w:r w:rsidRPr="009E2B03">
        <w:rPr>
          <w:rFonts w:ascii="Calibri Light" w:hAnsi="Calibri Light"/>
          <w:sz w:val="22"/>
        </w:rPr>
        <w:t xml:space="preserve">Specialist homelessness services are an example of the services accessed by women and their children who are victims of violence. </w:t>
      </w:r>
      <w:r w:rsidRPr="009E2B03">
        <w:rPr>
          <w:rFonts w:ascii="Calibri Light" w:hAnsi="Calibri Light"/>
          <w:sz w:val="22"/>
          <w:highlight w:val="yellow"/>
        </w:rPr>
        <w:fldChar w:fldCharType="begin"/>
      </w:r>
      <w:r w:rsidRPr="009E2B03">
        <w:rPr>
          <w:rFonts w:ascii="Calibri Light" w:hAnsi="Calibri Light"/>
          <w:sz w:val="22"/>
        </w:rPr>
        <w:instrText xml:space="preserve"> REF _Ref447122628 \h </w:instrText>
      </w:r>
      <w:r w:rsidR="009B0258" w:rsidRPr="009E2B03">
        <w:rPr>
          <w:rFonts w:ascii="Calibri Light" w:hAnsi="Calibri Light"/>
          <w:sz w:val="22"/>
          <w:highlight w:val="yellow"/>
        </w:rPr>
        <w:instrText xml:space="preserve"> \* MERGEFORMAT </w:instrText>
      </w:r>
      <w:r w:rsidRPr="009E2B03">
        <w:rPr>
          <w:rFonts w:ascii="Calibri Light" w:hAnsi="Calibri Light"/>
          <w:sz w:val="22"/>
          <w:highlight w:val="yellow"/>
        </w:rPr>
      </w:r>
      <w:r w:rsidRPr="009E2B03">
        <w:rPr>
          <w:rFonts w:ascii="Calibri Light" w:hAnsi="Calibri Light"/>
          <w:sz w:val="22"/>
          <w:highlight w:val="yellow"/>
        </w:rPr>
        <w:fldChar w:fldCharType="separate"/>
      </w:r>
      <w:r w:rsidR="00417237" w:rsidRPr="009E2B03">
        <w:rPr>
          <w:rFonts w:ascii="Calibri Light" w:hAnsi="Calibri Light"/>
          <w:sz w:val="22"/>
        </w:rPr>
        <w:t xml:space="preserve">Box </w:t>
      </w:r>
      <w:r w:rsidR="00417237">
        <w:rPr>
          <w:rFonts w:ascii="Calibri Light" w:hAnsi="Calibri Light"/>
          <w:noProof/>
          <w:sz w:val="22"/>
        </w:rPr>
        <w:t>3</w:t>
      </w:r>
      <w:r w:rsidR="00417237" w:rsidRPr="009E2B03">
        <w:rPr>
          <w:rFonts w:ascii="Calibri Light" w:hAnsi="Calibri Light"/>
          <w:noProof/>
          <w:sz w:val="22"/>
        </w:rPr>
        <w:noBreakHyphen/>
      </w:r>
      <w:r w:rsidR="00417237">
        <w:rPr>
          <w:rFonts w:ascii="Calibri Light" w:hAnsi="Calibri Light"/>
          <w:noProof/>
          <w:sz w:val="22"/>
        </w:rPr>
        <w:t>6</w:t>
      </w:r>
      <w:r w:rsidRPr="009E2B03">
        <w:rPr>
          <w:rFonts w:ascii="Calibri Light" w:hAnsi="Calibri Light"/>
          <w:sz w:val="22"/>
          <w:highlight w:val="yellow"/>
        </w:rPr>
        <w:fldChar w:fldCharType="end"/>
      </w:r>
      <w:r w:rsidRPr="009E2B03">
        <w:rPr>
          <w:rFonts w:ascii="Calibri Light" w:hAnsi="Calibri Light"/>
          <w:sz w:val="22"/>
        </w:rPr>
        <w:t xml:space="preserve"> examines the need for specialist homelessness services and patterns of usage in Australia among victims of violence, and includes a discussion on the role of specialist services in contributing to the wellbeing of victims.</w:t>
      </w:r>
    </w:p>
    <w:p w14:paraId="17917F17" w14:textId="77777777" w:rsidR="00ED6C12" w:rsidRPr="009E2B03" w:rsidRDefault="00ED6C12" w:rsidP="00ED6C12">
      <w:pPr>
        <w:pStyle w:val="Caption"/>
        <w:rPr>
          <w:rFonts w:ascii="Calibri Light" w:hAnsi="Calibri Light" w:cs="Arial"/>
          <w:sz w:val="22"/>
        </w:rPr>
      </w:pPr>
      <w:bookmarkStart w:id="84" w:name="_Ref447122628"/>
      <w:r w:rsidRPr="009E2B03">
        <w:rPr>
          <w:rFonts w:ascii="Calibri Light" w:hAnsi="Calibri Light" w:cs="Arial"/>
          <w:sz w:val="22"/>
        </w:rPr>
        <w:t xml:space="preserve">Box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r w:rsidR="008D2E70"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Box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6</w:t>
      </w:r>
      <w:r w:rsidR="00CF0F96" w:rsidRPr="009E2B03">
        <w:rPr>
          <w:rFonts w:ascii="Calibri Light" w:hAnsi="Calibri Light" w:cs="Arial"/>
          <w:noProof/>
          <w:sz w:val="22"/>
        </w:rPr>
        <w:fldChar w:fldCharType="end"/>
      </w:r>
      <w:bookmarkEnd w:id="84"/>
      <w:r w:rsidRPr="009E2B03">
        <w:rPr>
          <w:rFonts w:ascii="Calibri Light" w:hAnsi="Calibri Light" w:cs="Arial"/>
          <w:sz w:val="22"/>
        </w:rPr>
        <w:t>: The impact of violence on specialist homelessness services</w:t>
      </w:r>
    </w:p>
    <w:p w14:paraId="43C553FF" w14:textId="77777777" w:rsidR="00ED6C12" w:rsidRPr="009E2B03" w:rsidRDefault="00ED6C12" w:rsidP="00C95D8A">
      <w:pPr>
        <w:pBdr>
          <w:top w:val="single" w:sz="4" w:space="1" w:color="auto"/>
          <w:left w:val="single" w:sz="4" w:space="4" w:color="auto"/>
          <w:bottom w:val="single" w:sz="4" w:space="1" w:color="auto"/>
          <w:right w:val="single" w:sz="4" w:space="4" w:color="auto"/>
        </w:pBdr>
        <w:shd w:val="clear" w:color="auto" w:fill="F3F0F4"/>
        <w:rPr>
          <w:rFonts w:ascii="Calibri Light" w:hAnsi="Calibri Light"/>
          <w:sz w:val="22"/>
        </w:rPr>
      </w:pPr>
      <w:r w:rsidRPr="009E2B03">
        <w:rPr>
          <w:rFonts w:ascii="Calibri Light" w:hAnsi="Calibri Light"/>
          <w:sz w:val="22"/>
        </w:rPr>
        <w:t xml:space="preserve">Many women access community services, particularly homelessness and refuge services, as a result of violence by an intimate partner or family member. Detailed service data from AIHW which identifies the reason for women accessing women’s homeless shelters and refuges established that one in three individuals required assistance from specialist homelessness service organisations </w:t>
      </w:r>
      <w:r w:rsidR="00B67459" w:rsidRPr="009E2B03">
        <w:rPr>
          <w:rFonts w:ascii="Calibri Light" w:hAnsi="Calibri Light"/>
          <w:sz w:val="22"/>
        </w:rPr>
        <w:t>due to</w:t>
      </w:r>
      <w:r w:rsidRPr="009E2B03">
        <w:rPr>
          <w:rFonts w:ascii="Calibri Light" w:hAnsi="Calibri Light"/>
          <w:sz w:val="22"/>
        </w:rPr>
        <w:t xml:space="preserve"> domestic violence, with 64 per cent of victims being female.</w:t>
      </w:r>
      <w:r w:rsidRPr="009E2B03">
        <w:rPr>
          <w:rStyle w:val="FootnoteReference"/>
          <w:rFonts w:ascii="Calibri Light" w:hAnsi="Calibri Light"/>
          <w:sz w:val="22"/>
        </w:rPr>
        <w:footnoteReference w:id="57"/>
      </w:r>
      <w:r w:rsidRPr="009E2B03">
        <w:rPr>
          <w:rFonts w:ascii="Calibri Light" w:hAnsi="Calibri Light"/>
          <w:sz w:val="22"/>
        </w:rPr>
        <w:t xml:space="preserve"> It is significant to note that the determination of domestic violence as the cause of homelessness is based on self-identification while the individual is present at the community service, indicating the possibility for women to non-disclose and be underrepresented in the statistics.</w:t>
      </w:r>
    </w:p>
    <w:p w14:paraId="043431C9" w14:textId="77777777" w:rsidR="00ED6C12" w:rsidRPr="009E2B03" w:rsidRDefault="00ED6C12" w:rsidP="00C95D8A">
      <w:pPr>
        <w:pBdr>
          <w:top w:val="single" w:sz="4" w:space="1" w:color="auto"/>
          <w:left w:val="single" w:sz="4" w:space="4" w:color="auto"/>
          <w:bottom w:val="single" w:sz="4" w:space="1" w:color="auto"/>
          <w:right w:val="single" w:sz="4" w:space="4" w:color="auto"/>
        </w:pBdr>
        <w:shd w:val="clear" w:color="auto" w:fill="F3F0F4"/>
        <w:rPr>
          <w:rFonts w:ascii="Calibri Light" w:hAnsi="Calibri Light"/>
          <w:sz w:val="22"/>
        </w:rPr>
      </w:pPr>
      <w:r w:rsidRPr="009E2B03">
        <w:rPr>
          <w:rFonts w:ascii="Calibri Light" w:hAnsi="Calibri Light"/>
          <w:sz w:val="22"/>
        </w:rPr>
        <w:t>Across Australia, estimates established in the PSS suggest that one in seven women who temporarily separate from their partner are forced to experience homelessness as the result of partner based violence. Further, one in 12 women sleeping rough are doing so following a violent incident or separation from an abusive former partner.</w:t>
      </w:r>
      <w:r w:rsidRPr="009E2B03">
        <w:rPr>
          <w:rStyle w:val="FootnoteReference"/>
          <w:rFonts w:ascii="Calibri Light" w:hAnsi="Calibri Light"/>
          <w:sz w:val="22"/>
        </w:rPr>
        <w:footnoteReference w:id="58"/>
      </w:r>
      <w:r w:rsidRPr="009E2B03">
        <w:rPr>
          <w:rFonts w:ascii="Calibri Light" w:hAnsi="Calibri Light"/>
          <w:sz w:val="22"/>
        </w:rPr>
        <w:t xml:space="preserve"> Although many women who temporarily or permanently leave a violent relationship are able to stay with family or friends, a substantial number of women experience homelessness as a result of</w:t>
      </w:r>
      <w:r w:rsidR="00A24BE9" w:rsidRPr="009E2B03">
        <w:rPr>
          <w:rFonts w:ascii="Calibri Light" w:hAnsi="Calibri Light"/>
          <w:sz w:val="22"/>
        </w:rPr>
        <w:t xml:space="preserve"> </w:t>
      </w:r>
      <w:r w:rsidRPr="009E2B03">
        <w:rPr>
          <w:rFonts w:ascii="Calibri Light" w:hAnsi="Calibri Light"/>
          <w:sz w:val="22"/>
        </w:rPr>
        <w:t>leaving that relationship. Specialist homelessness services data released by AIHW provides the following insights.</w:t>
      </w:r>
      <w:r w:rsidRPr="009E2B03">
        <w:rPr>
          <w:rStyle w:val="FootnoteReference"/>
          <w:rFonts w:ascii="Calibri Light" w:hAnsi="Calibri Light"/>
          <w:sz w:val="22"/>
        </w:rPr>
        <w:footnoteReference w:id="59"/>
      </w:r>
    </w:p>
    <w:p w14:paraId="61669ED2" w14:textId="77777777" w:rsidR="00ED6C12" w:rsidRPr="009E2B03" w:rsidRDefault="00ED6C12" w:rsidP="00C95D8A">
      <w:pPr>
        <w:pStyle w:val="BodyBullet"/>
        <w:pBdr>
          <w:top w:val="single" w:sz="4" w:space="1" w:color="auto"/>
          <w:left w:val="single" w:sz="4" w:space="4" w:color="auto"/>
          <w:bottom w:val="single" w:sz="4" w:space="1" w:color="auto"/>
          <w:right w:val="single" w:sz="4" w:space="4" w:color="auto"/>
        </w:pBdr>
        <w:shd w:val="clear" w:color="auto" w:fill="F3F0F4"/>
        <w:rPr>
          <w:rFonts w:ascii="Calibri Light" w:hAnsi="Calibri Light" w:cs="Arial"/>
          <w:sz w:val="22"/>
        </w:rPr>
      </w:pPr>
      <w:r w:rsidRPr="009E2B03">
        <w:rPr>
          <w:rFonts w:ascii="Calibri Light" w:hAnsi="Calibri Light" w:cs="Arial"/>
          <w:sz w:val="22"/>
        </w:rPr>
        <w:t>Between 2011-12 and 2014-15, the number of women accessing community services increased by 16 per cent. This is partly the result of an increase in service provision, particularly in Victoria.</w:t>
      </w:r>
    </w:p>
    <w:p w14:paraId="38E7BDF9" w14:textId="77777777" w:rsidR="00ED6C12" w:rsidRPr="009E2B03" w:rsidRDefault="00ED6C12" w:rsidP="00C95D8A">
      <w:pPr>
        <w:pStyle w:val="BodyBullet"/>
        <w:pBdr>
          <w:top w:val="single" w:sz="4" w:space="1" w:color="auto"/>
          <w:left w:val="single" w:sz="4" w:space="4" w:color="auto"/>
          <w:bottom w:val="single" w:sz="4" w:space="1" w:color="auto"/>
          <w:right w:val="single" w:sz="4" w:space="4" w:color="auto"/>
        </w:pBdr>
        <w:shd w:val="clear" w:color="auto" w:fill="F3F0F4"/>
        <w:rPr>
          <w:rFonts w:ascii="Calibri Light" w:hAnsi="Calibri Light" w:cs="Arial"/>
          <w:sz w:val="22"/>
        </w:rPr>
      </w:pPr>
      <w:r w:rsidRPr="009E2B03">
        <w:rPr>
          <w:rFonts w:ascii="Calibri Light" w:hAnsi="Calibri Light" w:cs="Arial"/>
          <w:sz w:val="22"/>
        </w:rPr>
        <w:lastRenderedPageBreak/>
        <w:t>Across the same time period, single parent households with a child or children accounted for the majority of this increase in the request for services.</w:t>
      </w:r>
    </w:p>
    <w:p w14:paraId="2D6FD193" w14:textId="77777777" w:rsidR="00ED6C12" w:rsidRPr="009E2B03" w:rsidRDefault="00ED6C12" w:rsidP="00C95D8A">
      <w:pPr>
        <w:pStyle w:val="BodyBullet"/>
        <w:pBdr>
          <w:top w:val="single" w:sz="4" w:space="1" w:color="auto"/>
          <w:left w:val="single" w:sz="4" w:space="4" w:color="auto"/>
          <w:bottom w:val="single" w:sz="4" w:space="1" w:color="auto"/>
          <w:right w:val="single" w:sz="4" w:space="4" w:color="auto"/>
        </w:pBdr>
        <w:shd w:val="clear" w:color="auto" w:fill="F3F0F4"/>
        <w:rPr>
          <w:rFonts w:ascii="Calibri Light" w:hAnsi="Calibri Light" w:cs="Arial"/>
          <w:sz w:val="22"/>
        </w:rPr>
      </w:pPr>
      <w:r w:rsidRPr="009E2B03">
        <w:rPr>
          <w:rFonts w:ascii="Calibri Light" w:hAnsi="Calibri Light" w:cs="Arial"/>
          <w:sz w:val="22"/>
        </w:rPr>
        <w:t>The most common reason why women accessed community services was for short term or emergency accommodation (42 per cent), followed by material and aid brokerage (37 per cent).</w:t>
      </w:r>
    </w:p>
    <w:p w14:paraId="35C7BF42" w14:textId="77777777" w:rsidR="00ED6C12" w:rsidRPr="009E2B03" w:rsidRDefault="00ED6C12" w:rsidP="00C95D8A">
      <w:pPr>
        <w:pBdr>
          <w:top w:val="single" w:sz="4" w:space="1" w:color="auto"/>
          <w:left w:val="single" w:sz="4" w:space="4" w:color="auto"/>
          <w:bottom w:val="single" w:sz="4" w:space="1" w:color="auto"/>
          <w:right w:val="single" w:sz="4" w:space="4" w:color="auto"/>
        </w:pBdr>
        <w:shd w:val="clear" w:color="auto" w:fill="F3F0F4"/>
        <w:rPr>
          <w:rFonts w:ascii="Calibri Light" w:hAnsi="Calibri Light"/>
          <w:sz w:val="22"/>
        </w:rPr>
      </w:pPr>
      <w:r w:rsidRPr="009E2B03">
        <w:rPr>
          <w:rFonts w:ascii="Calibri Light" w:hAnsi="Calibri Light"/>
          <w:sz w:val="22"/>
        </w:rPr>
        <w:t>The points above indicate that there has been a substantial increase in women accessing community services organisations at the same time that the availability of these services at a national level has increased, with particular states increasing at a faster rate than others. As a result, there may be a high level of unmet need within the system. It is critical that there is a greater understanding of these needs developed over time to appropriately inform policy responses.</w:t>
      </w:r>
    </w:p>
    <w:p w14:paraId="4B010C0F" w14:textId="77777777" w:rsidR="00ED6C12" w:rsidRPr="009E2B03" w:rsidRDefault="00ED6C12" w:rsidP="00C95D8A">
      <w:pPr>
        <w:pBdr>
          <w:top w:val="single" w:sz="4" w:space="1" w:color="auto"/>
          <w:left w:val="single" w:sz="4" w:space="4" w:color="auto"/>
          <w:bottom w:val="single" w:sz="4" w:space="1" w:color="auto"/>
          <w:right w:val="single" w:sz="4" w:space="4" w:color="auto"/>
        </w:pBdr>
        <w:shd w:val="clear" w:color="auto" w:fill="F3F0F4"/>
        <w:rPr>
          <w:rFonts w:ascii="Calibri Light" w:hAnsi="Calibri Light"/>
          <w:sz w:val="22"/>
        </w:rPr>
      </w:pPr>
      <w:r w:rsidRPr="009E2B03">
        <w:rPr>
          <w:rFonts w:ascii="Calibri Light" w:hAnsi="Calibri Light"/>
          <w:sz w:val="22"/>
        </w:rPr>
        <w:t>The data also provides an important window into the intersections of disadvantage for vulnerable women. For example, 24 per cent of Aboriginal and Torres Strait Islander women who access specialist homelessness services do so because of domestic violence, while 18 per cent of elderly clients over the age of 55 use these services for the same reason. In addition, 15 per cent of women with a disability who access homeless services identify themselves as the victim of family violence.</w:t>
      </w:r>
      <w:r w:rsidRPr="009E2B03">
        <w:rPr>
          <w:rStyle w:val="FootnoteReference"/>
          <w:rFonts w:ascii="Calibri Light" w:hAnsi="Calibri Light"/>
          <w:sz w:val="22"/>
        </w:rPr>
        <w:footnoteReference w:id="60"/>
      </w:r>
      <w:r w:rsidRPr="009E2B03">
        <w:rPr>
          <w:rFonts w:ascii="Calibri Light" w:hAnsi="Calibri Light"/>
          <w:sz w:val="22"/>
        </w:rPr>
        <w:t xml:space="preserve"> As discussed further in Section </w:t>
      </w:r>
      <w:r w:rsidRPr="009E2B03">
        <w:rPr>
          <w:rFonts w:ascii="Calibri Light" w:hAnsi="Calibri Light"/>
          <w:sz w:val="22"/>
        </w:rPr>
        <w:fldChar w:fldCharType="begin"/>
      </w:r>
      <w:r w:rsidRPr="009E2B03">
        <w:rPr>
          <w:rFonts w:ascii="Calibri Light" w:hAnsi="Calibri Light"/>
          <w:sz w:val="22"/>
        </w:rPr>
        <w:instrText xml:space="preserve"> REF _Ref447122682 \r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Pr>
          <w:rFonts w:ascii="Calibri Light" w:hAnsi="Calibri Light"/>
          <w:sz w:val="22"/>
        </w:rPr>
        <w:t>4</w:t>
      </w:r>
      <w:r w:rsidRPr="009E2B03">
        <w:rPr>
          <w:rFonts w:ascii="Calibri Light" w:hAnsi="Calibri Light"/>
          <w:sz w:val="22"/>
        </w:rPr>
        <w:fldChar w:fldCharType="end"/>
      </w:r>
      <w:r w:rsidRPr="009E2B03">
        <w:rPr>
          <w:rFonts w:ascii="Calibri Light" w:hAnsi="Calibri Light"/>
          <w:sz w:val="22"/>
        </w:rPr>
        <w:t>, this indicates that levels of need across communities are potentially impacted by intersections of vulnerability and disadvantage.</w:t>
      </w:r>
    </w:p>
    <w:p w14:paraId="0238876D" w14:textId="77777777" w:rsidR="00ED6C12" w:rsidRPr="009E2B03" w:rsidRDefault="00ED6C1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Transfer costs</w:t>
      </w:r>
    </w:p>
    <w:tbl>
      <w:tblPr>
        <w:tblStyle w:val="TableGrid"/>
        <w:tblW w:w="0" w:type="auto"/>
        <w:tblInd w:w="-147" w:type="dxa"/>
        <w:shd w:val="clear" w:color="auto" w:fill="D9D9D9" w:themeFill="background1" w:themeFillShade="D9"/>
        <w:tblLook w:val="04A0" w:firstRow="1" w:lastRow="0" w:firstColumn="1" w:lastColumn="0" w:noHBand="0" w:noVBand="1"/>
        <w:tblCaption w:val="Box of information on transfer costs"/>
        <w:tblDescription w:val="KPMG estimates that transfer costs resulting from violence against women and their children will cost the Australian economy $1.6 billion this year."/>
      </w:tblPr>
      <w:tblGrid>
        <w:gridCol w:w="9163"/>
      </w:tblGrid>
      <w:tr w:rsidR="00ED6C12" w:rsidRPr="009E2B03" w14:paraId="3F0B3E1E" w14:textId="77777777" w:rsidTr="00865FDB">
        <w:trPr>
          <w:tblHeader/>
        </w:trPr>
        <w:tc>
          <w:tcPr>
            <w:tcW w:w="9163" w:type="dxa"/>
            <w:shd w:val="clear" w:color="auto" w:fill="F3F0F4"/>
          </w:tcPr>
          <w:p w14:paraId="4DB00A42" w14:textId="77777777" w:rsidR="00ED6C12" w:rsidRPr="009E2B03" w:rsidRDefault="00ED6C12" w:rsidP="00ED6C12">
            <w:pPr>
              <w:pStyle w:val="BodyBullet"/>
              <w:numPr>
                <w:ilvl w:val="0"/>
                <w:numId w:val="0"/>
              </w:numPr>
              <w:rPr>
                <w:rFonts w:ascii="Calibri Light" w:hAnsi="Calibri Light" w:cs="Arial"/>
                <w:b/>
                <w:i/>
                <w:color w:val="6D2077"/>
                <w:sz w:val="22"/>
              </w:rPr>
            </w:pPr>
            <w:r w:rsidRPr="009E2B03">
              <w:rPr>
                <w:rFonts w:ascii="Calibri Light" w:hAnsi="Calibri Light" w:cs="Arial"/>
                <w:b/>
                <w:i/>
                <w:color w:val="6D2077"/>
                <w:sz w:val="22"/>
              </w:rPr>
              <w:t>Key insights</w:t>
            </w:r>
          </w:p>
          <w:p w14:paraId="75865F84" w14:textId="77777777" w:rsidR="00ED6C12" w:rsidRPr="009E2B03" w:rsidRDefault="00ED6C12" w:rsidP="0015237E">
            <w:pPr>
              <w:pStyle w:val="BodyBullet"/>
              <w:numPr>
                <w:ilvl w:val="0"/>
                <w:numId w:val="0"/>
              </w:numPr>
              <w:rPr>
                <w:rFonts w:ascii="Calibri Light" w:hAnsi="Calibri Light" w:cs="Arial"/>
                <w:sz w:val="22"/>
              </w:rPr>
            </w:pPr>
            <w:r w:rsidRPr="009E2B03">
              <w:rPr>
                <w:rFonts w:ascii="Calibri Light" w:hAnsi="Calibri Light" w:cs="Arial"/>
                <w:b/>
                <w:color w:val="6D2077"/>
                <w:sz w:val="22"/>
              </w:rPr>
              <w:t xml:space="preserve">KPMG estimates that transfer costs resulting from violence against women and their children </w:t>
            </w:r>
            <w:r w:rsidR="00A24BE9" w:rsidRPr="009E2B03">
              <w:rPr>
                <w:rFonts w:ascii="Calibri Light" w:hAnsi="Calibri Light" w:cs="Arial"/>
                <w:b/>
                <w:color w:val="6D2077"/>
                <w:sz w:val="22"/>
              </w:rPr>
              <w:t xml:space="preserve">will </w:t>
            </w:r>
            <w:r w:rsidRPr="009E2B03">
              <w:rPr>
                <w:rFonts w:ascii="Calibri Light" w:hAnsi="Calibri Light" w:cs="Arial"/>
                <w:b/>
                <w:color w:val="6D2077"/>
                <w:sz w:val="22"/>
              </w:rPr>
              <w:t xml:space="preserve">cost the Australian economy $1.6 billion </w:t>
            </w:r>
            <w:r w:rsidR="0015237E" w:rsidRPr="009E2B03">
              <w:rPr>
                <w:rFonts w:ascii="Calibri Light" w:hAnsi="Calibri Light" w:cs="Arial"/>
                <w:b/>
                <w:color w:val="6D2077"/>
                <w:sz w:val="22"/>
              </w:rPr>
              <w:t>this</w:t>
            </w:r>
            <w:r w:rsidRPr="009E2B03">
              <w:rPr>
                <w:rFonts w:ascii="Calibri Light" w:hAnsi="Calibri Light" w:cs="Arial"/>
                <w:b/>
                <w:color w:val="6D2077"/>
                <w:sz w:val="22"/>
              </w:rPr>
              <w:t xml:space="preserve"> year.</w:t>
            </w:r>
          </w:p>
        </w:tc>
      </w:tr>
    </w:tbl>
    <w:p w14:paraId="2D5AE5C8" w14:textId="77777777" w:rsidR="00ED6C12" w:rsidRPr="009E2B03" w:rsidRDefault="00ED6C12" w:rsidP="00ED6C12">
      <w:pPr>
        <w:rPr>
          <w:rFonts w:ascii="Calibri Light" w:hAnsi="Calibri Light"/>
          <w:sz w:val="22"/>
          <w:lang w:val="en-US"/>
        </w:rPr>
      </w:pPr>
      <w:r w:rsidRPr="009E2B03">
        <w:rPr>
          <w:rFonts w:ascii="Calibri Light" w:hAnsi="Calibri Light"/>
          <w:sz w:val="22"/>
          <w:lang w:val="en-US"/>
        </w:rPr>
        <w:t>Transfer costs are associated with economic distortions or inefficiencies characterised as ‘dead weight loss’ and are created by the reallocation of resources in the economy. These inefficiencies may result from transfer payments, namely taxation and government funded benefits and services - and accumulate as the government is responsible for:</w:t>
      </w:r>
    </w:p>
    <w:p w14:paraId="132DFE2E"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loss of income tax of victims/survivors, perpetrators and employers</w:t>
      </w:r>
    </w:p>
    <w:p w14:paraId="667CD9FD"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additional induced social welfare payments</w:t>
      </w:r>
    </w:p>
    <w:p w14:paraId="5EC3B05A" w14:textId="77777777" w:rsidR="00ED6C12" w:rsidRPr="009E2B03" w:rsidRDefault="00ED6C12" w:rsidP="00ED6C12">
      <w:pPr>
        <w:pStyle w:val="BodyBullet"/>
        <w:rPr>
          <w:rFonts w:ascii="Calibri Light" w:hAnsi="Calibri Light" w:cs="Arial"/>
          <w:sz w:val="22"/>
        </w:rPr>
      </w:pPr>
      <w:r w:rsidRPr="009E2B03">
        <w:rPr>
          <w:rFonts w:ascii="Calibri Light" w:hAnsi="Calibri Light" w:cs="Arial"/>
          <w:sz w:val="22"/>
        </w:rPr>
        <w:t>victim compensation payments and other government services.</w:t>
      </w:r>
    </w:p>
    <w:p w14:paraId="145146B0" w14:textId="77777777" w:rsidR="00ED6C12" w:rsidRPr="009E2B03" w:rsidRDefault="00ED6C12" w:rsidP="00ED6C12">
      <w:pPr>
        <w:pStyle w:val="BodyText"/>
        <w:rPr>
          <w:rFonts w:ascii="Calibri Light" w:hAnsi="Calibri Light"/>
          <w:sz w:val="22"/>
          <w:highlight w:val="yellow"/>
        </w:rPr>
      </w:pPr>
      <w:r w:rsidRPr="009E2B03">
        <w:rPr>
          <w:rFonts w:ascii="Calibri Light" w:hAnsi="Calibri Light"/>
          <w:sz w:val="22"/>
          <w:lang w:val="en-US"/>
        </w:rPr>
        <w:t>There are no net economic costs for society to provide services and benefits to victims of violence, as these are funded by the taxation system as a redistribution of resources from one group of society to another. Rather, transfer costs are associated with the distortions that result from taxation systems. It is estimated that the burden of these costs are borne by governments, as they are faced with reduced tax revenue, and are therefore required to collect additional tax dollars, increasing the impact of the dead weight loss.</w:t>
      </w:r>
    </w:p>
    <w:p w14:paraId="0D118730" w14:textId="77777777" w:rsidR="00F9435D" w:rsidRPr="009E2B03" w:rsidRDefault="00F9435D" w:rsidP="00F9435D">
      <w:pPr>
        <w:pStyle w:val="BodyText"/>
        <w:rPr>
          <w:rFonts w:ascii="Calibri Light" w:hAnsi="Calibri Light"/>
          <w:sz w:val="22"/>
          <w:highlight w:val="yellow"/>
        </w:rPr>
      </w:pPr>
    </w:p>
    <w:p w14:paraId="747BE738" w14:textId="77777777" w:rsidR="00F9435D" w:rsidRPr="009E2B03" w:rsidRDefault="00F9435D" w:rsidP="00F9435D">
      <w:pPr>
        <w:pStyle w:val="BodyText"/>
        <w:rPr>
          <w:rFonts w:ascii="Calibri Light" w:hAnsi="Calibri Light"/>
          <w:sz w:val="22"/>
          <w:highlight w:val="yellow"/>
        </w:rPr>
      </w:pPr>
    </w:p>
    <w:p w14:paraId="506244AE" w14:textId="597507FE" w:rsidR="00403232" w:rsidRPr="009E2B03" w:rsidRDefault="00036345" w:rsidP="00403232">
      <w:pPr>
        <w:pStyle w:val="Heading1"/>
        <w:numPr>
          <w:ilvl w:val="0"/>
          <w:numId w:val="19"/>
        </w:numPr>
        <w:rPr>
          <w:rFonts w:ascii="Calibri Light" w:hAnsi="Calibri Light"/>
          <w:sz w:val="48"/>
        </w:rPr>
      </w:pPr>
      <w:bookmarkStart w:id="85" w:name="_Ref447122682"/>
      <w:bookmarkStart w:id="86" w:name="_Toc449553520"/>
      <w:bookmarkStart w:id="87" w:name="_Ref447021754"/>
      <w:r>
        <w:rPr>
          <w:rFonts w:ascii="Calibri Light" w:eastAsiaTheme="minorHAnsi" w:hAnsi="Calibri Light"/>
          <w:b w:val="0"/>
          <w:noProof/>
          <w:color w:val="6D2077"/>
          <w:sz w:val="76"/>
          <w:szCs w:val="76"/>
          <w:lang w:eastAsia="en-AU"/>
        </w:rPr>
        <w:lastRenderedPageBreak/>
        <w:t xml:space="preserve">. </w:t>
      </w:r>
      <w:r w:rsidR="00403232" w:rsidRPr="009E2B03">
        <w:rPr>
          <w:rFonts w:ascii="Calibri Light" w:eastAsiaTheme="minorHAnsi" w:hAnsi="Calibri Light"/>
          <w:b w:val="0"/>
          <w:noProof/>
          <w:color w:val="6D2077"/>
          <w:sz w:val="76"/>
          <w:szCs w:val="76"/>
          <w:lang w:eastAsia="en-AU"/>
        </w:rPr>
        <w:t>The experience of violence – cohorts and geographies</w:t>
      </w:r>
      <w:bookmarkEnd w:id="85"/>
      <w:bookmarkEnd w:id="86"/>
      <w:r w:rsidR="00403232" w:rsidRPr="009E2B03">
        <w:rPr>
          <w:rFonts w:ascii="Calibri Light" w:eastAsiaTheme="minorHAnsi" w:hAnsi="Calibri Light"/>
          <w:b w:val="0"/>
          <w:noProof/>
          <w:color w:val="6D2077"/>
          <w:sz w:val="76"/>
          <w:szCs w:val="76"/>
          <w:lang w:eastAsia="en-AU"/>
        </w:rPr>
        <w:t xml:space="preserve"> </w:t>
      </w:r>
    </w:p>
    <w:p w14:paraId="64F1B26E" w14:textId="77777777" w:rsidR="00403232" w:rsidRPr="009E2B03" w:rsidRDefault="00403232" w:rsidP="00403232">
      <w:pPr>
        <w:pStyle w:val="Heading2"/>
        <w:numPr>
          <w:ilvl w:val="1"/>
          <w:numId w:val="19"/>
        </w:numPr>
        <w:rPr>
          <w:rFonts w:ascii="Calibri Light" w:hAnsi="Calibri Light"/>
          <w:color w:val="6D2077"/>
          <w:sz w:val="36"/>
        </w:rPr>
      </w:pPr>
      <w:bookmarkStart w:id="88" w:name="_Toc449553521"/>
      <w:r w:rsidRPr="009E2B03">
        <w:rPr>
          <w:rFonts w:ascii="Calibri Light" w:hAnsi="Calibri Light"/>
          <w:color w:val="6D2077"/>
          <w:sz w:val="36"/>
        </w:rPr>
        <w:t>Background</w:t>
      </w:r>
      <w:bookmarkEnd w:id="88"/>
      <w:r w:rsidRPr="009E2B03">
        <w:rPr>
          <w:rFonts w:ascii="Calibri Light" w:hAnsi="Calibri Light"/>
          <w:color w:val="6D2077"/>
          <w:sz w:val="36"/>
        </w:rPr>
        <w:t xml:space="preserve"> </w:t>
      </w:r>
    </w:p>
    <w:p w14:paraId="27572365" w14:textId="77777777" w:rsidR="00403232" w:rsidRPr="009E2B03" w:rsidRDefault="00403232" w:rsidP="00403232">
      <w:pPr>
        <w:tabs>
          <w:tab w:val="left" w:pos="2733"/>
        </w:tabs>
        <w:rPr>
          <w:rFonts w:ascii="Calibri Light" w:hAnsi="Calibri Light"/>
          <w:sz w:val="22"/>
        </w:rPr>
      </w:pPr>
      <w:r w:rsidRPr="009E2B03">
        <w:rPr>
          <w:rFonts w:ascii="Calibri Light" w:hAnsi="Calibri Light"/>
          <w:sz w:val="22"/>
        </w:rPr>
        <w:t>In Australia, violence against women is pervasive across all age groups, ethnic backgrounds, cultures, socioeconomic groups, and geographies. The experience of violence has a significant immediate and long-term impact on the lives of women and their children, a</w:t>
      </w:r>
      <w:r w:rsidR="000F4F83" w:rsidRPr="009E2B03">
        <w:rPr>
          <w:rFonts w:ascii="Calibri Light" w:hAnsi="Calibri Light"/>
          <w:sz w:val="22"/>
        </w:rPr>
        <w:t xml:space="preserve">nd as discussed in Section </w:t>
      </w:r>
      <w:r w:rsidR="000F4F83" w:rsidRPr="009E2B03">
        <w:rPr>
          <w:rFonts w:ascii="Calibri Light" w:hAnsi="Calibri Light"/>
          <w:sz w:val="22"/>
        </w:rPr>
        <w:fldChar w:fldCharType="begin"/>
      </w:r>
      <w:r w:rsidR="000F4F83" w:rsidRPr="009E2B03">
        <w:rPr>
          <w:rFonts w:ascii="Calibri Light" w:hAnsi="Calibri Light"/>
          <w:sz w:val="22"/>
        </w:rPr>
        <w:instrText xml:space="preserve"> REF _Ref447375136 \r \h </w:instrText>
      </w:r>
      <w:r w:rsidR="009B0258" w:rsidRPr="009E2B03">
        <w:rPr>
          <w:rFonts w:ascii="Calibri Light" w:hAnsi="Calibri Light"/>
          <w:sz w:val="22"/>
        </w:rPr>
        <w:instrText xml:space="preserve"> \* MERGEFORMAT </w:instrText>
      </w:r>
      <w:r w:rsidR="000F4F83" w:rsidRPr="009E2B03">
        <w:rPr>
          <w:rFonts w:ascii="Calibri Light" w:hAnsi="Calibri Light"/>
          <w:sz w:val="22"/>
        </w:rPr>
      </w:r>
      <w:r w:rsidR="000F4F83" w:rsidRPr="009E2B03">
        <w:rPr>
          <w:rFonts w:ascii="Calibri Light" w:hAnsi="Calibri Light"/>
          <w:sz w:val="22"/>
        </w:rPr>
        <w:fldChar w:fldCharType="separate"/>
      </w:r>
      <w:r w:rsidR="00417237">
        <w:rPr>
          <w:rFonts w:ascii="Calibri Light" w:hAnsi="Calibri Light"/>
          <w:sz w:val="22"/>
        </w:rPr>
        <w:t>3</w:t>
      </w:r>
      <w:r w:rsidR="000F4F83" w:rsidRPr="009E2B03">
        <w:rPr>
          <w:rFonts w:ascii="Calibri Light" w:hAnsi="Calibri Light"/>
          <w:sz w:val="22"/>
        </w:rPr>
        <w:fldChar w:fldCharType="end"/>
      </w:r>
      <w:r w:rsidRPr="009E2B03">
        <w:rPr>
          <w:rFonts w:ascii="Calibri Light" w:hAnsi="Calibri Light"/>
          <w:sz w:val="22"/>
        </w:rPr>
        <w:t xml:space="preserve">, the impacts of violence are reflected in, and accrue to, a number of direct and indirect costs borne by victims and their families, as well as </w:t>
      </w:r>
      <w:r w:rsidR="00F63F9A" w:rsidRPr="009E2B03">
        <w:rPr>
          <w:rFonts w:ascii="Calibri Light" w:hAnsi="Calibri Light"/>
          <w:sz w:val="22"/>
        </w:rPr>
        <w:t>the broader Australian society.</w:t>
      </w:r>
    </w:p>
    <w:p w14:paraId="54F58FB7" w14:textId="77777777" w:rsidR="00403232" w:rsidRPr="009E2B03" w:rsidRDefault="00403232" w:rsidP="00403232">
      <w:pPr>
        <w:tabs>
          <w:tab w:val="left" w:pos="2733"/>
        </w:tabs>
        <w:rPr>
          <w:rFonts w:ascii="Calibri Light" w:hAnsi="Calibri Light"/>
          <w:b/>
          <w:sz w:val="22"/>
        </w:rPr>
      </w:pPr>
      <w:r w:rsidRPr="009E2B03">
        <w:rPr>
          <w:rFonts w:ascii="Calibri Light" w:hAnsi="Calibri Light"/>
          <w:sz w:val="22"/>
        </w:rPr>
        <w:t>While women of all cohorts and geographies may experience violence, data on the prevalence and incidence of violence against women shows that there are specific demographic and geographic cohorts where the risk of experiencing violence over the course of one’s life is significantly higher.</w:t>
      </w:r>
      <w:r w:rsidR="007868A7" w:rsidRPr="009E2B03">
        <w:rPr>
          <w:rFonts w:ascii="Calibri Light" w:hAnsi="Calibri Light"/>
          <w:sz w:val="22"/>
        </w:rPr>
        <w:t xml:space="preserve"> </w:t>
      </w:r>
      <w:r w:rsidRPr="009E2B03">
        <w:rPr>
          <w:rFonts w:ascii="Calibri Light" w:hAnsi="Calibri Light"/>
          <w:sz w:val="22"/>
        </w:rPr>
        <w:t xml:space="preserve">For example, the prevalence of violence is significantly higher among Aboriginal and Torres Strait Islander women, women with disability, and women living in rural and remote areas across Australia. </w:t>
      </w:r>
      <w:r w:rsidRPr="009E2B03">
        <w:rPr>
          <w:rFonts w:ascii="Calibri Light" w:hAnsi="Calibri Light"/>
          <w:b/>
          <w:color w:val="6D2077"/>
          <w:sz w:val="22"/>
        </w:rPr>
        <w:t>These higher rates of violence for specific cohorts and the need for tailored service provision to provide appropriate assistance and support, indicate that there may be higher costs associated with the incidence and impact of vio</w:t>
      </w:r>
      <w:r w:rsidR="007868A7" w:rsidRPr="009E2B03">
        <w:rPr>
          <w:rFonts w:ascii="Calibri Light" w:hAnsi="Calibri Light"/>
          <w:b/>
          <w:color w:val="6D2077"/>
          <w:sz w:val="22"/>
        </w:rPr>
        <w:t>lence among particular cohorts.</w:t>
      </w:r>
    </w:p>
    <w:p w14:paraId="6B9737E5" w14:textId="77777777" w:rsidR="00363153" w:rsidRPr="009E2B03" w:rsidRDefault="00363153" w:rsidP="00363153">
      <w:pPr>
        <w:pStyle w:val="BodyBullet"/>
        <w:numPr>
          <w:ilvl w:val="0"/>
          <w:numId w:val="0"/>
        </w:numPr>
        <w:rPr>
          <w:rFonts w:ascii="Calibri Light" w:hAnsi="Calibri Light" w:cs="Arial"/>
          <w:sz w:val="22"/>
        </w:rPr>
      </w:pPr>
      <w:r w:rsidRPr="009E2B03">
        <w:rPr>
          <w:rFonts w:ascii="Calibri Light" w:hAnsi="Calibri Light" w:cs="Arial"/>
          <w:sz w:val="22"/>
        </w:rPr>
        <w:t>Understanding the full breadth of the economic and non-economic impacts of violence on women, their families and the broader economy is complex and challenging. There is a need for a more nuanced identification of the effects of violence, as well as the social dynamics or geographic factors that may reinforce the impact of violence over the longer term. In particular, attaining a reliable understanding of the increased prevalence of violence for vulnerable women requires targeted data collection and survey design. This is to ensure the increased rates of violence experienced by vulnerable communities are accounted for, so the needs of high risk cohorts can be adequately addressed. Due to the broad scope of the PSS in estimating the prevalence of violence across the whole Australian population, the rate of violence for vulnerable cohorts is underrepresented.</w:t>
      </w:r>
    </w:p>
    <w:p w14:paraId="234832EC" w14:textId="77777777" w:rsidR="00403232" w:rsidRPr="009E2B03" w:rsidRDefault="00403232" w:rsidP="00403232">
      <w:pPr>
        <w:tabs>
          <w:tab w:val="left" w:pos="2733"/>
        </w:tabs>
        <w:rPr>
          <w:rFonts w:ascii="Calibri Light" w:hAnsi="Calibri Light"/>
          <w:sz w:val="22"/>
        </w:rPr>
      </w:pPr>
      <w:r w:rsidRPr="009E2B03">
        <w:rPr>
          <w:rFonts w:ascii="Calibri Light" w:hAnsi="Calibri Light"/>
          <w:sz w:val="22"/>
        </w:rPr>
        <w:t xml:space="preserve">Specifically, the cost differential in the impact of violence among different cohorts relates to: </w:t>
      </w:r>
    </w:p>
    <w:p w14:paraId="23D63C69" w14:textId="77777777" w:rsidR="00403232" w:rsidRPr="009E2B03" w:rsidRDefault="00276325" w:rsidP="00403232">
      <w:pPr>
        <w:pStyle w:val="BodyBullet"/>
        <w:rPr>
          <w:rFonts w:ascii="Calibri Light" w:hAnsi="Calibri Light" w:cs="Arial"/>
          <w:sz w:val="22"/>
        </w:rPr>
      </w:pPr>
      <w:r w:rsidRPr="009E2B03">
        <w:rPr>
          <w:rFonts w:ascii="Calibri Light" w:hAnsi="Calibri Light" w:cs="Arial"/>
          <w:sz w:val="22"/>
        </w:rPr>
        <w:t>There are</w:t>
      </w:r>
      <w:r w:rsidR="00403232" w:rsidRPr="009E2B03">
        <w:rPr>
          <w:rFonts w:ascii="Calibri Light" w:hAnsi="Calibri Light" w:cs="Arial"/>
          <w:b/>
          <w:sz w:val="22"/>
        </w:rPr>
        <w:t xml:space="preserve"> </w:t>
      </w:r>
      <w:r w:rsidR="00403232" w:rsidRPr="009E2B03">
        <w:rPr>
          <w:rFonts w:ascii="Calibri Light" w:hAnsi="Calibri Light" w:cs="Arial"/>
          <w:sz w:val="22"/>
        </w:rPr>
        <w:t>differing rates of violence across different cohorts of women, with some cohorts more vulnerable to experiencing violence over the course of their life</w:t>
      </w:r>
      <w:r w:rsidRPr="009E2B03">
        <w:rPr>
          <w:rFonts w:ascii="Calibri Light" w:hAnsi="Calibri Light" w:cs="Arial"/>
          <w:sz w:val="22"/>
        </w:rPr>
        <w:t>.</w:t>
      </w:r>
      <w:r w:rsidR="00403232" w:rsidRPr="009E2B03">
        <w:rPr>
          <w:rFonts w:ascii="Calibri Light" w:hAnsi="Calibri Light" w:cs="Arial"/>
          <w:sz w:val="22"/>
        </w:rPr>
        <w:t xml:space="preserve"> </w:t>
      </w:r>
    </w:p>
    <w:p w14:paraId="6CD85638" w14:textId="77777777" w:rsidR="007868A7" w:rsidRPr="009E2B03" w:rsidRDefault="00276325" w:rsidP="007868A7">
      <w:pPr>
        <w:pStyle w:val="BodyBullet"/>
        <w:rPr>
          <w:rFonts w:ascii="Calibri Light" w:hAnsi="Calibri Light" w:cs="Arial"/>
          <w:sz w:val="22"/>
        </w:rPr>
      </w:pPr>
      <w:r w:rsidRPr="009E2B03">
        <w:rPr>
          <w:rFonts w:ascii="Calibri Light" w:hAnsi="Calibri Light" w:cs="Arial"/>
          <w:sz w:val="22"/>
        </w:rPr>
        <w:t xml:space="preserve">A variety of </w:t>
      </w:r>
      <w:r w:rsidR="00403232" w:rsidRPr="009E2B03">
        <w:rPr>
          <w:rFonts w:ascii="Calibri Light" w:hAnsi="Calibri Light" w:cs="Arial"/>
          <w:sz w:val="22"/>
        </w:rPr>
        <w:t>unique and overlapping characteristics impact the cost of violence against women, including barriers that may prevent women from reporting victimisation, differences in the level of targeted service provision for different cohorts and geographies, and the presence of other risk factors such as drug and alcohol abuse and mental health issues f</w:t>
      </w:r>
      <w:r w:rsidR="007868A7" w:rsidRPr="009E2B03">
        <w:rPr>
          <w:rFonts w:ascii="Calibri Light" w:hAnsi="Calibri Light" w:cs="Arial"/>
          <w:sz w:val="22"/>
        </w:rPr>
        <w:t>or the perpetrator of violence.</w:t>
      </w:r>
    </w:p>
    <w:p w14:paraId="42708686" w14:textId="77777777" w:rsidR="00876464" w:rsidRPr="009E2B03" w:rsidRDefault="00876464" w:rsidP="00876464">
      <w:pPr>
        <w:pStyle w:val="BodyBullet"/>
        <w:numPr>
          <w:ilvl w:val="0"/>
          <w:numId w:val="0"/>
        </w:numPr>
        <w:rPr>
          <w:rFonts w:ascii="Calibri Light" w:hAnsi="Calibri Light" w:cs="Arial"/>
          <w:sz w:val="22"/>
        </w:rPr>
      </w:pPr>
      <w:r w:rsidRPr="009E2B03">
        <w:rPr>
          <w:rFonts w:ascii="Calibri Light" w:hAnsi="Calibri Light" w:cs="Arial"/>
          <w:sz w:val="22"/>
        </w:rPr>
        <w:t xml:space="preserve">In addition to the baseline estimate of $22 billion outlined in </w:t>
      </w:r>
      <w:r w:rsidR="00276325" w:rsidRPr="009E2B03">
        <w:rPr>
          <w:rFonts w:ascii="Calibri Light" w:hAnsi="Calibri Light" w:cs="Arial"/>
          <w:sz w:val="22"/>
        </w:rPr>
        <w:t>Section</w:t>
      </w:r>
      <w:r w:rsidRPr="009E2B03">
        <w:rPr>
          <w:rFonts w:ascii="Calibri Light" w:hAnsi="Calibri Light" w:cs="Arial"/>
          <w:sz w:val="22"/>
        </w:rPr>
        <w:t xml:space="preserve"> 3, the underrepresentation of vulnerable women within the PSS means that the full cost of violence likely exceeds the central costing estimates.</w:t>
      </w:r>
    </w:p>
    <w:p w14:paraId="71E596F9" w14:textId="77777777" w:rsidR="00876464" w:rsidRPr="009E2B03" w:rsidRDefault="00876464" w:rsidP="00C95D8A">
      <w:pPr>
        <w:pStyle w:val="BodyText"/>
        <w:pBdr>
          <w:top w:val="single" w:sz="4" w:space="1" w:color="auto"/>
          <w:left w:val="single" w:sz="4" w:space="4" w:color="auto"/>
          <w:bottom w:val="single" w:sz="4" w:space="1" w:color="auto"/>
          <w:right w:val="single" w:sz="4" w:space="4" w:color="auto"/>
        </w:pBdr>
        <w:shd w:val="clear" w:color="auto" w:fill="F3F0F4"/>
        <w:rPr>
          <w:rFonts w:ascii="Calibri Light" w:eastAsiaTheme="minorHAnsi" w:hAnsi="Calibri Light"/>
          <w:b/>
          <w:color w:val="6D2077"/>
          <w:sz w:val="22"/>
          <w:lang w:eastAsia="en-US"/>
        </w:rPr>
      </w:pPr>
      <w:r w:rsidRPr="009E2B03">
        <w:rPr>
          <w:rFonts w:ascii="Calibri Light" w:eastAsiaTheme="minorHAnsi" w:hAnsi="Calibri Light"/>
          <w:b/>
          <w:color w:val="6D2077"/>
          <w:sz w:val="22"/>
          <w:lang w:eastAsia="en-US"/>
        </w:rPr>
        <w:t>Accounting for potential underrepresentation of prevalence within the PSS for Aboriginal and Torres Strait Islander women, pregnant women, women with disability, and women experiencing homelessness, may add</w:t>
      </w:r>
      <w:r w:rsidR="00276325" w:rsidRPr="009E2B03">
        <w:rPr>
          <w:rFonts w:ascii="Calibri Light" w:eastAsiaTheme="minorHAnsi" w:hAnsi="Calibri Light"/>
          <w:b/>
          <w:color w:val="6D2077"/>
          <w:sz w:val="22"/>
          <w:lang w:eastAsia="en-US"/>
        </w:rPr>
        <w:t xml:space="preserve"> </w:t>
      </w:r>
      <w:r w:rsidRPr="009E2B03">
        <w:rPr>
          <w:rFonts w:ascii="Calibri Light" w:eastAsiaTheme="minorHAnsi" w:hAnsi="Calibri Light"/>
          <w:b/>
          <w:color w:val="6D2077"/>
          <w:sz w:val="22"/>
          <w:lang w:eastAsia="en-US"/>
        </w:rPr>
        <w:t>$4 billion to the cost of violence against women and their children in Australia in 2015-16.</w:t>
      </w:r>
    </w:p>
    <w:p w14:paraId="478B0664" w14:textId="79C08A3D" w:rsidR="005B0258" w:rsidRPr="009E2B03" w:rsidRDefault="005B0258" w:rsidP="00036345">
      <w:pPr>
        <w:rPr>
          <w:rFonts w:ascii="Calibri Light" w:hAnsi="Calibri Light"/>
          <w:sz w:val="22"/>
        </w:rPr>
      </w:pPr>
      <w:r w:rsidRPr="009E2B03">
        <w:rPr>
          <w:rFonts w:ascii="Calibri Light" w:hAnsi="Calibri Light"/>
          <w:sz w:val="22"/>
        </w:rPr>
        <w:lastRenderedPageBreak/>
        <w:t xml:space="preserve">The following sections provide further discussion on the potential impact of socioeconomic characteristics and geography on the risk and experience of violence, the nature and prevalence of violence among vulnerable groups of women, as well as the intersections between the experience of violence by these groups and the broader service system.  </w:t>
      </w:r>
    </w:p>
    <w:p w14:paraId="3B810332" w14:textId="7BD5CD79" w:rsidR="00403232" w:rsidRPr="00941A03" w:rsidRDefault="00941A03" w:rsidP="00941A03">
      <w:pPr>
        <w:rPr>
          <w:rFonts w:ascii="Calibri Light" w:hAnsi="Calibri Light"/>
          <w:color w:val="7030A0"/>
          <w:sz w:val="32"/>
        </w:rPr>
      </w:pPr>
      <w:bookmarkStart w:id="89" w:name="_Toc449553522"/>
      <w:r w:rsidRPr="00941A03">
        <w:rPr>
          <w:rFonts w:ascii="Calibri Light" w:hAnsi="Calibri Light"/>
          <w:color w:val="7030A0"/>
          <w:sz w:val="32"/>
        </w:rPr>
        <w:t xml:space="preserve">4.2. </w:t>
      </w:r>
      <w:r w:rsidR="00403232" w:rsidRPr="00941A03">
        <w:rPr>
          <w:rFonts w:ascii="Calibri Light" w:hAnsi="Calibri Light"/>
          <w:color w:val="7030A0"/>
          <w:sz w:val="32"/>
        </w:rPr>
        <w:t>The relationship between socio-demographic characteristics and geography on the prevalence of violence against women</w:t>
      </w:r>
      <w:bookmarkEnd w:id="89"/>
    </w:p>
    <w:p w14:paraId="5F6458F9" w14:textId="77777777" w:rsidR="00403232" w:rsidRPr="009E2B03" w:rsidRDefault="00403232" w:rsidP="00403232">
      <w:pPr>
        <w:pStyle w:val="BodyText"/>
        <w:rPr>
          <w:rFonts w:ascii="Calibri Light" w:hAnsi="Calibri Light"/>
          <w:sz w:val="22"/>
        </w:rPr>
      </w:pPr>
      <w:r w:rsidRPr="009E2B03">
        <w:rPr>
          <w:rFonts w:ascii="Calibri Light" w:hAnsi="Calibri Light"/>
          <w:sz w:val="22"/>
        </w:rPr>
        <w:t>Violence against women can be found across cohorts and geographies. However, research identifies a number of</w:t>
      </w:r>
      <w:r w:rsidR="00BC5CE1" w:rsidRPr="009E2B03">
        <w:rPr>
          <w:rFonts w:ascii="Calibri Light" w:hAnsi="Calibri Light"/>
          <w:sz w:val="22"/>
        </w:rPr>
        <w:t xml:space="preserve"> important</w:t>
      </w:r>
      <w:r w:rsidRPr="009E2B03">
        <w:rPr>
          <w:rFonts w:ascii="Calibri Light" w:hAnsi="Calibri Light"/>
          <w:sz w:val="22"/>
        </w:rPr>
        <w:t xml:space="preserve"> risk factors that may </w:t>
      </w:r>
      <w:r w:rsidR="00BC5CE1" w:rsidRPr="009E2B03">
        <w:rPr>
          <w:rFonts w:ascii="Calibri Light" w:hAnsi="Calibri Light"/>
          <w:sz w:val="22"/>
        </w:rPr>
        <w:t>contribute to</w:t>
      </w:r>
      <w:r w:rsidRPr="009E2B03">
        <w:rPr>
          <w:rFonts w:ascii="Calibri Light" w:hAnsi="Calibri Light"/>
          <w:sz w:val="22"/>
        </w:rPr>
        <w:t xml:space="preserve"> the risk of women experiencing violence, a</w:t>
      </w:r>
      <w:r w:rsidR="00BC5CE1" w:rsidRPr="009E2B03">
        <w:rPr>
          <w:rFonts w:ascii="Calibri Light" w:hAnsi="Calibri Light"/>
          <w:sz w:val="22"/>
        </w:rPr>
        <w:t xml:space="preserve">nd influence </w:t>
      </w:r>
      <w:r w:rsidRPr="009E2B03">
        <w:rPr>
          <w:rFonts w:ascii="Calibri Light" w:hAnsi="Calibri Light"/>
          <w:sz w:val="22"/>
        </w:rPr>
        <w:t xml:space="preserve">their ability to access appropriate services and support following an incidence of violence. These contributing risk factors relate to three main areas, namely: </w:t>
      </w:r>
    </w:p>
    <w:p w14:paraId="27B6310F"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the</w:t>
      </w:r>
      <w:r w:rsidRPr="009E2B03">
        <w:rPr>
          <w:rFonts w:ascii="Calibri Light" w:hAnsi="Calibri Light" w:cs="Arial"/>
          <w:b/>
          <w:sz w:val="22"/>
        </w:rPr>
        <w:t xml:space="preserve"> </w:t>
      </w:r>
      <w:r w:rsidRPr="009E2B03">
        <w:rPr>
          <w:rFonts w:ascii="Calibri Light" w:hAnsi="Calibri Light" w:cs="Arial"/>
          <w:sz w:val="22"/>
        </w:rPr>
        <w:t>relationship between</w:t>
      </w:r>
      <w:r w:rsidRPr="009E2B03">
        <w:rPr>
          <w:rFonts w:ascii="Calibri Light" w:hAnsi="Calibri Light" w:cs="Arial"/>
          <w:b/>
          <w:sz w:val="22"/>
        </w:rPr>
        <w:t xml:space="preserve"> </w:t>
      </w:r>
      <w:r w:rsidRPr="009E2B03">
        <w:rPr>
          <w:rFonts w:ascii="Calibri Light" w:eastAsiaTheme="minorHAnsi" w:hAnsi="Calibri Light" w:cs="Arial"/>
          <w:b/>
          <w:color w:val="6D2077"/>
          <w:sz w:val="22"/>
          <w:szCs w:val="20"/>
          <w:lang w:eastAsia="en-US"/>
        </w:rPr>
        <w:t>demographic characteristics such as age</w:t>
      </w:r>
      <w:r w:rsidRPr="009E2B03">
        <w:rPr>
          <w:rFonts w:ascii="Calibri Light" w:hAnsi="Calibri Light" w:cs="Arial"/>
          <w:b/>
          <w:sz w:val="22"/>
        </w:rPr>
        <w:t xml:space="preserve"> </w:t>
      </w:r>
      <w:r w:rsidRPr="009E2B03">
        <w:rPr>
          <w:rFonts w:ascii="Calibri Light" w:hAnsi="Calibri Light" w:cs="Arial"/>
          <w:sz w:val="22"/>
        </w:rPr>
        <w:t>and the risk of experiencing violence</w:t>
      </w:r>
    </w:p>
    <w:p w14:paraId="1384D5CF"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the relationship between</w:t>
      </w:r>
      <w:r w:rsidRPr="009E2B03">
        <w:rPr>
          <w:rFonts w:ascii="Calibri Light" w:hAnsi="Calibri Light" w:cs="Arial"/>
          <w:b/>
          <w:sz w:val="22"/>
        </w:rPr>
        <w:t xml:space="preserve"> </w:t>
      </w:r>
      <w:r w:rsidRPr="009E2B03">
        <w:rPr>
          <w:rFonts w:ascii="Calibri Light" w:eastAsiaTheme="minorHAnsi" w:hAnsi="Calibri Light" w:cs="Arial"/>
          <w:b/>
          <w:color w:val="6D2077"/>
          <w:sz w:val="22"/>
          <w:szCs w:val="20"/>
          <w:lang w:eastAsia="en-US"/>
        </w:rPr>
        <w:t>level of remoteness and geography</w:t>
      </w:r>
      <w:r w:rsidRPr="009E2B03">
        <w:rPr>
          <w:rFonts w:ascii="Calibri Light" w:hAnsi="Calibri Light" w:cs="Arial"/>
          <w:b/>
          <w:sz w:val="22"/>
        </w:rPr>
        <w:t xml:space="preserve"> </w:t>
      </w:r>
      <w:r w:rsidRPr="009E2B03">
        <w:rPr>
          <w:rFonts w:ascii="Calibri Light" w:hAnsi="Calibri Light" w:cs="Arial"/>
          <w:sz w:val="22"/>
        </w:rPr>
        <w:t>and the risk of experiencing violence</w:t>
      </w:r>
    </w:p>
    <w:p w14:paraId="6A0B1301"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 xml:space="preserve">the </w:t>
      </w:r>
      <w:r w:rsidRPr="009E2B03">
        <w:rPr>
          <w:rFonts w:ascii="Calibri Light" w:eastAsiaTheme="minorHAnsi" w:hAnsi="Calibri Light" w:cs="Arial"/>
          <w:b/>
          <w:color w:val="6D2077"/>
          <w:sz w:val="22"/>
          <w:szCs w:val="20"/>
          <w:lang w:eastAsia="en-US"/>
        </w:rPr>
        <w:t>experience of socioeconomic advantage and disadvantage</w:t>
      </w:r>
      <w:r w:rsidRPr="009E2B03">
        <w:rPr>
          <w:rFonts w:ascii="Calibri Light" w:hAnsi="Calibri Light" w:cs="Arial"/>
          <w:sz w:val="22"/>
        </w:rPr>
        <w:t xml:space="preserve"> and the risk of experiencing violence. </w:t>
      </w:r>
    </w:p>
    <w:p w14:paraId="45E4FF08" w14:textId="77777777"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rPr>
        <w:t>It is important to note that the evidence is mixed, and there is limited conclusive evidence to suggest that demographic characteristics, geography, and the experience of socioeconomic advantage or disadvantage contributes to a higher risk of women experiencing violence. Whilst the data on prevalence rates of violence shows higher risks of violence among women living in regional and remote areas, and women experiencing socioeconomic disadvantage, there are a number of other risk factors such as drug and alcohol abuse and mental health issues, as well as barriers that may prevent women of certain cohorts from seeking support and accessing the appropriate services following experiences of victimisation.</w:t>
      </w:r>
    </w:p>
    <w:tbl>
      <w:tblPr>
        <w:tblStyle w:val="TableGrid"/>
        <w:tblW w:w="9288" w:type="dxa"/>
        <w:shd w:val="clear" w:color="auto" w:fill="D9D9D9" w:themeFill="background1" w:themeFillShade="D9"/>
        <w:tblLook w:val="04A0" w:firstRow="1" w:lastRow="0" w:firstColumn="1" w:lastColumn="0" w:noHBand="0" w:noVBand="1"/>
        <w:tblCaption w:val="Box of information on key findings"/>
      </w:tblPr>
      <w:tblGrid>
        <w:gridCol w:w="9288"/>
      </w:tblGrid>
      <w:tr w:rsidR="00403232" w:rsidRPr="009E2B03" w14:paraId="3EF3C2D2" w14:textId="77777777" w:rsidTr="00865FDB">
        <w:trPr>
          <w:trHeight w:val="6176"/>
          <w:tblHeader/>
        </w:trPr>
        <w:tc>
          <w:tcPr>
            <w:tcW w:w="9288" w:type="dxa"/>
            <w:shd w:val="clear" w:color="auto" w:fill="F3F0F4"/>
          </w:tcPr>
          <w:p w14:paraId="7D189E6F" w14:textId="77777777" w:rsidR="00403232" w:rsidRPr="009E2B03" w:rsidRDefault="00403232" w:rsidP="00403232">
            <w:pPr>
              <w:pStyle w:val="BodyBullet"/>
              <w:numPr>
                <w:ilvl w:val="0"/>
                <w:numId w:val="0"/>
              </w:numPr>
              <w:rPr>
                <w:rFonts w:ascii="Calibri Light" w:hAnsi="Calibri Light" w:cs="Arial"/>
                <w:b/>
                <w:i/>
                <w:color w:val="6D2077"/>
                <w:sz w:val="22"/>
              </w:rPr>
            </w:pPr>
            <w:r w:rsidRPr="009E2B03">
              <w:rPr>
                <w:rFonts w:ascii="Calibri Light" w:hAnsi="Calibri Light" w:cs="Arial"/>
                <w:b/>
                <w:i/>
                <w:color w:val="6D2077"/>
                <w:sz w:val="22"/>
              </w:rPr>
              <w:lastRenderedPageBreak/>
              <w:t xml:space="preserve">Key findings </w:t>
            </w:r>
          </w:p>
          <w:p w14:paraId="348301EF"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b/>
                <w:color w:val="6D2077"/>
                <w:sz w:val="22"/>
              </w:rPr>
              <w:t>Young women between the ages of 18 and 24 face the highest risk of experiencing violence</w:t>
            </w:r>
            <w:r w:rsidRPr="009E2B03">
              <w:rPr>
                <w:rFonts w:ascii="Calibri Light" w:hAnsi="Calibri Light" w:cs="Arial"/>
                <w:sz w:val="22"/>
              </w:rPr>
              <w:t xml:space="preserve">, with 12.8 per cent of women in this age cohort having experienced violence over the last 12 months. The rate for the 18-24 cohort is over four per cent higher than the age cohort with the second highest prevalence rate.  </w:t>
            </w:r>
          </w:p>
          <w:p w14:paraId="20EE002C"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 xml:space="preserve">In comparison to other age cohorts, </w:t>
            </w:r>
            <w:r w:rsidRPr="009E2B03">
              <w:rPr>
                <w:rFonts w:ascii="Calibri Light" w:hAnsi="Calibri Light" w:cs="Arial"/>
                <w:b/>
                <w:color w:val="6D2077"/>
                <w:sz w:val="22"/>
              </w:rPr>
              <w:t>elderly women have a lower prevalence rate of experiencing violence, but may face a number of barriers to accessing appropriate support</w:t>
            </w:r>
            <w:r w:rsidRPr="009E2B03">
              <w:rPr>
                <w:rFonts w:ascii="Calibri Light" w:hAnsi="Calibri Light" w:cs="Arial"/>
                <w:color w:val="6D2077"/>
                <w:sz w:val="22"/>
              </w:rPr>
              <w:t xml:space="preserve"> </w:t>
            </w:r>
            <w:r w:rsidRPr="009E2B03">
              <w:rPr>
                <w:rFonts w:ascii="Calibri Light" w:hAnsi="Calibri Light" w:cs="Arial"/>
                <w:sz w:val="22"/>
              </w:rPr>
              <w:t>given that they may experience limited financial and emotional independence, diminished cognitive functioning, mental or physical disability, or social alienation.</w:t>
            </w:r>
          </w:p>
          <w:p w14:paraId="6589635C" w14:textId="7F75273E" w:rsidR="00403232" w:rsidRPr="009E2B03" w:rsidRDefault="00403232" w:rsidP="00403232">
            <w:pPr>
              <w:pStyle w:val="BodyBullet"/>
              <w:rPr>
                <w:rFonts w:ascii="Calibri Light" w:hAnsi="Calibri Light" w:cs="Arial"/>
                <w:sz w:val="22"/>
              </w:rPr>
            </w:pPr>
            <w:r w:rsidRPr="009E2B03">
              <w:rPr>
                <w:rFonts w:ascii="Calibri Light" w:hAnsi="Calibri Light" w:cs="Arial"/>
                <w:b/>
                <w:color w:val="6D2077"/>
                <w:sz w:val="22"/>
              </w:rPr>
              <w:t>Women who live in rural and remote areas of Australia face a higher risk of experiencing violence</w:t>
            </w:r>
            <w:r w:rsidRPr="009E2B03">
              <w:rPr>
                <w:rFonts w:ascii="Calibri Light" w:hAnsi="Calibri Light" w:cs="Arial"/>
                <w:sz w:val="22"/>
              </w:rPr>
              <w:t xml:space="preserve">, with both the 2012 PSS and the Australian Longitudinal Study on Women’s Health showing that a higher number of women in these areas have experienced partner violence compared to women living in capital cities. </w:t>
            </w:r>
          </w:p>
          <w:p w14:paraId="62B5B648"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 xml:space="preserve">There </w:t>
            </w:r>
            <w:r w:rsidRPr="009E2B03">
              <w:rPr>
                <w:rFonts w:ascii="Calibri Light" w:hAnsi="Calibri Light" w:cs="Arial"/>
                <w:b/>
                <w:color w:val="6D2077"/>
                <w:sz w:val="22"/>
              </w:rPr>
              <w:t>are challenges relating to social and geographical isolation that may also impact on the ability of women in rural and remote areas to seek help or leave an abusive relationship</w:t>
            </w:r>
            <w:r w:rsidRPr="009E2B03">
              <w:rPr>
                <w:rFonts w:ascii="Calibri Light" w:hAnsi="Calibri Light" w:cs="Arial"/>
                <w:sz w:val="22"/>
              </w:rPr>
              <w:t xml:space="preserve">, including restricted social networks and support, limited services and support, lack of privacy and anonymity, and financial dependence. </w:t>
            </w:r>
            <w:r w:rsidRPr="009E2B03">
              <w:rPr>
                <w:rFonts w:ascii="Calibri Light" w:hAnsi="Calibri Light" w:cs="Arial"/>
                <w:sz w:val="22"/>
                <w:highlight w:val="yellow"/>
              </w:rPr>
              <w:t xml:space="preserve"> </w:t>
            </w:r>
          </w:p>
          <w:p w14:paraId="701EDDA4" w14:textId="77777777" w:rsidR="00403232" w:rsidRPr="009E2B03" w:rsidRDefault="00403232" w:rsidP="00403232">
            <w:pPr>
              <w:pStyle w:val="BodyBullet"/>
              <w:rPr>
                <w:rFonts w:ascii="Calibri Light" w:hAnsi="Calibri Light" w:cs="Arial"/>
                <w:color w:val="6D2077"/>
                <w:sz w:val="22"/>
              </w:rPr>
            </w:pPr>
            <w:r w:rsidRPr="009E2B03">
              <w:rPr>
                <w:rFonts w:ascii="Calibri Light" w:hAnsi="Calibri Light" w:cs="Arial"/>
                <w:sz w:val="22"/>
                <w:szCs w:val="20"/>
              </w:rPr>
              <w:t xml:space="preserve">There is </w:t>
            </w:r>
            <w:r w:rsidRPr="009E2B03">
              <w:rPr>
                <w:rFonts w:ascii="Calibri Light" w:hAnsi="Calibri Light" w:cs="Arial"/>
                <w:b/>
                <w:color w:val="6D2077"/>
                <w:sz w:val="22"/>
                <w:szCs w:val="20"/>
              </w:rPr>
              <w:t>inconsistent evidence to suggest any definitive relationship that links socioeconomic status and the prevalence of violence against women and children</w:t>
            </w:r>
            <w:r w:rsidRPr="009E2B03">
              <w:rPr>
                <w:rFonts w:ascii="Calibri Light" w:hAnsi="Calibri Light" w:cs="Arial"/>
                <w:color w:val="6D2077"/>
                <w:sz w:val="22"/>
                <w:szCs w:val="20"/>
              </w:rPr>
              <w:t xml:space="preserve">, </w:t>
            </w:r>
          </w:p>
          <w:p w14:paraId="6B29D596"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b/>
                <w:color w:val="6D2077"/>
                <w:sz w:val="22"/>
                <w:szCs w:val="20"/>
              </w:rPr>
              <w:t>However there is evidence that indicators of socioeconomic status</w:t>
            </w:r>
            <w:r w:rsidRPr="009E2B03">
              <w:rPr>
                <w:rFonts w:ascii="Calibri Light" w:hAnsi="Calibri Light" w:cs="Arial"/>
                <w:color w:val="6D2077"/>
                <w:sz w:val="22"/>
                <w:szCs w:val="20"/>
              </w:rPr>
              <w:t xml:space="preserve"> </w:t>
            </w:r>
            <w:r w:rsidRPr="009E2B03">
              <w:rPr>
                <w:rFonts w:ascii="Calibri Light" w:hAnsi="Calibri Light" w:cs="Arial"/>
                <w:sz w:val="22"/>
                <w:szCs w:val="20"/>
              </w:rPr>
              <w:t>such as level of educational attainment, level of household income, and employment status</w:t>
            </w:r>
            <w:r w:rsidRPr="009E2B03">
              <w:rPr>
                <w:rFonts w:ascii="Calibri Light" w:hAnsi="Calibri Light" w:cs="Arial"/>
                <w:b/>
                <w:sz w:val="22"/>
                <w:szCs w:val="20"/>
              </w:rPr>
              <w:t xml:space="preserve"> </w:t>
            </w:r>
            <w:r w:rsidRPr="009E2B03">
              <w:rPr>
                <w:rFonts w:ascii="Calibri Light" w:hAnsi="Calibri Light" w:cs="Arial"/>
                <w:b/>
                <w:color w:val="6D2077"/>
                <w:sz w:val="22"/>
                <w:szCs w:val="20"/>
              </w:rPr>
              <w:t>may impact on a woman’s vulnerability of experiencing violence when other contributing risk factors such as drug and alcohol abuse and mental health issues are present</w:t>
            </w:r>
            <w:r w:rsidR="001D48AA" w:rsidRPr="009E2B03">
              <w:rPr>
                <w:rFonts w:ascii="Calibri Light" w:hAnsi="Calibri Light" w:cs="Arial"/>
                <w:b/>
                <w:color w:val="6D2077"/>
                <w:sz w:val="22"/>
                <w:szCs w:val="20"/>
              </w:rPr>
              <w:t xml:space="preserve">. </w:t>
            </w:r>
          </w:p>
        </w:tc>
      </w:tr>
    </w:tbl>
    <w:p w14:paraId="2885B859"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 xml:space="preserve">Women across different age cohorts </w:t>
      </w:r>
    </w:p>
    <w:p w14:paraId="2CFE01CE" w14:textId="77777777"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rPr>
        <w:t xml:space="preserve">Violence is experienced by women across different age cohorts in Australia, although analysis of the data shows that the risk of experiencing violence is highest for young women between the ages of 18 and 24. </w:t>
      </w:r>
      <w:r w:rsidR="004A0298" w:rsidRPr="009E2B03">
        <w:rPr>
          <w:rFonts w:ascii="Calibri Light" w:hAnsi="Calibri Light" w:cs="Arial"/>
          <w:sz w:val="22"/>
        </w:rPr>
        <w:fldChar w:fldCharType="begin"/>
      </w:r>
      <w:r w:rsidR="004A0298" w:rsidRPr="009E2B03">
        <w:rPr>
          <w:rFonts w:ascii="Calibri Light" w:hAnsi="Calibri Light" w:cs="Arial"/>
          <w:sz w:val="22"/>
        </w:rPr>
        <w:instrText xml:space="preserve"> REF _Ref447375680 \h </w:instrText>
      </w:r>
      <w:r w:rsidR="009B0258" w:rsidRPr="009E2B03">
        <w:rPr>
          <w:rFonts w:ascii="Calibri Light" w:hAnsi="Calibri Light" w:cs="Arial"/>
          <w:sz w:val="22"/>
        </w:rPr>
        <w:instrText xml:space="preserve"> \* MERGEFORMAT </w:instrText>
      </w:r>
      <w:r w:rsidR="004A0298" w:rsidRPr="009E2B03">
        <w:rPr>
          <w:rFonts w:ascii="Calibri Light" w:hAnsi="Calibri Light" w:cs="Arial"/>
          <w:sz w:val="22"/>
        </w:rPr>
      </w:r>
      <w:r w:rsidR="004A0298" w:rsidRPr="009E2B03">
        <w:rPr>
          <w:rFonts w:ascii="Calibri Light" w:hAnsi="Calibri Light" w:cs="Arial"/>
          <w:sz w:val="22"/>
        </w:rPr>
        <w:fldChar w:fldCharType="separate"/>
      </w:r>
      <w:r w:rsidR="00417237" w:rsidRPr="009E2B03">
        <w:rPr>
          <w:rFonts w:ascii="Calibri Light" w:hAnsi="Calibri Light" w:cs="Arial"/>
          <w:sz w:val="22"/>
        </w:rPr>
        <w:t xml:space="preserve">Table </w:t>
      </w:r>
      <w:r w:rsidR="00417237">
        <w:rPr>
          <w:rFonts w:ascii="Calibri Light" w:hAnsi="Calibri Light" w:cs="Arial"/>
          <w:noProof/>
          <w:sz w:val="22"/>
        </w:rPr>
        <w:t>4</w:t>
      </w:r>
      <w:r w:rsidR="00417237" w:rsidRPr="009E2B03">
        <w:rPr>
          <w:rFonts w:ascii="Calibri Light" w:hAnsi="Calibri Light" w:cs="Arial"/>
          <w:noProof/>
          <w:sz w:val="22"/>
        </w:rPr>
        <w:noBreakHyphen/>
      </w:r>
      <w:r w:rsidR="00417237">
        <w:rPr>
          <w:rFonts w:ascii="Calibri Light" w:hAnsi="Calibri Light" w:cs="Arial"/>
          <w:noProof/>
          <w:sz w:val="22"/>
        </w:rPr>
        <w:t>1</w:t>
      </w:r>
      <w:r w:rsidR="004A0298" w:rsidRPr="009E2B03">
        <w:rPr>
          <w:rFonts w:ascii="Calibri Light" w:hAnsi="Calibri Light" w:cs="Arial"/>
          <w:sz w:val="22"/>
        </w:rPr>
        <w:fldChar w:fldCharType="end"/>
      </w:r>
      <w:r w:rsidR="004A0298" w:rsidRPr="009E2B03">
        <w:rPr>
          <w:rFonts w:ascii="Calibri Light" w:hAnsi="Calibri Light" w:cs="Arial"/>
          <w:sz w:val="22"/>
        </w:rPr>
        <w:t xml:space="preserve"> </w:t>
      </w:r>
      <w:r w:rsidRPr="009E2B03">
        <w:rPr>
          <w:rFonts w:ascii="Calibri Light" w:hAnsi="Calibri Light" w:cs="Arial"/>
          <w:sz w:val="22"/>
        </w:rPr>
        <w:t>illustrates this point.</w:t>
      </w:r>
    </w:p>
    <w:p w14:paraId="2797FCA7" w14:textId="77777777" w:rsidR="00403232" w:rsidRPr="009E2B03" w:rsidRDefault="00403232" w:rsidP="00403232">
      <w:pPr>
        <w:pStyle w:val="Caption"/>
        <w:rPr>
          <w:rFonts w:ascii="Calibri Light" w:hAnsi="Calibri Light" w:cs="Arial"/>
          <w:sz w:val="22"/>
        </w:rPr>
      </w:pPr>
      <w:bookmarkStart w:id="90" w:name="_Ref447375680"/>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90"/>
      <w:r w:rsidRPr="009E2B03">
        <w:rPr>
          <w:rFonts w:ascii="Calibri Light" w:hAnsi="Calibri Light" w:cs="Arial"/>
          <w:sz w:val="22"/>
        </w:rPr>
        <w:t>: Prevalence of violence against women in Australia across age cohorts, 2012</w:t>
      </w:r>
    </w:p>
    <w:tbl>
      <w:tblPr>
        <w:tblStyle w:val="KPMGtable1"/>
        <w:tblW w:w="0" w:type="auto"/>
        <w:tblLayout w:type="fixed"/>
        <w:tblLook w:val="04A0" w:firstRow="1" w:lastRow="0" w:firstColumn="1" w:lastColumn="0" w:noHBand="0" w:noVBand="1"/>
        <w:tblCaption w:val="Table of information on the prevalence of violence against women in Australia across age cohorts, 2012"/>
      </w:tblPr>
      <w:tblGrid>
        <w:gridCol w:w="2127"/>
        <w:gridCol w:w="3431"/>
        <w:gridCol w:w="3431"/>
      </w:tblGrid>
      <w:tr w:rsidR="00403232" w:rsidRPr="009E2B03" w14:paraId="427D9EB1" w14:textId="77777777" w:rsidTr="00865FDB">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6D2077"/>
            <w:noWrap/>
            <w:hideMark/>
          </w:tcPr>
          <w:p w14:paraId="0CC44AB8" w14:textId="77777777" w:rsidR="00403232" w:rsidRPr="009E2B03" w:rsidRDefault="00403232" w:rsidP="00403232">
            <w:pPr>
              <w:pStyle w:val="BodyText0"/>
              <w:spacing w:before="40" w:after="40"/>
              <w:rPr>
                <w:rFonts w:ascii="Calibri Light" w:hAnsi="Calibri Light" w:cs="Arial"/>
                <w:b/>
                <w:bCs/>
                <w:color w:val="FFFFFF" w:themeColor="background1"/>
                <w:sz w:val="20"/>
                <w:lang w:val="en-AU"/>
              </w:rPr>
            </w:pPr>
            <w:r w:rsidRPr="009E2B03">
              <w:rPr>
                <w:rFonts w:ascii="Calibri Light" w:hAnsi="Calibri Light" w:cs="Arial"/>
                <w:b/>
                <w:bCs/>
                <w:color w:val="FFFFFF" w:themeColor="background1"/>
                <w:sz w:val="20"/>
                <w:lang w:val="en-AU"/>
              </w:rPr>
              <w:t>Age cohort</w:t>
            </w:r>
          </w:p>
        </w:tc>
        <w:tc>
          <w:tcPr>
            <w:tcW w:w="3431" w:type="dxa"/>
            <w:shd w:val="clear" w:color="auto" w:fill="6D2077"/>
            <w:noWrap/>
            <w:hideMark/>
          </w:tcPr>
          <w:p w14:paraId="61732339" w14:textId="77777777" w:rsidR="00403232" w:rsidRPr="009E2B03" w:rsidRDefault="00403232" w:rsidP="00403232">
            <w:pPr>
              <w:pStyle w:val="BodyText0"/>
              <w:spacing w:before="40" w:after="40" w:line="240" w:lineRule="auto"/>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bCs/>
                <w:color w:val="FFFFFF" w:themeColor="background1"/>
                <w:sz w:val="20"/>
                <w:lang w:val="en-AU"/>
              </w:rPr>
            </w:pPr>
            <w:r w:rsidRPr="009E2B03">
              <w:rPr>
                <w:rFonts w:ascii="Calibri Light" w:hAnsi="Calibri Light" w:cs="Arial"/>
                <w:b/>
                <w:bCs/>
                <w:color w:val="FFFFFF" w:themeColor="background1"/>
                <w:sz w:val="20"/>
                <w:lang w:val="en-AU"/>
              </w:rPr>
              <w:t>Number of women who experienced violence over the last 12 months (‘000s)</w:t>
            </w:r>
          </w:p>
        </w:tc>
        <w:tc>
          <w:tcPr>
            <w:tcW w:w="3431" w:type="dxa"/>
            <w:shd w:val="clear" w:color="auto" w:fill="6D2077"/>
            <w:noWrap/>
            <w:hideMark/>
          </w:tcPr>
          <w:p w14:paraId="191B2C42" w14:textId="77777777" w:rsidR="00403232" w:rsidRPr="009E2B03" w:rsidRDefault="00403232" w:rsidP="00403232">
            <w:pPr>
              <w:pStyle w:val="BodyText0"/>
              <w:spacing w:before="40" w:after="40" w:line="240" w:lineRule="auto"/>
              <w:jc w:val="right"/>
              <w:cnfStyle w:val="100000000000" w:firstRow="1" w:lastRow="0" w:firstColumn="0" w:lastColumn="0" w:oddVBand="0" w:evenVBand="0" w:oddHBand="0" w:evenHBand="0" w:firstRowFirstColumn="0" w:firstRowLastColumn="0" w:lastRowFirstColumn="0" w:lastRowLastColumn="0"/>
              <w:rPr>
                <w:rFonts w:ascii="Calibri Light" w:hAnsi="Calibri Light" w:cs="Arial"/>
                <w:b/>
                <w:color w:val="FFFFFF" w:themeColor="background1"/>
                <w:sz w:val="20"/>
                <w:lang w:val="en-AU"/>
              </w:rPr>
            </w:pPr>
            <w:r w:rsidRPr="009E2B03">
              <w:rPr>
                <w:rFonts w:ascii="Calibri Light" w:hAnsi="Calibri Light" w:cs="Arial"/>
                <w:b/>
                <w:color w:val="FFFFFF" w:themeColor="background1"/>
                <w:sz w:val="20"/>
                <w:lang w:val="en-AU"/>
              </w:rPr>
              <w:t>Proportion of total women who experienced violence (%)</w:t>
            </w:r>
          </w:p>
        </w:tc>
      </w:tr>
      <w:tr w:rsidR="00403232" w:rsidRPr="009E2B03" w14:paraId="59EB8DC0"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2127" w:type="dxa"/>
            <w:shd w:val="clear" w:color="auto" w:fill="F3F0F4"/>
            <w:noWrap/>
            <w:vAlign w:val="center"/>
            <w:hideMark/>
          </w:tcPr>
          <w:p w14:paraId="683DC769" w14:textId="77777777" w:rsidR="00403232" w:rsidRPr="009E2B03" w:rsidRDefault="00403232" w:rsidP="00403232">
            <w:pPr>
              <w:pStyle w:val="BodyText0"/>
              <w:spacing w:before="40" w:after="40"/>
              <w:rPr>
                <w:rFonts w:ascii="Calibri Light" w:hAnsi="Calibri Light" w:cs="Arial"/>
                <w:b/>
                <w:color w:val="6D2077"/>
                <w:sz w:val="20"/>
                <w:lang w:val="en-AU"/>
              </w:rPr>
            </w:pPr>
            <w:r w:rsidRPr="009E2B03">
              <w:rPr>
                <w:rFonts w:ascii="Calibri Light" w:hAnsi="Calibri Light" w:cs="Arial"/>
                <w:b/>
                <w:color w:val="6D2077"/>
                <w:sz w:val="20"/>
                <w:lang w:val="en-AU"/>
              </w:rPr>
              <w:t>18 to 24 years</w:t>
            </w:r>
          </w:p>
        </w:tc>
        <w:tc>
          <w:tcPr>
            <w:tcW w:w="3431" w:type="dxa"/>
            <w:noWrap/>
            <w:vAlign w:val="center"/>
            <w:hideMark/>
          </w:tcPr>
          <w:p w14:paraId="2518028E"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137.4</w:t>
            </w:r>
          </w:p>
        </w:tc>
        <w:tc>
          <w:tcPr>
            <w:tcW w:w="3431" w:type="dxa"/>
            <w:noWrap/>
            <w:vAlign w:val="center"/>
            <w:hideMark/>
          </w:tcPr>
          <w:p w14:paraId="2526BB48"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12.8</w:t>
            </w:r>
          </w:p>
        </w:tc>
      </w:tr>
      <w:tr w:rsidR="00403232" w:rsidRPr="009E2B03" w14:paraId="4931060D"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2127" w:type="dxa"/>
            <w:shd w:val="clear" w:color="auto" w:fill="F3F0F4"/>
            <w:noWrap/>
            <w:vAlign w:val="center"/>
            <w:hideMark/>
          </w:tcPr>
          <w:p w14:paraId="3CA9DB5D" w14:textId="77777777" w:rsidR="00403232" w:rsidRPr="009E2B03" w:rsidRDefault="00403232" w:rsidP="00403232">
            <w:pPr>
              <w:pStyle w:val="BodyText0"/>
              <w:spacing w:before="40" w:after="40"/>
              <w:rPr>
                <w:rFonts w:ascii="Calibri Light" w:hAnsi="Calibri Light" w:cs="Arial"/>
                <w:b/>
                <w:color w:val="6D2077"/>
                <w:sz w:val="20"/>
                <w:lang w:val="en-AU"/>
              </w:rPr>
            </w:pPr>
            <w:r w:rsidRPr="009E2B03">
              <w:rPr>
                <w:rFonts w:ascii="Calibri Light" w:hAnsi="Calibri Light" w:cs="Arial"/>
                <w:b/>
                <w:color w:val="6D2077"/>
                <w:sz w:val="20"/>
                <w:lang w:val="en-AU"/>
              </w:rPr>
              <w:t>25 to 34 years</w:t>
            </w:r>
          </w:p>
        </w:tc>
        <w:tc>
          <w:tcPr>
            <w:tcW w:w="3431" w:type="dxa"/>
            <w:noWrap/>
            <w:vAlign w:val="center"/>
            <w:hideMark/>
          </w:tcPr>
          <w:p w14:paraId="5B5145BE"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131.1</w:t>
            </w:r>
          </w:p>
        </w:tc>
        <w:tc>
          <w:tcPr>
            <w:tcW w:w="3431" w:type="dxa"/>
            <w:noWrap/>
            <w:vAlign w:val="center"/>
            <w:hideMark/>
          </w:tcPr>
          <w:p w14:paraId="57ED6463"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8.1</w:t>
            </w:r>
          </w:p>
        </w:tc>
      </w:tr>
      <w:tr w:rsidR="00403232" w:rsidRPr="009E2B03" w14:paraId="117C68D2"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2127" w:type="dxa"/>
            <w:shd w:val="clear" w:color="auto" w:fill="F3F0F4"/>
            <w:noWrap/>
            <w:vAlign w:val="center"/>
            <w:hideMark/>
          </w:tcPr>
          <w:p w14:paraId="78C203A0" w14:textId="77777777" w:rsidR="00403232" w:rsidRPr="009E2B03" w:rsidRDefault="00403232" w:rsidP="00403232">
            <w:pPr>
              <w:pStyle w:val="BodyText0"/>
              <w:spacing w:before="40" w:after="40"/>
              <w:rPr>
                <w:rFonts w:ascii="Calibri Light" w:hAnsi="Calibri Light" w:cs="Arial"/>
                <w:b/>
                <w:color w:val="6D2077"/>
                <w:sz w:val="20"/>
                <w:lang w:val="en-AU"/>
              </w:rPr>
            </w:pPr>
            <w:r w:rsidRPr="009E2B03">
              <w:rPr>
                <w:rFonts w:ascii="Calibri Light" w:hAnsi="Calibri Light" w:cs="Arial"/>
                <w:b/>
                <w:color w:val="6D2077"/>
                <w:sz w:val="20"/>
                <w:lang w:val="en-AU"/>
              </w:rPr>
              <w:t>35 to 44 years</w:t>
            </w:r>
          </w:p>
        </w:tc>
        <w:tc>
          <w:tcPr>
            <w:tcW w:w="3431" w:type="dxa"/>
            <w:noWrap/>
            <w:vAlign w:val="center"/>
            <w:hideMark/>
          </w:tcPr>
          <w:p w14:paraId="46120856"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88.2</w:t>
            </w:r>
          </w:p>
        </w:tc>
        <w:tc>
          <w:tcPr>
            <w:tcW w:w="3431" w:type="dxa"/>
            <w:noWrap/>
            <w:vAlign w:val="center"/>
            <w:hideMark/>
          </w:tcPr>
          <w:p w14:paraId="3CD6A4C8"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5.5</w:t>
            </w:r>
          </w:p>
        </w:tc>
      </w:tr>
      <w:tr w:rsidR="00403232" w:rsidRPr="009E2B03" w14:paraId="38FB29D2"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2127" w:type="dxa"/>
            <w:shd w:val="clear" w:color="auto" w:fill="F3F0F4"/>
            <w:noWrap/>
            <w:vAlign w:val="center"/>
            <w:hideMark/>
          </w:tcPr>
          <w:p w14:paraId="6CCE03CC" w14:textId="77777777" w:rsidR="00403232" w:rsidRPr="009E2B03" w:rsidRDefault="00403232" w:rsidP="00403232">
            <w:pPr>
              <w:pStyle w:val="BodyText0"/>
              <w:spacing w:before="40" w:after="40"/>
              <w:rPr>
                <w:rFonts w:ascii="Calibri Light" w:hAnsi="Calibri Light" w:cs="Arial"/>
                <w:b/>
                <w:color w:val="6D2077"/>
                <w:sz w:val="20"/>
                <w:lang w:val="en-AU"/>
              </w:rPr>
            </w:pPr>
            <w:r w:rsidRPr="009E2B03">
              <w:rPr>
                <w:rFonts w:ascii="Calibri Light" w:hAnsi="Calibri Light" w:cs="Arial"/>
                <w:b/>
                <w:color w:val="6D2077"/>
                <w:sz w:val="20"/>
                <w:lang w:val="en-AU"/>
              </w:rPr>
              <w:t>45 to 54 years</w:t>
            </w:r>
          </w:p>
        </w:tc>
        <w:tc>
          <w:tcPr>
            <w:tcW w:w="3431" w:type="dxa"/>
            <w:noWrap/>
            <w:vAlign w:val="center"/>
            <w:hideMark/>
          </w:tcPr>
          <w:p w14:paraId="36749C33"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65.8</w:t>
            </w:r>
          </w:p>
        </w:tc>
        <w:tc>
          <w:tcPr>
            <w:tcW w:w="3431" w:type="dxa"/>
            <w:noWrap/>
            <w:vAlign w:val="center"/>
            <w:hideMark/>
          </w:tcPr>
          <w:p w14:paraId="32992A5E"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4.3</w:t>
            </w:r>
          </w:p>
        </w:tc>
      </w:tr>
      <w:tr w:rsidR="00403232" w:rsidRPr="009E2B03" w14:paraId="5A293607"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2127" w:type="dxa"/>
            <w:shd w:val="clear" w:color="auto" w:fill="F3F0F4"/>
            <w:noWrap/>
            <w:vAlign w:val="center"/>
            <w:hideMark/>
          </w:tcPr>
          <w:p w14:paraId="168036AE" w14:textId="77777777" w:rsidR="00403232" w:rsidRPr="009E2B03" w:rsidRDefault="00403232" w:rsidP="00403232">
            <w:pPr>
              <w:pStyle w:val="BodyText0"/>
              <w:spacing w:before="40" w:after="40"/>
              <w:rPr>
                <w:rFonts w:ascii="Calibri Light" w:hAnsi="Calibri Light" w:cs="Arial"/>
                <w:b/>
                <w:color w:val="6D2077"/>
                <w:sz w:val="20"/>
                <w:lang w:val="en-AU"/>
              </w:rPr>
            </w:pPr>
            <w:r w:rsidRPr="009E2B03">
              <w:rPr>
                <w:rFonts w:ascii="Calibri Light" w:hAnsi="Calibri Light" w:cs="Arial"/>
                <w:b/>
                <w:color w:val="6D2077"/>
                <w:sz w:val="20"/>
                <w:lang w:val="en-AU"/>
              </w:rPr>
              <w:t>55 years or more</w:t>
            </w:r>
          </w:p>
        </w:tc>
        <w:tc>
          <w:tcPr>
            <w:tcW w:w="3431" w:type="dxa"/>
            <w:noWrap/>
            <w:vAlign w:val="center"/>
            <w:hideMark/>
          </w:tcPr>
          <w:p w14:paraId="4FBE7F6F"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44.9</w:t>
            </w:r>
          </w:p>
        </w:tc>
        <w:tc>
          <w:tcPr>
            <w:tcW w:w="3431" w:type="dxa"/>
            <w:noWrap/>
            <w:vAlign w:val="center"/>
            <w:hideMark/>
          </w:tcPr>
          <w:p w14:paraId="5A2BB770" w14:textId="77777777" w:rsidR="00403232" w:rsidRPr="009E2B03" w:rsidRDefault="00403232" w:rsidP="00403232">
            <w:pPr>
              <w:pStyle w:val="BodyText0"/>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lang w:val="en-AU"/>
              </w:rPr>
            </w:pPr>
            <w:r w:rsidRPr="009E2B03">
              <w:rPr>
                <w:rFonts w:ascii="Calibri Light" w:hAnsi="Calibri Light" w:cs="Arial"/>
                <w:sz w:val="20"/>
                <w:lang w:val="en-AU"/>
              </w:rPr>
              <w:t>1.5</w:t>
            </w:r>
          </w:p>
        </w:tc>
      </w:tr>
    </w:tbl>
    <w:p w14:paraId="7A0A8B6C" w14:textId="77777777" w:rsidR="00403232" w:rsidRPr="009E2B03" w:rsidRDefault="00403232" w:rsidP="00403232">
      <w:pPr>
        <w:pStyle w:val="BodyText0"/>
        <w:spacing w:after="0"/>
        <w:rPr>
          <w:rFonts w:ascii="Calibri Light" w:hAnsi="Calibri Light" w:cs="Arial"/>
          <w:sz w:val="20"/>
        </w:rPr>
      </w:pPr>
      <w:r w:rsidRPr="009E2B03">
        <w:rPr>
          <w:rFonts w:ascii="Calibri Light" w:hAnsi="Calibri Light" w:cs="Arial"/>
          <w:sz w:val="20"/>
        </w:rPr>
        <w:t xml:space="preserve">Source: </w:t>
      </w:r>
      <w:r w:rsidR="004A0298" w:rsidRPr="009E2B03">
        <w:rPr>
          <w:rFonts w:ascii="Calibri Light" w:hAnsi="Calibri Light" w:cs="Arial"/>
          <w:sz w:val="20"/>
        </w:rPr>
        <w:t>ABS</w:t>
      </w:r>
      <w:r w:rsidRPr="009E2B03">
        <w:rPr>
          <w:rFonts w:ascii="Calibri Light" w:hAnsi="Calibri Light" w:cs="Arial"/>
          <w:sz w:val="20"/>
        </w:rPr>
        <w:t xml:space="preserve"> Personal Safety Survey</w:t>
      </w:r>
      <w:r w:rsidR="004A0298" w:rsidRPr="009E2B03">
        <w:rPr>
          <w:rFonts w:ascii="Calibri Light" w:hAnsi="Calibri Light" w:cs="Arial"/>
          <w:sz w:val="20"/>
        </w:rPr>
        <w:t xml:space="preserve"> 2012.</w:t>
      </w:r>
      <w:r w:rsidRPr="009E2B03">
        <w:rPr>
          <w:rFonts w:ascii="Calibri Light" w:hAnsi="Calibri Light" w:cs="Arial"/>
          <w:sz w:val="20"/>
        </w:rPr>
        <w:t xml:space="preserve"> </w:t>
      </w:r>
    </w:p>
    <w:p w14:paraId="0193A91F" w14:textId="77777777"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rPr>
        <w:t xml:space="preserve">While young women face a higher risk of experiencing violence, many elderly women in Australia are also more vulnerable to experiencing violence. Elderly women also often experience barriers to reporting incidents of violence, or leaving an abusive relationship. </w:t>
      </w:r>
    </w:p>
    <w:p w14:paraId="18CBB98B" w14:textId="77777777" w:rsidR="00403232" w:rsidRPr="009E2B03" w:rsidRDefault="00403232" w:rsidP="00403232">
      <w:pPr>
        <w:pStyle w:val="BodyBullet"/>
        <w:numPr>
          <w:ilvl w:val="0"/>
          <w:numId w:val="0"/>
        </w:numPr>
        <w:tabs>
          <w:tab w:val="center" w:pos="4513"/>
        </w:tabs>
        <w:rPr>
          <w:rFonts w:ascii="Calibri Light" w:hAnsi="Calibri Light" w:cs="Arial"/>
          <w:sz w:val="22"/>
        </w:rPr>
      </w:pPr>
      <w:r w:rsidRPr="009E2B03">
        <w:rPr>
          <w:rFonts w:ascii="Calibri Light" w:hAnsi="Calibri Light" w:cs="Arial"/>
          <w:sz w:val="22"/>
        </w:rPr>
        <w:t>The experiences of young women and elderly women are described in further detail below.</w:t>
      </w:r>
    </w:p>
    <w:p w14:paraId="5A99D493" w14:textId="4105CAF1" w:rsidR="003375BC" w:rsidRDefault="003375BC" w:rsidP="00403232">
      <w:pPr>
        <w:pStyle w:val="BodyBullet"/>
        <w:numPr>
          <w:ilvl w:val="0"/>
          <w:numId w:val="0"/>
        </w:numPr>
        <w:tabs>
          <w:tab w:val="center" w:pos="4513"/>
        </w:tabs>
        <w:rPr>
          <w:rFonts w:ascii="Calibri Light" w:hAnsi="Calibri Light" w:cs="Arial"/>
          <w:sz w:val="22"/>
        </w:rPr>
      </w:pPr>
      <w:r>
        <w:rPr>
          <w:rFonts w:ascii="Calibri Light" w:hAnsi="Calibri Light" w:cs="Arial"/>
          <w:sz w:val="22"/>
        </w:rPr>
        <w:br w:type="page"/>
      </w:r>
    </w:p>
    <w:p w14:paraId="5A7CF0E4" w14:textId="77777777" w:rsidR="00403232" w:rsidRPr="009E2B03" w:rsidRDefault="00403232" w:rsidP="00403232">
      <w:pPr>
        <w:pStyle w:val="Heading4"/>
        <w:numPr>
          <w:ilvl w:val="3"/>
          <w:numId w:val="5"/>
        </w:numPr>
        <w:rPr>
          <w:rFonts w:ascii="Calibri Light" w:hAnsi="Calibri Light"/>
          <w:color w:val="6D2077"/>
          <w:sz w:val="22"/>
        </w:rPr>
      </w:pPr>
      <w:r w:rsidRPr="009E2B03">
        <w:rPr>
          <w:rFonts w:ascii="Calibri Light" w:hAnsi="Calibri Light"/>
          <w:color w:val="6D2077"/>
          <w:sz w:val="22"/>
        </w:rPr>
        <w:lastRenderedPageBreak/>
        <w:t>Violence against young women</w:t>
      </w:r>
    </w:p>
    <w:p w14:paraId="06324920" w14:textId="77777777"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rPr>
        <w:t>As highlighted in</w:t>
      </w:r>
      <w:r w:rsidR="004A0298" w:rsidRPr="009E2B03">
        <w:rPr>
          <w:rFonts w:ascii="Calibri Light" w:hAnsi="Calibri Light" w:cs="Arial"/>
          <w:sz w:val="22"/>
        </w:rPr>
        <w:t xml:space="preserve"> </w:t>
      </w:r>
      <w:r w:rsidR="004A0298" w:rsidRPr="009E2B03">
        <w:rPr>
          <w:rFonts w:ascii="Calibri Light" w:hAnsi="Calibri Light" w:cs="Arial"/>
          <w:sz w:val="22"/>
        </w:rPr>
        <w:fldChar w:fldCharType="begin"/>
      </w:r>
      <w:r w:rsidR="004A0298" w:rsidRPr="009E2B03">
        <w:rPr>
          <w:rFonts w:ascii="Calibri Light" w:hAnsi="Calibri Light" w:cs="Arial"/>
          <w:sz w:val="22"/>
        </w:rPr>
        <w:instrText xml:space="preserve"> REF _Ref447375680 \h </w:instrText>
      </w:r>
      <w:r w:rsidR="009B0258" w:rsidRPr="009E2B03">
        <w:rPr>
          <w:rFonts w:ascii="Calibri Light" w:hAnsi="Calibri Light" w:cs="Arial"/>
          <w:sz w:val="22"/>
        </w:rPr>
        <w:instrText xml:space="preserve"> \* MERGEFORMAT </w:instrText>
      </w:r>
      <w:r w:rsidR="004A0298" w:rsidRPr="009E2B03">
        <w:rPr>
          <w:rFonts w:ascii="Calibri Light" w:hAnsi="Calibri Light" w:cs="Arial"/>
          <w:sz w:val="22"/>
        </w:rPr>
      </w:r>
      <w:r w:rsidR="004A0298" w:rsidRPr="009E2B03">
        <w:rPr>
          <w:rFonts w:ascii="Calibri Light" w:hAnsi="Calibri Light" w:cs="Arial"/>
          <w:sz w:val="22"/>
        </w:rPr>
        <w:fldChar w:fldCharType="separate"/>
      </w:r>
      <w:r w:rsidR="00417237" w:rsidRPr="009E2B03">
        <w:rPr>
          <w:rFonts w:ascii="Calibri Light" w:hAnsi="Calibri Light" w:cs="Arial"/>
          <w:sz w:val="22"/>
        </w:rPr>
        <w:t xml:space="preserve">Table </w:t>
      </w:r>
      <w:r w:rsidR="00417237">
        <w:rPr>
          <w:rFonts w:ascii="Calibri Light" w:hAnsi="Calibri Light" w:cs="Arial"/>
          <w:noProof/>
          <w:sz w:val="22"/>
        </w:rPr>
        <w:t>4</w:t>
      </w:r>
      <w:r w:rsidR="00417237" w:rsidRPr="009E2B03">
        <w:rPr>
          <w:rFonts w:ascii="Calibri Light" w:hAnsi="Calibri Light" w:cs="Arial"/>
          <w:noProof/>
          <w:sz w:val="22"/>
        </w:rPr>
        <w:noBreakHyphen/>
      </w:r>
      <w:r w:rsidR="00417237">
        <w:rPr>
          <w:rFonts w:ascii="Calibri Light" w:hAnsi="Calibri Light" w:cs="Arial"/>
          <w:noProof/>
          <w:sz w:val="22"/>
        </w:rPr>
        <w:t>1</w:t>
      </w:r>
      <w:r w:rsidR="004A0298" w:rsidRPr="009E2B03">
        <w:rPr>
          <w:rFonts w:ascii="Calibri Light" w:hAnsi="Calibri Light" w:cs="Arial"/>
          <w:sz w:val="22"/>
        </w:rPr>
        <w:fldChar w:fldCharType="end"/>
      </w:r>
      <w:r w:rsidRPr="009E2B03">
        <w:rPr>
          <w:rFonts w:ascii="Calibri Light" w:hAnsi="Calibri Light" w:cs="Arial"/>
          <w:sz w:val="22"/>
        </w:rPr>
        <w:t xml:space="preserve"> above, young women are at a higher risk of experiencing violence (across all recorded categories) in comparison to other age cohorts.</w:t>
      </w:r>
      <w:r w:rsidRPr="009E2B03">
        <w:rPr>
          <w:rFonts w:ascii="Calibri Light" w:hAnsi="Calibri Light" w:cs="Arial"/>
          <w:sz w:val="22"/>
          <w:vertAlign w:val="superscript"/>
        </w:rPr>
        <w:footnoteReference w:id="61"/>
      </w:r>
      <w:r w:rsidRPr="009E2B03">
        <w:rPr>
          <w:rFonts w:ascii="Calibri Light" w:hAnsi="Calibri Light" w:cs="Arial"/>
          <w:sz w:val="22"/>
        </w:rPr>
        <w:t xml:space="preserve"> This is also reflected in the historical trends, with young women being overrepresented among female victims of violence. </w:t>
      </w:r>
      <w:r w:rsidR="004A0298" w:rsidRPr="009E2B03">
        <w:rPr>
          <w:rFonts w:ascii="Calibri Light" w:hAnsi="Calibri Light" w:cs="Arial"/>
          <w:sz w:val="22"/>
        </w:rPr>
        <w:fldChar w:fldCharType="begin"/>
      </w:r>
      <w:r w:rsidR="004A0298" w:rsidRPr="009E2B03">
        <w:rPr>
          <w:rFonts w:ascii="Calibri Light" w:hAnsi="Calibri Light" w:cs="Arial"/>
          <w:sz w:val="22"/>
        </w:rPr>
        <w:instrText xml:space="preserve"> REF _Ref447375750 \h </w:instrText>
      </w:r>
      <w:r w:rsidR="009B0258" w:rsidRPr="009E2B03">
        <w:rPr>
          <w:rFonts w:ascii="Calibri Light" w:hAnsi="Calibri Light" w:cs="Arial"/>
          <w:sz w:val="22"/>
        </w:rPr>
        <w:instrText xml:space="preserve"> \* MERGEFORMAT </w:instrText>
      </w:r>
      <w:r w:rsidR="004A0298" w:rsidRPr="009E2B03">
        <w:rPr>
          <w:rFonts w:ascii="Calibri Light" w:hAnsi="Calibri Light" w:cs="Arial"/>
          <w:sz w:val="22"/>
        </w:rPr>
      </w:r>
      <w:r w:rsidR="004A0298" w:rsidRPr="009E2B03">
        <w:rPr>
          <w:rFonts w:ascii="Calibri Light" w:hAnsi="Calibri Light" w:cs="Arial"/>
          <w:sz w:val="22"/>
        </w:rPr>
        <w:fldChar w:fldCharType="separate"/>
      </w:r>
      <w:r w:rsidR="00417237" w:rsidRPr="009E2B03">
        <w:rPr>
          <w:rFonts w:ascii="Calibri Light" w:hAnsi="Calibri Light" w:cs="Arial"/>
          <w:sz w:val="22"/>
        </w:rPr>
        <w:t xml:space="preserve">Table </w:t>
      </w:r>
      <w:r w:rsidR="00417237">
        <w:rPr>
          <w:rFonts w:ascii="Calibri Light" w:hAnsi="Calibri Light" w:cs="Arial"/>
          <w:noProof/>
          <w:sz w:val="22"/>
        </w:rPr>
        <w:t>4</w:t>
      </w:r>
      <w:r w:rsidR="00417237" w:rsidRPr="009E2B03">
        <w:rPr>
          <w:rFonts w:ascii="Calibri Light" w:hAnsi="Calibri Light" w:cs="Arial"/>
          <w:noProof/>
          <w:sz w:val="22"/>
        </w:rPr>
        <w:noBreakHyphen/>
      </w:r>
      <w:r w:rsidR="00417237">
        <w:rPr>
          <w:rFonts w:ascii="Calibri Light" w:hAnsi="Calibri Light" w:cs="Arial"/>
          <w:noProof/>
          <w:sz w:val="22"/>
        </w:rPr>
        <w:t>2</w:t>
      </w:r>
      <w:r w:rsidR="004A0298" w:rsidRPr="009E2B03">
        <w:rPr>
          <w:rFonts w:ascii="Calibri Light" w:hAnsi="Calibri Light" w:cs="Arial"/>
          <w:sz w:val="22"/>
        </w:rPr>
        <w:fldChar w:fldCharType="end"/>
      </w:r>
      <w:r w:rsidR="004A0298" w:rsidRPr="009E2B03">
        <w:rPr>
          <w:rFonts w:ascii="Calibri Light" w:hAnsi="Calibri Light" w:cs="Arial"/>
          <w:sz w:val="22"/>
        </w:rPr>
        <w:t xml:space="preserve"> </w:t>
      </w:r>
      <w:r w:rsidRPr="009E2B03">
        <w:rPr>
          <w:rFonts w:ascii="Calibri Light" w:hAnsi="Calibri Light" w:cs="Arial"/>
          <w:sz w:val="22"/>
        </w:rPr>
        <w:t xml:space="preserve">below shows that the number of young women who have experienced violence over a 12 month period increased between 2005 and 2012 from 117,000 to 137,400, but decreased between 1996 and 2012 from 178,500 to 134,400. </w:t>
      </w:r>
    </w:p>
    <w:p w14:paraId="522C127C" w14:textId="77777777" w:rsidR="00403232" w:rsidRPr="009E2B03" w:rsidRDefault="00403232" w:rsidP="00403232">
      <w:pPr>
        <w:pStyle w:val="Caption"/>
        <w:rPr>
          <w:rFonts w:ascii="Calibri Light" w:hAnsi="Calibri Light" w:cs="Arial"/>
          <w:sz w:val="22"/>
        </w:rPr>
      </w:pPr>
      <w:bookmarkStart w:id="91" w:name="_Ref447375750"/>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bookmarkEnd w:id="91"/>
      <w:r w:rsidRPr="009E2B03">
        <w:rPr>
          <w:rFonts w:ascii="Calibri Light" w:hAnsi="Calibri Light" w:cs="Arial"/>
          <w:sz w:val="22"/>
        </w:rPr>
        <w:t>: Estimated number of women aged 18 to 24 who have experienced violence in the past 12 months</w:t>
      </w:r>
    </w:p>
    <w:tbl>
      <w:tblPr>
        <w:tblStyle w:val="GridTable4-Accent51"/>
        <w:tblW w:w="0" w:type="auto"/>
        <w:tblLook w:val="04A0" w:firstRow="1" w:lastRow="0" w:firstColumn="1" w:lastColumn="0" w:noHBand="0" w:noVBand="1"/>
        <w:tblCaption w:val="Table of information on the estimated number of women aged 18 to 24 who have experienced violence in the past 12 months"/>
      </w:tblPr>
      <w:tblGrid>
        <w:gridCol w:w="3256"/>
        <w:gridCol w:w="1795"/>
        <w:gridCol w:w="1795"/>
        <w:gridCol w:w="1796"/>
      </w:tblGrid>
      <w:tr w:rsidR="00403232" w:rsidRPr="009E2B03" w14:paraId="61C37100"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6D2077"/>
          </w:tcPr>
          <w:p w14:paraId="7FCE1248" w14:textId="77777777" w:rsidR="00403232" w:rsidRPr="009E2B03" w:rsidRDefault="00403232" w:rsidP="00403232">
            <w:pPr>
              <w:spacing w:before="40" w:after="40" w:line="257" w:lineRule="auto"/>
              <w:jc w:val="center"/>
              <w:rPr>
                <w:rFonts w:ascii="Calibri Light" w:eastAsia="Calibri" w:hAnsi="Calibri Light" w:cs="Arial"/>
                <w:sz w:val="20"/>
                <w:lang w:val="en-US"/>
              </w:rPr>
            </w:pPr>
          </w:p>
        </w:tc>
        <w:tc>
          <w:tcPr>
            <w:tcW w:w="1795" w:type="dxa"/>
            <w:shd w:val="clear" w:color="auto" w:fill="6D2077"/>
            <w:hideMark/>
          </w:tcPr>
          <w:p w14:paraId="1FA0624C" w14:textId="77777777" w:rsidR="00403232" w:rsidRPr="009E2B03" w:rsidRDefault="00403232" w:rsidP="00403232">
            <w:pPr>
              <w:spacing w:before="40" w:after="40" w:line="257"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1996</w:t>
            </w:r>
          </w:p>
        </w:tc>
        <w:tc>
          <w:tcPr>
            <w:tcW w:w="1795" w:type="dxa"/>
            <w:shd w:val="clear" w:color="auto" w:fill="6D2077"/>
            <w:hideMark/>
          </w:tcPr>
          <w:p w14:paraId="66E7C71D" w14:textId="77777777" w:rsidR="00403232" w:rsidRPr="009E2B03" w:rsidRDefault="00403232" w:rsidP="00403232">
            <w:pPr>
              <w:spacing w:before="40" w:after="40" w:line="257"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2005</w:t>
            </w:r>
          </w:p>
        </w:tc>
        <w:tc>
          <w:tcPr>
            <w:tcW w:w="1796" w:type="dxa"/>
            <w:shd w:val="clear" w:color="auto" w:fill="6D2077"/>
            <w:hideMark/>
          </w:tcPr>
          <w:p w14:paraId="64CE84A4" w14:textId="77777777" w:rsidR="00403232" w:rsidRPr="009E2B03" w:rsidRDefault="00403232" w:rsidP="00403232">
            <w:pPr>
              <w:spacing w:before="40" w:after="40" w:line="257"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2012</w:t>
            </w:r>
          </w:p>
        </w:tc>
      </w:tr>
      <w:tr w:rsidR="00403232" w:rsidRPr="009E2B03" w14:paraId="0F98159B" w14:textId="77777777" w:rsidTr="00BC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8EAADB"/>
              <w:left w:val="single" w:sz="4" w:space="0" w:color="8EAADB"/>
              <w:bottom w:val="single" w:sz="4" w:space="0" w:color="8EAADB"/>
              <w:right w:val="single" w:sz="4" w:space="0" w:color="8EAADB"/>
            </w:tcBorders>
            <w:shd w:val="clear" w:color="auto" w:fill="F3F0F4"/>
            <w:hideMark/>
          </w:tcPr>
          <w:p w14:paraId="21D2FCA5" w14:textId="77777777" w:rsidR="00403232" w:rsidRPr="009E2B03" w:rsidRDefault="00403232" w:rsidP="00403232">
            <w:pPr>
              <w:spacing w:before="40" w:after="40" w:line="257" w:lineRule="auto"/>
              <w:rPr>
                <w:rFonts w:ascii="Calibri Light" w:eastAsia="Calibri" w:hAnsi="Calibri Light" w:cs="Arial"/>
                <w:color w:val="6D2077"/>
                <w:sz w:val="20"/>
                <w:lang w:val="en-US"/>
              </w:rPr>
            </w:pPr>
            <w:r w:rsidRPr="009E2B03">
              <w:rPr>
                <w:rFonts w:ascii="Calibri Light" w:eastAsia="Calibri" w:hAnsi="Calibri Light" w:cs="Arial"/>
                <w:color w:val="6D2077"/>
                <w:sz w:val="20"/>
                <w:lang w:val="en-US"/>
              </w:rPr>
              <w:t>Number of women</w:t>
            </w:r>
          </w:p>
        </w:tc>
        <w:tc>
          <w:tcPr>
            <w:tcW w:w="1795" w:type="dxa"/>
            <w:tcBorders>
              <w:top w:val="single" w:sz="4" w:space="0" w:color="8EAADB"/>
              <w:left w:val="single" w:sz="4" w:space="0" w:color="8EAADB"/>
              <w:bottom w:val="single" w:sz="4" w:space="0" w:color="8EAADB"/>
              <w:right w:val="single" w:sz="4" w:space="0" w:color="8EAADB"/>
            </w:tcBorders>
            <w:shd w:val="clear" w:color="auto" w:fill="FFFFFF"/>
            <w:hideMark/>
          </w:tcPr>
          <w:p w14:paraId="36331225" w14:textId="77777777" w:rsidR="00403232" w:rsidRPr="009E2B03" w:rsidRDefault="00403232" w:rsidP="00403232">
            <w:pPr>
              <w:spacing w:before="40" w:after="40" w:line="257"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178,500</w:t>
            </w:r>
          </w:p>
        </w:tc>
        <w:tc>
          <w:tcPr>
            <w:tcW w:w="1795" w:type="dxa"/>
            <w:tcBorders>
              <w:top w:val="single" w:sz="4" w:space="0" w:color="8EAADB"/>
              <w:left w:val="single" w:sz="4" w:space="0" w:color="8EAADB"/>
              <w:bottom w:val="single" w:sz="4" w:space="0" w:color="8EAADB"/>
              <w:right w:val="single" w:sz="4" w:space="0" w:color="8EAADB"/>
            </w:tcBorders>
            <w:shd w:val="clear" w:color="auto" w:fill="FFFFFF"/>
            <w:hideMark/>
          </w:tcPr>
          <w:p w14:paraId="604BE4DD" w14:textId="77777777" w:rsidR="00403232" w:rsidRPr="009E2B03" w:rsidRDefault="00403232" w:rsidP="00403232">
            <w:pPr>
              <w:spacing w:before="40" w:after="40" w:line="257"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117,000</w:t>
            </w:r>
          </w:p>
        </w:tc>
        <w:tc>
          <w:tcPr>
            <w:tcW w:w="1796" w:type="dxa"/>
            <w:tcBorders>
              <w:top w:val="single" w:sz="4" w:space="0" w:color="8EAADB"/>
              <w:left w:val="single" w:sz="4" w:space="0" w:color="8EAADB"/>
              <w:bottom w:val="single" w:sz="4" w:space="0" w:color="8EAADB"/>
              <w:right w:val="single" w:sz="4" w:space="0" w:color="8EAADB"/>
            </w:tcBorders>
            <w:shd w:val="clear" w:color="auto" w:fill="FFFFFF"/>
            <w:hideMark/>
          </w:tcPr>
          <w:p w14:paraId="5A97E0CE" w14:textId="77777777" w:rsidR="00403232" w:rsidRPr="009E2B03" w:rsidRDefault="00403232" w:rsidP="00403232">
            <w:pPr>
              <w:spacing w:before="40" w:after="40" w:line="257"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137,400</w:t>
            </w:r>
          </w:p>
        </w:tc>
      </w:tr>
      <w:tr w:rsidR="00403232" w:rsidRPr="009E2B03" w14:paraId="198201E0" w14:textId="77777777" w:rsidTr="00BC5A4F">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8EAADB"/>
              <w:left w:val="single" w:sz="4" w:space="0" w:color="8EAADB"/>
              <w:bottom w:val="single" w:sz="4" w:space="0" w:color="8EAADB"/>
              <w:right w:val="single" w:sz="4" w:space="0" w:color="8EAADB"/>
            </w:tcBorders>
            <w:shd w:val="clear" w:color="auto" w:fill="F3F0F4"/>
            <w:hideMark/>
          </w:tcPr>
          <w:p w14:paraId="58819BD2" w14:textId="77777777" w:rsidR="00403232" w:rsidRPr="009E2B03" w:rsidRDefault="00403232" w:rsidP="00403232">
            <w:pPr>
              <w:spacing w:before="40" w:after="40" w:line="257" w:lineRule="auto"/>
              <w:rPr>
                <w:rFonts w:ascii="Calibri Light" w:eastAsia="Calibri" w:hAnsi="Calibri Light" w:cs="Arial"/>
                <w:color w:val="6D2077"/>
                <w:sz w:val="20"/>
                <w:lang w:val="en-US"/>
              </w:rPr>
            </w:pPr>
            <w:r w:rsidRPr="009E2B03">
              <w:rPr>
                <w:rFonts w:ascii="Calibri Light" w:eastAsia="Calibri" w:hAnsi="Calibri Light" w:cs="Arial"/>
                <w:color w:val="6D2077"/>
                <w:sz w:val="20"/>
                <w:lang w:val="en-US"/>
              </w:rPr>
              <w:t>Percentage of all women (%)</w:t>
            </w:r>
          </w:p>
        </w:tc>
        <w:tc>
          <w:tcPr>
            <w:tcW w:w="1795" w:type="dxa"/>
            <w:tcBorders>
              <w:top w:val="single" w:sz="4" w:space="0" w:color="8EAADB"/>
              <w:left w:val="single" w:sz="4" w:space="0" w:color="8EAADB"/>
              <w:bottom w:val="single" w:sz="4" w:space="0" w:color="8EAADB"/>
              <w:right w:val="single" w:sz="4" w:space="0" w:color="8EAADB"/>
            </w:tcBorders>
            <w:hideMark/>
          </w:tcPr>
          <w:p w14:paraId="7F43B02F" w14:textId="77777777" w:rsidR="00403232" w:rsidRPr="009E2B03" w:rsidRDefault="00403232" w:rsidP="00403232">
            <w:pPr>
              <w:spacing w:before="40" w:after="40" w:line="257"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36.4</w:t>
            </w:r>
          </w:p>
        </w:tc>
        <w:tc>
          <w:tcPr>
            <w:tcW w:w="1795" w:type="dxa"/>
            <w:tcBorders>
              <w:top w:val="single" w:sz="4" w:space="0" w:color="8EAADB"/>
              <w:left w:val="single" w:sz="4" w:space="0" w:color="8EAADB"/>
              <w:bottom w:val="single" w:sz="4" w:space="0" w:color="8EAADB"/>
              <w:right w:val="single" w:sz="4" w:space="0" w:color="8EAADB"/>
            </w:tcBorders>
            <w:hideMark/>
          </w:tcPr>
          <w:p w14:paraId="62CB06AA" w14:textId="77777777" w:rsidR="00403232" w:rsidRPr="009E2B03" w:rsidRDefault="00403232" w:rsidP="00403232">
            <w:pPr>
              <w:spacing w:before="40" w:after="40" w:line="257"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26.4</w:t>
            </w:r>
          </w:p>
        </w:tc>
        <w:tc>
          <w:tcPr>
            <w:tcW w:w="1796" w:type="dxa"/>
            <w:tcBorders>
              <w:top w:val="single" w:sz="4" w:space="0" w:color="8EAADB"/>
              <w:left w:val="single" w:sz="4" w:space="0" w:color="8EAADB"/>
              <w:bottom w:val="single" w:sz="4" w:space="0" w:color="8EAADB"/>
              <w:right w:val="single" w:sz="4" w:space="0" w:color="8EAADB"/>
            </w:tcBorders>
            <w:hideMark/>
          </w:tcPr>
          <w:p w14:paraId="21CB90E2" w14:textId="77777777" w:rsidR="00403232" w:rsidRPr="009E2B03" w:rsidRDefault="00403232" w:rsidP="00403232">
            <w:pPr>
              <w:spacing w:before="40" w:after="40" w:line="257"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20"/>
                <w:lang w:val="en-US"/>
              </w:rPr>
            </w:pPr>
            <w:r w:rsidRPr="009E2B03">
              <w:rPr>
                <w:rFonts w:ascii="Calibri Light" w:eastAsia="Calibri" w:hAnsi="Calibri Light" w:cs="Arial"/>
                <w:sz w:val="20"/>
                <w:lang w:val="en-US"/>
              </w:rPr>
              <w:t>12.8</w:t>
            </w:r>
          </w:p>
        </w:tc>
      </w:tr>
    </w:tbl>
    <w:p w14:paraId="2B8EA4B3" w14:textId="77777777" w:rsidR="00403232" w:rsidRPr="009E2B03" w:rsidRDefault="00403232" w:rsidP="00403232">
      <w:pPr>
        <w:pStyle w:val="BodyText0"/>
        <w:spacing w:after="0"/>
        <w:rPr>
          <w:rFonts w:ascii="Calibri Light" w:hAnsi="Calibri Light" w:cs="Arial"/>
          <w:sz w:val="20"/>
        </w:rPr>
      </w:pPr>
      <w:r w:rsidRPr="009E2B03">
        <w:rPr>
          <w:rFonts w:ascii="Calibri Light" w:hAnsi="Calibri Light" w:cs="Arial"/>
          <w:sz w:val="20"/>
        </w:rPr>
        <w:t xml:space="preserve">Source: </w:t>
      </w:r>
      <w:r w:rsidR="004A0298" w:rsidRPr="009E2B03">
        <w:rPr>
          <w:rFonts w:ascii="Calibri Light" w:hAnsi="Calibri Light" w:cs="Arial"/>
          <w:sz w:val="20"/>
        </w:rPr>
        <w:t>ABS Personal Safety Survey 2012.</w:t>
      </w:r>
    </w:p>
    <w:p w14:paraId="1A5134F5" w14:textId="77777777"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rPr>
        <w:t xml:space="preserve">Young women are also at the highest risk of sexual assault. The 2012 PSS estimated that of all women who experienced an incident of sexual assault in the 12 months to 2012, over </w:t>
      </w:r>
      <w:r w:rsidR="00BA0183" w:rsidRPr="009E2B03">
        <w:rPr>
          <w:rFonts w:ascii="Calibri Light" w:hAnsi="Calibri Light" w:cs="Arial"/>
          <w:sz w:val="22"/>
        </w:rPr>
        <w:br/>
      </w:r>
      <w:r w:rsidRPr="009E2B03">
        <w:rPr>
          <w:rFonts w:ascii="Calibri Light" w:hAnsi="Calibri Light" w:cs="Arial"/>
          <w:sz w:val="22"/>
        </w:rPr>
        <w:t>50 per cent were aged between 18 and 34. This represents a total of 44,800 women.</w:t>
      </w:r>
      <w:r w:rsidRPr="009E2B03">
        <w:rPr>
          <w:rFonts w:ascii="Calibri Light" w:hAnsi="Calibri Light" w:cs="Arial"/>
          <w:sz w:val="22"/>
          <w:vertAlign w:val="superscript"/>
        </w:rPr>
        <w:footnoteReference w:id="62"/>
      </w:r>
      <w:r w:rsidRPr="009E2B03">
        <w:rPr>
          <w:rFonts w:ascii="Calibri Light" w:hAnsi="Calibri Light" w:cs="Arial"/>
          <w:sz w:val="22"/>
        </w:rPr>
        <w:t xml:space="preserve"> Recorded crime statistics collected by the ABS also highlight a higher prevalence of sexual assault amongst young woman, as shown in </w:t>
      </w:r>
      <w:r w:rsidR="004A0298" w:rsidRPr="009E2B03">
        <w:rPr>
          <w:rFonts w:ascii="Calibri Light" w:hAnsi="Calibri Light" w:cs="Arial"/>
          <w:sz w:val="22"/>
        </w:rPr>
        <w:fldChar w:fldCharType="begin"/>
      </w:r>
      <w:r w:rsidR="004A0298" w:rsidRPr="009E2B03">
        <w:rPr>
          <w:rFonts w:ascii="Calibri Light" w:hAnsi="Calibri Light" w:cs="Arial"/>
          <w:sz w:val="22"/>
        </w:rPr>
        <w:instrText xml:space="preserve"> REF _Ref447375877 \h </w:instrText>
      </w:r>
      <w:r w:rsidR="009B0258" w:rsidRPr="009E2B03">
        <w:rPr>
          <w:rFonts w:ascii="Calibri Light" w:hAnsi="Calibri Light" w:cs="Arial"/>
          <w:sz w:val="22"/>
        </w:rPr>
        <w:instrText xml:space="preserve"> \* MERGEFORMAT </w:instrText>
      </w:r>
      <w:r w:rsidR="004A0298" w:rsidRPr="009E2B03">
        <w:rPr>
          <w:rFonts w:ascii="Calibri Light" w:hAnsi="Calibri Light" w:cs="Arial"/>
          <w:sz w:val="22"/>
        </w:rPr>
      </w:r>
      <w:r w:rsidR="004A0298" w:rsidRPr="009E2B03">
        <w:rPr>
          <w:rFonts w:ascii="Calibri Light" w:hAnsi="Calibri Light" w:cs="Arial"/>
          <w:sz w:val="22"/>
        </w:rPr>
        <w:fldChar w:fldCharType="separate"/>
      </w:r>
      <w:r w:rsidR="00417237" w:rsidRPr="009E2B03">
        <w:rPr>
          <w:rFonts w:ascii="Calibri Light" w:hAnsi="Calibri Light" w:cs="Arial"/>
          <w:sz w:val="22"/>
        </w:rPr>
        <w:t xml:space="preserve">Table </w:t>
      </w:r>
      <w:r w:rsidR="00417237">
        <w:rPr>
          <w:rFonts w:ascii="Calibri Light" w:hAnsi="Calibri Light" w:cs="Arial"/>
          <w:noProof/>
          <w:sz w:val="22"/>
        </w:rPr>
        <w:t>4</w:t>
      </w:r>
      <w:r w:rsidR="00417237" w:rsidRPr="009E2B03">
        <w:rPr>
          <w:rFonts w:ascii="Calibri Light" w:hAnsi="Calibri Light" w:cs="Arial"/>
          <w:noProof/>
          <w:sz w:val="22"/>
        </w:rPr>
        <w:noBreakHyphen/>
      </w:r>
      <w:r w:rsidR="00417237">
        <w:rPr>
          <w:rFonts w:ascii="Calibri Light" w:hAnsi="Calibri Light" w:cs="Arial"/>
          <w:noProof/>
          <w:sz w:val="22"/>
        </w:rPr>
        <w:t>3</w:t>
      </w:r>
      <w:r w:rsidR="004A0298" w:rsidRPr="009E2B03">
        <w:rPr>
          <w:rFonts w:ascii="Calibri Light" w:hAnsi="Calibri Light" w:cs="Arial"/>
          <w:sz w:val="22"/>
        </w:rPr>
        <w:fldChar w:fldCharType="end"/>
      </w:r>
      <w:r w:rsidR="004A0298" w:rsidRPr="009E2B03">
        <w:rPr>
          <w:rFonts w:ascii="Calibri Light" w:hAnsi="Calibri Light" w:cs="Arial"/>
          <w:sz w:val="22"/>
        </w:rPr>
        <w:t xml:space="preserve">. </w:t>
      </w:r>
      <w:r w:rsidRPr="009E2B03">
        <w:rPr>
          <w:rFonts w:ascii="Calibri Light" w:hAnsi="Calibri Light" w:cs="Arial"/>
          <w:sz w:val="22"/>
        </w:rPr>
        <w:t>The table illustrates that the prevalence of sexual assault is highest among females between 10 and 34 years across the three year period. This reflects the significant risk faced by both young women and</w:t>
      </w:r>
      <w:r w:rsidRPr="009E2B03" w:rsidDel="00E901F8">
        <w:rPr>
          <w:rFonts w:ascii="Calibri Light" w:hAnsi="Calibri Light" w:cs="Arial"/>
          <w:sz w:val="22"/>
        </w:rPr>
        <w:t xml:space="preserve"> </w:t>
      </w:r>
      <w:r w:rsidRPr="009E2B03">
        <w:rPr>
          <w:rFonts w:ascii="Calibri Light" w:hAnsi="Calibri Light" w:cs="Arial"/>
          <w:sz w:val="22"/>
        </w:rPr>
        <w:t xml:space="preserve">young girls. </w:t>
      </w:r>
    </w:p>
    <w:p w14:paraId="38694AE2" w14:textId="77777777" w:rsidR="00403232" w:rsidRPr="009E2B03" w:rsidRDefault="00403232" w:rsidP="00403232">
      <w:pPr>
        <w:pStyle w:val="Caption"/>
        <w:rPr>
          <w:rFonts w:ascii="Calibri Light" w:hAnsi="Calibri Light" w:cs="Arial"/>
          <w:sz w:val="22"/>
        </w:rPr>
      </w:pPr>
      <w:bookmarkStart w:id="92" w:name="_Ref447375877"/>
      <w:r w:rsidRPr="009E2B03">
        <w:rPr>
          <w:rFonts w:ascii="Calibri Light" w:hAnsi="Calibri Light" w:cs="Arial"/>
          <w:sz w:val="22"/>
        </w:rPr>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bookmarkEnd w:id="92"/>
      <w:r w:rsidRPr="009E2B03">
        <w:rPr>
          <w:rFonts w:ascii="Calibri Light" w:hAnsi="Calibri Light" w:cs="Arial"/>
          <w:sz w:val="22"/>
        </w:rPr>
        <w:t>: Female victims of recorded sexual assault incidents by age cohort, 2012-14</w:t>
      </w:r>
    </w:p>
    <w:tbl>
      <w:tblPr>
        <w:tblStyle w:val="KPMGtable1"/>
        <w:tblW w:w="8866" w:type="dxa"/>
        <w:tblLayout w:type="fixed"/>
        <w:tblLook w:val="04A0" w:firstRow="1" w:lastRow="0" w:firstColumn="1" w:lastColumn="0" w:noHBand="0" w:noVBand="1"/>
        <w:tblCaption w:val="Table of information on female victims of recorded sexual assault incidents by age cohort, 2012-14"/>
      </w:tblPr>
      <w:tblGrid>
        <w:gridCol w:w="1843"/>
        <w:gridCol w:w="1170"/>
        <w:gridCol w:w="1171"/>
        <w:gridCol w:w="1170"/>
        <w:gridCol w:w="1171"/>
        <w:gridCol w:w="1170"/>
        <w:gridCol w:w="1171"/>
      </w:tblGrid>
      <w:tr w:rsidR="00941A03" w:rsidRPr="00941A03" w14:paraId="374C14CC" w14:textId="77777777" w:rsidTr="00E4314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002060"/>
            <w:noWrap/>
          </w:tcPr>
          <w:p w14:paraId="161EDAC3" w14:textId="77777777" w:rsidR="00941A03" w:rsidRPr="00941A03" w:rsidRDefault="00941A03" w:rsidP="00403232">
            <w:pPr>
              <w:spacing w:before="40" w:after="40"/>
              <w:ind w:left="-108" w:firstLine="108"/>
              <w:rPr>
                <w:rFonts w:ascii="Calibri Light" w:hAnsi="Calibri Light"/>
                <w:b/>
                <w:szCs w:val="18"/>
                <w:lang w:eastAsia="en-AU"/>
              </w:rPr>
            </w:pPr>
          </w:p>
        </w:tc>
        <w:tc>
          <w:tcPr>
            <w:tcW w:w="1170" w:type="dxa"/>
            <w:shd w:val="clear" w:color="auto" w:fill="002060"/>
            <w:noWrap/>
          </w:tcPr>
          <w:p w14:paraId="38BB218A" w14:textId="7CC6B4BE" w:rsidR="00941A03" w:rsidRPr="00941A03" w:rsidRDefault="00941A03" w:rsidP="004A0298">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lang w:eastAsia="en-AU"/>
              </w:rPr>
            </w:pPr>
            <w:r w:rsidRPr="00941A03">
              <w:rPr>
                <w:rFonts w:ascii="Calibri Light" w:hAnsi="Calibri Light"/>
                <w:b/>
                <w:szCs w:val="18"/>
                <w:lang w:eastAsia="en-AU"/>
              </w:rPr>
              <w:t>2012</w:t>
            </w:r>
          </w:p>
        </w:tc>
        <w:tc>
          <w:tcPr>
            <w:tcW w:w="1171" w:type="dxa"/>
            <w:shd w:val="clear" w:color="auto" w:fill="002060"/>
            <w:noWrap/>
          </w:tcPr>
          <w:p w14:paraId="7E027588" w14:textId="77777777" w:rsidR="00941A03" w:rsidRPr="00941A03" w:rsidRDefault="00941A03" w:rsidP="004A0298">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lang w:eastAsia="en-AU"/>
              </w:rPr>
            </w:pPr>
          </w:p>
        </w:tc>
        <w:tc>
          <w:tcPr>
            <w:tcW w:w="1170" w:type="dxa"/>
            <w:shd w:val="clear" w:color="auto" w:fill="002060"/>
            <w:noWrap/>
          </w:tcPr>
          <w:p w14:paraId="3F63F0C5" w14:textId="6E10C6AB" w:rsidR="00941A03" w:rsidRPr="00941A03" w:rsidRDefault="00941A03" w:rsidP="004A0298">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lang w:eastAsia="en-AU"/>
              </w:rPr>
            </w:pPr>
            <w:r w:rsidRPr="00941A03">
              <w:rPr>
                <w:rFonts w:ascii="Calibri Light" w:hAnsi="Calibri Light"/>
                <w:b/>
                <w:szCs w:val="18"/>
                <w:lang w:eastAsia="en-AU"/>
              </w:rPr>
              <w:t>2013</w:t>
            </w:r>
          </w:p>
        </w:tc>
        <w:tc>
          <w:tcPr>
            <w:tcW w:w="1171" w:type="dxa"/>
            <w:shd w:val="clear" w:color="auto" w:fill="002060"/>
            <w:noWrap/>
          </w:tcPr>
          <w:p w14:paraId="781893E6" w14:textId="77777777" w:rsidR="00941A03" w:rsidRPr="00941A03" w:rsidRDefault="00941A03" w:rsidP="004A0298">
            <w:pPr>
              <w:spacing w:before="40" w:after="40"/>
              <w:ind w:left="2" w:hanging="2"/>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lang w:eastAsia="en-AU"/>
              </w:rPr>
            </w:pPr>
          </w:p>
        </w:tc>
        <w:tc>
          <w:tcPr>
            <w:tcW w:w="1170" w:type="dxa"/>
            <w:shd w:val="clear" w:color="auto" w:fill="002060"/>
            <w:noWrap/>
          </w:tcPr>
          <w:p w14:paraId="61EED2B1" w14:textId="14A292AC" w:rsidR="00941A03" w:rsidRPr="00941A03" w:rsidRDefault="00941A03" w:rsidP="004A0298">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hAnsi="Calibri Light"/>
                <w:b/>
                <w:szCs w:val="18"/>
                <w:lang w:eastAsia="en-AU"/>
              </w:rPr>
            </w:pPr>
            <w:r w:rsidRPr="00941A03">
              <w:rPr>
                <w:rFonts w:ascii="Calibri Light" w:hAnsi="Calibri Light"/>
                <w:b/>
                <w:szCs w:val="18"/>
                <w:lang w:eastAsia="en-AU"/>
              </w:rPr>
              <w:t>2014</w:t>
            </w:r>
          </w:p>
        </w:tc>
        <w:tc>
          <w:tcPr>
            <w:tcW w:w="1171" w:type="dxa"/>
            <w:shd w:val="clear" w:color="auto" w:fill="002060"/>
            <w:noWrap/>
          </w:tcPr>
          <w:p w14:paraId="2215BEF9" w14:textId="77777777" w:rsidR="00941A03" w:rsidRPr="00941A03" w:rsidRDefault="00941A03" w:rsidP="004A0298">
            <w:pPr>
              <w:spacing w:before="40" w:after="40"/>
              <w:ind w:left="18" w:hanging="18"/>
              <w:jc w:val="right"/>
              <w:cnfStyle w:val="100000000000" w:firstRow="1" w:lastRow="0" w:firstColumn="0" w:lastColumn="0" w:oddVBand="0" w:evenVBand="0" w:oddHBand="0" w:evenHBand="0" w:firstRowFirstColumn="0" w:firstRowLastColumn="0" w:lastRowFirstColumn="0" w:lastRowLastColumn="0"/>
              <w:rPr>
                <w:rFonts w:ascii="Calibri Light" w:hAnsi="Calibri Light"/>
                <w:szCs w:val="18"/>
                <w:lang w:eastAsia="en-AU"/>
              </w:rPr>
            </w:pPr>
          </w:p>
        </w:tc>
      </w:tr>
      <w:tr w:rsidR="00403232" w:rsidRPr="009E2B03" w14:paraId="072B1488" w14:textId="77777777" w:rsidTr="00BC5A4F">
        <w:trPr>
          <w:trHeight w:val="255"/>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73E29AD7" w14:textId="77777777" w:rsidR="00403232" w:rsidRPr="009E2B03" w:rsidRDefault="00403232" w:rsidP="00403232">
            <w:pPr>
              <w:spacing w:before="40" w:after="40"/>
              <w:ind w:left="-108" w:firstLine="108"/>
              <w:rPr>
                <w:rFonts w:ascii="Calibri Light" w:hAnsi="Calibri Light" w:cs="Arial"/>
                <w:b/>
                <w:color w:val="000000"/>
                <w:szCs w:val="18"/>
                <w:lang w:eastAsia="en-AU"/>
              </w:rPr>
            </w:pPr>
            <w:r w:rsidRPr="009E2B03">
              <w:rPr>
                <w:rFonts w:ascii="Calibri Light" w:hAnsi="Calibri Light" w:cs="Arial"/>
                <w:b/>
                <w:color w:val="6D2077"/>
                <w:szCs w:val="18"/>
                <w:lang w:eastAsia="en-AU"/>
              </w:rPr>
              <w:t>Age</w:t>
            </w:r>
          </w:p>
        </w:tc>
        <w:tc>
          <w:tcPr>
            <w:tcW w:w="1170" w:type="dxa"/>
            <w:noWrap/>
            <w:hideMark/>
          </w:tcPr>
          <w:p w14:paraId="575B2643" w14:textId="77777777" w:rsidR="00403232" w:rsidRPr="009E2B03" w:rsidRDefault="00403232" w:rsidP="004A0298">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Number of victims (‘000s)</w:t>
            </w:r>
          </w:p>
        </w:tc>
        <w:tc>
          <w:tcPr>
            <w:tcW w:w="1171" w:type="dxa"/>
            <w:noWrap/>
            <w:hideMark/>
          </w:tcPr>
          <w:p w14:paraId="5ED7B16E" w14:textId="77777777" w:rsidR="00403232" w:rsidRPr="009E2B03" w:rsidRDefault="00403232" w:rsidP="004A0298">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Proportion of total (%)</w:t>
            </w:r>
          </w:p>
        </w:tc>
        <w:tc>
          <w:tcPr>
            <w:tcW w:w="1170" w:type="dxa"/>
            <w:noWrap/>
            <w:hideMark/>
          </w:tcPr>
          <w:p w14:paraId="13BEA1AE" w14:textId="77777777" w:rsidR="00403232" w:rsidRPr="009E2B03" w:rsidRDefault="00403232" w:rsidP="004A0298">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Number of victims (‘000s)</w:t>
            </w:r>
          </w:p>
        </w:tc>
        <w:tc>
          <w:tcPr>
            <w:tcW w:w="1171" w:type="dxa"/>
            <w:noWrap/>
            <w:hideMark/>
          </w:tcPr>
          <w:p w14:paraId="134D4616" w14:textId="77777777" w:rsidR="00403232" w:rsidRPr="009E2B03" w:rsidRDefault="00403232" w:rsidP="004A0298">
            <w:pPr>
              <w:spacing w:before="40" w:after="40"/>
              <w:ind w:left="2" w:hanging="2"/>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Proportion of total (%)</w:t>
            </w:r>
          </w:p>
        </w:tc>
        <w:tc>
          <w:tcPr>
            <w:tcW w:w="1170" w:type="dxa"/>
            <w:noWrap/>
            <w:hideMark/>
          </w:tcPr>
          <w:p w14:paraId="16868479" w14:textId="77777777" w:rsidR="00403232" w:rsidRPr="009E2B03" w:rsidRDefault="00403232" w:rsidP="004A0298">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Number of victims (‘000s)</w:t>
            </w:r>
          </w:p>
        </w:tc>
        <w:tc>
          <w:tcPr>
            <w:tcW w:w="1171" w:type="dxa"/>
            <w:noWrap/>
            <w:hideMark/>
          </w:tcPr>
          <w:p w14:paraId="4194DE90" w14:textId="77777777" w:rsidR="00403232" w:rsidRPr="009E2B03" w:rsidRDefault="00403232" w:rsidP="004A0298">
            <w:pPr>
              <w:spacing w:before="40" w:after="40"/>
              <w:ind w:left="18" w:hanging="1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Proportion of total (%)</w:t>
            </w:r>
          </w:p>
        </w:tc>
      </w:tr>
      <w:tr w:rsidR="00403232" w:rsidRPr="009E2B03" w14:paraId="7D82D5F0"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1ABF4D32"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0–9 years</w:t>
            </w:r>
          </w:p>
        </w:tc>
        <w:tc>
          <w:tcPr>
            <w:tcW w:w="1170" w:type="dxa"/>
            <w:noWrap/>
            <w:hideMark/>
          </w:tcPr>
          <w:p w14:paraId="38013BF3"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1,747</w:t>
            </w:r>
          </w:p>
        </w:tc>
        <w:tc>
          <w:tcPr>
            <w:tcW w:w="1171" w:type="dxa"/>
            <w:noWrap/>
            <w:hideMark/>
          </w:tcPr>
          <w:p w14:paraId="2265A961"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11</w:t>
            </w:r>
          </w:p>
        </w:tc>
        <w:tc>
          <w:tcPr>
            <w:tcW w:w="1170" w:type="dxa"/>
            <w:noWrap/>
            <w:hideMark/>
          </w:tcPr>
          <w:p w14:paraId="311FA862"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1,874</w:t>
            </w:r>
          </w:p>
        </w:tc>
        <w:tc>
          <w:tcPr>
            <w:tcW w:w="1171" w:type="dxa"/>
            <w:noWrap/>
            <w:hideMark/>
          </w:tcPr>
          <w:p w14:paraId="268B8FA5"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11</w:t>
            </w:r>
          </w:p>
        </w:tc>
        <w:tc>
          <w:tcPr>
            <w:tcW w:w="1170" w:type="dxa"/>
            <w:noWrap/>
            <w:hideMark/>
          </w:tcPr>
          <w:p w14:paraId="531270D3"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1,916</w:t>
            </w:r>
          </w:p>
        </w:tc>
        <w:tc>
          <w:tcPr>
            <w:tcW w:w="1171" w:type="dxa"/>
            <w:noWrap/>
            <w:hideMark/>
          </w:tcPr>
          <w:p w14:paraId="057F3E39"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11</w:t>
            </w:r>
          </w:p>
        </w:tc>
      </w:tr>
      <w:tr w:rsidR="00403232" w:rsidRPr="009E2B03" w14:paraId="213C4C3A"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1F565219"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10–14 years</w:t>
            </w:r>
          </w:p>
        </w:tc>
        <w:tc>
          <w:tcPr>
            <w:tcW w:w="1170" w:type="dxa"/>
            <w:noWrap/>
            <w:hideMark/>
          </w:tcPr>
          <w:p w14:paraId="4D9850F0"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3,518</w:t>
            </w:r>
          </w:p>
        </w:tc>
        <w:tc>
          <w:tcPr>
            <w:tcW w:w="1171" w:type="dxa"/>
            <w:noWrap/>
            <w:hideMark/>
          </w:tcPr>
          <w:p w14:paraId="6765E871"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22</w:t>
            </w:r>
          </w:p>
        </w:tc>
        <w:tc>
          <w:tcPr>
            <w:tcW w:w="1170" w:type="dxa"/>
            <w:noWrap/>
            <w:hideMark/>
          </w:tcPr>
          <w:p w14:paraId="4B932E69"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3,500</w:t>
            </w:r>
          </w:p>
        </w:tc>
        <w:tc>
          <w:tcPr>
            <w:tcW w:w="1171" w:type="dxa"/>
            <w:noWrap/>
            <w:hideMark/>
          </w:tcPr>
          <w:p w14:paraId="6868598B"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21</w:t>
            </w:r>
          </w:p>
        </w:tc>
        <w:tc>
          <w:tcPr>
            <w:tcW w:w="1170" w:type="dxa"/>
            <w:noWrap/>
            <w:hideMark/>
          </w:tcPr>
          <w:p w14:paraId="06401CD1"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3,799</w:t>
            </w:r>
          </w:p>
        </w:tc>
        <w:tc>
          <w:tcPr>
            <w:tcW w:w="1171" w:type="dxa"/>
            <w:noWrap/>
            <w:hideMark/>
          </w:tcPr>
          <w:p w14:paraId="649E1FF1"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22</w:t>
            </w:r>
          </w:p>
        </w:tc>
      </w:tr>
      <w:tr w:rsidR="00403232" w:rsidRPr="009E2B03" w14:paraId="45DF8024"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21450139"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15–19 years</w:t>
            </w:r>
          </w:p>
        </w:tc>
        <w:tc>
          <w:tcPr>
            <w:tcW w:w="1170" w:type="dxa"/>
            <w:noWrap/>
            <w:hideMark/>
          </w:tcPr>
          <w:p w14:paraId="6F4CAB5D"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4,521</w:t>
            </w:r>
          </w:p>
        </w:tc>
        <w:tc>
          <w:tcPr>
            <w:tcW w:w="1171" w:type="dxa"/>
            <w:noWrap/>
            <w:hideMark/>
          </w:tcPr>
          <w:p w14:paraId="6B570FCF"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28</w:t>
            </w:r>
          </w:p>
        </w:tc>
        <w:tc>
          <w:tcPr>
            <w:tcW w:w="1170" w:type="dxa"/>
            <w:noWrap/>
            <w:hideMark/>
          </w:tcPr>
          <w:p w14:paraId="06067050"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4,530</w:t>
            </w:r>
          </w:p>
        </w:tc>
        <w:tc>
          <w:tcPr>
            <w:tcW w:w="1171" w:type="dxa"/>
            <w:noWrap/>
            <w:hideMark/>
          </w:tcPr>
          <w:p w14:paraId="400F6722"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27</w:t>
            </w:r>
          </w:p>
        </w:tc>
        <w:tc>
          <w:tcPr>
            <w:tcW w:w="1170" w:type="dxa"/>
            <w:noWrap/>
            <w:hideMark/>
          </w:tcPr>
          <w:p w14:paraId="29F4546D"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4,381</w:t>
            </w:r>
          </w:p>
        </w:tc>
        <w:tc>
          <w:tcPr>
            <w:tcW w:w="1171" w:type="dxa"/>
            <w:noWrap/>
            <w:hideMark/>
          </w:tcPr>
          <w:p w14:paraId="1D57A19B"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26</w:t>
            </w:r>
          </w:p>
        </w:tc>
      </w:tr>
      <w:tr w:rsidR="00403232" w:rsidRPr="009E2B03" w14:paraId="708F483C"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2A43ADD6"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20–24 years</w:t>
            </w:r>
          </w:p>
        </w:tc>
        <w:tc>
          <w:tcPr>
            <w:tcW w:w="1170" w:type="dxa"/>
            <w:noWrap/>
            <w:hideMark/>
          </w:tcPr>
          <w:p w14:paraId="0170AC89"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1,867</w:t>
            </w:r>
          </w:p>
        </w:tc>
        <w:tc>
          <w:tcPr>
            <w:tcW w:w="1171" w:type="dxa"/>
            <w:noWrap/>
            <w:hideMark/>
          </w:tcPr>
          <w:p w14:paraId="5A97A350"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12</w:t>
            </w:r>
          </w:p>
        </w:tc>
        <w:tc>
          <w:tcPr>
            <w:tcW w:w="1170" w:type="dxa"/>
            <w:noWrap/>
            <w:hideMark/>
          </w:tcPr>
          <w:p w14:paraId="06611FF7"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1,903</w:t>
            </w:r>
          </w:p>
        </w:tc>
        <w:tc>
          <w:tcPr>
            <w:tcW w:w="1171" w:type="dxa"/>
            <w:noWrap/>
            <w:hideMark/>
          </w:tcPr>
          <w:p w14:paraId="5713F4E3"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11</w:t>
            </w:r>
          </w:p>
        </w:tc>
        <w:tc>
          <w:tcPr>
            <w:tcW w:w="1170" w:type="dxa"/>
            <w:noWrap/>
            <w:hideMark/>
          </w:tcPr>
          <w:p w14:paraId="33A67E1C"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1,893</w:t>
            </w:r>
          </w:p>
        </w:tc>
        <w:tc>
          <w:tcPr>
            <w:tcW w:w="1171" w:type="dxa"/>
            <w:noWrap/>
            <w:hideMark/>
          </w:tcPr>
          <w:p w14:paraId="1540C341"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11</w:t>
            </w:r>
          </w:p>
        </w:tc>
      </w:tr>
      <w:tr w:rsidR="00403232" w:rsidRPr="009E2B03" w14:paraId="18460895"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43D32BC5"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25–34 years</w:t>
            </w:r>
          </w:p>
        </w:tc>
        <w:tc>
          <w:tcPr>
            <w:tcW w:w="1170" w:type="dxa"/>
            <w:noWrap/>
            <w:hideMark/>
          </w:tcPr>
          <w:p w14:paraId="1742F5B7"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2,056</w:t>
            </w:r>
          </w:p>
        </w:tc>
        <w:tc>
          <w:tcPr>
            <w:tcW w:w="1171" w:type="dxa"/>
            <w:noWrap/>
            <w:hideMark/>
          </w:tcPr>
          <w:p w14:paraId="7ED93C74"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13</w:t>
            </w:r>
          </w:p>
        </w:tc>
        <w:tc>
          <w:tcPr>
            <w:tcW w:w="1170" w:type="dxa"/>
            <w:noWrap/>
            <w:hideMark/>
          </w:tcPr>
          <w:p w14:paraId="6EF11936"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2,206</w:t>
            </w:r>
          </w:p>
        </w:tc>
        <w:tc>
          <w:tcPr>
            <w:tcW w:w="1171" w:type="dxa"/>
            <w:noWrap/>
            <w:hideMark/>
          </w:tcPr>
          <w:p w14:paraId="32611C30"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13</w:t>
            </w:r>
          </w:p>
        </w:tc>
        <w:tc>
          <w:tcPr>
            <w:tcW w:w="1170" w:type="dxa"/>
            <w:noWrap/>
            <w:hideMark/>
          </w:tcPr>
          <w:p w14:paraId="528322BF"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2,268</w:t>
            </w:r>
          </w:p>
        </w:tc>
        <w:tc>
          <w:tcPr>
            <w:tcW w:w="1171" w:type="dxa"/>
            <w:noWrap/>
            <w:hideMark/>
          </w:tcPr>
          <w:p w14:paraId="0BD8D3E7"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13</w:t>
            </w:r>
          </w:p>
        </w:tc>
      </w:tr>
      <w:tr w:rsidR="00403232" w:rsidRPr="009E2B03" w14:paraId="60201846"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51C3F06E"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35–44 years</w:t>
            </w:r>
          </w:p>
        </w:tc>
        <w:tc>
          <w:tcPr>
            <w:tcW w:w="1170" w:type="dxa"/>
            <w:noWrap/>
            <w:hideMark/>
          </w:tcPr>
          <w:p w14:paraId="64EB7D8E"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1,291</w:t>
            </w:r>
          </w:p>
        </w:tc>
        <w:tc>
          <w:tcPr>
            <w:tcW w:w="1171" w:type="dxa"/>
            <w:noWrap/>
            <w:hideMark/>
          </w:tcPr>
          <w:p w14:paraId="393CA95F"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8</w:t>
            </w:r>
          </w:p>
        </w:tc>
        <w:tc>
          <w:tcPr>
            <w:tcW w:w="1170" w:type="dxa"/>
            <w:noWrap/>
            <w:hideMark/>
          </w:tcPr>
          <w:p w14:paraId="673A73DB"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1,414</w:t>
            </w:r>
          </w:p>
        </w:tc>
        <w:tc>
          <w:tcPr>
            <w:tcW w:w="1171" w:type="dxa"/>
            <w:noWrap/>
            <w:hideMark/>
          </w:tcPr>
          <w:p w14:paraId="487B8A4D"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9</w:t>
            </w:r>
          </w:p>
        </w:tc>
        <w:tc>
          <w:tcPr>
            <w:tcW w:w="1170" w:type="dxa"/>
            <w:noWrap/>
            <w:hideMark/>
          </w:tcPr>
          <w:p w14:paraId="46757B79"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1,412</w:t>
            </w:r>
          </w:p>
        </w:tc>
        <w:tc>
          <w:tcPr>
            <w:tcW w:w="1171" w:type="dxa"/>
            <w:noWrap/>
            <w:hideMark/>
          </w:tcPr>
          <w:p w14:paraId="240EA015"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8</w:t>
            </w:r>
          </w:p>
        </w:tc>
      </w:tr>
      <w:tr w:rsidR="00403232" w:rsidRPr="009E2B03" w14:paraId="2F3A763C"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4A501CAE"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45–54 years</w:t>
            </w:r>
          </w:p>
        </w:tc>
        <w:tc>
          <w:tcPr>
            <w:tcW w:w="1170" w:type="dxa"/>
            <w:noWrap/>
            <w:hideMark/>
          </w:tcPr>
          <w:p w14:paraId="7E692496"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678</w:t>
            </w:r>
          </w:p>
        </w:tc>
        <w:tc>
          <w:tcPr>
            <w:tcW w:w="1171" w:type="dxa"/>
            <w:noWrap/>
            <w:hideMark/>
          </w:tcPr>
          <w:p w14:paraId="22AD857B"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4</w:t>
            </w:r>
          </w:p>
        </w:tc>
        <w:tc>
          <w:tcPr>
            <w:tcW w:w="1170" w:type="dxa"/>
            <w:noWrap/>
            <w:hideMark/>
          </w:tcPr>
          <w:p w14:paraId="75E6843D"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701</w:t>
            </w:r>
          </w:p>
        </w:tc>
        <w:tc>
          <w:tcPr>
            <w:tcW w:w="1171" w:type="dxa"/>
            <w:noWrap/>
            <w:hideMark/>
          </w:tcPr>
          <w:p w14:paraId="276C2015"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4</w:t>
            </w:r>
          </w:p>
        </w:tc>
        <w:tc>
          <w:tcPr>
            <w:tcW w:w="1170" w:type="dxa"/>
            <w:noWrap/>
            <w:hideMark/>
          </w:tcPr>
          <w:p w14:paraId="7A178C48"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800</w:t>
            </w:r>
          </w:p>
        </w:tc>
        <w:tc>
          <w:tcPr>
            <w:tcW w:w="1171" w:type="dxa"/>
            <w:noWrap/>
            <w:hideMark/>
          </w:tcPr>
          <w:p w14:paraId="746DB15F"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5</w:t>
            </w:r>
          </w:p>
        </w:tc>
      </w:tr>
      <w:tr w:rsidR="00403232" w:rsidRPr="009E2B03" w14:paraId="33D07D92"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70D6A4D9"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55–64 years</w:t>
            </w:r>
          </w:p>
        </w:tc>
        <w:tc>
          <w:tcPr>
            <w:tcW w:w="1170" w:type="dxa"/>
            <w:noWrap/>
            <w:hideMark/>
          </w:tcPr>
          <w:p w14:paraId="757F1CDA"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226</w:t>
            </w:r>
          </w:p>
        </w:tc>
        <w:tc>
          <w:tcPr>
            <w:tcW w:w="1171" w:type="dxa"/>
            <w:noWrap/>
            <w:hideMark/>
          </w:tcPr>
          <w:p w14:paraId="2882D97F"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w:t>
            </w:r>
          </w:p>
        </w:tc>
        <w:tc>
          <w:tcPr>
            <w:tcW w:w="1170" w:type="dxa"/>
            <w:noWrap/>
            <w:hideMark/>
          </w:tcPr>
          <w:p w14:paraId="3EDEB22E"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218</w:t>
            </w:r>
          </w:p>
        </w:tc>
        <w:tc>
          <w:tcPr>
            <w:tcW w:w="1171" w:type="dxa"/>
            <w:noWrap/>
            <w:hideMark/>
          </w:tcPr>
          <w:p w14:paraId="00666EC6"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w:t>
            </w:r>
          </w:p>
        </w:tc>
        <w:tc>
          <w:tcPr>
            <w:tcW w:w="1170" w:type="dxa"/>
            <w:noWrap/>
            <w:hideMark/>
          </w:tcPr>
          <w:p w14:paraId="74B45028"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319</w:t>
            </w:r>
          </w:p>
        </w:tc>
        <w:tc>
          <w:tcPr>
            <w:tcW w:w="1171" w:type="dxa"/>
            <w:noWrap/>
            <w:hideMark/>
          </w:tcPr>
          <w:p w14:paraId="44741182"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2</w:t>
            </w:r>
          </w:p>
        </w:tc>
      </w:tr>
      <w:tr w:rsidR="00403232" w:rsidRPr="009E2B03" w14:paraId="065A5D87"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606E1F9B" w14:textId="77777777" w:rsidR="00403232" w:rsidRPr="009E2B03" w:rsidRDefault="00403232" w:rsidP="00403232">
            <w:pPr>
              <w:spacing w:before="40" w:after="40"/>
              <w:ind w:left="-108" w:firstLineChars="100" w:firstLine="200"/>
              <w:rPr>
                <w:rFonts w:ascii="Calibri Light" w:hAnsi="Calibri Light" w:cs="Arial"/>
                <w:szCs w:val="18"/>
                <w:lang w:eastAsia="en-AU"/>
              </w:rPr>
            </w:pPr>
            <w:r w:rsidRPr="009E2B03">
              <w:rPr>
                <w:rFonts w:ascii="Calibri Light" w:hAnsi="Calibri Light" w:cs="Arial"/>
                <w:szCs w:val="18"/>
                <w:lang w:eastAsia="en-AU"/>
              </w:rPr>
              <w:t>65 years and over</w:t>
            </w:r>
          </w:p>
        </w:tc>
        <w:tc>
          <w:tcPr>
            <w:tcW w:w="1170" w:type="dxa"/>
            <w:noWrap/>
            <w:hideMark/>
          </w:tcPr>
          <w:p w14:paraId="7BBF67C7"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153</w:t>
            </w:r>
          </w:p>
        </w:tc>
        <w:tc>
          <w:tcPr>
            <w:tcW w:w="1171" w:type="dxa"/>
            <w:noWrap/>
            <w:hideMark/>
          </w:tcPr>
          <w:p w14:paraId="78FD41C3"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w:t>
            </w:r>
          </w:p>
        </w:tc>
        <w:tc>
          <w:tcPr>
            <w:tcW w:w="1170" w:type="dxa"/>
            <w:noWrap/>
            <w:hideMark/>
          </w:tcPr>
          <w:p w14:paraId="26D0DB70"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173</w:t>
            </w:r>
          </w:p>
        </w:tc>
        <w:tc>
          <w:tcPr>
            <w:tcW w:w="1171" w:type="dxa"/>
            <w:noWrap/>
            <w:hideMark/>
          </w:tcPr>
          <w:p w14:paraId="357F2C6F"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w:t>
            </w:r>
          </w:p>
        </w:tc>
        <w:tc>
          <w:tcPr>
            <w:tcW w:w="1170" w:type="dxa"/>
            <w:noWrap/>
            <w:hideMark/>
          </w:tcPr>
          <w:p w14:paraId="6AD86282"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186</w:t>
            </w:r>
          </w:p>
        </w:tc>
        <w:tc>
          <w:tcPr>
            <w:tcW w:w="1171" w:type="dxa"/>
            <w:noWrap/>
            <w:hideMark/>
          </w:tcPr>
          <w:p w14:paraId="0A47FA4F"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w:t>
            </w:r>
          </w:p>
        </w:tc>
      </w:tr>
      <w:tr w:rsidR="00403232" w:rsidRPr="009E2B03" w14:paraId="49A05FC1" w14:textId="77777777" w:rsidTr="00BC5A4F">
        <w:trPr>
          <w:trHeight w:val="57"/>
        </w:trPr>
        <w:tc>
          <w:tcPr>
            <w:cnfStyle w:val="001000000000" w:firstRow="0" w:lastRow="0" w:firstColumn="1" w:lastColumn="0" w:oddVBand="0" w:evenVBand="0" w:oddHBand="0" w:evenHBand="0" w:firstRowFirstColumn="0" w:firstRowLastColumn="0" w:lastRowFirstColumn="0" w:lastRowLastColumn="0"/>
            <w:tcW w:w="1843" w:type="dxa"/>
            <w:shd w:val="clear" w:color="auto" w:fill="F3F0F4"/>
            <w:noWrap/>
            <w:hideMark/>
          </w:tcPr>
          <w:p w14:paraId="53C2B9B1" w14:textId="77777777" w:rsidR="00403232" w:rsidRPr="009E2B03" w:rsidRDefault="00403232" w:rsidP="00403232">
            <w:pPr>
              <w:spacing w:before="40" w:after="40"/>
              <w:ind w:left="-108" w:firstLineChars="100" w:firstLine="201"/>
              <w:rPr>
                <w:rFonts w:ascii="Calibri Light" w:hAnsi="Calibri Light" w:cs="Arial"/>
                <w:b/>
                <w:szCs w:val="18"/>
                <w:lang w:eastAsia="en-AU"/>
              </w:rPr>
            </w:pPr>
            <w:r w:rsidRPr="009E2B03">
              <w:rPr>
                <w:rFonts w:ascii="Calibri Light" w:hAnsi="Calibri Light" w:cs="Arial"/>
                <w:b/>
                <w:color w:val="6D2077"/>
                <w:szCs w:val="18"/>
                <w:lang w:eastAsia="en-AU"/>
              </w:rPr>
              <w:t>Total</w:t>
            </w:r>
          </w:p>
        </w:tc>
        <w:tc>
          <w:tcPr>
            <w:tcW w:w="1170" w:type="dxa"/>
            <w:noWrap/>
            <w:hideMark/>
          </w:tcPr>
          <w:p w14:paraId="705A973C"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szCs w:val="18"/>
                <w:lang w:eastAsia="en-AU"/>
              </w:rPr>
            </w:pPr>
            <w:r w:rsidRPr="009E2B03">
              <w:rPr>
                <w:rFonts w:ascii="Calibri Light" w:hAnsi="Calibri Light" w:cs="Arial"/>
                <w:b/>
                <w:bCs/>
                <w:color w:val="6D2077"/>
                <w:szCs w:val="18"/>
                <w:lang w:eastAsia="en-AU"/>
              </w:rPr>
              <w:t>16,121</w:t>
            </w:r>
          </w:p>
        </w:tc>
        <w:tc>
          <w:tcPr>
            <w:tcW w:w="1171" w:type="dxa"/>
            <w:noWrap/>
            <w:hideMark/>
          </w:tcPr>
          <w:p w14:paraId="5E68D421"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100</w:t>
            </w:r>
          </w:p>
        </w:tc>
        <w:tc>
          <w:tcPr>
            <w:tcW w:w="1170" w:type="dxa"/>
            <w:noWrap/>
            <w:hideMark/>
          </w:tcPr>
          <w:p w14:paraId="769ECF3A"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szCs w:val="18"/>
                <w:lang w:eastAsia="en-AU"/>
              </w:rPr>
            </w:pPr>
            <w:r w:rsidRPr="009E2B03">
              <w:rPr>
                <w:rFonts w:ascii="Calibri Light" w:hAnsi="Calibri Light" w:cs="Arial"/>
                <w:b/>
                <w:bCs/>
                <w:color w:val="6D2077"/>
                <w:szCs w:val="18"/>
                <w:lang w:eastAsia="en-AU"/>
              </w:rPr>
              <w:t>16,562</w:t>
            </w:r>
          </w:p>
        </w:tc>
        <w:tc>
          <w:tcPr>
            <w:tcW w:w="1171" w:type="dxa"/>
            <w:noWrap/>
            <w:hideMark/>
          </w:tcPr>
          <w:p w14:paraId="4580CAB9"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100</w:t>
            </w:r>
          </w:p>
        </w:tc>
        <w:tc>
          <w:tcPr>
            <w:tcW w:w="1170" w:type="dxa"/>
            <w:noWrap/>
            <w:hideMark/>
          </w:tcPr>
          <w:p w14:paraId="78EDEF59"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szCs w:val="18"/>
                <w:lang w:eastAsia="en-AU"/>
              </w:rPr>
            </w:pPr>
            <w:r w:rsidRPr="009E2B03">
              <w:rPr>
                <w:rFonts w:ascii="Calibri Light" w:hAnsi="Calibri Light" w:cs="Arial"/>
                <w:b/>
                <w:bCs/>
                <w:color w:val="6D2077"/>
                <w:szCs w:val="18"/>
                <w:lang w:eastAsia="en-AU"/>
              </w:rPr>
              <w:t>17,072</w:t>
            </w:r>
          </w:p>
        </w:tc>
        <w:tc>
          <w:tcPr>
            <w:tcW w:w="1171" w:type="dxa"/>
            <w:noWrap/>
            <w:hideMark/>
          </w:tcPr>
          <w:p w14:paraId="5B0428DC" w14:textId="77777777" w:rsidR="00403232" w:rsidRPr="009E2B03" w:rsidRDefault="00403232" w:rsidP="00403232">
            <w:pPr>
              <w:spacing w:before="40" w:after="40"/>
              <w:ind w:left="-108" w:firstLine="108"/>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i/>
                <w:color w:val="000000"/>
                <w:szCs w:val="18"/>
                <w:lang w:eastAsia="en-AU"/>
              </w:rPr>
            </w:pPr>
            <w:r w:rsidRPr="009E2B03">
              <w:rPr>
                <w:rFonts w:ascii="Calibri Light" w:hAnsi="Calibri Light" w:cs="Arial"/>
                <w:i/>
                <w:color w:val="000000"/>
                <w:szCs w:val="18"/>
                <w:lang w:eastAsia="en-AU"/>
              </w:rPr>
              <w:t>100</w:t>
            </w:r>
          </w:p>
        </w:tc>
      </w:tr>
    </w:tbl>
    <w:p w14:paraId="2886552B" w14:textId="77777777" w:rsidR="00403232" w:rsidRPr="009E2B03" w:rsidRDefault="00403232" w:rsidP="00403232">
      <w:pPr>
        <w:spacing w:before="0" w:after="160" w:line="256" w:lineRule="auto"/>
        <w:rPr>
          <w:rFonts w:ascii="Calibri Light" w:eastAsia="Calibri" w:hAnsi="Calibri Light"/>
          <w:szCs w:val="22"/>
          <w:lang w:val="en-US"/>
        </w:rPr>
      </w:pPr>
      <w:r w:rsidRPr="009E2B03">
        <w:rPr>
          <w:rFonts w:ascii="Calibri Light" w:eastAsia="Calibri" w:hAnsi="Calibri Light"/>
          <w:szCs w:val="22"/>
          <w:lang w:val="en-US"/>
        </w:rPr>
        <w:t xml:space="preserve">Source: ABS 4510.0 Recorded Crime 2014, Note: this was sourced from an experimental dataset provided by the ABS, with national data on crime based on records from state and territory police. </w:t>
      </w:r>
    </w:p>
    <w:p w14:paraId="447E153B"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 xml:space="preserve">The long term health impacts of violence against young women are also significant. A 2004 Victorian report by VicHealth identified domestic violence as the single biggest contributor to death, illness and disability among young women. This report also identified that for Victorian women under 45, </w:t>
      </w:r>
      <w:r w:rsidRPr="009E2B03">
        <w:rPr>
          <w:rFonts w:ascii="Calibri Light" w:hAnsi="Calibri Light"/>
          <w:sz w:val="22"/>
          <w:lang w:val="en-US"/>
        </w:rPr>
        <w:lastRenderedPageBreak/>
        <w:t>violence by an intimate partner is responsible for more health and premature death risks for women than any other well known risk factor, including high blood pressure, obesity and smoking.</w:t>
      </w:r>
      <w:r w:rsidRPr="009E2B03">
        <w:rPr>
          <w:rFonts w:ascii="Calibri Light" w:hAnsi="Calibri Light"/>
          <w:sz w:val="22"/>
          <w:vertAlign w:val="superscript"/>
          <w:lang w:val="en-US"/>
        </w:rPr>
        <w:footnoteReference w:id="63"/>
      </w:r>
    </w:p>
    <w:p w14:paraId="340164A2" w14:textId="77777777" w:rsidR="00403232" w:rsidRPr="009E2B03" w:rsidRDefault="00403232" w:rsidP="00403232">
      <w:pPr>
        <w:pStyle w:val="Heading4"/>
        <w:numPr>
          <w:ilvl w:val="0"/>
          <w:numId w:val="0"/>
        </w:numPr>
        <w:rPr>
          <w:rFonts w:ascii="Calibri Light" w:hAnsi="Calibri Light"/>
          <w:color w:val="6D2077"/>
          <w:sz w:val="22"/>
        </w:rPr>
      </w:pPr>
      <w:r w:rsidRPr="009E2B03">
        <w:rPr>
          <w:rFonts w:ascii="Calibri Light" w:hAnsi="Calibri Light"/>
          <w:color w:val="6D2077"/>
          <w:sz w:val="22"/>
        </w:rPr>
        <w:t>Violence against elderly women</w:t>
      </w:r>
    </w:p>
    <w:p w14:paraId="347E596B" w14:textId="5041A864" w:rsidR="00403232" w:rsidRPr="009E2B03" w:rsidRDefault="00403232" w:rsidP="00403232">
      <w:pPr>
        <w:rPr>
          <w:rFonts w:ascii="Calibri Light" w:hAnsi="Calibri Light"/>
          <w:sz w:val="22"/>
        </w:rPr>
      </w:pPr>
      <w:r w:rsidRPr="009E2B03">
        <w:rPr>
          <w:rFonts w:ascii="Calibri Light" w:hAnsi="Calibri Light"/>
          <w:sz w:val="22"/>
          <w:lang w:val="en-US"/>
        </w:rPr>
        <w:t>Elderly women in Australia are also vulnerable to violence and may also face barriers that prevent them from seeking the appropriate support. The 2012 PSS, estimated that for all women who had experienced the most recent incident of violence in the last 12 months, 1.5 per cent were over the age of 55.</w:t>
      </w:r>
      <w:r w:rsidRPr="009E2B03">
        <w:rPr>
          <w:rStyle w:val="FootnoteReference"/>
          <w:rFonts w:ascii="Calibri Light" w:hAnsi="Calibri Light"/>
          <w:sz w:val="22"/>
          <w:lang w:val="en-US"/>
        </w:rPr>
        <w:footnoteReference w:id="64"/>
      </w:r>
      <w:r w:rsidRPr="009E2B03">
        <w:rPr>
          <w:rFonts w:ascii="Calibri Light" w:hAnsi="Calibri Light"/>
          <w:sz w:val="22"/>
          <w:lang w:val="en-US"/>
        </w:rPr>
        <w:t xml:space="preserve"> In comparison to other age cohorts, the prevalence of violence is lower – but it is important to note that elderly women are more likely to experience other forms of abuse outside the forms of physical, economic, sexual and emotional abuse. </w:t>
      </w:r>
    </w:p>
    <w:p w14:paraId="6E392B0B"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 xml:space="preserve">More broadly, and as defined by the Elder Abuse Prevention Unit, elder abuse is defined as </w:t>
      </w:r>
      <w:r w:rsidR="00BA0183" w:rsidRPr="009E2B03">
        <w:rPr>
          <w:rFonts w:ascii="Calibri Light" w:hAnsi="Calibri Light"/>
          <w:sz w:val="22"/>
          <w:lang w:val="en-US"/>
        </w:rPr>
        <w:t>‘</w:t>
      </w:r>
      <w:r w:rsidRPr="009E2B03">
        <w:rPr>
          <w:rFonts w:ascii="Calibri Light" w:hAnsi="Calibri Light"/>
          <w:sz w:val="22"/>
          <w:lang w:val="en-US"/>
        </w:rPr>
        <w:t>a single or repeated act, or lack of appropriate action, occurring within any relationship where there is an expectation of trust which causes harm or distress to an older person</w:t>
      </w:r>
      <w:r w:rsidR="00BA0183" w:rsidRPr="009E2B03">
        <w:rPr>
          <w:rFonts w:ascii="Calibri Light" w:hAnsi="Calibri Light"/>
          <w:sz w:val="22"/>
          <w:lang w:val="en-US"/>
        </w:rPr>
        <w:t>’</w:t>
      </w:r>
      <w:r w:rsidRPr="009E2B03">
        <w:rPr>
          <w:rFonts w:ascii="Calibri Light" w:hAnsi="Calibri Light"/>
          <w:sz w:val="22"/>
          <w:lang w:val="en-US"/>
        </w:rPr>
        <w:t>.</w:t>
      </w:r>
      <w:r w:rsidRPr="009E2B03">
        <w:rPr>
          <w:rStyle w:val="FootnoteReference"/>
          <w:rFonts w:ascii="Calibri Light" w:hAnsi="Calibri Light"/>
          <w:sz w:val="22"/>
          <w:lang w:val="en-US"/>
        </w:rPr>
        <w:footnoteReference w:id="65"/>
      </w:r>
      <w:r w:rsidRPr="009E2B03">
        <w:rPr>
          <w:rFonts w:ascii="Calibri Light" w:hAnsi="Calibri Light"/>
          <w:sz w:val="22"/>
          <w:lang w:val="en-US"/>
        </w:rPr>
        <w:t xml:space="preserve"> This includes acts of neglect, withholding medication, or physical actions against a frail or dependent individual. Elder abuse may also involve incidents of domestic violence, as well as incidents occurring in institutions or by any person with a caring responsibility for that individual, including children, extended family or care workers. </w:t>
      </w:r>
    </w:p>
    <w:p w14:paraId="223548A6"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Partner abuse is also a substantial issue for elderly women. A 2002 study in Western Australia estimated that 20 to 25 per cent of incidents of elderly abuse are perpet</w:t>
      </w:r>
      <w:r w:rsidR="00BA0183" w:rsidRPr="009E2B03">
        <w:rPr>
          <w:rFonts w:ascii="Calibri Light" w:hAnsi="Calibri Light"/>
          <w:sz w:val="22"/>
          <w:lang w:val="en-US"/>
        </w:rPr>
        <w:t>r</w:t>
      </w:r>
      <w:r w:rsidRPr="009E2B03">
        <w:rPr>
          <w:rFonts w:ascii="Calibri Light" w:hAnsi="Calibri Light"/>
          <w:sz w:val="22"/>
          <w:lang w:val="en-US"/>
        </w:rPr>
        <w:t>ated by the victim’s spouse or partner.</w:t>
      </w:r>
      <w:r w:rsidRPr="009E2B03">
        <w:rPr>
          <w:rStyle w:val="FootnoteReference"/>
          <w:rFonts w:ascii="Calibri Light" w:hAnsi="Calibri Light"/>
          <w:sz w:val="22"/>
          <w:lang w:val="en-US"/>
        </w:rPr>
        <w:footnoteReference w:id="66"/>
      </w:r>
      <w:r w:rsidRPr="009E2B03">
        <w:rPr>
          <w:rFonts w:ascii="Calibri Light" w:hAnsi="Calibri Light"/>
          <w:sz w:val="22"/>
          <w:lang w:val="en-US"/>
        </w:rPr>
        <w:t xml:space="preserve"> Further, research suggests that violence against older women may represent the continuation of domestic violence into later life, and that it is often perpetrated by a partner who has a duty of care responsibility to the victim.</w:t>
      </w:r>
      <w:r w:rsidRPr="009E2B03">
        <w:rPr>
          <w:rStyle w:val="FootnoteReference"/>
          <w:rFonts w:ascii="Calibri Light" w:hAnsi="Calibri Light"/>
          <w:sz w:val="22"/>
          <w:lang w:val="en-US"/>
        </w:rPr>
        <w:footnoteReference w:id="67"/>
      </w:r>
      <w:r w:rsidRPr="009E2B03">
        <w:rPr>
          <w:rFonts w:ascii="Calibri Light" w:hAnsi="Calibri Light"/>
          <w:sz w:val="22"/>
          <w:lang w:val="en-US"/>
        </w:rPr>
        <w:t xml:space="preserve"> </w:t>
      </w:r>
    </w:p>
    <w:p w14:paraId="7130C153"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Importantly, there are a number of barriers that may prevent elderly women from reporting incidents of violence, or leav</w:t>
      </w:r>
      <w:r w:rsidR="00BA0183" w:rsidRPr="009E2B03">
        <w:rPr>
          <w:rFonts w:ascii="Calibri Light" w:hAnsi="Calibri Light"/>
          <w:sz w:val="22"/>
          <w:lang w:val="en-US"/>
        </w:rPr>
        <w:t>ing</w:t>
      </w:r>
      <w:r w:rsidRPr="009E2B03">
        <w:rPr>
          <w:rFonts w:ascii="Calibri Light" w:hAnsi="Calibri Light"/>
          <w:sz w:val="22"/>
          <w:lang w:val="en-US"/>
        </w:rPr>
        <w:t xml:space="preserve"> an abusive relationship. Key factors identified by the Australian Domestic and Family Violence Clearinghouse in 2009 include the following.</w:t>
      </w:r>
      <w:r w:rsidRPr="009E2B03">
        <w:rPr>
          <w:rStyle w:val="FootnoteReference"/>
          <w:rFonts w:ascii="Calibri Light" w:hAnsi="Calibri Light"/>
          <w:sz w:val="22"/>
          <w:lang w:val="en-US"/>
        </w:rPr>
        <w:footnoteReference w:id="68"/>
      </w:r>
    </w:p>
    <w:p w14:paraId="76756FC1" w14:textId="77777777" w:rsidR="00403232" w:rsidRPr="009E2B03" w:rsidRDefault="00403232" w:rsidP="00403232">
      <w:pPr>
        <w:pStyle w:val="BodyBullet"/>
        <w:rPr>
          <w:rFonts w:ascii="Calibri Light" w:hAnsi="Calibri Light" w:cs="Arial"/>
          <w:sz w:val="22"/>
          <w:lang w:val="en"/>
        </w:rPr>
      </w:pPr>
      <w:r w:rsidRPr="009E2B03">
        <w:rPr>
          <w:rFonts w:ascii="Calibri Light" w:eastAsia="Batang" w:hAnsi="Calibri Light" w:cs="Arial"/>
          <w:b/>
          <w:color w:val="6D2077"/>
          <w:sz w:val="22"/>
          <w:szCs w:val="36"/>
          <w:lang w:eastAsia="ko-KR"/>
        </w:rPr>
        <w:t>Diminished cognitive functioning, mental or physical disability.</w:t>
      </w:r>
      <w:r w:rsidRPr="009E2B03">
        <w:rPr>
          <w:rFonts w:ascii="Calibri Light" w:hAnsi="Calibri Light" w:cs="Arial"/>
          <w:sz w:val="22"/>
          <w:lang w:val="en"/>
        </w:rPr>
        <w:t xml:space="preserve"> This may create greater dependency or reliance on the carer, making it difficult to leave if the perpetrator is the partner or primary carer.</w:t>
      </w:r>
    </w:p>
    <w:p w14:paraId="124D40D1" w14:textId="77777777" w:rsidR="00403232" w:rsidRPr="009E2B03" w:rsidRDefault="00403232" w:rsidP="00403232">
      <w:pPr>
        <w:pStyle w:val="BodyBullet"/>
        <w:rPr>
          <w:rFonts w:ascii="Calibri Light" w:hAnsi="Calibri Light" w:cs="Arial"/>
          <w:sz w:val="22"/>
          <w:lang w:val="en"/>
        </w:rPr>
      </w:pPr>
      <w:r w:rsidRPr="009E2B03">
        <w:rPr>
          <w:rFonts w:ascii="Calibri Light" w:eastAsia="Batang" w:hAnsi="Calibri Light" w:cs="Arial"/>
          <w:b/>
          <w:color w:val="6D2077"/>
          <w:sz w:val="22"/>
          <w:szCs w:val="36"/>
          <w:lang w:eastAsia="ko-KR"/>
        </w:rPr>
        <w:t>Lack of awareness of what amounts to abuse.</w:t>
      </w:r>
      <w:r w:rsidRPr="009E2B03">
        <w:rPr>
          <w:rFonts w:ascii="Calibri Light" w:hAnsi="Calibri Light" w:cs="Arial"/>
          <w:sz w:val="22"/>
          <w:lang w:val="en"/>
        </w:rPr>
        <w:t xml:space="preserve"> Lack of education targeted at elderly women may prevent victims from identifying acts of violence or abuse.</w:t>
      </w:r>
    </w:p>
    <w:p w14:paraId="38BC5596" w14:textId="77777777" w:rsidR="00403232" w:rsidRPr="009E2B03" w:rsidRDefault="00403232" w:rsidP="00403232">
      <w:pPr>
        <w:pStyle w:val="BodyBullet"/>
        <w:rPr>
          <w:rFonts w:ascii="Calibri Light" w:hAnsi="Calibri Light" w:cs="Arial"/>
          <w:sz w:val="22"/>
          <w:lang w:val="en"/>
        </w:rPr>
      </w:pPr>
      <w:r w:rsidRPr="009E2B03">
        <w:rPr>
          <w:rFonts w:ascii="Calibri Light" w:eastAsia="Batang" w:hAnsi="Calibri Light" w:cs="Arial"/>
          <w:b/>
          <w:color w:val="6D2077"/>
          <w:sz w:val="22"/>
          <w:szCs w:val="36"/>
          <w:lang w:eastAsia="ko-KR"/>
        </w:rPr>
        <w:t xml:space="preserve">Social alienation, or a perceived (or actual) lack of access to services. </w:t>
      </w:r>
      <w:r w:rsidRPr="009E2B03">
        <w:rPr>
          <w:rFonts w:ascii="Calibri Light" w:hAnsi="Calibri Light" w:cs="Arial"/>
          <w:sz w:val="22"/>
          <w:lang w:val="en"/>
        </w:rPr>
        <w:t>There may be a lack of informal support networks such as friends or family, insufficient local community services, or service delivery may not be appropriate for elderly women at risk. A 2008 study in New Zealand suggests that overcoming barriers to isolation is key to reducing the risk of violence against elderly women, and that supportive families and community connectedness are both factors that work against the risk of violence.</w:t>
      </w:r>
    </w:p>
    <w:p w14:paraId="2C2C3628" w14:textId="77777777" w:rsidR="00403232" w:rsidRPr="009E2B03" w:rsidRDefault="00403232" w:rsidP="00403232">
      <w:pPr>
        <w:pStyle w:val="BodyBullet"/>
        <w:rPr>
          <w:rFonts w:ascii="Calibri Light" w:hAnsi="Calibri Light" w:cs="Arial"/>
          <w:sz w:val="22"/>
          <w:lang w:val="en"/>
        </w:rPr>
      </w:pPr>
      <w:r w:rsidRPr="009E2B03">
        <w:rPr>
          <w:rFonts w:ascii="Calibri Light" w:eastAsia="Batang" w:hAnsi="Calibri Light" w:cs="Arial"/>
          <w:b/>
          <w:color w:val="6D2077"/>
          <w:sz w:val="22"/>
          <w:szCs w:val="36"/>
          <w:lang w:eastAsia="ko-KR"/>
        </w:rPr>
        <w:lastRenderedPageBreak/>
        <w:t>Financial and emotional dependence on families or partners.</w:t>
      </w:r>
      <w:r w:rsidRPr="009E2B03">
        <w:rPr>
          <w:rFonts w:ascii="Calibri Light" w:hAnsi="Calibri Light" w:cs="Arial"/>
          <w:sz w:val="22"/>
          <w:lang w:val="en"/>
        </w:rPr>
        <w:t xml:space="preserve"> Elderly women may experience financial and emotional dependence on families or partners, with insufficient savings or economic independence to support themselves, and may be too old to re-enter the workforce.</w:t>
      </w:r>
    </w:p>
    <w:p w14:paraId="37266E21" w14:textId="77777777" w:rsidR="00403232" w:rsidRPr="009E2B03" w:rsidRDefault="00403232" w:rsidP="00403232">
      <w:pPr>
        <w:pStyle w:val="BodyBullet"/>
        <w:rPr>
          <w:rFonts w:ascii="Calibri Light" w:hAnsi="Calibri Light" w:cs="Arial"/>
          <w:sz w:val="22"/>
          <w:lang w:val="en"/>
        </w:rPr>
      </w:pPr>
      <w:r w:rsidRPr="009E2B03">
        <w:rPr>
          <w:rFonts w:ascii="Calibri Light" w:eastAsia="Batang" w:hAnsi="Calibri Light" w:cs="Arial"/>
          <w:b/>
          <w:color w:val="6D2077"/>
          <w:sz w:val="22"/>
          <w:szCs w:val="36"/>
          <w:lang w:eastAsia="ko-KR"/>
        </w:rPr>
        <w:t>Care responsibilities or care recipient.</w:t>
      </w:r>
      <w:r w:rsidRPr="009E2B03">
        <w:rPr>
          <w:rFonts w:ascii="Calibri Light" w:hAnsi="Calibri Light" w:cs="Arial"/>
          <w:sz w:val="22"/>
          <w:lang w:val="en"/>
        </w:rPr>
        <w:t xml:space="preserve"> Elderly women may also have responsibility for the care of another elderly person, or they may be reliant on the assistance of their partner, as may be the case for elderly women with a disability.</w:t>
      </w:r>
      <w:r w:rsidRPr="009E2B03">
        <w:rPr>
          <w:rFonts w:ascii="Calibri Light" w:hAnsi="Calibri Light" w:cs="Arial"/>
          <w:sz w:val="22"/>
          <w:vertAlign w:val="superscript"/>
          <w:lang w:val="en"/>
        </w:rPr>
        <w:footnoteReference w:id="69"/>
      </w:r>
    </w:p>
    <w:p w14:paraId="585BBA69"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These factors may indicate why it is more likely for elderly women to be long term victims of abuse. During long term abuse, the form of abuse may change over time, for example, incidents of physical or sexual violence may be linked with emotional or financial abuse against elderly women.</w:t>
      </w:r>
      <w:r w:rsidRPr="009E2B03">
        <w:rPr>
          <w:rStyle w:val="FootnoteReference"/>
          <w:rFonts w:ascii="Calibri Light" w:hAnsi="Calibri Light"/>
          <w:sz w:val="22"/>
          <w:lang w:val="en-US"/>
        </w:rPr>
        <w:footnoteReference w:id="70"/>
      </w:r>
    </w:p>
    <w:p w14:paraId="520B207D"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 xml:space="preserve">Research funded by the Australian Research Council (ARC) identified the need for further qualitative research to recognise the </w:t>
      </w:r>
      <w:r w:rsidRPr="009E2B03">
        <w:rPr>
          <w:rFonts w:ascii="Calibri Light" w:hAnsi="Calibri Light"/>
          <w:color w:val="000000"/>
          <w:sz w:val="22"/>
        </w:rPr>
        <w:t>heterogeneity of elderly women’s experiences of violence to ensure targeted strategies are in place to prevent violence and abuse. In addition, a range of measures to address the different risk factors – while taking into account both familial and partner relationships and external social and cultural influences – are available.</w:t>
      </w:r>
      <w:r w:rsidRPr="009E2B03">
        <w:rPr>
          <w:rStyle w:val="FootnoteReference"/>
          <w:rFonts w:ascii="Calibri Light" w:hAnsi="Calibri Light"/>
          <w:sz w:val="22"/>
          <w:lang w:val="en-US"/>
        </w:rPr>
        <w:footnoteReference w:id="71"/>
      </w:r>
      <w:r w:rsidRPr="009E2B03">
        <w:rPr>
          <w:rFonts w:ascii="Calibri Light" w:hAnsi="Calibri Light"/>
          <w:color w:val="000000"/>
          <w:sz w:val="22"/>
        </w:rPr>
        <w:t xml:space="preserve"> </w:t>
      </w:r>
    </w:p>
    <w:p w14:paraId="0FEA4D28" w14:textId="77777777" w:rsidR="00403232" w:rsidRDefault="00403232" w:rsidP="00403232">
      <w:pPr>
        <w:rPr>
          <w:rFonts w:ascii="Calibri Light" w:hAnsi="Calibri Light"/>
          <w:sz w:val="22"/>
          <w:lang w:val="en-US"/>
        </w:rPr>
      </w:pPr>
      <w:r w:rsidRPr="009E2B03">
        <w:rPr>
          <w:rFonts w:ascii="Calibri Light" w:hAnsi="Calibri Light"/>
          <w:color w:val="000000"/>
          <w:sz w:val="22"/>
        </w:rPr>
        <w:t>Considerations of the impact of elderly abuse are also linked to issues affecting women with disabilities.</w:t>
      </w:r>
      <w:r w:rsidRPr="009E2B03">
        <w:rPr>
          <w:rFonts w:ascii="Calibri Light" w:hAnsi="Calibri Light"/>
          <w:sz w:val="22"/>
          <w:lang w:val="en-US"/>
        </w:rPr>
        <w:t xml:space="preserve"> There are similarities between disabled women and elderly women in their experience of violence, partly due to the significant number of elderly women who also have a disability. This is estimated to be around 40 per cent. There are also similarities in patterns of care within the family, institutions, and care support services.</w:t>
      </w:r>
      <w:r w:rsidRPr="009E2B03">
        <w:rPr>
          <w:rStyle w:val="FootnoteReference"/>
          <w:rFonts w:ascii="Calibri Light" w:hAnsi="Calibri Light"/>
          <w:sz w:val="22"/>
          <w:lang w:val="en-US"/>
        </w:rPr>
        <w:footnoteReference w:id="72"/>
      </w:r>
    </w:p>
    <w:p w14:paraId="2A9EA0AB"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 xml:space="preserve">Women who live in different geographies </w:t>
      </w:r>
    </w:p>
    <w:p w14:paraId="22868F3F" w14:textId="77777777" w:rsidR="00403232" w:rsidRPr="009E2B03" w:rsidRDefault="00403232" w:rsidP="00403232">
      <w:pPr>
        <w:rPr>
          <w:rFonts w:ascii="Calibri Light" w:hAnsi="Calibri Light"/>
          <w:sz w:val="22"/>
        </w:rPr>
      </w:pPr>
      <w:r w:rsidRPr="009E2B03">
        <w:rPr>
          <w:rFonts w:ascii="Calibri Light" w:hAnsi="Calibri Light"/>
          <w:sz w:val="22"/>
        </w:rPr>
        <w:t>Women who live in rural and remote areas and experience violence often represent a significant proportion of ‘hidden’ victims.</w:t>
      </w:r>
      <w:r w:rsidRPr="009E2B03">
        <w:rPr>
          <w:rStyle w:val="FootnoteReference"/>
          <w:rFonts w:ascii="Calibri Light" w:hAnsi="Calibri Light"/>
          <w:sz w:val="22"/>
        </w:rPr>
        <w:t xml:space="preserve"> </w:t>
      </w:r>
      <w:r w:rsidRPr="009E2B03">
        <w:rPr>
          <w:rStyle w:val="FootnoteReference"/>
          <w:rFonts w:ascii="Calibri Light" w:hAnsi="Calibri Light"/>
          <w:sz w:val="22"/>
        </w:rPr>
        <w:footnoteReference w:id="73"/>
      </w:r>
      <w:r w:rsidRPr="009E2B03">
        <w:rPr>
          <w:rFonts w:ascii="Calibri Light" w:hAnsi="Calibri Light"/>
          <w:sz w:val="22"/>
        </w:rPr>
        <w:t xml:space="preserve"> Despite recent campaigns to raise public awareness about the scope and impact of abusive relationships on women, less is understood about the nature and complexities of rural or remote incidents of violence.</w:t>
      </w:r>
    </w:p>
    <w:p w14:paraId="1F323689" w14:textId="24165E97" w:rsidR="00403232" w:rsidRPr="009E2B03" w:rsidRDefault="00403232" w:rsidP="00403232">
      <w:pPr>
        <w:rPr>
          <w:rFonts w:ascii="Calibri Light" w:hAnsi="Calibri Light"/>
          <w:sz w:val="22"/>
        </w:rPr>
      </w:pPr>
      <w:r w:rsidRPr="009E2B03">
        <w:rPr>
          <w:rFonts w:ascii="Calibri Light" w:hAnsi="Calibri Light"/>
          <w:sz w:val="22"/>
        </w:rPr>
        <w:t>Developing a more in-depth understanding of the impacts of geography on the risk factors associated with vio</w:t>
      </w:r>
      <w:r w:rsidR="00EE1284" w:rsidRPr="009E2B03">
        <w:rPr>
          <w:rFonts w:ascii="Calibri Light" w:hAnsi="Calibri Light"/>
          <w:sz w:val="22"/>
        </w:rPr>
        <w:t xml:space="preserve">lence is particularly important. </w:t>
      </w:r>
      <w:r w:rsidRPr="009E2B03">
        <w:rPr>
          <w:rFonts w:ascii="Calibri Light" w:hAnsi="Calibri Light"/>
          <w:sz w:val="22"/>
        </w:rPr>
        <w:t>Findings from a literature review by the Women’s Emergency Services Network (WESNET) in 2000 concluded that where comparable data was available, a greater proportion of women who live in rural and remote areas reported they had experienced incidents of violence, compared to women living in urban areas, and that women in remote communities had experienced the highest proportion of violence.</w:t>
      </w:r>
      <w:r w:rsidRPr="009E2B03">
        <w:rPr>
          <w:rStyle w:val="FootnoteReference"/>
          <w:rFonts w:ascii="Calibri Light" w:hAnsi="Calibri Light"/>
          <w:sz w:val="22"/>
        </w:rPr>
        <w:footnoteReference w:id="74"/>
      </w:r>
      <w:r w:rsidRPr="009E2B03">
        <w:rPr>
          <w:rFonts w:ascii="Calibri Light" w:hAnsi="Calibri Light"/>
          <w:sz w:val="22"/>
        </w:rPr>
        <w:t xml:space="preserve"> </w:t>
      </w:r>
    </w:p>
    <w:p w14:paraId="6462E6A8" w14:textId="77777777" w:rsidR="00403232" w:rsidRPr="009E2B03" w:rsidRDefault="00403232" w:rsidP="00403232">
      <w:pPr>
        <w:rPr>
          <w:rFonts w:ascii="Calibri Light" w:hAnsi="Calibri Light"/>
          <w:sz w:val="22"/>
        </w:rPr>
      </w:pPr>
      <w:r w:rsidRPr="009E2B03">
        <w:rPr>
          <w:rFonts w:ascii="Calibri Light" w:hAnsi="Calibri Light"/>
          <w:sz w:val="22"/>
        </w:rPr>
        <w:t xml:space="preserve">This is consistent with the findings from the analysis of data on a national and </w:t>
      </w:r>
      <w:r w:rsidR="00184967" w:rsidRPr="009E2B03">
        <w:rPr>
          <w:rFonts w:ascii="Calibri Light" w:hAnsi="Calibri Light"/>
          <w:sz w:val="22"/>
        </w:rPr>
        <w:t>s</w:t>
      </w:r>
      <w:r w:rsidRPr="009E2B03">
        <w:rPr>
          <w:rFonts w:ascii="Calibri Light" w:hAnsi="Calibri Light"/>
          <w:sz w:val="22"/>
        </w:rPr>
        <w:t>tate level, specifically:</w:t>
      </w:r>
    </w:p>
    <w:p w14:paraId="4137A069" w14:textId="6A8446BC" w:rsidR="00403232" w:rsidRPr="009E2B03" w:rsidRDefault="00184967" w:rsidP="00403232">
      <w:pPr>
        <w:pStyle w:val="BodyBullet"/>
        <w:rPr>
          <w:rFonts w:ascii="Calibri Light" w:hAnsi="Calibri Light" w:cs="Arial"/>
          <w:sz w:val="22"/>
          <w:lang w:val="en"/>
        </w:rPr>
      </w:pPr>
      <w:r w:rsidRPr="009E2B03">
        <w:rPr>
          <w:rFonts w:ascii="Calibri Light" w:hAnsi="Calibri Light" w:cs="Arial"/>
          <w:sz w:val="22"/>
          <w:lang w:val="en"/>
        </w:rPr>
        <w:t>T</w:t>
      </w:r>
      <w:r w:rsidR="00403232" w:rsidRPr="009E2B03">
        <w:rPr>
          <w:rFonts w:ascii="Calibri Light" w:hAnsi="Calibri Light" w:cs="Arial"/>
          <w:sz w:val="22"/>
          <w:lang w:val="en"/>
        </w:rPr>
        <w:t>he 2012 PSS, which found that an estimated 21 per cent of women living outside of capital cities had experienced violence from an intimate partner after the age of 15 (compared to 15 per cent living in a capital city). This represents an increase from the 2005 PSS results which showed that 18 per cent of females living outside capital cities had experienced violence by a previous partner after the age of 15, compared with 13 per cent of females in capital cities</w:t>
      </w:r>
      <w:r w:rsidRPr="009E2B03">
        <w:rPr>
          <w:rFonts w:ascii="Calibri Light" w:hAnsi="Calibri Light" w:cs="Arial"/>
          <w:sz w:val="22"/>
          <w:lang w:val="en"/>
        </w:rPr>
        <w:t>.</w:t>
      </w:r>
      <w:r w:rsidR="00403232" w:rsidRPr="009E2B03">
        <w:rPr>
          <w:rStyle w:val="FootnoteReference"/>
          <w:rFonts w:ascii="Calibri Light" w:hAnsi="Calibri Light" w:cs="Arial"/>
          <w:sz w:val="22"/>
          <w:lang w:val="en"/>
        </w:rPr>
        <w:footnoteReference w:id="75"/>
      </w:r>
      <w:r w:rsidR="00403232" w:rsidRPr="009E2B03">
        <w:rPr>
          <w:rFonts w:ascii="Calibri Light" w:hAnsi="Calibri Light" w:cs="Arial"/>
          <w:sz w:val="22"/>
          <w:lang w:val="en"/>
        </w:rPr>
        <w:t xml:space="preserve"> </w:t>
      </w:r>
    </w:p>
    <w:p w14:paraId="0E11ACC5" w14:textId="77777777" w:rsidR="00403232" w:rsidRPr="009E2B03" w:rsidRDefault="00184967" w:rsidP="00403232">
      <w:pPr>
        <w:pStyle w:val="BodyBullet"/>
        <w:rPr>
          <w:rFonts w:ascii="Calibri Light" w:hAnsi="Calibri Light" w:cs="Arial"/>
          <w:sz w:val="22"/>
          <w:lang w:val="en"/>
        </w:rPr>
      </w:pPr>
      <w:r w:rsidRPr="009E2B03">
        <w:rPr>
          <w:rFonts w:ascii="Calibri Light" w:hAnsi="Calibri Light" w:cs="Arial"/>
          <w:sz w:val="22"/>
        </w:rPr>
        <w:lastRenderedPageBreak/>
        <w:t>T</w:t>
      </w:r>
      <w:r w:rsidR="00403232" w:rsidRPr="009E2B03">
        <w:rPr>
          <w:rFonts w:ascii="Calibri Light" w:hAnsi="Calibri Light" w:cs="Arial"/>
          <w:sz w:val="22"/>
        </w:rPr>
        <w:t>he Australian Longitudinal Study on Women’s Health, which found that women in rural, regional and remote areas were more likely to have experienced partner violence than women living in capital cities – between 15 and 16 per cent, compared to 12 per cent for women in capital cities</w:t>
      </w:r>
      <w:r w:rsidRPr="009E2B03">
        <w:rPr>
          <w:rFonts w:ascii="Calibri Light" w:hAnsi="Calibri Light" w:cs="Arial"/>
          <w:sz w:val="22"/>
        </w:rPr>
        <w:t>.</w:t>
      </w:r>
      <w:r w:rsidR="00403232" w:rsidRPr="009E2B03">
        <w:rPr>
          <w:rStyle w:val="FootnoteReference"/>
          <w:rFonts w:ascii="Calibri Light" w:hAnsi="Calibri Light" w:cs="Arial"/>
          <w:sz w:val="22"/>
        </w:rPr>
        <w:footnoteReference w:id="76"/>
      </w:r>
    </w:p>
    <w:p w14:paraId="571DC620" w14:textId="77777777" w:rsidR="00403232" w:rsidRPr="009E2B03" w:rsidRDefault="00184967" w:rsidP="00403232">
      <w:pPr>
        <w:pStyle w:val="BodyBullet"/>
        <w:rPr>
          <w:rFonts w:ascii="Calibri Light" w:eastAsiaTheme="minorHAnsi" w:hAnsi="Calibri Light" w:cs="Arial"/>
          <w:sz w:val="22"/>
          <w:lang w:eastAsia="en-US"/>
        </w:rPr>
      </w:pPr>
      <w:r w:rsidRPr="009E2B03">
        <w:rPr>
          <w:rFonts w:ascii="Calibri Light" w:hAnsi="Calibri Light" w:cs="Arial"/>
          <w:sz w:val="22"/>
        </w:rPr>
        <w:t>A</w:t>
      </w:r>
      <w:r w:rsidR="00403232" w:rsidRPr="009E2B03">
        <w:rPr>
          <w:rFonts w:ascii="Calibri Light" w:hAnsi="Calibri Light" w:cs="Arial"/>
          <w:sz w:val="22"/>
        </w:rPr>
        <w:t xml:space="preserve"> 2001-10 study of domestic assaults reported to the police in NSW, found that the five LGAs with the highest rate of domestic assaults per 100,000 in the underlying population were located in remote NSW, and 19 of the 20 LGAs with the highest rate of domestic assaults were located in either rural or regional NSW</w:t>
      </w:r>
      <w:r w:rsidR="00403232" w:rsidRPr="009E2B03">
        <w:rPr>
          <w:rFonts w:ascii="Calibri Light" w:hAnsi="Calibri Light" w:cs="Arial"/>
          <w:sz w:val="22"/>
          <w:lang w:val="en"/>
        </w:rPr>
        <w:t>.</w:t>
      </w:r>
      <w:r w:rsidR="00403232" w:rsidRPr="009E2B03">
        <w:rPr>
          <w:rStyle w:val="FootnoteReference"/>
          <w:rFonts w:ascii="Calibri Light" w:hAnsi="Calibri Light" w:cs="Arial"/>
          <w:sz w:val="22"/>
          <w:szCs w:val="20"/>
          <w:lang w:val="en"/>
        </w:rPr>
        <w:footnoteReference w:id="77"/>
      </w:r>
      <w:r w:rsidR="00403232" w:rsidRPr="009E2B03">
        <w:rPr>
          <w:rFonts w:ascii="Calibri Light" w:hAnsi="Calibri Light" w:cs="Arial"/>
          <w:sz w:val="22"/>
          <w:lang w:val="en"/>
        </w:rPr>
        <w:t xml:space="preserve"> </w:t>
      </w:r>
    </w:p>
    <w:p w14:paraId="2C469B2F" w14:textId="77777777" w:rsidR="00403232" w:rsidRPr="009E2B03" w:rsidRDefault="00403232" w:rsidP="00403232">
      <w:pPr>
        <w:pStyle w:val="BodyBullet"/>
        <w:numPr>
          <w:ilvl w:val="0"/>
          <w:numId w:val="0"/>
        </w:numPr>
        <w:rPr>
          <w:rFonts w:ascii="Calibri Light" w:hAnsi="Calibri Light" w:cs="Arial"/>
          <w:sz w:val="22"/>
          <w:szCs w:val="20"/>
        </w:rPr>
      </w:pPr>
      <w:r w:rsidRPr="009E2B03">
        <w:rPr>
          <w:rFonts w:ascii="Calibri Light" w:hAnsi="Calibri Light" w:cs="Arial"/>
          <w:sz w:val="22"/>
          <w:szCs w:val="20"/>
        </w:rPr>
        <w:t>The studies show that the prevalence of violence among women in rural and remote areas is consistently higher than that for women living in urban areas. There has also been research into the additional risk factors faced by women in rural and regional areas that may contribute to a higher prevalence of violence in these communities.</w:t>
      </w:r>
      <w:r w:rsidRPr="009E2B03">
        <w:rPr>
          <w:rStyle w:val="FootnoteReference"/>
          <w:rFonts w:ascii="Calibri Light" w:hAnsi="Calibri Light" w:cs="Arial"/>
          <w:sz w:val="22"/>
          <w:szCs w:val="20"/>
        </w:rPr>
        <w:footnoteReference w:id="78"/>
      </w:r>
      <w:r w:rsidRPr="009E2B03">
        <w:rPr>
          <w:rFonts w:ascii="Calibri Light" w:hAnsi="Calibri Light" w:cs="Arial"/>
          <w:sz w:val="22"/>
          <w:szCs w:val="20"/>
        </w:rPr>
        <w:t xml:space="preserve"> These challenges, largely relating to issues that stem from social and geographic isolation, have compounding effects on the experience of violence among these victims, and often manifest in longer run impacts on the ability of victims to report incidents or to leave a violent relationship.</w:t>
      </w:r>
      <w:r w:rsidRPr="009E2B03">
        <w:rPr>
          <w:rStyle w:val="FootnoteReference"/>
          <w:rFonts w:ascii="Calibri Light" w:hAnsi="Calibri Light" w:cs="Arial"/>
          <w:sz w:val="22"/>
          <w:szCs w:val="20"/>
        </w:rPr>
        <w:footnoteReference w:id="79"/>
      </w:r>
      <w:r w:rsidRPr="009E2B03">
        <w:rPr>
          <w:rFonts w:ascii="Calibri Light" w:hAnsi="Calibri Light" w:cs="Arial"/>
          <w:sz w:val="22"/>
          <w:szCs w:val="20"/>
        </w:rPr>
        <w:t xml:space="preserve"> Specifically: </w:t>
      </w:r>
    </w:p>
    <w:p w14:paraId="2BBC2095" w14:textId="77777777" w:rsidR="00403232" w:rsidRPr="009E2B03" w:rsidRDefault="00526CF4" w:rsidP="00403232">
      <w:pPr>
        <w:pStyle w:val="BodyBullet"/>
        <w:rPr>
          <w:rFonts w:ascii="Calibri Light" w:hAnsi="Calibri Light" w:cs="Arial"/>
          <w:sz w:val="22"/>
        </w:rPr>
      </w:pPr>
      <w:r w:rsidRPr="009E2B03">
        <w:rPr>
          <w:rFonts w:ascii="Calibri Light" w:hAnsi="Calibri Light" w:cs="Arial"/>
          <w:b/>
          <w:color w:val="6D2077"/>
          <w:sz w:val="22"/>
        </w:rPr>
        <w:t>R</w:t>
      </w:r>
      <w:r w:rsidR="00403232" w:rsidRPr="009E2B03">
        <w:rPr>
          <w:rFonts w:ascii="Calibri Light" w:hAnsi="Calibri Light" w:cs="Arial"/>
          <w:b/>
          <w:color w:val="6D2077"/>
          <w:sz w:val="22"/>
        </w:rPr>
        <w:t xml:space="preserve">estricted social networks and support </w:t>
      </w:r>
      <w:r w:rsidR="00403232" w:rsidRPr="009E2B03">
        <w:rPr>
          <w:rFonts w:ascii="Calibri Light" w:hAnsi="Calibri Light" w:cs="Arial"/>
          <w:sz w:val="22"/>
        </w:rPr>
        <w:t>– women living in remote areas may be at a significant distance from friends or family. This distance has implications on their ease of access to important support networks, and may further complicate the decision for women to leave abusive relationships in the absence of these networks</w:t>
      </w:r>
      <w:r w:rsidRPr="009E2B03">
        <w:rPr>
          <w:rFonts w:ascii="Calibri Light" w:hAnsi="Calibri Light" w:cs="Arial"/>
          <w:sz w:val="22"/>
        </w:rPr>
        <w:t>.</w:t>
      </w:r>
      <w:r w:rsidR="00403232" w:rsidRPr="009E2B03">
        <w:rPr>
          <w:rStyle w:val="FootnoteReference"/>
          <w:rFonts w:ascii="Calibri Light" w:hAnsi="Calibri Light" w:cs="Arial"/>
          <w:sz w:val="22"/>
          <w:szCs w:val="20"/>
        </w:rPr>
        <w:footnoteReference w:id="80"/>
      </w:r>
    </w:p>
    <w:p w14:paraId="6B3ACB0B" w14:textId="77777777" w:rsidR="00403232" w:rsidRPr="009E2B03" w:rsidRDefault="00526CF4" w:rsidP="00403232">
      <w:pPr>
        <w:pStyle w:val="BodyBullet"/>
        <w:rPr>
          <w:rFonts w:ascii="Calibri Light" w:hAnsi="Calibri Light" w:cs="Arial"/>
          <w:i/>
          <w:sz w:val="22"/>
        </w:rPr>
      </w:pPr>
      <w:r w:rsidRPr="009E2B03">
        <w:rPr>
          <w:rFonts w:ascii="Calibri Light" w:hAnsi="Calibri Light" w:cs="Arial"/>
          <w:b/>
          <w:color w:val="6D2077"/>
          <w:sz w:val="22"/>
        </w:rPr>
        <w:t>L</w:t>
      </w:r>
      <w:r w:rsidR="00403232" w:rsidRPr="009E2B03">
        <w:rPr>
          <w:rFonts w:ascii="Calibri Light" w:hAnsi="Calibri Light" w:cs="Arial"/>
          <w:b/>
          <w:color w:val="6D2077"/>
          <w:sz w:val="22"/>
        </w:rPr>
        <w:t>imited support services</w:t>
      </w:r>
      <w:r w:rsidR="00403232" w:rsidRPr="009E2B03">
        <w:rPr>
          <w:rFonts w:ascii="Calibri Light" w:hAnsi="Calibri Light" w:cs="Arial"/>
          <w:i/>
          <w:sz w:val="22"/>
        </w:rPr>
        <w:t xml:space="preserve"> – </w:t>
      </w:r>
      <w:r w:rsidR="00403232" w:rsidRPr="009E2B03">
        <w:rPr>
          <w:rFonts w:ascii="Calibri Light" w:hAnsi="Calibri Light" w:cs="Arial"/>
          <w:sz w:val="22"/>
        </w:rPr>
        <w:t>in many rural and remote areas, targeted service provision for victims of violence is more limited, including health care services or shelters, and other mainstream services such as hospitals, as well as communications or public transport infrastructure. In many cases, the availability and accessibility of these services may be essential to preventing the occurrence of violence against women. These services act as an immediate support mechanism to ensure the short-term safety of victims, and provide ongoing support for the victim and their family, including the appropriate support for women to leave a violent relationship</w:t>
      </w:r>
      <w:r w:rsidRPr="009E2B03">
        <w:rPr>
          <w:rFonts w:ascii="Calibri Light" w:hAnsi="Calibri Light" w:cs="Arial"/>
          <w:sz w:val="22"/>
        </w:rPr>
        <w:t>.</w:t>
      </w:r>
      <w:r w:rsidR="00403232" w:rsidRPr="009E2B03">
        <w:rPr>
          <w:rFonts w:ascii="Calibri Light" w:hAnsi="Calibri Light" w:cs="Arial"/>
          <w:sz w:val="22"/>
          <w:vertAlign w:val="superscript"/>
        </w:rPr>
        <w:footnoteReference w:id="81"/>
      </w:r>
    </w:p>
    <w:p w14:paraId="498C59CF" w14:textId="77777777" w:rsidR="00403232" w:rsidRPr="009E2B03" w:rsidRDefault="00526CF4" w:rsidP="00403232">
      <w:pPr>
        <w:pStyle w:val="BodyBullet"/>
        <w:rPr>
          <w:rFonts w:ascii="Calibri Light" w:hAnsi="Calibri Light" w:cs="Arial"/>
          <w:sz w:val="22"/>
        </w:rPr>
      </w:pPr>
      <w:r w:rsidRPr="009E2B03">
        <w:rPr>
          <w:rFonts w:ascii="Calibri Light" w:hAnsi="Calibri Light" w:cs="Arial"/>
          <w:b/>
          <w:color w:val="6D2077"/>
          <w:sz w:val="22"/>
        </w:rPr>
        <w:t>L</w:t>
      </w:r>
      <w:r w:rsidR="00403232" w:rsidRPr="009E2B03">
        <w:rPr>
          <w:rFonts w:ascii="Calibri Light" w:hAnsi="Calibri Light" w:cs="Arial"/>
          <w:b/>
          <w:color w:val="6D2077"/>
          <w:sz w:val="22"/>
        </w:rPr>
        <w:t>ack of privacy and anonymity</w:t>
      </w:r>
      <w:r w:rsidR="00403232" w:rsidRPr="009E2B03">
        <w:rPr>
          <w:rFonts w:ascii="Calibri Light" w:hAnsi="Calibri Light" w:cs="Arial"/>
          <w:b/>
          <w:sz w:val="22"/>
        </w:rPr>
        <w:t xml:space="preserve"> </w:t>
      </w:r>
      <w:r w:rsidR="00403232" w:rsidRPr="009E2B03">
        <w:rPr>
          <w:rFonts w:ascii="Calibri Light" w:hAnsi="Calibri Light" w:cs="Arial"/>
          <w:sz w:val="22"/>
        </w:rPr>
        <w:t>– cultural attitudes and social stigma in close-knit communities may discourage individuals from seeking help or prevent women from leaving abusive relationships</w:t>
      </w:r>
      <w:r w:rsidRPr="009E2B03">
        <w:rPr>
          <w:rFonts w:ascii="Calibri Light" w:hAnsi="Calibri Light" w:cs="Arial"/>
          <w:sz w:val="22"/>
        </w:rPr>
        <w:t>.</w:t>
      </w:r>
      <w:r w:rsidR="00403232" w:rsidRPr="009E2B03">
        <w:rPr>
          <w:rStyle w:val="FootnoteReference"/>
          <w:rFonts w:ascii="Calibri Light" w:eastAsia="Batang" w:hAnsi="Calibri Light" w:cs="Arial"/>
          <w:sz w:val="22"/>
          <w:szCs w:val="20"/>
        </w:rPr>
        <w:footnoteReference w:id="82"/>
      </w:r>
    </w:p>
    <w:p w14:paraId="285E3AEF" w14:textId="77777777" w:rsidR="00403232" w:rsidRPr="009E2B03" w:rsidRDefault="00526CF4" w:rsidP="00403232">
      <w:pPr>
        <w:pStyle w:val="BodyBullet"/>
        <w:rPr>
          <w:rFonts w:ascii="Calibri Light" w:hAnsi="Calibri Light" w:cs="Arial"/>
          <w:sz w:val="22"/>
        </w:rPr>
      </w:pPr>
      <w:r w:rsidRPr="009E2B03">
        <w:rPr>
          <w:rFonts w:ascii="Calibri Light" w:hAnsi="Calibri Light" w:cs="Arial"/>
          <w:b/>
          <w:color w:val="6D2077"/>
          <w:sz w:val="22"/>
        </w:rPr>
        <w:t>F</w:t>
      </w:r>
      <w:r w:rsidR="00403232" w:rsidRPr="009E2B03">
        <w:rPr>
          <w:rFonts w:ascii="Calibri Light" w:hAnsi="Calibri Light" w:cs="Arial"/>
          <w:b/>
          <w:color w:val="6D2077"/>
          <w:sz w:val="22"/>
        </w:rPr>
        <w:t>amiliarity with authorities</w:t>
      </w:r>
      <w:r w:rsidR="00403232" w:rsidRPr="009E2B03">
        <w:rPr>
          <w:rFonts w:ascii="Calibri Light" w:hAnsi="Calibri Light" w:cs="Arial"/>
          <w:b/>
          <w:sz w:val="22"/>
        </w:rPr>
        <w:t xml:space="preserve"> </w:t>
      </w:r>
      <w:r w:rsidR="00403232" w:rsidRPr="009E2B03">
        <w:rPr>
          <w:rFonts w:ascii="Calibri Light" w:hAnsi="Calibri Light" w:cs="Arial"/>
          <w:sz w:val="22"/>
        </w:rPr>
        <w:t>– familiarity between the perpetrator or victim and police may discourage reporting, and may mean subsequent action following a reported incident may not be taken by police</w:t>
      </w:r>
      <w:r w:rsidRPr="009E2B03">
        <w:rPr>
          <w:rFonts w:ascii="Calibri Light" w:hAnsi="Calibri Light" w:cs="Arial"/>
          <w:sz w:val="22"/>
        </w:rPr>
        <w:t>.</w:t>
      </w:r>
      <w:r w:rsidR="00403232" w:rsidRPr="009E2B03">
        <w:rPr>
          <w:rStyle w:val="FootnoteReference"/>
          <w:rFonts w:ascii="Calibri Light" w:hAnsi="Calibri Light" w:cs="Arial"/>
          <w:sz w:val="22"/>
          <w:szCs w:val="20"/>
        </w:rPr>
        <w:footnoteReference w:id="83"/>
      </w:r>
    </w:p>
    <w:p w14:paraId="4207A968" w14:textId="77777777" w:rsidR="00403232" w:rsidRPr="009E2B03" w:rsidRDefault="00526CF4" w:rsidP="00403232">
      <w:pPr>
        <w:pStyle w:val="BodyBullet"/>
        <w:rPr>
          <w:rFonts w:ascii="Calibri Light" w:hAnsi="Calibri Light" w:cs="Arial"/>
          <w:sz w:val="22"/>
        </w:rPr>
      </w:pPr>
      <w:r w:rsidRPr="009E2B03">
        <w:rPr>
          <w:rFonts w:ascii="Calibri Light" w:hAnsi="Calibri Light" w:cs="Arial"/>
          <w:b/>
          <w:color w:val="6D2077"/>
          <w:sz w:val="22"/>
        </w:rPr>
        <w:t>C</w:t>
      </w:r>
      <w:r w:rsidR="00403232" w:rsidRPr="009E2B03">
        <w:rPr>
          <w:rFonts w:ascii="Calibri Light" w:hAnsi="Calibri Light" w:cs="Arial"/>
          <w:b/>
          <w:color w:val="6D2077"/>
          <w:sz w:val="22"/>
        </w:rPr>
        <w:t>omplex financial arrangements or financial dependence</w:t>
      </w:r>
      <w:r w:rsidR="00403232" w:rsidRPr="009E2B03">
        <w:rPr>
          <w:rFonts w:ascii="Calibri Light" w:hAnsi="Calibri Light" w:cs="Arial"/>
          <w:b/>
          <w:sz w:val="22"/>
        </w:rPr>
        <w:t xml:space="preserve"> </w:t>
      </w:r>
      <w:r w:rsidR="00403232" w:rsidRPr="009E2B03">
        <w:rPr>
          <w:rFonts w:ascii="Calibri Light" w:hAnsi="Calibri Light" w:cs="Arial"/>
          <w:sz w:val="22"/>
        </w:rPr>
        <w:t xml:space="preserve">– in rural areas where there is a significant agricultural sector, money is often tied up in farming assets or funds. Further, the </w:t>
      </w:r>
      <w:r w:rsidR="00403232" w:rsidRPr="009E2B03">
        <w:rPr>
          <w:rFonts w:ascii="Calibri Light" w:hAnsi="Calibri Light" w:cs="Arial"/>
          <w:sz w:val="22"/>
        </w:rPr>
        <w:lastRenderedPageBreak/>
        <w:t>family farm may be controlled by the perpetrator of violence, and women may not be financially independent of the family.</w:t>
      </w:r>
      <w:r w:rsidR="00403232" w:rsidRPr="009E2B03">
        <w:rPr>
          <w:rStyle w:val="FootnoteReference"/>
          <w:rFonts w:ascii="Calibri Light" w:eastAsia="Batang" w:hAnsi="Calibri Light" w:cs="Arial"/>
          <w:sz w:val="22"/>
        </w:rPr>
        <w:footnoteReference w:id="84"/>
      </w:r>
      <w:r w:rsidR="00403232" w:rsidRPr="009E2B03">
        <w:rPr>
          <w:rFonts w:ascii="Calibri Light" w:hAnsi="Calibri Light" w:cs="Arial"/>
          <w:sz w:val="22"/>
        </w:rPr>
        <w:t xml:space="preserve"> In these cases, the limited employment options for women living in rural and remote communities may reduce the ability of victims to gain financial independence, and contribute to the challenges faced by women in leaving an abusive partner.</w:t>
      </w:r>
      <w:r w:rsidR="00403232" w:rsidRPr="009E2B03">
        <w:rPr>
          <w:rStyle w:val="FootnoteReference"/>
          <w:rFonts w:ascii="Calibri Light" w:eastAsia="Batang" w:hAnsi="Calibri Light" w:cs="Arial"/>
          <w:sz w:val="22"/>
          <w:szCs w:val="20"/>
        </w:rPr>
        <w:footnoteReference w:id="85"/>
      </w:r>
    </w:p>
    <w:p w14:paraId="3AFAD8AB" w14:textId="77777777" w:rsidR="00403232" w:rsidRPr="009E2B03" w:rsidRDefault="00403232" w:rsidP="00403232">
      <w:pPr>
        <w:rPr>
          <w:rFonts w:ascii="Calibri Light" w:hAnsi="Calibri Light"/>
          <w:sz w:val="22"/>
        </w:rPr>
      </w:pPr>
      <w:r w:rsidRPr="009E2B03">
        <w:rPr>
          <w:rFonts w:ascii="Calibri Light" w:hAnsi="Calibri Light"/>
          <w:sz w:val="22"/>
        </w:rPr>
        <w:t>The complexity and interdependent impacts of these issues on both the prevalence of violence, and the ability of women who have experienced violence to access the necessary support to aid their recovery process suggest the need for targeted service provision. An example service is the Alice Springs Domestic and Family Violence Outreach Service in the Northern Territory, which provides targeted support to women experiencing domestic and family violence. In 2012-13, almost 400 women were assisted, with around 80 per cent of clients were Aboriginal and Torres Strait Islander women. A 2012-13 evaluation found that all of the 19 women interviewed reported that their sense of safety had improved. Further, almost half of the women who had previously used crisis accommodation services had not required crisis accommodation following the receipt of outreach services.</w:t>
      </w:r>
      <w:r w:rsidRPr="009E2B03">
        <w:rPr>
          <w:rStyle w:val="FootnoteReference"/>
          <w:rFonts w:ascii="Calibri Light" w:hAnsi="Calibri Light"/>
          <w:sz w:val="22"/>
        </w:rPr>
        <w:footnoteReference w:id="86"/>
      </w:r>
    </w:p>
    <w:p w14:paraId="4456E273" w14:textId="77777777" w:rsidR="00403232" w:rsidRPr="009E2B03" w:rsidRDefault="00403232" w:rsidP="00C95D8A">
      <w:pPr>
        <w:pStyle w:val="BodyBullet"/>
        <w:numPr>
          <w:ilvl w:val="0"/>
          <w:numId w:val="0"/>
        </w:numPr>
        <w:pBdr>
          <w:top w:val="single" w:sz="4" w:space="1" w:color="auto"/>
          <w:left w:val="single" w:sz="4" w:space="4" w:color="auto"/>
          <w:bottom w:val="single" w:sz="4" w:space="1" w:color="auto"/>
          <w:right w:val="single" w:sz="4" w:space="4" w:color="auto"/>
        </w:pBdr>
        <w:shd w:val="clear" w:color="auto" w:fill="F3F0F4"/>
        <w:tabs>
          <w:tab w:val="left" w:pos="5260"/>
        </w:tabs>
        <w:rPr>
          <w:rFonts w:ascii="Calibri Light" w:hAnsi="Calibri Light" w:cs="Arial"/>
          <w:b/>
          <w:sz w:val="22"/>
          <w:szCs w:val="20"/>
        </w:rPr>
      </w:pPr>
      <w:r w:rsidRPr="009E2B03">
        <w:rPr>
          <w:rFonts w:ascii="Calibri Light" w:hAnsi="Calibri Light" w:cs="Arial"/>
          <w:b/>
          <w:color w:val="6D2077"/>
          <w:sz w:val="22"/>
        </w:rPr>
        <w:t>Violence across urban areas</w:t>
      </w:r>
      <w:r w:rsidRPr="009E2B03">
        <w:rPr>
          <w:rFonts w:ascii="Calibri Light" w:hAnsi="Calibri Light" w:cs="Arial"/>
          <w:b/>
          <w:sz w:val="22"/>
          <w:szCs w:val="20"/>
        </w:rPr>
        <w:tab/>
      </w:r>
    </w:p>
    <w:p w14:paraId="543A36CF" w14:textId="77777777" w:rsidR="00403232" w:rsidRPr="009E2B03" w:rsidRDefault="00403232" w:rsidP="00C95D8A">
      <w:pPr>
        <w:pStyle w:val="BodyBullet"/>
        <w:numPr>
          <w:ilvl w:val="0"/>
          <w:numId w:val="0"/>
        </w:numPr>
        <w:pBdr>
          <w:top w:val="single" w:sz="4" w:space="1" w:color="auto"/>
          <w:left w:val="single" w:sz="4" w:space="4" w:color="auto"/>
          <w:bottom w:val="single" w:sz="4" w:space="1" w:color="auto"/>
          <w:right w:val="single" w:sz="4" w:space="4" w:color="auto"/>
        </w:pBdr>
        <w:shd w:val="clear" w:color="auto" w:fill="F3F0F4"/>
        <w:rPr>
          <w:rFonts w:ascii="Calibri Light" w:hAnsi="Calibri Light" w:cs="Arial"/>
          <w:i/>
          <w:sz w:val="22"/>
          <w:szCs w:val="20"/>
        </w:rPr>
      </w:pPr>
      <w:r w:rsidRPr="009E2B03">
        <w:rPr>
          <w:rFonts w:ascii="Calibri Light" w:hAnsi="Calibri Light" w:cs="Arial"/>
          <w:sz w:val="22"/>
          <w:szCs w:val="20"/>
        </w:rPr>
        <w:t>There are significant differences in the prevalence of violence against women in urban areas. The analysis suggests that in urban areas, socioeconomic disadvantage may be a key contributing factor towards the risk of experiencing violence, with the prevalence of violence being considerably higher among women living in areas with comparatively lower levels of socioeconomic advantage, and particularly for interpersonal violence.</w:t>
      </w:r>
      <w:r w:rsidRPr="009E2B03">
        <w:rPr>
          <w:rStyle w:val="FootnoteReference"/>
          <w:rFonts w:ascii="Calibri Light" w:eastAsia="Batang" w:hAnsi="Calibri Light" w:cs="Arial"/>
          <w:sz w:val="22"/>
          <w:szCs w:val="20"/>
        </w:rPr>
        <w:footnoteReference w:id="87"/>
      </w:r>
      <w:r w:rsidRPr="009E2B03">
        <w:rPr>
          <w:rFonts w:ascii="Calibri Light" w:hAnsi="Calibri Light" w:cs="Arial"/>
          <w:sz w:val="22"/>
          <w:szCs w:val="20"/>
        </w:rPr>
        <w:t xml:space="preserve"> </w:t>
      </w:r>
    </w:p>
    <w:p w14:paraId="585585A7" w14:textId="17658659" w:rsidR="00036345" w:rsidRDefault="00403232" w:rsidP="00C95D8A">
      <w:pPr>
        <w:pStyle w:val="BodyBullet"/>
        <w:numPr>
          <w:ilvl w:val="0"/>
          <w:numId w:val="0"/>
        </w:numPr>
        <w:pBdr>
          <w:top w:val="single" w:sz="4" w:space="1" w:color="auto"/>
          <w:left w:val="single" w:sz="4" w:space="4" w:color="auto"/>
          <w:bottom w:val="single" w:sz="4" w:space="1" w:color="auto"/>
          <w:right w:val="single" w:sz="4" w:space="4" w:color="auto"/>
        </w:pBdr>
        <w:shd w:val="clear" w:color="auto" w:fill="F3F0F4"/>
        <w:rPr>
          <w:rFonts w:ascii="Calibri Light" w:hAnsi="Calibri Light" w:cs="Arial"/>
          <w:sz w:val="22"/>
          <w:szCs w:val="20"/>
        </w:rPr>
      </w:pPr>
      <w:r w:rsidRPr="009E2B03">
        <w:rPr>
          <w:rFonts w:ascii="Calibri Light" w:hAnsi="Calibri Light" w:cs="Arial"/>
          <w:sz w:val="22"/>
          <w:szCs w:val="20"/>
        </w:rPr>
        <w:t xml:space="preserve">However, socioeconomic disadvantage is only one of a </w:t>
      </w:r>
      <w:r w:rsidR="00526CF4" w:rsidRPr="009E2B03">
        <w:rPr>
          <w:rFonts w:ascii="Calibri Light" w:hAnsi="Calibri Light" w:cs="Arial"/>
          <w:sz w:val="22"/>
          <w:szCs w:val="20"/>
        </w:rPr>
        <w:t>variety</w:t>
      </w:r>
      <w:r w:rsidRPr="009E2B03">
        <w:rPr>
          <w:rFonts w:ascii="Calibri Light" w:hAnsi="Calibri Light" w:cs="Arial"/>
          <w:sz w:val="22"/>
          <w:szCs w:val="20"/>
        </w:rPr>
        <w:t xml:space="preserve"> of risk factors that may be linked to incidents of violence. As highlighted in the national advocacy work by 2015 Australian of the Year Rosie Batty, incidents of violence can happen to any woman or family. Further, while there are more health and support service options in urban areas, it is important to identify that social isolation from friends and family can also impact women in urban areas. Individual or environmental factors that limit access to formal and informal support networks can </w:t>
      </w:r>
      <w:r w:rsidR="00526CF4" w:rsidRPr="009E2B03">
        <w:rPr>
          <w:rFonts w:ascii="Calibri Light" w:hAnsi="Calibri Light" w:cs="Arial"/>
          <w:sz w:val="22"/>
          <w:szCs w:val="20"/>
        </w:rPr>
        <w:t>affect</w:t>
      </w:r>
      <w:r w:rsidRPr="009E2B03">
        <w:rPr>
          <w:rFonts w:ascii="Calibri Light" w:hAnsi="Calibri Light" w:cs="Arial"/>
          <w:sz w:val="22"/>
          <w:szCs w:val="20"/>
        </w:rPr>
        <w:t xml:space="preserve"> rates of violence, regardless of the geographic location or level of socioeconomic advantage.</w:t>
      </w:r>
      <w:r w:rsidRPr="009E2B03">
        <w:rPr>
          <w:rStyle w:val="FootnoteReference"/>
          <w:rFonts w:ascii="Calibri Light" w:eastAsia="Batang" w:hAnsi="Calibri Light" w:cs="Arial"/>
          <w:sz w:val="22"/>
          <w:szCs w:val="20"/>
        </w:rPr>
        <w:footnoteReference w:id="88"/>
      </w:r>
      <w:r w:rsidRPr="009E2B03">
        <w:rPr>
          <w:rFonts w:ascii="Calibri Light" w:hAnsi="Calibri Light" w:cs="Arial"/>
          <w:sz w:val="22"/>
          <w:szCs w:val="20"/>
        </w:rPr>
        <w:t xml:space="preserve">  </w:t>
      </w:r>
      <w:r w:rsidR="00036345">
        <w:rPr>
          <w:rFonts w:ascii="Calibri Light" w:hAnsi="Calibri Light" w:cs="Arial"/>
          <w:sz w:val="22"/>
          <w:szCs w:val="20"/>
        </w:rPr>
        <w:br w:type="page"/>
      </w:r>
    </w:p>
    <w:p w14:paraId="63F54B6E"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lastRenderedPageBreak/>
        <w:t xml:space="preserve">Women who have experienced socioeconomic advantage and disadvantage </w:t>
      </w:r>
    </w:p>
    <w:p w14:paraId="545BAD27" w14:textId="77777777" w:rsidR="00403232" w:rsidRPr="009E2B03" w:rsidRDefault="00403232" w:rsidP="00403232">
      <w:pPr>
        <w:pStyle w:val="BodyBullet"/>
        <w:numPr>
          <w:ilvl w:val="0"/>
          <w:numId w:val="0"/>
        </w:numPr>
        <w:rPr>
          <w:rFonts w:ascii="Calibri Light" w:hAnsi="Calibri Light" w:cs="Arial"/>
          <w:sz w:val="22"/>
          <w:szCs w:val="20"/>
        </w:rPr>
      </w:pPr>
      <w:r w:rsidRPr="009E2B03">
        <w:rPr>
          <w:rFonts w:ascii="Calibri Light" w:hAnsi="Calibri Light" w:cs="Arial"/>
          <w:sz w:val="22"/>
          <w:szCs w:val="20"/>
        </w:rPr>
        <w:t>The challenges associated with understanding the relationship between socioeconomic status and the prevalence of violence against women are particularly important in the context of understanding the perceptions and attitudes about violence in Australia. Research has identified a range of contributing factors that may increase the risk of violence against women and their children.</w:t>
      </w:r>
      <w:r w:rsidRPr="009E2B03">
        <w:rPr>
          <w:rStyle w:val="FootnoteReference"/>
          <w:rFonts w:ascii="Calibri Light" w:hAnsi="Calibri Light" w:cs="Arial"/>
          <w:sz w:val="22"/>
          <w:szCs w:val="20"/>
        </w:rPr>
        <w:footnoteReference w:id="89"/>
      </w:r>
      <w:r w:rsidRPr="009E2B03">
        <w:rPr>
          <w:rFonts w:ascii="Calibri Light" w:hAnsi="Calibri Light" w:cs="Arial"/>
          <w:sz w:val="22"/>
          <w:szCs w:val="20"/>
        </w:rPr>
        <w:t xml:space="preserve"> In particular, there is evidence that indicators of socioeconomic status such as level of educational attainment, level of household income, and employment status may </w:t>
      </w:r>
      <w:r w:rsidR="00D7670F" w:rsidRPr="009E2B03">
        <w:rPr>
          <w:rFonts w:ascii="Calibri Light" w:hAnsi="Calibri Light" w:cs="Arial"/>
          <w:sz w:val="22"/>
          <w:szCs w:val="20"/>
        </w:rPr>
        <w:t>affect</w:t>
      </w:r>
      <w:r w:rsidRPr="009E2B03">
        <w:rPr>
          <w:rFonts w:ascii="Calibri Light" w:hAnsi="Calibri Light" w:cs="Arial"/>
          <w:sz w:val="22"/>
          <w:szCs w:val="20"/>
        </w:rPr>
        <w:t xml:space="preserve"> a woman’s vulnerability of experiencing violence when other contributing risk factors such as drug and alcohol abuse and mental health issues are present.</w:t>
      </w:r>
    </w:p>
    <w:p w14:paraId="5C0E841D" w14:textId="77777777" w:rsidR="00403232" w:rsidRPr="009E2B03" w:rsidRDefault="00403232" w:rsidP="00403232">
      <w:pPr>
        <w:pStyle w:val="BodyBullet"/>
        <w:numPr>
          <w:ilvl w:val="0"/>
          <w:numId w:val="0"/>
        </w:numPr>
        <w:rPr>
          <w:rFonts w:ascii="Calibri Light" w:hAnsi="Calibri Light" w:cs="Arial"/>
          <w:sz w:val="22"/>
          <w:szCs w:val="20"/>
        </w:rPr>
      </w:pPr>
      <w:r w:rsidRPr="009E2B03">
        <w:rPr>
          <w:rFonts w:ascii="Calibri Light" w:hAnsi="Calibri Light" w:cs="Arial"/>
          <w:sz w:val="22"/>
          <w:szCs w:val="20"/>
        </w:rPr>
        <w:t xml:space="preserve">However, there is inconsistent evidence to suggest any definitive relationship that links socioeconomic status and the prevalence of violence against women and children. For example, the 2012 PSS does not provide any clear evidence to suggest interactions or relationships, whereas the aggregation of state-based crime statistics indicates some overlap, between areas of low socioeconomic status and the level of recorded incidents of violence, as compared to the state average. </w:t>
      </w:r>
    </w:p>
    <w:p w14:paraId="33EF294C" w14:textId="2E06A701" w:rsidR="00E72EAD" w:rsidRPr="009E2B03" w:rsidRDefault="00403232" w:rsidP="00E72EAD">
      <w:pPr>
        <w:pStyle w:val="BodyBullet"/>
        <w:numPr>
          <w:ilvl w:val="0"/>
          <w:numId w:val="0"/>
        </w:numPr>
        <w:rPr>
          <w:rFonts w:ascii="Calibri Light" w:hAnsi="Calibri Light" w:cs="Arial"/>
          <w:sz w:val="22"/>
          <w:szCs w:val="20"/>
        </w:rPr>
      </w:pPr>
      <w:r w:rsidRPr="009E2B03">
        <w:rPr>
          <w:rFonts w:ascii="Calibri Light" w:hAnsi="Calibri Light" w:cs="Arial"/>
          <w:sz w:val="22"/>
          <w:szCs w:val="20"/>
        </w:rPr>
        <w:t>Given the interdependencies between indicators of socioeconomic status and other risk factors, there are challenges to interpreting the evidence. The inconsistency of evidence across Australian research reinforces that violence can happen to any individual in any circumstance – it is not an issue isolated to any specific socio-demographic, geographic, or vulnerable cohort. There is a need for further research and analysis to examine the perceptions and attitudes towards violence, and how these link to the prevalence and incidence of violence against women and children.</w:t>
      </w:r>
    </w:p>
    <w:p w14:paraId="79101D80" w14:textId="0A2A3C13"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szCs w:val="20"/>
        </w:rPr>
        <w:t xml:space="preserve"> </w:t>
      </w:r>
      <w:r w:rsidRPr="009E2B03">
        <w:rPr>
          <w:rFonts w:ascii="Calibri Light" w:hAnsi="Calibri Light" w:cs="Arial"/>
          <w:i/>
          <w:sz w:val="22"/>
        </w:rPr>
        <w:t xml:space="preserve">Box </w:t>
      </w:r>
      <w:r w:rsidR="008D2E70" w:rsidRPr="009E2B03">
        <w:rPr>
          <w:rFonts w:ascii="Calibri Light" w:hAnsi="Calibri Light" w:cs="Arial"/>
          <w:i/>
          <w:sz w:val="22"/>
        </w:rPr>
        <w:fldChar w:fldCharType="begin"/>
      </w:r>
      <w:r w:rsidR="008D2E70" w:rsidRPr="009E2B03">
        <w:rPr>
          <w:rFonts w:ascii="Calibri Light" w:hAnsi="Calibri Light" w:cs="Arial"/>
          <w:i/>
          <w:sz w:val="22"/>
        </w:rPr>
        <w:instrText xml:space="preserve"> STYLEREF 1 \s </w:instrText>
      </w:r>
      <w:r w:rsidR="008D2E70" w:rsidRPr="009E2B03">
        <w:rPr>
          <w:rFonts w:ascii="Calibri Light" w:hAnsi="Calibri Light" w:cs="Arial"/>
          <w:i/>
          <w:sz w:val="22"/>
        </w:rPr>
        <w:fldChar w:fldCharType="separate"/>
      </w:r>
      <w:r w:rsidR="00417237">
        <w:rPr>
          <w:rFonts w:ascii="Calibri Light" w:hAnsi="Calibri Light" w:cs="Arial"/>
          <w:i/>
          <w:noProof/>
          <w:sz w:val="22"/>
        </w:rPr>
        <w:t>4</w:t>
      </w:r>
      <w:r w:rsidR="008D2E70" w:rsidRPr="009E2B03">
        <w:rPr>
          <w:rFonts w:ascii="Calibri Light" w:hAnsi="Calibri Light" w:cs="Arial"/>
          <w:i/>
          <w:sz w:val="22"/>
        </w:rPr>
        <w:fldChar w:fldCharType="end"/>
      </w:r>
      <w:r w:rsidR="008D2E70" w:rsidRPr="009E2B03">
        <w:rPr>
          <w:rFonts w:ascii="Calibri Light" w:hAnsi="Calibri Light" w:cs="Arial"/>
          <w:i/>
          <w:sz w:val="22"/>
        </w:rPr>
        <w:noBreakHyphen/>
      </w:r>
      <w:r w:rsidR="008D2E70" w:rsidRPr="009E2B03">
        <w:rPr>
          <w:rFonts w:ascii="Calibri Light" w:hAnsi="Calibri Light" w:cs="Arial"/>
          <w:i/>
          <w:sz w:val="22"/>
        </w:rPr>
        <w:fldChar w:fldCharType="begin"/>
      </w:r>
      <w:r w:rsidR="008D2E70" w:rsidRPr="009E2B03">
        <w:rPr>
          <w:rFonts w:ascii="Calibri Light" w:hAnsi="Calibri Light" w:cs="Arial"/>
          <w:i/>
          <w:sz w:val="22"/>
        </w:rPr>
        <w:instrText xml:space="preserve"> SEQ Box \* ARABIC \s 1 </w:instrText>
      </w:r>
      <w:r w:rsidR="008D2E70" w:rsidRPr="009E2B03">
        <w:rPr>
          <w:rFonts w:ascii="Calibri Light" w:hAnsi="Calibri Light" w:cs="Arial"/>
          <w:i/>
          <w:sz w:val="22"/>
        </w:rPr>
        <w:fldChar w:fldCharType="separate"/>
      </w:r>
      <w:r w:rsidR="00417237">
        <w:rPr>
          <w:rFonts w:ascii="Calibri Light" w:hAnsi="Calibri Light" w:cs="Arial"/>
          <w:i/>
          <w:noProof/>
          <w:sz w:val="22"/>
        </w:rPr>
        <w:t>1</w:t>
      </w:r>
      <w:r w:rsidR="008D2E70" w:rsidRPr="009E2B03">
        <w:rPr>
          <w:rFonts w:ascii="Calibri Light" w:hAnsi="Calibri Light" w:cs="Arial"/>
          <w:i/>
          <w:sz w:val="22"/>
        </w:rPr>
        <w:fldChar w:fldCharType="end"/>
      </w:r>
      <w:r w:rsidRPr="009E2B03">
        <w:rPr>
          <w:rFonts w:ascii="Calibri Light" w:hAnsi="Calibri Light" w:cs="Arial"/>
          <w:i/>
          <w:sz w:val="22"/>
        </w:rPr>
        <w:t>: Perceptions and attitudes of violence and socioeconomic status</w:t>
      </w:r>
    </w:p>
    <w:p w14:paraId="7A48AFFB" w14:textId="77777777" w:rsidR="00403232" w:rsidRPr="009E2B03" w:rsidRDefault="00403232" w:rsidP="00C95D8A">
      <w:pPr>
        <w:pStyle w:val="BodyBullet"/>
        <w:numPr>
          <w:ilvl w:val="0"/>
          <w:numId w:val="0"/>
        </w:numPr>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szCs w:val="20"/>
        </w:rPr>
      </w:pPr>
      <w:r w:rsidRPr="009E2B03">
        <w:rPr>
          <w:rFonts w:ascii="Calibri Light" w:hAnsi="Calibri Light" w:cs="Arial"/>
          <w:sz w:val="22"/>
          <w:szCs w:val="20"/>
        </w:rPr>
        <w:t xml:space="preserve">The evidence suggests that the perceptions and attitudes of Australians about the relationship between socioeconomic status and violence is not consistent with the findings of the underlying data. This indicates disconnects between perceptions and evidence that require further research in order to understand the nature, risk and </w:t>
      </w:r>
      <w:r w:rsidR="00D7670F" w:rsidRPr="009E2B03">
        <w:rPr>
          <w:rFonts w:ascii="Calibri Light" w:hAnsi="Calibri Light" w:cs="Arial"/>
          <w:sz w:val="22"/>
          <w:szCs w:val="20"/>
        </w:rPr>
        <w:t xml:space="preserve">effect of </w:t>
      </w:r>
      <w:r w:rsidRPr="009E2B03">
        <w:rPr>
          <w:rFonts w:ascii="Calibri Light" w:hAnsi="Calibri Light" w:cs="Arial"/>
          <w:sz w:val="22"/>
          <w:szCs w:val="20"/>
        </w:rPr>
        <w:t xml:space="preserve">violence against women and their children in Australia. </w:t>
      </w:r>
    </w:p>
    <w:p w14:paraId="51943362" w14:textId="77777777" w:rsidR="00403232" w:rsidRPr="009E2B03" w:rsidRDefault="00403232" w:rsidP="00C95D8A">
      <w:pPr>
        <w:pStyle w:val="BodyBullet"/>
        <w:numPr>
          <w:ilvl w:val="0"/>
          <w:numId w:val="0"/>
        </w:numPr>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szCs w:val="20"/>
        </w:rPr>
      </w:pPr>
      <w:r w:rsidRPr="009E2B03">
        <w:rPr>
          <w:rFonts w:ascii="Calibri Light" w:hAnsi="Calibri Light" w:cs="Arial"/>
          <w:sz w:val="22"/>
          <w:szCs w:val="20"/>
        </w:rPr>
        <w:t>The Special Taskforce on Domestic and Family Violence in Queensland released an extensive report on domestic and family violence in 2015. Some of the report’s results on perceptions and community attitudes are outlined below.</w:t>
      </w:r>
    </w:p>
    <w:p w14:paraId="3D84128A" w14:textId="77777777" w:rsidR="00403232" w:rsidRPr="009E2B03" w:rsidRDefault="0040323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A 2014 online survey was conducted on community attitudes and perceptions about domestic and family violence in Queensland. In selecting a number of groups thought to be most vulnerable to domestic and family violence, people from low socioeconomic backgrounds were the category most likely to be listed, with 90 per cent of respondents (718 individual respondents) listing this category.</w:t>
      </w:r>
      <w:r w:rsidRPr="009E2B03">
        <w:rPr>
          <w:rFonts w:ascii="Calibri Light" w:hAnsi="Calibri Light" w:cs="Arial"/>
          <w:sz w:val="22"/>
          <w:vertAlign w:val="superscript"/>
        </w:rPr>
        <w:footnoteReference w:id="90"/>
      </w:r>
    </w:p>
    <w:p w14:paraId="0EC80D1B" w14:textId="77777777" w:rsidR="00403232" w:rsidRPr="009E2B03" w:rsidRDefault="0040323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A 2015 study by Enhance Research on behalf of the Queensland Special Taskforce indicated that respondents across focus groups in different geographies largely reiterated the idea that domestic violence was more common in lower socio-economic households across Queensland. This was not consistent with views expressed after further exploration of the issue that domestic and family violence could happen to anyone.</w:t>
      </w:r>
      <w:r w:rsidRPr="009E2B03">
        <w:rPr>
          <w:rFonts w:ascii="Calibri Light" w:hAnsi="Calibri Light" w:cs="Arial"/>
          <w:sz w:val="22"/>
          <w:vertAlign w:val="superscript"/>
        </w:rPr>
        <w:footnoteReference w:id="91"/>
      </w:r>
    </w:p>
    <w:p w14:paraId="2BAB7789" w14:textId="77777777" w:rsidR="00403232" w:rsidRPr="009E2B03" w:rsidRDefault="00403232" w:rsidP="00C95D8A">
      <w:pPr>
        <w:pStyle w:val="BodyBullet"/>
        <w:numPr>
          <w:ilvl w:val="0"/>
          <w:numId w:val="0"/>
        </w:numPr>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color w:val="211D1E"/>
          <w:sz w:val="22"/>
          <w:szCs w:val="20"/>
        </w:rPr>
      </w:pPr>
      <w:r w:rsidRPr="009E2B03">
        <w:rPr>
          <w:rFonts w:ascii="Calibri Light" w:hAnsi="Calibri Light" w:cs="Arial"/>
          <w:color w:val="211D1E"/>
          <w:sz w:val="22"/>
          <w:szCs w:val="20"/>
        </w:rPr>
        <w:t xml:space="preserve">In addition, the 2014 NCAS survey examined the attitudes and perceptions of Australians with regard to violence against women and their children. In exploring the impact of socioeconomic status on </w:t>
      </w:r>
      <w:r w:rsidRPr="009E2B03">
        <w:rPr>
          <w:rFonts w:ascii="Calibri Light" w:hAnsi="Calibri Light" w:cs="Arial"/>
          <w:color w:val="211D1E"/>
          <w:sz w:val="22"/>
          <w:szCs w:val="20"/>
        </w:rPr>
        <w:lastRenderedPageBreak/>
        <w:t>perception and attitudes, this report considered employment status, educational attainment and a comparison of relative disadvantage by area. Some minor differences was found, including the following:</w:t>
      </w:r>
    </w:p>
    <w:p w14:paraId="6C159B7B" w14:textId="77777777" w:rsidR="00403232" w:rsidRPr="009E2B03" w:rsidRDefault="0040323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 xml:space="preserve">People with </w:t>
      </w:r>
      <w:r w:rsidR="00EB6AAF" w:rsidRPr="009E2B03">
        <w:rPr>
          <w:rFonts w:ascii="Calibri Light" w:hAnsi="Calibri Light" w:cs="Arial"/>
          <w:sz w:val="22"/>
        </w:rPr>
        <w:t>e</w:t>
      </w:r>
      <w:r w:rsidRPr="009E2B03">
        <w:rPr>
          <w:rFonts w:ascii="Calibri Light" w:hAnsi="Calibri Light" w:cs="Arial"/>
          <w:sz w:val="22"/>
        </w:rPr>
        <w:t>mployment and higher levels of educational attainment were more likely to have a lower level of endorsement of attitudes supportive of violence against women.</w:t>
      </w:r>
    </w:p>
    <w:p w14:paraId="13FAC049" w14:textId="77777777" w:rsidR="00403232" w:rsidRPr="009E2B03" w:rsidRDefault="0040323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In comparing areas of relative disadvantage, the areas of greater relative advantage were less likely to support gender inequality and were more likely to support endorsement of attitudes, and respondents in areas of lower relative advantage had opposing results. However, these results were only statistically significant for the groups who were in areas of greatest disadvantage and advantage. This indicates the variability of attitudes in relation to socioeconomic status, and highlights the lack of evidence to suggest any definitive relationship between socioeconomic status and violence.</w:t>
      </w:r>
    </w:p>
    <w:p w14:paraId="15AF7B13" w14:textId="77777777" w:rsidR="00403232" w:rsidRPr="009E2B03" w:rsidRDefault="00403232" w:rsidP="00C95D8A">
      <w:pPr>
        <w:pStyle w:val="BodyBullet"/>
        <w:pBdr>
          <w:top w:val="single" w:sz="4" w:space="1" w:color="auto"/>
          <w:left w:val="single" w:sz="4" w:space="1"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Overall, the survey found that economic status measures did not have a significant influence on understanding of, or attitudes relating to, violence against women.</w:t>
      </w:r>
      <w:r w:rsidRPr="009E2B03">
        <w:rPr>
          <w:rFonts w:ascii="Calibri Light" w:hAnsi="Calibri Light" w:cs="Arial"/>
          <w:sz w:val="22"/>
          <w:vertAlign w:val="superscript"/>
        </w:rPr>
        <w:footnoteReference w:id="92"/>
      </w:r>
    </w:p>
    <w:p w14:paraId="0811577B" w14:textId="77777777" w:rsidR="00403232" w:rsidRPr="009E2B03" w:rsidRDefault="00403232" w:rsidP="00403232">
      <w:pPr>
        <w:pStyle w:val="BodyBullet"/>
        <w:numPr>
          <w:ilvl w:val="0"/>
          <w:numId w:val="0"/>
        </w:numPr>
        <w:rPr>
          <w:rFonts w:ascii="Calibri Light" w:hAnsi="Calibri Light" w:cs="Arial"/>
          <w:sz w:val="22"/>
          <w:szCs w:val="20"/>
        </w:rPr>
      </w:pPr>
      <w:r w:rsidRPr="009E2B03">
        <w:rPr>
          <w:rFonts w:ascii="Calibri Light" w:hAnsi="Calibri Light" w:cs="Arial"/>
          <w:sz w:val="22"/>
          <w:szCs w:val="20"/>
        </w:rPr>
        <w:t>Further, research in Australia and internationally indicates that socioeconomic issues within relationships may be a risk factor experienced by victims of violence in Australia. Studies have indicated that interpersonal financial and economic issues within the household are a more conclusive indicator of the nature of violence than socioeconomic status at the aggregate level. Individuals may experience financial dependence on their partner, debt burdens resulting from a partner’s financial behaviour, or be in a relationship where one partner holds control over economic resources. This is known as economic abuse – and it is an issue not unique to people experiencing socioeconomic disadvantage as it is primarily linked to issues of control, individual power and limited independence within relationships.</w:t>
      </w:r>
    </w:p>
    <w:p w14:paraId="1C55B96A" w14:textId="77777777" w:rsidR="00403232" w:rsidRPr="009E2B03" w:rsidRDefault="00403232" w:rsidP="00403232">
      <w:pPr>
        <w:pStyle w:val="Caption"/>
        <w:rPr>
          <w:rFonts w:ascii="Calibri Light" w:hAnsi="Calibri Light" w:cs="Arial"/>
          <w:sz w:val="22"/>
        </w:rPr>
      </w:pPr>
      <w:r w:rsidRPr="009E2B03">
        <w:rPr>
          <w:rFonts w:ascii="Calibri Light" w:hAnsi="Calibri Light" w:cs="Arial"/>
          <w:sz w:val="22"/>
        </w:rPr>
        <w:t xml:space="preserve">Box </w:t>
      </w:r>
      <w:r w:rsidR="008D2E70" w:rsidRPr="009E2B03">
        <w:rPr>
          <w:rFonts w:ascii="Calibri Light" w:hAnsi="Calibri Light" w:cs="Arial"/>
          <w:sz w:val="22"/>
        </w:rPr>
        <w:fldChar w:fldCharType="begin"/>
      </w:r>
      <w:r w:rsidR="008D2E70" w:rsidRPr="009E2B03">
        <w:rPr>
          <w:rFonts w:ascii="Calibri Light" w:hAnsi="Calibri Light" w:cs="Arial"/>
          <w:sz w:val="22"/>
        </w:rPr>
        <w:instrText xml:space="preserve"> STYLEREF 1 \s </w:instrText>
      </w:r>
      <w:r w:rsidR="008D2E70" w:rsidRPr="009E2B03">
        <w:rPr>
          <w:rFonts w:ascii="Calibri Light" w:hAnsi="Calibri Light" w:cs="Arial"/>
          <w:sz w:val="22"/>
        </w:rPr>
        <w:fldChar w:fldCharType="separate"/>
      </w:r>
      <w:r w:rsidR="00417237">
        <w:rPr>
          <w:rFonts w:ascii="Calibri Light" w:hAnsi="Calibri Light" w:cs="Arial"/>
          <w:noProof/>
          <w:sz w:val="22"/>
        </w:rPr>
        <w:t>4</w:t>
      </w:r>
      <w:r w:rsidR="008D2E70" w:rsidRPr="009E2B03">
        <w:rPr>
          <w:rFonts w:ascii="Calibri Light" w:hAnsi="Calibri Light" w:cs="Arial"/>
          <w:sz w:val="22"/>
        </w:rPr>
        <w:fldChar w:fldCharType="end"/>
      </w:r>
      <w:r w:rsidR="008D2E70" w:rsidRPr="009E2B03">
        <w:rPr>
          <w:rFonts w:ascii="Calibri Light" w:hAnsi="Calibri Light" w:cs="Arial"/>
          <w:sz w:val="22"/>
        </w:rPr>
        <w:noBreakHyphen/>
      </w:r>
      <w:r w:rsidR="008D2E70" w:rsidRPr="009E2B03">
        <w:rPr>
          <w:rFonts w:ascii="Calibri Light" w:hAnsi="Calibri Light" w:cs="Arial"/>
          <w:sz w:val="22"/>
        </w:rPr>
        <w:fldChar w:fldCharType="begin"/>
      </w:r>
      <w:r w:rsidR="008D2E70" w:rsidRPr="009E2B03">
        <w:rPr>
          <w:rFonts w:ascii="Calibri Light" w:hAnsi="Calibri Light" w:cs="Arial"/>
          <w:sz w:val="22"/>
        </w:rPr>
        <w:instrText xml:space="preserve"> SEQ Box \* ARABIC \s 1 </w:instrText>
      </w:r>
      <w:r w:rsidR="008D2E70" w:rsidRPr="009E2B03">
        <w:rPr>
          <w:rFonts w:ascii="Calibri Light" w:hAnsi="Calibri Light" w:cs="Arial"/>
          <w:sz w:val="22"/>
        </w:rPr>
        <w:fldChar w:fldCharType="separate"/>
      </w:r>
      <w:r w:rsidR="00417237">
        <w:rPr>
          <w:rFonts w:ascii="Calibri Light" w:hAnsi="Calibri Light" w:cs="Arial"/>
          <w:noProof/>
          <w:sz w:val="22"/>
        </w:rPr>
        <w:t>2</w:t>
      </w:r>
      <w:r w:rsidR="008D2E70" w:rsidRPr="009E2B03">
        <w:rPr>
          <w:rFonts w:ascii="Calibri Light" w:hAnsi="Calibri Light" w:cs="Arial"/>
          <w:sz w:val="22"/>
        </w:rPr>
        <w:fldChar w:fldCharType="end"/>
      </w:r>
      <w:r w:rsidRPr="009E2B03">
        <w:rPr>
          <w:rFonts w:ascii="Calibri Light" w:hAnsi="Calibri Light" w:cs="Arial"/>
          <w:sz w:val="22"/>
        </w:rPr>
        <w:t>: The impact of economic abuse</w:t>
      </w:r>
    </w:p>
    <w:p w14:paraId="1FB6E609" w14:textId="77777777" w:rsidR="00403232" w:rsidRPr="009E2B03" w:rsidRDefault="00403232" w:rsidP="00C95D8A">
      <w:pPr>
        <w:pStyle w:val="BodyBullet"/>
        <w:numPr>
          <w:ilvl w:val="0"/>
          <w:numId w:val="0"/>
        </w:numPr>
        <w:pBdr>
          <w:top w:val="single" w:sz="4" w:space="1" w:color="auto"/>
          <w:left w:val="single" w:sz="4" w:space="4" w:color="auto"/>
          <w:bottom w:val="single" w:sz="4" w:space="1" w:color="auto"/>
          <w:right w:val="single" w:sz="4" w:space="1" w:color="auto"/>
        </w:pBdr>
        <w:shd w:val="clear" w:color="auto" w:fill="F3F0F4"/>
        <w:ind w:left="360" w:hanging="360"/>
        <w:rPr>
          <w:rFonts w:ascii="Calibri Light" w:hAnsi="Calibri Light" w:cs="Arial"/>
          <w:b/>
          <w:color w:val="6D2077"/>
          <w:sz w:val="22"/>
        </w:rPr>
      </w:pPr>
      <w:r w:rsidRPr="009E2B03">
        <w:rPr>
          <w:rFonts w:ascii="Calibri Light" w:hAnsi="Calibri Light" w:cs="Arial"/>
          <w:b/>
          <w:color w:val="6D2077"/>
          <w:sz w:val="22"/>
        </w:rPr>
        <w:t>The impact of economic abuse</w:t>
      </w:r>
    </w:p>
    <w:p w14:paraId="46A3A888" w14:textId="77777777" w:rsidR="00403232" w:rsidRPr="009E2B03" w:rsidRDefault="00403232" w:rsidP="00C95D8A">
      <w:pPr>
        <w:pStyle w:val="BodyBullet"/>
        <w:numPr>
          <w:ilvl w:val="0"/>
          <w:numId w:val="0"/>
        </w:numPr>
        <w:pBdr>
          <w:top w:val="single" w:sz="4" w:space="1" w:color="auto"/>
          <w:left w:val="single" w:sz="4" w:space="4"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 xml:space="preserve">The interdependent impacts of violence can be seen in new research into the category of ‘economic abuse’, where financial inequality in partner relationships can mean a female victim is restricted from escaping the perpetrator. This in turn may enable or prolong other forms of violence. As a key component of gender inequality, financial dependence can impact a woman’s decision to remain in a violent relationship, and contributes to around </w:t>
      </w:r>
      <w:r w:rsidR="00520CCE" w:rsidRPr="009E2B03">
        <w:rPr>
          <w:rFonts w:ascii="Calibri Light" w:hAnsi="Calibri Light" w:cs="Arial"/>
          <w:sz w:val="22"/>
        </w:rPr>
        <w:br/>
      </w:r>
      <w:r w:rsidRPr="009E2B03">
        <w:rPr>
          <w:rFonts w:ascii="Calibri Light" w:hAnsi="Calibri Light" w:cs="Arial"/>
          <w:sz w:val="22"/>
        </w:rPr>
        <w:t xml:space="preserve">10 per cent of women returning to abusive partners. </w:t>
      </w:r>
    </w:p>
    <w:p w14:paraId="0F854B44" w14:textId="77777777" w:rsidR="00403232" w:rsidRPr="009E2B03" w:rsidRDefault="00403232" w:rsidP="00C95D8A">
      <w:pPr>
        <w:pStyle w:val="BodyBullet"/>
        <w:pBdr>
          <w:top w:val="single" w:sz="4" w:space="1" w:color="auto"/>
          <w:left w:val="single" w:sz="4" w:space="4"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 xml:space="preserve">Economic abuse may impact engagement in paid employment, education participation, work absenteeism, credit records and debt concerns, and reliance on social security. These ongoing difficulties of economic insecurity, and the limitations they place on fulfilling basic needs, contribute to why women may return to abusive relationships or continue to endure abuse. </w:t>
      </w:r>
    </w:p>
    <w:p w14:paraId="07A52BB9" w14:textId="77777777" w:rsidR="00403232" w:rsidRPr="009E2B03" w:rsidRDefault="00403232" w:rsidP="00C95D8A">
      <w:pPr>
        <w:pStyle w:val="BodyBullet"/>
        <w:pBdr>
          <w:top w:val="single" w:sz="4" w:space="1" w:color="auto"/>
          <w:left w:val="single" w:sz="4" w:space="4"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t>Economic abuse is significantly linked with other forms of domestic abuse. A 2014 WIRE report estimates that 80 to 90 per cent of women who seek support from domestic violence services have experienced financial abuse.</w:t>
      </w:r>
      <w:r w:rsidRPr="009E2B03">
        <w:rPr>
          <w:rFonts w:ascii="Calibri Light" w:hAnsi="Calibri Light" w:cs="Arial"/>
          <w:sz w:val="22"/>
          <w:vertAlign w:val="superscript"/>
        </w:rPr>
        <w:footnoteReference w:id="93"/>
      </w:r>
      <w:r w:rsidRPr="009E2B03">
        <w:rPr>
          <w:rFonts w:ascii="Calibri Light" w:hAnsi="Calibri Light" w:cs="Arial"/>
          <w:sz w:val="22"/>
          <w:vertAlign w:val="superscript"/>
        </w:rPr>
        <w:t xml:space="preserve"> </w:t>
      </w:r>
    </w:p>
    <w:p w14:paraId="668B1EA3" w14:textId="77777777" w:rsidR="00403232" w:rsidRPr="009E2B03" w:rsidRDefault="00403232" w:rsidP="00C95D8A">
      <w:pPr>
        <w:pStyle w:val="BodyBullet"/>
        <w:pBdr>
          <w:top w:val="single" w:sz="4" w:space="1" w:color="auto"/>
          <w:left w:val="single" w:sz="4" w:space="4" w:color="auto"/>
          <w:bottom w:val="single" w:sz="4" w:space="1" w:color="auto"/>
          <w:right w:val="single" w:sz="4" w:space="1" w:color="auto"/>
        </w:pBdr>
        <w:shd w:val="clear" w:color="auto" w:fill="F3F0F4"/>
        <w:rPr>
          <w:rFonts w:ascii="Calibri Light" w:hAnsi="Calibri Light" w:cs="Arial"/>
          <w:sz w:val="22"/>
        </w:rPr>
      </w:pPr>
      <w:r w:rsidRPr="009E2B03">
        <w:rPr>
          <w:rFonts w:ascii="Calibri Light" w:hAnsi="Calibri Light" w:cs="Arial"/>
          <w:sz w:val="22"/>
        </w:rPr>
        <w:lastRenderedPageBreak/>
        <w:t>The attitudes of Australians may contribute to under-reporting instances of economic abuse. Compared to physical violence, Australians are less likely to recognise economic abuse. The 2013 National Community Attitudes towards Violence against Women Survey identified that 26 per cent of Australians do not view the control of economic resources as a serious form of abuse.</w:t>
      </w:r>
      <w:r w:rsidRPr="009E2B03">
        <w:rPr>
          <w:rFonts w:ascii="Calibri Light" w:hAnsi="Calibri Light" w:cs="Arial"/>
          <w:sz w:val="22"/>
          <w:vertAlign w:val="superscript"/>
        </w:rPr>
        <w:footnoteReference w:id="94"/>
      </w:r>
      <w:r w:rsidRPr="009E2B03">
        <w:rPr>
          <w:rFonts w:ascii="Calibri Light" w:hAnsi="Calibri Light" w:cs="Arial"/>
          <w:sz w:val="22"/>
          <w:vertAlign w:val="superscript"/>
        </w:rPr>
        <w:t xml:space="preserve"> </w:t>
      </w:r>
    </w:p>
    <w:p w14:paraId="02234988" w14:textId="77777777" w:rsidR="00403232" w:rsidRPr="009E2B03" w:rsidRDefault="00403232" w:rsidP="00C95D8A">
      <w:pPr>
        <w:pStyle w:val="BodyText"/>
        <w:pBdr>
          <w:top w:val="single" w:sz="4" w:space="1" w:color="auto"/>
          <w:left w:val="single" w:sz="4" w:space="4" w:color="auto"/>
          <w:bottom w:val="single" w:sz="4" w:space="1" w:color="auto"/>
          <w:right w:val="single" w:sz="4" w:space="1" w:color="auto"/>
        </w:pBdr>
        <w:shd w:val="clear" w:color="auto" w:fill="F3F0F4"/>
        <w:rPr>
          <w:rFonts w:ascii="Calibri Light" w:hAnsi="Calibri Light"/>
          <w:sz w:val="22"/>
        </w:rPr>
      </w:pPr>
      <w:r w:rsidRPr="009E2B03">
        <w:rPr>
          <w:rFonts w:ascii="Calibri Light" w:hAnsi="Calibri Light"/>
          <w:sz w:val="22"/>
        </w:rPr>
        <w:t xml:space="preserve">This situation can be </w:t>
      </w:r>
      <w:r w:rsidR="00520CCE" w:rsidRPr="009E2B03">
        <w:rPr>
          <w:rFonts w:ascii="Calibri Light" w:hAnsi="Calibri Light"/>
          <w:sz w:val="22"/>
        </w:rPr>
        <w:t>exacerbated</w:t>
      </w:r>
      <w:r w:rsidRPr="009E2B03">
        <w:rPr>
          <w:rFonts w:ascii="Calibri Light" w:hAnsi="Calibri Light"/>
          <w:sz w:val="22"/>
        </w:rPr>
        <w:t xml:space="preserve"> by the limited availability of crisis support payments provided by government or lack of knowledge of services in the region. Beyond the direct impact of the relationship and service availability, the impacts of economic abuse can also continue after partners have separated, as there is currently limited legislation to support the splitting of household and utilities debts. Research by the Women’s Legal Service Victoria has identified that perpetrators of abuse may often generate debts they do not intend to pay off, leaving victims to bear the financial burden.  </w:t>
      </w:r>
    </w:p>
    <w:p w14:paraId="1EC8929E" w14:textId="77777777" w:rsidR="00403232" w:rsidRPr="009E2B03" w:rsidRDefault="00403232" w:rsidP="00403232">
      <w:pPr>
        <w:pStyle w:val="Heading2"/>
        <w:numPr>
          <w:ilvl w:val="1"/>
          <w:numId w:val="19"/>
        </w:numPr>
        <w:rPr>
          <w:rFonts w:ascii="Calibri Light" w:hAnsi="Calibri Light"/>
          <w:color w:val="6D2077"/>
          <w:sz w:val="36"/>
        </w:rPr>
      </w:pPr>
      <w:bookmarkStart w:id="93" w:name="_Toc449553523"/>
      <w:r w:rsidRPr="009E2B03">
        <w:rPr>
          <w:rFonts w:ascii="Calibri Light" w:hAnsi="Calibri Light"/>
          <w:color w:val="6D2077"/>
          <w:sz w:val="36"/>
        </w:rPr>
        <w:t>Risk of experiencing violence among vulnerable groups</w:t>
      </w:r>
      <w:bookmarkEnd w:id="93"/>
    </w:p>
    <w:p w14:paraId="0FAD7153" w14:textId="77777777" w:rsidR="00403232" w:rsidRPr="009E2B03" w:rsidRDefault="00403232" w:rsidP="00403232">
      <w:pPr>
        <w:pStyle w:val="BodyText"/>
        <w:rPr>
          <w:rFonts w:ascii="Calibri Light" w:hAnsi="Calibri Light"/>
          <w:sz w:val="22"/>
        </w:rPr>
      </w:pPr>
      <w:r w:rsidRPr="009E2B03">
        <w:rPr>
          <w:rFonts w:ascii="Calibri Light" w:hAnsi="Calibri Light"/>
          <w:sz w:val="22"/>
        </w:rPr>
        <w:t xml:space="preserve">Differences in key socioeconomic indicators, demographic characteristics, and geography may have an impact on the risk and vulnerability of women experiencing violence over the course of their life. However, data from the ABS PSS, the Australian Longitudinal Study on Women’s Health, and the various reported crime datasets at the jurisdictional level have shown that some cohorts of women face a consistently higher risk of experiencing violence. Importantly, these are cohorts that have been identified more broadly – across all areas of the human and social services sector – as cohorts of greater vulnerability. </w:t>
      </w:r>
    </w:p>
    <w:p w14:paraId="0BE130EE" w14:textId="0149E030" w:rsidR="00403232" w:rsidRPr="009E2B03" w:rsidRDefault="00403232" w:rsidP="00403232">
      <w:pPr>
        <w:pStyle w:val="BodyText"/>
        <w:rPr>
          <w:rFonts w:ascii="Calibri Light" w:hAnsi="Calibri Light"/>
          <w:sz w:val="22"/>
        </w:rPr>
      </w:pPr>
      <w:r w:rsidRPr="009E2B03">
        <w:rPr>
          <w:rFonts w:ascii="Calibri Light" w:hAnsi="Calibri Light"/>
          <w:sz w:val="22"/>
        </w:rPr>
        <w:t>We undertook a closer examination of a number of these cohorts to support a more detailed understanding of the factors that contribute to higher vulnerability of experiencing violence. Where possible, data on prevalence and incidence rates has been included to illustrate the higher risk of violence compared to the broader population. There is also evidence to suggest that to address the higher risk of certain cohorts experiencing violence, there needs to be a strong understanding of the barriers and drivers that may prevent women from speaking out</w:t>
      </w:r>
      <w:r w:rsidR="0061492B" w:rsidRPr="009E2B03">
        <w:rPr>
          <w:rFonts w:ascii="Calibri Light" w:hAnsi="Calibri Light"/>
          <w:sz w:val="22"/>
        </w:rPr>
        <w:t xml:space="preserve"> and which contribute to the underreporting of violence</w:t>
      </w:r>
      <w:r w:rsidRPr="009E2B03">
        <w:rPr>
          <w:rFonts w:ascii="Calibri Light" w:hAnsi="Calibri Light"/>
          <w:sz w:val="22"/>
        </w:rPr>
        <w:t xml:space="preserve">. Greater effort directed toward developing more optimal policy responses that address the issues faced by vulnerable women will be important. </w:t>
      </w:r>
    </w:p>
    <w:p w14:paraId="591EE1A4" w14:textId="77777777" w:rsidR="00403232" w:rsidRPr="009E2B03" w:rsidRDefault="00403232" w:rsidP="00403232">
      <w:pPr>
        <w:pStyle w:val="BodyText"/>
        <w:rPr>
          <w:rFonts w:ascii="Calibri Light" w:hAnsi="Calibri Light"/>
          <w:sz w:val="22"/>
        </w:rPr>
      </w:pPr>
      <w:r w:rsidRPr="009E2B03">
        <w:rPr>
          <w:rFonts w:ascii="Calibri Light" w:hAnsi="Calibri Light"/>
          <w:sz w:val="22"/>
        </w:rPr>
        <w:t>For this Report, the vulnerable groups identified are:</w:t>
      </w:r>
    </w:p>
    <w:p w14:paraId="10C33FDA"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Aboriginal and Torres Strait Islander women</w:t>
      </w:r>
    </w:p>
    <w:p w14:paraId="2D75378F"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women of a culturally and linguistically diverse (CALD) background</w:t>
      </w:r>
    </w:p>
    <w:p w14:paraId="04E1269E"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pregnant women</w:t>
      </w:r>
    </w:p>
    <w:p w14:paraId="4C9341AE"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sz w:val="22"/>
        </w:rPr>
        <w:t xml:space="preserve">women identifying as </w:t>
      </w:r>
      <w:r w:rsidR="00EB6AAF" w:rsidRPr="009E2B03">
        <w:rPr>
          <w:rFonts w:ascii="Calibri Light" w:hAnsi="Calibri Light" w:cs="Arial"/>
          <w:sz w:val="22"/>
        </w:rPr>
        <w:t>LGBTIQ</w:t>
      </w:r>
    </w:p>
    <w:p w14:paraId="484B9896" w14:textId="77B2B3A2" w:rsidR="00036345" w:rsidRDefault="00403232" w:rsidP="00403232">
      <w:pPr>
        <w:pStyle w:val="BodyBullet"/>
        <w:rPr>
          <w:rFonts w:ascii="Calibri Light" w:hAnsi="Calibri Light" w:cs="Arial"/>
          <w:sz w:val="22"/>
        </w:rPr>
      </w:pPr>
      <w:r w:rsidRPr="009E2B03">
        <w:rPr>
          <w:rFonts w:ascii="Calibri Light" w:hAnsi="Calibri Light" w:cs="Arial"/>
          <w:sz w:val="22"/>
        </w:rPr>
        <w:t xml:space="preserve">women with disability. </w:t>
      </w:r>
      <w:r w:rsidR="00036345">
        <w:rPr>
          <w:rFonts w:ascii="Calibri Light" w:hAnsi="Calibri Light" w:cs="Arial"/>
          <w:sz w:val="22"/>
        </w:rPr>
        <w:br w:type="page"/>
      </w:r>
    </w:p>
    <w:p w14:paraId="1DA2381A" w14:textId="77777777" w:rsidR="00403232" w:rsidRPr="009E2B03" w:rsidRDefault="00403232" w:rsidP="00036345">
      <w:pPr>
        <w:pStyle w:val="BodyBullet"/>
        <w:numPr>
          <w:ilvl w:val="0"/>
          <w:numId w:val="0"/>
        </w:numPr>
        <w:ind w:left="360"/>
        <w:rPr>
          <w:rFonts w:ascii="Calibri Light" w:hAnsi="Calibri Light" w:cs="Arial"/>
          <w:sz w:val="22"/>
        </w:rPr>
      </w:pPr>
    </w:p>
    <w:tbl>
      <w:tblPr>
        <w:tblStyle w:val="TableGrid"/>
        <w:tblW w:w="0" w:type="auto"/>
        <w:shd w:val="clear" w:color="auto" w:fill="D9D9D9" w:themeFill="background1" w:themeFillShade="D9"/>
        <w:tblLook w:val="04A0" w:firstRow="1" w:lastRow="0" w:firstColumn="1" w:lastColumn="0" w:noHBand="0" w:noVBand="1"/>
        <w:tblCaption w:val="Box of information on this section's key findings"/>
      </w:tblPr>
      <w:tblGrid>
        <w:gridCol w:w="9016"/>
      </w:tblGrid>
      <w:tr w:rsidR="00403232" w:rsidRPr="009E2B03" w14:paraId="151D8E8F" w14:textId="77777777" w:rsidTr="00865FDB">
        <w:trPr>
          <w:tblHeader/>
        </w:trPr>
        <w:tc>
          <w:tcPr>
            <w:tcW w:w="9016" w:type="dxa"/>
            <w:shd w:val="clear" w:color="auto" w:fill="F3F0F4"/>
          </w:tcPr>
          <w:p w14:paraId="17298D4F" w14:textId="77777777" w:rsidR="00403232" w:rsidRPr="009E2B03" w:rsidRDefault="00403232" w:rsidP="00403232">
            <w:pPr>
              <w:pStyle w:val="BodyBullet"/>
              <w:numPr>
                <w:ilvl w:val="0"/>
                <w:numId w:val="0"/>
              </w:numPr>
              <w:rPr>
                <w:rFonts w:ascii="Calibri Light" w:hAnsi="Calibri Light" w:cs="Arial"/>
                <w:b/>
                <w:i/>
                <w:color w:val="6D2077"/>
                <w:sz w:val="22"/>
              </w:rPr>
            </w:pPr>
            <w:r w:rsidRPr="009E2B03">
              <w:rPr>
                <w:rFonts w:ascii="Calibri Light" w:hAnsi="Calibri Light" w:cs="Arial"/>
                <w:b/>
                <w:i/>
                <w:color w:val="6D2077"/>
                <w:sz w:val="22"/>
              </w:rPr>
              <w:t>Key findings</w:t>
            </w:r>
          </w:p>
          <w:p w14:paraId="301EC8DF"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b/>
                <w:color w:val="6D2077"/>
                <w:sz w:val="22"/>
              </w:rPr>
              <w:t>Aboriginal and Torres Strait Islander women are at a significantly higher risk of experiencing violence over the course of their life.</w:t>
            </w:r>
            <w:r w:rsidRPr="009E2B03">
              <w:rPr>
                <w:rFonts w:ascii="Calibri Light" w:hAnsi="Calibri Light" w:cs="Arial"/>
                <w:color w:val="6D2077"/>
                <w:sz w:val="22"/>
              </w:rPr>
              <w:t xml:space="preserve"> </w:t>
            </w:r>
            <w:r w:rsidRPr="009E2B03">
              <w:rPr>
                <w:rFonts w:ascii="Calibri Light" w:hAnsi="Calibri Light" w:cs="Arial"/>
                <w:sz w:val="22"/>
              </w:rPr>
              <w:t xml:space="preserve">The 2008 ABS National Aboriginal and Torres Strait Islander Social Survey estimates that 23 per cent of Aboriginal and Torres Strait Islander women having experienced violence in a 12 month period, compared to 4.6 per cent for non-Aboriginal and Torres Strait Islander women.  </w:t>
            </w:r>
          </w:p>
          <w:p w14:paraId="280CDD31"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b/>
                <w:color w:val="6D2077"/>
                <w:sz w:val="22"/>
              </w:rPr>
              <w:t>Women from CALD backgrounds are more likely to experience violence</w:t>
            </w:r>
            <w:r w:rsidRPr="009E2B03">
              <w:rPr>
                <w:rFonts w:ascii="Calibri Light" w:hAnsi="Calibri Light" w:cs="Arial"/>
                <w:color w:val="6D2077"/>
                <w:sz w:val="22"/>
              </w:rPr>
              <w:t xml:space="preserve">. </w:t>
            </w:r>
            <w:r w:rsidRPr="009E2B03">
              <w:rPr>
                <w:rFonts w:ascii="Calibri Light" w:hAnsi="Calibri Light" w:cs="Arial"/>
                <w:sz w:val="22"/>
              </w:rPr>
              <w:t xml:space="preserve">Risk factors include: limited command of the English language, limited social and familial networks, little financial security, and a lack of understanding of how to access the appropriate social services. These factors may contribute to the experience of violence, or limit the ability of women to seek support and report incidents of violence.  </w:t>
            </w:r>
          </w:p>
          <w:p w14:paraId="108E73E6"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b/>
                <w:color w:val="6D2077"/>
                <w:sz w:val="22"/>
              </w:rPr>
              <w:t>Pregnant women face a higher risk of experiencing violence</w:t>
            </w:r>
            <w:r w:rsidRPr="009E2B03">
              <w:rPr>
                <w:rFonts w:ascii="Calibri Light" w:hAnsi="Calibri Light" w:cs="Arial"/>
                <w:color w:val="6D2077"/>
                <w:sz w:val="22"/>
              </w:rPr>
              <w:t xml:space="preserve">. </w:t>
            </w:r>
            <w:r w:rsidRPr="009E2B03">
              <w:rPr>
                <w:rFonts w:ascii="Calibri Light" w:hAnsi="Calibri Light" w:cs="Arial"/>
                <w:sz w:val="22"/>
              </w:rPr>
              <w:t xml:space="preserve">The 2012 PSS found that 21.7 per cent of women reported experiencing violence during pregnancy and that for 13.3 per cent of women, the violence occurred for the first time during pregnancy. The experience of violence during pregnancy has critical implications on both the mother and child within the perinatal period and beyond. The impacts include problems in pregnancy and childbirth, delayed cognitive and behavioural development of children, and longer term impacts on the physical and psychological health of the mother and child.  </w:t>
            </w:r>
          </w:p>
          <w:p w14:paraId="440102E4" w14:textId="77777777" w:rsidR="00403232" w:rsidRPr="009E2B03" w:rsidRDefault="00403232" w:rsidP="00403232">
            <w:pPr>
              <w:pStyle w:val="BodyBullet"/>
              <w:rPr>
                <w:rFonts w:ascii="Calibri Light" w:hAnsi="Calibri Light" w:cs="Arial"/>
                <w:b/>
                <w:sz w:val="22"/>
              </w:rPr>
            </w:pPr>
            <w:r w:rsidRPr="009E2B03">
              <w:rPr>
                <w:rFonts w:ascii="Calibri Light" w:hAnsi="Calibri Light" w:cs="Arial"/>
                <w:b/>
                <w:color w:val="6D2077"/>
                <w:sz w:val="22"/>
              </w:rPr>
              <w:t xml:space="preserve">Women identifying as </w:t>
            </w:r>
            <w:r w:rsidR="00353147" w:rsidRPr="009E2B03">
              <w:rPr>
                <w:rFonts w:ascii="Calibri Light" w:hAnsi="Calibri Light" w:cs="Arial"/>
                <w:b/>
                <w:color w:val="6D2077"/>
                <w:sz w:val="22"/>
              </w:rPr>
              <w:t>LGBTIQ</w:t>
            </w:r>
            <w:r w:rsidRPr="009E2B03">
              <w:rPr>
                <w:rFonts w:ascii="Calibri Light" w:hAnsi="Calibri Light" w:cs="Arial"/>
                <w:b/>
                <w:color w:val="6D2077"/>
                <w:sz w:val="22"/>
              </w:rPr>
              <w:t xml:space="preserve"> </w:t>
            </w:r>
            <w:r w:rsidRPr="009E2B03">
              <w:rPr>
                <w:rFonts w:ascii="Calibri Light" w:hAnsi="Calibri Light" w:cs="Arial"/>
                <w:sz w:val="22"/>
              </w:rPr>
              <w:t xml:space="preserve">face greater likelihood of experiencing violence. In particular, prevalence rates show that the experience of violence is greater among transgender women.  </w:t>
            </w:r>
          </w:p>
          <w:p w14:paraId="75D8B17A" w14:textId="77777777" w:rsidR="00403232" w:rsidRPr="009E2B03" w:rsidRDefault="00403232" w:rsidP="00403232">
            <w:pPr>
              <w:pStyle w:val="BodyBullet"/>
              <w:rPr>
                <w:rFonts w:ascii="Calibri Light" w:hAnsi="Calibri Light" w:cs="Arial"/>
                <w:sz w:val="22"/>
              </w:rPr>
            </w:pPr>
            <w:r w:rsidRPr="009E2B03">
              <w:rPr>
                <w:rFonts w:ascii="Calibri Light" w:hAnsi="Calibri Light" w:cs="Arial"/>
                <w:b/>
                <w:color w:val="6D2077"/>
                <w:sz w:val="22"/>
              </w:rPr>
              <w:t>Women with disability face a higher risk of experiencing violence, and are also likely to experience violence at a more severe level and over a longer period</w:t>
            </w:r>
            <w:r w:rsidRPr="009E2B03">
              <w:rPr>
                <w:rFonts w:ascii="Calibri Light" w:hAnsi="Calibri Light" w:cs="Arial"/>
                <w:color w:val="6D2077"/>
                <w:sz w:val="22"/>
              </w:rPr>
              <w:t xml:space="preserve">. </w:t>
            </w:r>
            <w:r w:rsidRPr="009E2B03">
              <w:rPr>
                <w:rFonts w:ascii="Calibri Light" w:hAnsi="Calibri Light" w:cs="Arial"/>
                <w:sz w:val="22"/>
              </w:rPr>
              <w:t>Key factors include diminished or limited cognitive, intellectual, or mental capacity, as well as limited independence contributing to greater lifelong vulnerability.</w:t>
            </w:r>
            <w:r w:rsidRPr="009E2B03">
              <w:rPr>
                <w:rFonts w:ascii="Calibri Light" w:hAnsi="Calibri Light" w:cs="Arial"/>
                <w:b/>
                <w:sz w:val="22"/>
              </w:rPr>
              <w:t xml:space="preserve">   </w:t>
            </w:r>
          </w:p>
        </w:tc>
      </w:tr>
    </w:tbl>
    <w:p w14:paraId="29F2B388"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Aboriginal and Torres Strait Islander women</w:t>
      </w:r>
    </w:p>
    <w:p w14:paraId="5EDE28FE" w14:textId="77777777" w:rsidR="00C75DC7" w:rsidRPr="009E2B03" w:rsidRDefault="00C75DC7" w:rsidP="00C75DC7">
      <w:pPr>
        <w:pStyle w:val="BodyBullet"/>
        <w:numPr>
          <w:ilvl w:val="0"/>
          <w:numId w:val="0"/>
        </w:numPr>
        <w:rPr>
          <w:rFonts w:ascii="Calibri Light" w:hAnsi="Calibri Light" w:cs="Arial"/>
          <w:color w:val="6D2077"/>
          <w:sz w:val="22"/>
        </w:rPr>
      </w:pPr>
      <w:r w:rsidRPr="009E2B03">
        <w:rPr>
          <w:rFonts w:ascii="Calibri Light" w:hAnsi="Calibri Light" w:cs="Arial"/>
          <w:b/>
          <w:color w:val="6D2077"/>
          <w:sz w:val="22"/>
        </w:rPr>
        <w:t xml:space="preserve">Aboriginal and Torres Strait Islander women are at a significantly higher risk of experiencing violence over the course of their life. Underrepresentation in the prevalence of physical and sexual violence against Aboriginal and Torres Strait Islander women within the PSS may result in an additional $1.2 billion in costs. </w:t>
      </w:r>
    </w:p>
    <w:p w14:paraId="0BD78825"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 xml:space="preserve">Aboriginal and Torres Strait Islander women are at a significantly higher risk of experiencing violence over the course of their life. The 2008 ABS National Aboriginal and Torres Strait Islander Social Survey, found that Aboriginal and Torres Strait Islander women are at least four times more likely to experience violence than the rest of the population, with approximately 23 per cent of Aboriginal and Torres Strait Islander women experiencing physical violence in a </w:t>
      </w:r>
      <w:r w:rsidR="00237A77" w:rsidRPr="009E2B03">
        <w:rPr>
          <w:rFonts w:ascii="Calibri Light" w:hAnsi="Calibri Light"/>
          <w:sz w:val="22"/>
        </w:rPr>
        <w:t xml:space="preserve">12 month period, as opposed to </w:t>
      </w:r>
      <w:r w:rsidR="00884F3D" w:rsidRPr="009E2B03">
        <w:rPr>
          <w:rFonts w:ascii="Calibri Light" w:hAnsi="Calibri Light"/>
          <w:sz w:val="22"/>
        </w:rPr>
        <w:t>4</w:t>
      </w:r>
      <w:r w:rsidR="00237A77" w:rsidRPr="009E2B03">
        <w:rPr>
          <w:rFonts w:ascii="Calibri Light" w:hAnsi="Calibri Light"/>
          <w:sz w:val="22"/>
        </w:rPr>
        <w:t>.</w:t>
      </w:r>
      <w:r w:rsidR="00884F3D" w:rsidRPr="009E2B03">
        <w:rPr>
          <w:rFonts w:ascii="Calibri Light" w:hAnsi="Calibri Light"/>
          <w:sz w:val="22"/>
        </w:rPr>
        <w:t>6</w:t>
      </w:r>
      <w:r w:rsidRPr="009E2B03">
        <w:rPr>
          <w:rFonts w:ascii="Calibri Light" w:hAnsi="Calibri Light"/>
          <w:sz w:val="22"/>
        </w:rPr>
        <w:t xml:space="preserve"> per cent for non-Aboriginal and Torres Strait Islander women.</w:t>
      </w:r>
      <w:r w:rsidRPr="009E2B03">
        <w:rPr>
          <w:rStyle w:val="FootnoteReference"/>
          <w:rFonts w:ascii="Calibri Light" w:hAnsi="Calibri Light"/>
          <w:sz w:val="22"/>
        </w:rPr>
        <w:footnoteReference w:id="95"/>
      </w:r>
      <w:r w:rsidRPr="009E2B03">
        <w:rPr>
          <w:rFonts w:ascii="Calibri Light" w:hAnsi="Calibri Light"/>
          <w:sz w:val="22"/>
        </w:rPr>
        <w:t xml:space="preserve"> Data on the experience of Aboriginal and Torres Strait Islander adults more broadly shows similar results. </w:t>
      </w:r>
      <w:r w:rsidR="00BC4C9C" w:rsidRPr="009E2B03">
        <w:rPr>
          <w:rFonts w:ascii="Calibri Light" w:hAnsi="Calibri Light"/>
          <w:sz w:val="22"/>
        </w:rPr>
        <w:t>Research conducted by the Australian Institute of Criminology for the Australian Component of the International Violence Against Women Survey identified that three times as many Indigenous women reported experiencing an incident of sexual violence (12 per cent), compared to non-Indigenous women (4 per cent).</w:t>
      </w:r>
    </w:p>
    <w:p w14:paraId="668EAE2F"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The disparity in the prevalence and incidence figures between Aboriginal and Torres Strait Islander</w:t>
      </w:r>
      <w:r w:rsidRPr="009E2B03" w:rsidDel="0054351F">
        <w:rPr>
          <w:rFonts w:ascii="Calibri Light" w:hAnsi="Calibri Light"/>
          <w:sz w:val="22"/>
        </w:rPr>
        <w:t xml:space="preserve"> </w:t>
      </w:r>
      <w:r w:rsidRPr="009E2B03">
        <w:rPr>
          <w:rFonts w:ascii="Calibri Light" w:hAnsi="Calibri Light"/>
          <w:sz w:val="22"/>
        </w:rPr>
        <w:t xml:space="preserve">women and non- Aboriginal and Torres Strait Islander women highlight the extent of the challenge. High rates of violence mean that not only are Aboriginal and Torres Strait Islander women at </w:t>
      </w:r>
      <w:r w:rsidRPr="009E2B03">
        <w:rPr>
          <w:rFonts w:ascii="Calibri Light" w:hAnsi="Calibri Light"/>
          <w:sz w:val="22"/>
        </w:rPr>
        <w:lastRenderedPageBreak/>
        <w:t xml:space="preserve">significantly higher risk of experiencing violence, but that there is a critical need for more targeted investments and policy solutions to support better outcomes over the longer term.  </w:t>
      </w:r>
    </w:p>
    <w:p w14:paraId="0ABD2A80"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The impact of violence experienced by Aboriginal and Torres Strait Islander women and the impact on service provision across the country, is illustrated below:</w:t>
      </w:r>
    </w:p>
    <w:p w14:paraId="161439C8" w14:textId="77777777" w:rsidR="00403232" w:rsidRPr="009E2B03" w:rsidRDefault="00403232"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KPMG’s 2009 report estimated the impact of violence on Aboriginal and Torres Strait Islander</w:t>
      </w:r>
      <w:r w:rsidRPr="009E2B03" w:rsidDel="0054351F">
        <w:rPr>
          <w:rFonts w:ascii="Calibri Light" w:hAnsi="Calibri Light" w:cs="Arial"/>
          <w:sz w:val="22"/>
        </w:rPr>
        <w:t xml:space="preserve"> </w:t>
      </w:r>
      <w:r w:rsidRPr="009E2B03">
        <w:rPr>
          <w:rFonts w:ascii="Calibri Light" w:hAnsi="Calibri Light" w:cs="Arial"/>
          <w:sz w:val="22"/>
        </w:rPr>
        <w:t>women will cost the Australian economy almost $2.2 billion by 2021-22, based on research suggesting that up to 40 per cent of Aboriginal and Torres Strait Islander</w:t>
      </w:r>
      <w:r w:rsidRPr="009E2B03" w:rsidDel="0054351F">
        <w:rPr>
          <w:rFonts w:ascii="Calibri Light" w:hAnsi="Calibri Light" w:cs="Arial"/>
          <w:sz w:val="22"/>
        </w:rPr>
        <w:t xml:space="preserve"> </w:t>
      </w:r>
      <w:r w:rsidRPr="009E2B03">
        <w:rPr>
          <w:rFonts w:ascii="Calibri Light" w:hAnsi="Calibri Light" w:cs="Arial"/>
          <w:sz w:val="22"/>
        </w:rPr>
        <w:t>women experience violence in a 12 month period.</w:t>
      </w:r>
    </w:p>
    <w:p w14:paraId="20F979DC" w14:textId="77777777" w:rsidR="00403232" w:rsidRPr="009E2B03" w:rsidRDefault="00403232"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Aboriginal and Torres Strait Islander</w:t>
      </w:r>
      <w:r w:rsidRPr="009E2B03" w:rsidDel="0054351F">
        <w:rPr>
          <w:rFonts w:ascii="Calibri Light" w:hAnsi="Calibri Light" w:cs="Arial"/>
          <w:sz w:val="22"/>
        </w:rPr>
        <w:t xml:space="preserve"> </w:t>
      </w:r>
      <w:r w:rsidRPr="009E2B03">
        <w:rPr>
          <w:rFonts w:ascii="Calibri Light" w:hAnsi="Calibri Light" w:cs="Arial"/>
          <w:sz w:val="22"/>
        </w:rPr>
        <w:t>women are significantly overrepresented in the total number of clients accessing homelessness and refuge services across Australia</w:t>
      </w:r>
      <w:r w:rsidR="0061492B" w:rsidRPr="009E2B03">
        <w:rPr>
          <w:rFonts w:ascii="Calibri Light" w:hAnsi="Calibri Light" w:cs="Arial"/>
          <w:sz w:val="22"/>
        </w:rPr>
        <w:t>.</w:t>
      </w:r>
      <w:r w:rsidRPr="009E2B03">
        <w:rPr>
          <w:rFonts w:ascii="Calibri Light" w:hAnsi="Calibri Light" w:cs="Arial"/>
          <w:sz w:val="22"/>
        </w:rPr>
        <w:t xml:space="preserve"> Aboriginal and Torres Strait Islander</w:t>
      </w:r>
      <w:r w:rsidRPr="009E2B03" w:rsidDel="0054351F">
        <w:rPr>
          <w:rFonts w:ascii="Calibri Light" w:hAnsi="Calibri Light" w:cs="Arial"/>
          <w:sz w:val="22"/>
        </w:rPr>
        <w:t xml:space="preserve"> </w:t>
      </w:r>
      <w:r w:rsidRPr="009E2B03">
        <w:rPr>
          <w:rFonts w:ascii="Calibri Light" w:hAnsi="Calibri Light" w:cs="Arial"/>
          <w:sz w:val="22"/>
        </w:rPr>
        <w:t>clients in 2014-15 us</w:t>
      </w:r>
      <w:r w:rsidR="0061492B" w:rsidRPr="009E2B03">
        <w:rPr>
          <w:rFonts w:ascii="Calibri Light" w:hAnsi="Calibri Light" w:cs="Arial"/>
          <w:sz w:val="22"/>
        </w:rPr>
        <w:t>ed</w:t>
      </w:r>
      <w:r w:rsidRPr="009E2B03">
        <w:rPr>
          <w:rFonts w:ascii="Calibri Light" w:hAnsi="Calibri Light" w:cs="Arial"/>
          <w:sz w:val="22"/>
        </w:rPr>
        <w:t xml:space="preserve"> specialist homelessness services at the rate of 8.7 times higher than non- Aboriginal and Torres Strait Islander</w:t>
      </w:r>
      <w:r w:rsidRPr="009E2B03" w:rsidDel="0054351F">
        <w:rPr>
          <w:rFonts w:ascii="Calibri Light" w:hAnsi="Calibri Light" w:cs="Arial"/>
          <w:sz w:val="22"/>
        </w:rPr>
        <w:t xml:space="preserve"> </w:t>
      </w:r>
      <w:r w:rsidRPr="009E2B03">
        <w:rPr>
          <w:rFonts w:ascii="Calibri Light" w:hAnsi="Calibri Light" w:cs="Arial"/>
          <w:sz w:val="22"/>
        </w:rPr>
        <w:t xml:space="preserve">clients, increasing from 7.8 times in 2011-12. Of these clients, 24 per cent accessing specialist homelessness services had cited incidence(s) of domestic violence as a reason for homelessness. </w:t>
      </w:r>
    </w:p>
    <w:p w14:paraId="1DC4BC59" w14:textId="77777777" w:rsidR="00403232" w:rsidRPr="009E2B03" w:rsidRDefault="00403232"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In remote Aboriginal and Torres Strait Islander</w:t>
      </w:r>
      <w:r w:rsidRPr="009E2B03" w:rsidDel="0054351F">
        <w:rPr>
          <w:rFonts w:ascii="Calibri Light" w:hAnsi="Calibri Light" w:cs="Arial"/>
          <w:sz w:val="22"/>
        </w:rPr>
        <w:t xml:space="preserve"> </w:t>
      </w:r>
      <w:r w:rsidRPr="009E2B03">
        <w:rPr>
          <w:rFonts w:ascii="Calibri Light" w:hAnsi="Calibri Light" w:cs="Arial"/>
          <w:sz w:val="22"/>
        </w:rPr>
        <w:t>communities and outer regional areas, domestic violence was the main contributing factor towards the need for specialist homeless services.</w:t>
      </w:r>
    </w:p>
    <w:p w14:paraId="1F7A6A7E"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There is also significant underreporting of sexual and physical assault among Aboriginal and Torres Strait Islander</w:t>
      </w:r>
      <w:r w:rsidRPr="009E2B03" w:rsidDel="0054351F">
        <w:rPr>
          <w:rFonts w:ascii="Calibri Light" w:hAnsi="Calibri Light"/>
          <w:sz w:val="22"/>
        </w:rPr>
        <w:t xml:space="preserve"> </w:t>
      </w:r>
      <w:r w:rsidRPr="009E2B03">
        <w:rPr>
          <w:rFonts w:ascii="Calibri Light" w:hAnsi="Calibri Light"/>
          <w:sz w:val="22"/>
        </w:rPr>
        <w:t>women. Research suggests that approximately 88 per cent of violence experienced by Aboriginal and Torres Strait Islander</w:t>
      </w:r>
      <w:r w:rsidRPr="009E2B03" w:rsidDel="0054351F">
        <w:rPr>
          <w:rFonts w:ascii="Calibri Light" w:hAnsi="Calibri Light"/>
          <w:sz w:val="22"/>
        </w:rPr>
        <w:t xml:space="preserve"> </w:t>
      </w:r>
      <w:r w:rsidRPr="009E2B03">
        <w:rPr>
          <w:rFonts w:ascii="Calibri Light" w:hAnsi="Calibri Light"/>
          <w:sz w:val="22"/>
        </w:rPr>
        <w:t>women is not disclosed to police, with a further study suggesting non-reporting may be as high as 90 per cent.</w:t>
      </w:r>
      <w:r w:rsidRPr="009E2B03">
        <w:rPr>
          <w:rStyle w:val="FootnoteReference"/>
          <w:rFonts w:ascii="Calibri Light" w:hAnsi="Calibri Light"/>
          <w:sz w:val="22"/>
        </w:rPr>
        <w:footnoteReference w:id="96"/>
      </w:r>
      <w:r w:rsidRPr="009E2B03">
        <w:rPr>
          <w:rFonts w:ascii="Calibri Light" w:hAnsi="Calibri Light"/>
          <w:sz w:val="22"/>
        </w:rPr>
        <w:t xml:space="preserve"> By comparison, the average rate for the broader Australian population is approximately 70 per cent, however this varies based on the form of violence being committed and the relationship between the perpet</w:t>
      </w:r>
      <w:r w:rsidR="0061492B" w:rsidRPr="009E2B03">
        <w:rPr>
          <w:rFonts w:ascii="Calibri Light" w:hAnsi="Calibri Light"/>
          <w:sz w:val="22"/>
        </w:rPr>
        <w:t>r</w:t>
      </w:r>
      <w:r w:rsidRPr="009E2B03">
        <w:rPr>
          <w:rFonts w:ascii="Calibri Light" w:hAnsi="Calibri Light"/>
          <w:sz w:val="22"/>
        </w:rPr>
        <w:t>ator and the victim. The high proportion of unreported violence in Aboriginal and Torres Strait Islander</w:t>
      </w:r>
      <w:r w:rsidRPr="009E2B03" w:rsidDel="0054351F">
        <w:rPr>
          <w:rFonts w:ascii="Calibri Light" w:hAnsi="Calibri Light"/>
          <w:sz w:val="22"/>
        </w:rPr>
        <w:t xml:space="preserve"> </w:t>
      </w:r>
      <w:r w:rsidRPr="009E2B03">
        <w:rPr>
          <w:rFonts w:ascii="Calibri Light" w:hAnsi="Calibri Light"/>
          <w:sz w:val="22"/>
        </w:rPr>
        <w:t xml:space="preserve">communities indicates that there may be limited formal repercussions for perpetrators of violence, or that there may be barriers that prevent victims from speaking out or seeking support. </w:t>
      </w:r>
    </w:p>
    <w:p w14:paraId="3654142E"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Women from culturally and linguistically diverse backgrounds</w:t>
      </w:r>
    </w:p>
    <w:p w14:paraId="5296E939" w14:textId="77777777"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rPr>
        <w:t xml:space="preserve">Women from CALD backgrounds in Australia include migrants, refugees, international students, or unaccompanied minors. While there is considerable diversity in culture, ethnicity and language across women in this cohort, there is heightened vulnerability among those that may have limited command of the English language, limited social networks, little financial security, and a lack of understanding of how to access the appropriate social services when in need. Given these factors, there is significant </w:t>
      </w:r>
      <w:r w:rsidR="002D179C" w:rsidRPr="009E2B03">
        <w:rPr>
          <w:rFonts w:ascii="Calibri Light" w:hAnsi="Calibri Light" w:cs="Arial"/>
          <w:sz w:val="22"/>
        </w:rPr>
        <w:t>evidence</w:t>
      </w:r>
      <w:r w:rsidRPr="009E2B03">
        <w:rPr>
          <w:rFonts w:ascii="Calibri Light" w:hAnsi="Calibri Light" w:cs="Arial"/>
          <w:sz w:val="22"/>
        </w:rPr>
        <w:t xml:space="preserve"> that women of a CALD background may face increased vulnerability to violence and its impacts.</w:t>
      </w:r>
      <w:r w:rsidRPr="009E2B03">
        <w:rPr>
          <w:rStyle w:val="FootnoteReference"/>
          <w:rFonts w:ascii="Calibri Light" w:hAnsi="Calibri Light" w:cs="Arial"/>
          <w:sz w:val="22"/>
        </w:rPr>
        <w:footnoteReference w:id="97"/>
      </w:r>
      <w:r w:rsidRPr="009E2B03">
        <w:rPr>
          <w:rFonts w:ascii="Calibri Light" w:hAnsi="Calibri Light" w:cs="Arial"/>
          <w:sz w:val="22"/>
        </w:rPr>
        <w:t xml:space="preserve"> </w:t>
      </w:r>
    </w:p>
    <w:p w14:paraId="027E189C" w14:textId="77777777" w:rsidR="00403232" w:rsidRPr="009E2B03" w:rsidRDefault="00403232" w:rsidP="00403232">
      <w:pPr>
        <w:pStyle w:val="BodyBullet"/>
        <w:numPr>
          <w:ilvl w:val="0"/>
          <w:numId w:val="0"/>
        </w:numPr>
        <w:rPr>
          <w:rFonts w:ascii="Calibri Light" w:hAnsi="Calibri Light" w:cs="Arial"/>
          <w:sz w:val="22"/>
        </w:rPr>
      </w:pPr>
      <w:r w:rsidRPr="009E2B03">
        <w:rPr>
          <w:rFonts w:ascii="Calibri Light" w:hAnsi="Calibri Light" w:cs="Arial"/>
          <w:sz w:val="22"/>
        </w:rPr>
        <w:t>There are, however, challenges to understanding the prevalence of violence among CALD women.</w:t>
      </w:r>
      <w:r w:rsidRPr="009E2B03">
        <w:rPr>
          <w:rStyle w:val="FootnoteReference"/>
          <w:rFonts w:ascii="Calibri Light" w:hAnsi="Calibri Light" w:cs="Arial"/>
          <w:sz w:val="22"/>
        </w:rPr>
        <w:footnoteReference w:id="98"/>
      </w:r>
      <w:r w:rsidRPr="009E2B03">
        <w:rPr>
          <w:rFonts w:ascii="Calibri Light" w:hAnsi="Calibri Light" w:cs="Arial"/>
          <w:sz w:val="22"/>
        </w:rPr>
        <w:t xml:space="preserve"> Data from the PSS is limited at the individual cohort level, due to the size of the sample population, and the potential underrepresentation of CALD women given that the language of the survey is primarily in English. The PSS does note that cultural and language barriers can contribute to underreporting and victims not reporting incidents of abuse and violence to the police. The 2012 PSS, found that 1.6 per cent of women who did not report the most recent incident of sexual assault to the police did so for cultural or language reasons.</w:t>
      </w:r>
      <w:r w:rsidRPr="009E2B03">
        <w:rPr>
          <w:rStyle w:val="FootnoteReference"/>
          <w:rFonts w:ascii="Calibri Light" w:hAnsi="Calibri Light" w:cs="Arial"/>
          <w:sz w:val="22"/>
        </w:rPr>
        <w:footnoteReference w:id="99"/>
      </w:r>
      <w:r w:rsidRPr="009E2B03">
        <w:rPr>
          <w:rFonts w:ascii="Calibri Light" w:hAnsi="Calibri Light" w:cs="Arial"/>
          <w:sz w:val="22"/>
        </w:rPr>
        <w:t xml:space="preserve"> </w:t>
      </w:r>
    </w:p>
    <w:p w14:paraId="3A82D78A" w14:textId="77777777" w:rsidR="00403232" w:rsidRPr="009E2B03" w:rsidRDefault="00403232" w:rsidP="00403232">
      <w:pPr>
        <w:pStyle w:val="BodyText"/>
        <w:rPr>
          <w:rFonts w:ascii="Calibri Light" w:hAnsi="Calibri Light"/>
          <w:sz w:val="22"/>
        </w:rPr>
      </w:pPr>
      <w:r w:rsidRPr="009E2B03">
        <w:rPr>
          <w:rFonts w:ascii="Calibri Light" w:hAnsi="Calibri Light"/>
          <w:sz w:val="22"/>
        </w:rPr>
        <w:lastRenderedPageBreak/>
        <w:t>Further, factors such as the limited availability of appropriate translator</w:t>
      </w:r>
      <w:r w:rsidR="002D179C" w:rsidRPr="009E2B03">
        <w:rPr>
          <w:rFonts w:ascii="Calibri Light" w:hAnsi="Calibri Light"/>
          <w:sz w:val="22"/>
        </w:rPr>
        <w:t xml:space="preserve"> and </w:t>
      </w:r>
      <w:r w:rsidRPr="009E2B03">
        <w:rPr>
          <w:rFonts w:ascii="Calibri Light" w:hAnsi="Calibri Light"/>
          <w:sz w:val="22"/>
        </w:rPr>
        <w:t>interpreter services and access to support services, social and familial networks, as well as cultural values and religious attitudes towards divorce may also reinforce underreporting rates among CALD women.</w:t>
      </w:r>
      <w:r w:rsidRPr="009E2B03">
        <w:rPr>
          <w:rStyle w:val="FootnoteReference"/>
          <w:rFonts w:ascii="Calibri Light" w:hAnsi="Calibri Light"/>
          <w:sz w:val="22"/>
        </w:rPr>
        <w:footnoteReference w:id="100"/>
      </w:r>
      <w:r w:rsidRPr="009E2B03">
        <w:rPr>
          <w:rFonts w:ascii="Calibri Light" w:hAnsi="Calibri Light"/>
          <w:sz w:val="22"/>
        </w:rPr>
        <w:t xml:space="preserve"> There may be a view among some CALD women that there is limited understanding of their particular situation and cultural history in mainstream services and in interactions with the police. </w:t>
      </w:r>
    </w:p>
    <w:p w14:paraId="48938BD2" w14:textId="77777777" w:rsidR="00403232" w:rsidRPr="009E2B03" w:rsidRDefault="00403232" w:rsidP="00403232">
      <w:pPr>
        <w:pStyle w:val="BodyText"/>
        <w:rPr>
          <w:rFonts w:ascii="Calibri Light" w:hAnsi="Calibri Light"/>
          <w:sz w:val="22"/>
        </w:rPr>
      </w:pPr>
      <w:r w:rsidRPr="009E2B03">
        <w:rPr>
          <w:rFonts w:ascii="Calibri Light" w:hAnsi="Calibri Light"/>
          <w:sz w:val="22"/>
        </w:rPr>
        <w:t xml:space="preserve">The mixed or limited ability access to appropriate services can also often be used as a tool of power and control by perpetrators. Further, </w:t>
      </w:r>
      <w:r w:rsidR="002D179C" w:rsidRPr="009E2B03">
        <w:rPr>
          <w:rFonts w:ascii="Calibri Light" w:hAnsi="Calibri Light"/>
          <w:sz w:val="22"/>
        </w:rPr>
        <w:t>the fact that</w:t>
      </w:r>
      <w:r w:rsidRPr="009E2B03">
        <w:rPr>
          <w:rFonts w:ascii="Calibri Light" w:hAnsi="Calibri Light"/>
          <w:sz w:val="22"/>
        </w:rPr>
        <w:t xml:space="preserve"> women may not be financially independent or may face socioeconomic disadvantage following separation from their partner, </w:t>
      </w:r>
      <w:r w:rsidR="002D179C" w:rsidRPr="009E2B03">
        <w:rPr>
          <w:rFonts w:ascii="Calibri Light" w:hAnsi="Calibri Light"/>
          <w:sz w:val="22"/>
        </w:rPr>
        <w:t xml:space="preserve">can compound </w:t>
      </w:r>
      <w:r w:rsidRPr="009E2B03">
        <w:rPr>
          <w:rFonts w:ascii="Calibri Light" w:hAnsi="Calibri Light"/>
          <w:sz w:val="22"/>
        </w:rPr>
        <w:t>the risk of violence and limit access to services</w:t>
      </w:r>
      <w:r w:rsidR="002D179C" w:rsidRPr="009E2B03">
        <w:rPr>
          <w:rFonts w:ascii="Calibri Light" w:hAnsi="Calibri Light"/>
          <w:sz w:val="22"/>
        </w:rPr>
        <w:t>.</w:t>
      </w:r>
      <w:r w:rsidRPr="009E2B03">
        <w:rPr>
          <w:rFonts w:ascii="Calibri Light" w:hAnsi="Calibri Light"/>
          <w:sz w:val="22"/>
        </w:rPr>
        <w:t xml:space="preserve"> </w:t>
      </w:r>
      <w:r w:rsidR="002D179C" w:rsidRPr="009E2B03">
        <w:rPr>
          <w:rFonts w:ascii="Calibri Light" w:hAnsi="Calibri Light"/>
          <w:sz w:val="22"/>
        </w:rPr>
        <w:t xml:space="preserve">In such circumstances, limited opportunities to escape </w:t>
      </w:r>
      <w:r w:rsidR="00D06BD8" w:rsidRPr="009E2B03">
        <w:rPr>
          <w:rFonts w:ascii="Calibri Light" w:hAnsi="Calibri Light"/>
          <w:sz w:val="22"/>
        </w:rPr>
        <w:t xml:space="preserve">can </w:t>
      </w:r>
      <w:r w:rsidR="002D179C" w:rsidRPr="009E2B03">
        <w:rPr>
          <w:rFonts w:ascii="Calibri Light" w:hAnsi="Calibri Light"/>
          <w:sz w:val="22"/>
        </w:rPr>
        <w:t xml:space="preserve">enable the continuation of the </w:t>
      </w:r>
      <w:r w:rsidRPr="009E2B03">
        <w:rPr>
          <w:rFonts w:ascii="Calibri Light" w:hAnsi="Calibri Light"/>
          <w:sz w:val="22"/>
        </w:rPr>
        <w:t xml:space="preserve">violence. This emphasises the importance of delivering culturally specific and sensitive services to areas across Australia with high CALD populations. </w:t>
      </w:r>
    </w:p>
    <w:p w14:paraId="5F67DB18"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Pregnant women</w:t>
      </w:r>
    </w:p>
    <w:p w14:paraId="2E4CFF76" w14:textId="77777777" w:rsidR="00C75DC7" w:rsidRPr="009E2B03" w:rsidRDefault="00C75DC7" w:rsidP="00C75DC7">
      <w:pPr>
        <w:pStyle w:val="BodyBullet"/>
        <w:numPr>
          <w:ilvl w:val="0"/>
          <w:numId w:val="0"/>
        </w:numPr>
        <w:rPr>
          <w:rFonts w:ascii="Calibri Light" w:hAnsi="Calibri Light" w:cs="Arial"/>
          <w:b/>
          <w:color w:val="6D2077"/>
          <w:sz w:val="22"/>
        </w:rPr>
      </w:pPr>
      <w:r w:rsidRPr="009E2B03">
        <w:rPr>
          <w:rFonts w:ascii="Calibri Light" w:hAnsi="Calibri Light" w:cs="Arial"/>
          <w:b/>
          <w:color w:val="6D2077"/>
          <w:sz w:val="22"/>
          <w:lang w:val="en-US"/>
        </w:rPr>
        <w:t xml:space="preserve">Research has found that the risk of violence against women is higher for women during pregnancy and in the period after childbirth. It is estimated the cost of violence against pregnant women is approximately </w:t>
      </w:r>
      <w:r w:rsidRPr="009E2B03">
        <w:rPr>
          <w:rFonts w:ascii="Calibri Light" w:hAnsi="Calibri Light" w:cs="Arial"/>
          <w:b/>
          <w:color w:val="6D2077"/>
          <w:sz w:val="22"/>
        </w:rPr>
        <w:t>$821</w:t>
      </w:r>
      <w:r w:rsidR="00A71AC2" w:rsidRPr="009E2B03">
        <w:rPr>
          <w:rFonts w:ascii="Calibri Light" w:hAnsi="Calibri Light" w:cs="Arial"/>
          <w:b/>
          <w:color w:val="6D2077"/>
          <w:sz w:val="22"/>
        </w:rPr>
        <w:t xml:space="preserve"> million</w:t>
      </w:r>
      <w:r w:rsidRPr="009E2B03">
        <w:rPr>
          <w:rFonts w:ascii="Calibri Light" w:hAnsi="Calibri Light" w:cs="Arial"/>
          <w:b/>
          <w:color w:val="6D2077"/>
          <w:sz w:val="22"/>
          <w:lang w:val="en-US"/>
        </w:rPr>
        <w:t>.</w:t>
      </w:r>
    </w:p>
    <w:p w14:paraId="5AF1203E"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Research has found that the risk of violence against women is higher for women during pregnancy and in the period after childbirth. The 2012 PSS found that 21.7 per cent of women reported experiencing violence during pregnancy, and that for 13.3 per cent of women, the violence occurred for the first time during pregnancy.</w:t>
      </w:r>
      <w:r w:rsidRPr="009E2B03">
        <w:rPr>
          <w:rFonts w:ascii="Calibri Light" w:hAnsi="Calibri Light"/>
          <w:sz w:val="22"/>
          <w:vertAlign w:val="superscript"/>
          <w:lang w:val="en-US"/>
        </w:rPr>
        <w:footnoteReference w:id="101"/>
      </w:r>
      <w:r w:rsidRPr="009E2B03">
        <w:rPr>
          <w:rFonts w:ascii="Calibri Light" w:hAnsi="Calibri Light"/>
          <w:sz w:val="22"/>
          <w:lang w:val="en-US"/>
        </w:rPr>
        <w:t xml:space="preserve"> While this figure is relatively high, it re</w:t>
      </w:r>
      <w:r w:rsidR="00F63F9A" w:rsidRPr="009E2B03">
        <w:rPr>
          <w:rFonts w:ascii="Calibri Light" w:hAnsi="Calibri Light"/>
          <w:sz w:val="22"/>
          <w:lang w:val="en-US"/>
        </w:rPr>
        <w:t>presents a decrease from the 200</w:t>
      </w:r>
      <w:r w:rsidRPr="009E2B03">
        <w:rPr>
          <w:rFonts w:ascii="Calibri Light" w:hAnsi="Calibri Light"/>
          <w:sz w:val="22"/>
          <w:lang w:val="en-US"/>
        </w:rPr>
        <w:t>5 rate of 16.8 per cent.</w:t>
      </w:r>
      <w:r w:rsidRPr="009E2B03">
        <w:rPr>
          <w:rStyle w:val="FootnoteReference"/>
          <w:rFonts w:ascii="Calibri Light" w:hAnsi="Calibri Light"/>
          <w:sz w:val="22"/>
          <w:lang w:val="en-US"/>
        </w:rPr>
        <w:footnoteReference w:id="102"/>
      </w:r>
      <w:r w:rsidRPr="009E2B03">
        <w:rPr>
          <w:rFonts w:ascii="Calibri Light" w:hAnsi="Calibri Light"/>
          <w:sz w:val="22"/>
          <w:lang w:val="en-US"/>
        </w:rPr>
        <w:t xml:space="preserve"> Similarly, a study based in a public obstetrics hospital in Melbourne found that one in five pregnant women interviewed had experienced violence during their pregnancy.</w:t>
      </w:r>
      <w:r w:rsidRPr="009E2B03">
        <w:rPr>
          <w:rStyle w:val="FootnoteReference"/>
          <w:rFonts w:ascii="Calibri Light" w:hAnsi="Calibri Light"/>
          <w:sz w:val="22"/>
          <w:lang w:val="en-US"/>
        </w:rPr>
        <w:footnoteReference w:id="103"/>
      </w:r>
      <w:r w:rsidRPr="009E2B03">
        <w:rPr>
          <w:rFonts w:ascii="Calibri Light" w:hAnsi="Calibri Light"/>
          <w:sz w:val="22"/>
          <w:lang w:val="en-US"/>
        </w:rPr>
        <w:t xml:space="preserve"> These results are significant, given that the presence of domestic violence during pregnancy and childbirth heightens the vulnerability of pregnant women. Many may experience</w:t>
      </w:r>
      <w:r w:rsidR="00A71AC2" w:rsidRPr="009E2B03">
        <w:rPr>
          <w:rFonts w:ascii="Calibri Light" w:hAnsi="Calibri Light"/>
          <w:sz w:val="22"/>
          <w:lang w:val="en-US"/>
        </w:rPr>
        <w:t xml:space="preserve"> a variety of</w:t>
      </w:r>
      <w:r w:rsidRPr="009E2B03">
        <w:rPr>
          <w:rFonts w:ascii="Calibri Light" w:hAnsi="Calibri Light"/>
          <w:sz w:val="22"/>
          <w:lang w:val="en-US"/>
        </w:rPr>
        <w:t xml:space="preserve"> health conditions, or may be emotionally or financial dependent on a partner.</w:t>
      </w:r>
      <w:r w:rsidRPr="009E2B03">
        <w:rPr>
          <w:rStyle w:val="FootnoteReference"/>
          <w:rFonts w:ascii="Calibri Light" w:hAnsi="Calibri Light"/>
          <w:sz w:val="22"/>
          <w:lang w:val="en-US"/>
        </w:rPr>
        <w:footnoteReference w:id="104"/>
      </w:r>
      <w:r w:rsidRPr="009E2B03">
        <w:rPr>
          <w:rFonts w:ascii="Calibri Light" w:hAnsi="Calibri Light"/>
          <w:sz w:val="22"/>
          <w:lang w:val="en-US"/>
        </w:rPr>
        <w:t xml:space="preserve"> In these cases, violence against women may also have critical implications on the health and safety of the pregnant mother, as well as the unborn child.</w:t>
      </w:r>
    </w:p>
    <w:p w14:paraId="6F6EC436"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Specifically, perinatal research has shown that the experience of violence among pregnant women has implications on the wellbeing of the mother and the growth and development of their children. The impacts of violence during the peri</w:t>
      </w:r>
      <w:r w:rsidR="00AD2608" w:rsidRPr="009E2B03">
        <w:rPr>
          <w:rFonts w:ascii="Calibri Light" w:hAnsi="Calibri Light"/>
          <w:sz w:val="22"/>
          <w:lang w:val="en-US"/>
        </w:rPr>
        <w:t>od of perinatal period include:</w:t>
      </w:r>
    </w:p>
    <w:p w14:paraId="076A35B8" w14:textId="77777777" w:rsidR="00403232" w:rsidRPr="009E2B03" w:rsidRDefault="00A71AC2" w:rsidP="00403232">
      <w:pPr>
        <w:pStyle w:val="BodyBullet"/>
        <w:shd w:val="clear" w:color="auto" w:fill="FFFFFF" w:themeFill="background1"/>
        <w:rPr>
          <w:rFonts w:ascii="Calibri Light" w:hAnsi="Calibri Light" w:cs="Arial"/>
          <w:sz w:val="22"/>
        </w:rPr>
      </w:pPr>
      <w:r w:rsidRPr="009E2B03">
        <w:rPr>
          <w:rFonts w:ascii="Calibri Light" w:hAnsi="Calibri Light" w:cs="Arial"/>
          <w:b/>
          <w:color w:val="6D2077"/>
          <w:sz w:val="22"/>
        </w:rPr>
        <w:t>P</w:t>
      </w:r>
      <w:r w:rsidR="00403232" w:rsidRPr="009E2B03">
        <w:rPr>
          <w:rFonts w:ascii="Calibri Light" w:hAnsi="Calibri Light" w:cs="Arial"/>
          <w:b/>
          <w:color w:val="6D2077"/>
          <w:sz w:val="22"/>
        </w:rPr>
        <w:t>roblems in pregnancy and childbirth</w:t>
      </w:r>
      <w:r w:rsidRPr="009E2B03">
        <w:rPr>
          <w:rFonts w:ascii="Calibri Light" w:hAnsi="Calibri Light" w:cs="Arial"/>
          <w:b/>
          <w:color w:val="6D2077"/>
          <w:sz w:val="22"/>
        </w:rPr>
        <w:t xml:space="preserve"> can occur</w:t>
      </w:r>
      <w:r w:rsidR="00403232" w:rsidRPr="009E2B03">
        <w:rPr>
          <w:rFonts w:ascii="Calibri Light" w:hAnsi="Calibri Light" w:cs="Arial"/>
          <w:color w:val="6D2077"/>
          <w:sz w:val="22"/>
        </w:rPr>
        <w:t>,</w:t>
      </w:r>
      <w:r w:rsidR="00403232" w:rsidRPr="009E2B03">
        <w:rPr>
          <w:rFonts w:ascii="Calibri Light" w:hAnsi="Calibri Light" w:cs="Arial"/>
          <w:sz w:val="22"/>
        </w:rPr>
        <w:t xml:space="preserve"> including miscarriage, low-birth weight infants, and perinatal morbidity, as well as a higher risk of asthma and epilepsy among newborns</w:t>
      </w:r>
      <w:r w:rsidRPr="009E2B03">
        <w:rPr>
          <w:rFonts w:ascii="Calibri Light" w:hAnsi="Calibri Light" w:cs="Arial"/>
          <w:sz w:val="22"/>
        </w:rPr>
        <w:t>.</w:t>
      </w:r>
      <w:r w:rsidR="00403232" w:rsidRPr="009E2B03">
        <w:rPr>
          <w:rStyle w:val="FootnoteReference"/>
          <w:rFonts w:ascii="Calibri Light" w:hAnsi="Calibri Light" w:cs="Arial"/>
          <w:sz w:val="22"/>
        </w:rPr>
        <w:footnoteReference w:id="105"/>
      </w:r>
      <w:r w:rsidR="00403232" w:rsidRPr="009E2B03">
        <w:rPr>
          <w:rStyle w:val="FootnoteReference"/>
          <w:rFonts w:ascii="Calibri Light" w:hAnsi="Calibri Light" w:cs="Arial"/>
          <w:sz w:val="22"/>
          <w:lang w:val="en-US"/>
        </w:rPr>
        <w:t xml:space="preserve"> </w:t>
      </w:r>
      <w:r w:rsidR="00403232" w:rsidRPr="009E2B03">
        <w:rPr>
          <w:rStyle w:val="FootnoteReference"/>
          <w:rFonts w:ascii="Calibri Light" w:hAnsi="Calibri Light" w:cs="Arial"/>
          <w:sz w:val="22"/>
          <w:lang w:val="en-US"/>
        </w:rPr>
        <w:footnoteReference w:id="106"/>
      </w:r>
    </w:p>
    <w:p w14:paraId="109B8F1E" w14:textId="77777777" w:rsidR="00403232" w:rsidRPr="009E2B03" w:rsidRDefault="00A71AC2" w:rsidP="00403232">
      <w:pPr>
        <w:pStyle w:val="BodyBullet"/>
        <w:shd w:val="clear" w:color="auto" w:fill="FFFFFF" w:themeFill="background1"/>
        <w:rPr>
          <w:rFonts w:ascii="Calibri Light" w:hAnsi="Calibri Light" w:cs="Arial"/>
          <w:sz w:val="22"/>
        </w:rPr>
      </w:pPr>
      <w:r w:rsidRPr="009E2B03">
        <w:rPr>
          <w:rFonts w:ascii="Calibri Light" w:hAnsi="Calibri Light" w:cs="Arial"/>
          <w:b/>
          <w:color w:val="6D2077"/>
          <w:sz w:val="22"/>
        </w:rPr>
        <w:t>There may be n</w:t>
      </w:r>
      <w:r w:rsidR="00403232" w:rsidRPr="009E2B03">
        <w:rPr>
          <w:rFonts w:ascii="Calibri Light" w:hAnsi="Calibri Light" w:cs="Arial"/>
          <w:b/>
          <w:color w:val="6D2077"/>
          <w:sz w:val="22"/>
        </w:rPr>
        <w:t>egative impacts on the cognitive and behavioural development of children</w:t>
      </w:r>
      <w:r w:rsidR="00403232" w:rsidRPr="009E2B03">
        <w:rPr>
          <w:rFonts w:ascii="Calibri Light" w:hAnsi="Calibri Light" w:cs="Arial"/>
          <w:sz w:val="22"/>
        </w:rPr>
        <w:t xml:space="preserve">, with neurological studies indicating that the first year of life is the time period where the brain is </w:t>
      </w:r>
      <w:r w:rsidR="00403232" w:rsidRPr="009E2B03">
        <w:rPr>
          <w:rFonts w:ascii="Calibri Light" w:hAnsi="Calibri Light" w:cs="Arial"/>
          <w:sz w:val="22"/>
        </w:rPr>
        <w:lastRenderedPageBreak/>
        <w:t>undergoing the most rapid development – a stage which is accompanied by sensitivities that leave the brain most open to the influence of external experiences</w:t>
      </w:r>
      <w:r w:rsidRPr="009E2B03">
        <w:rPr>
          <w:rFonts w:ascii="Calibri Light" w:hAnsi="Calibri Light" w:cs="Arial"/>
          <w:sz w:val="22"/>
        </w:rPr>
        <w:t>.</w:t>
      </w:r>
      <w:r w:rsidR="00403232" w:rsidRPr="009E2B03">
        <w:rPr>
          <w:rStyle w:val="FootnoteReference"/>
          <w:rFonts w:ascii="Calibri Light" w:hAnsi="Calibri Light" w:cs="Arial"/>
          <w:sz w:val="22"/>
        </w:rPr>
        <w:footnoteReference w:id="107"/>
      </w:r>
    </w:p>
    <w:p w14:paraId="3ACE1903" w14:textId="77777777" w:rsidR="00403232" w:rsidRPr="009E2B03" w:rsidRDefault="00A71AC2" w:rsidP="00403232">
      <w:pPr>
        <w:pStyle w:val="BodyBullet"/>
        <w:shd w:val="clear" w:color="auto" w:fill="FFFFFF" w:themeFill="background1"/>
        <w:rPr>
          <w:rFonts w:ascii="Calibri Light" w:hAnsi="Calibri Light" w:cs="Arial"/>
          <w:sz w:val="22"/>
        </w:rPr>
      </w:pPr>
      <w:r w:rsidRPr="009E2B03">
        <w:rPr>
          <w:rFonts w:ascii="Calibri Light" w:hAnsi="Calibri Light" w:cs="Arial"/>
          <w:b/>
          <w:color w:val="6D2077"/>
          <w:sz w:val="22"/>
        </w:rPr>
        <w:t>L</w:t>
      </w:r>
      <w:r w:rsidR="00403232" w:rsidRPr="009E2B03">
        <w:rPr>
          <w:rFonts w:ascii="Calibri Light" w:hAnsi="Calibri Light" w:cs="Arial"/>
          <w:b/>
          <w:color w:val="6D2077"/>
          <w:sz w:val="22"/>
        </w:rPr>
        <w:t>onger term impacts on the physical and psychological health of the mother</w:t>
      </w:r>
      <w:r w:rsidRPr="009E2B03">
        <w:rPr>
          <w:rFonts w:ascii="Calibri Light" w:hAnsi="Calibri Light" w:cs="Arial"/>
          <w:b/>
          <w:color w:val="6D2077"/>
          <w:sz w:val="22"/>
        </w:rPr>
        <w:t xml:space="preserve"> can occur</w:t>
      </w:r>
      <w:r w:rsidR="00403232" w:rsidRPr="009E2B03">
        <w:rPr>
          <w:rFonts w:ascii="Calibri Light" w:hAnsi="Calibri Light" w:cs="Arial"/>
          <w:sz w:val="22"/>
        </w:rPr>
        <w:t xml:space="preserve">. A study conducted at the Royal Women’s Hospital in Brisbane found that women who experienced abuse during pregnancy were prescribed more medication, and were more likely to be admitted to hospital. Other studies suggested that the experience of violence during pregnancy may also result in the experience of symptoms of </w:t>
      </w:r>
      <w:r w:rsidR="00353147" w:rsidRPr="009E2B03">
        <w:rPr>
          <w:rFonts w:ascii="Calibri Light" w:hAnsi="Calibri Light" w:cs="Arial"/>
          <w:sz w:val="22"/>
        </w:rPr>
        <w:t>PTSD</w:t>
      </w:r>
      <w:r w:rsidR="00403232" w:rsidRPr="009E2B03">
        <w:rPr>
          <w:rFonts w:ascii="Calibri Light" w:hAnsi="Calibri Light" w:cs="Arial"/>
          <w:sz w:val="22"/>
        </w:rPr>
        <w:t>.</w:t>
      </w:r>
      <w:r w:rsidR="00403232" w:rsidRPr="009E2B03">
        <w:rPr>
          <w:rStyle w:val="FootnoteReference"/>
          <w:rFonts w:ascii="Calibri Light" w:hAnsi="Calibri Light" w:cs="Arial"/>
          <w:sz w:val="22"/>
        </w:rPr>
        <w:footnoteReference w:id="108"/>
      </w:r>
    </w:p>
    <w:p w14:paraId="0FA25AE4" w14:textId="4E8BEE34" w:rsidR="00403232" w:rsidRPr="009E2B03" w:rsidRDefault="00403232" w:rsidP="00403232">
      <w:pPr>
        <w:rPr>
          <w:rFonts w:ascii="Calibri Light" w:hAnsi="Calibri Light"/>
          <w:sz w:val="22"/>
        </w:rPr>
      </w:pPr>
      <w:r w:rsidRPr="009E2B03">
        <w:rPr>
          <w:rFonts w:ascii="Calibri Light" w:hAnsi="Calibri Light"/>
          <w:sz w:val="22"/>
        </w:rPr>
        <w:t>Further, the use of alcohol, tobacco and illicit drugs is also more likely amongst pregnant women who have suffered abuse. This presents greater health risks for the mother and child in the perinatal period.</w:t>
      </w:r>
      <w:r w:rsidRPr="009E2B03">
        <w:rPr>
          <w:rStyle w:val="FootnoteReference"/>
          <w:rFonts w:ascii="Calibri Light" w:hAnsi="Calibri Light"/>
          <w:sz w:val="22"/>
        </w:rPr>
        <w:footnoteReference w:id="109"/>
      </w:r>
      <w:r w:rsidRPr="009E2B03">
        <w:rPr>
          <w:rFonts w:ascii="Calibri Light" w:hAnsi="Calibri Light"/>
          <w:sz w:val="22"/>
        </w:rPr>
        <w:t xml:space="preserve"> There are, therefore, important complexities that need to be taken into account when addressing the impact of violence on pregnant women, as well as the risk of violence and diminished psychological and physical health for both mother </w:t>
      </w:r>
      <w:r w:rsidR="0088771D">
        <w:rPr>
          <w:rFonts w:ascii="Calibri Light" w:hAnsi="Calibri Light"/>
          <w:sz w:val="22"/>
        </w:rPr>
        <w:t>and child over the longer term.</w:t>
      </w:r>
    </w:p>
    <w:p w14:paraId="6285854A"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lang w:val="en-US"/>
        </w:rPr>
        <w:t xml:space="preserve">The </w:t>
      </w:r>
      <w:r w:rsidR="00A71AC2" w:rsidRPr="009E2B03">
        <w:rPr>
          <w:rFonts w:ascii="Calibri Light" w:hAnsi="Calibri Light"/>
          <w:sz w:val="22"/>
          <w:lang w:val="en-US"/>
        </w:rPr>
        <w:t xml:space="preserve">difficulties </w:t>
      </w:r>
      <w:r w:rsidRPr="009E2B03">
        <w:rPr>
          <w:rFonts w:ascii="Calibri Light" w:hAnsi="Calibri Light"/>
          <w:sz w:val="22"/>
          <w:lang w:val="en-US"/>
        </w:rPr>
        <w:t>of collecting information on violence against pregnant women are similar to that of other cohorts, with research indicating significant underreporting by victims. However, given that pregnant women are likely to require greater access to primary health services and interact with other parts of the broader service system, there is scope for underreporting to be reduced</w:t>
      </w:r>
      <w:r w:rsidR="00A71AC2" w:rsidRPr="009E2B03">
        <w:rPr>
          <w:rFonts w:ascii="Calibri Light" w:hAnsi="Calibri Light"/>
          <w:sz w:val="22"/>
          <w:lang w:val="en-US"/>
        </w:rPr>
        <w:t xml:space="preserve"> if health workers</w:t>
      </w:r>
      <w:r w:rsidRPr="009E2B03">
        <w:rPr>
          <w:rFonts w:ascii="Calibri Light" w:hAnsi="Calibri Light"/>
          <w:sz w:val="22"/>
          <w:lang w:val="en-US"/>
        </w:rPr>
        <w:t xml:space="preserve"> shift </w:t>
      </w:r>
      <w:r w:rsidR="00A71AC2" w:rsidRPr="009E2B03">
        <w:rPr>
          <w:rFonts w:ascii="Calibri Light" w:hAnsi="Calibri Light"/>
          <w:sz w:val="22"/>
          <w:lang w:val="en-US"/>
        </w:rPr>
        <w:t>their</w:t>
      </w:r>
      <w:r w:rsidRPr="009E2B03">
        <w:rPr>
          <w:rFonts w:ascii="Calibri Light" w:hAnsi="Calibri Light"/>
          <w:sz w:val="22"/>
          <w:lang w:val="en-US"/>
        </w:rPr>
        <w:t xml:space="preserve"> focus to</w:t>
      </w:r>
      <w:r w:rsidR="00A71AC2" w:rsidRPr="009E2B03">
        <w:rPr>
          <w:rFonts w:ascii="Calibri Light" w:hAnsi="Calibri Light"/>
          <w:sz w:val="22"/>
          <w:lang w:val="en-US"/>
        </w:rPr>
        <w:t>ward a</w:t>
      </w:r>
      <w:r w:rsidRPr="009E2B03">
        <w:rPr>
          <w:rFonts w:ascii="Calibri Light" w:hAnsi="Calibri Light"/>
          <w:sz w:val="22"/>
          <w:lang w:val="en-US"/>
        </w:rPr>
        <w:t xml:space="preserve"> greater awareness of </w:t>
      </w:r>
      <w:r w:rsidR="00A71AC2" w:rsidRPr="009E2B03">
        <w:rPr>
          <w:rFonts w:ascii="Calibri Light" w:hAnsi="Calibri Light"/>
          <w:sz w:val="22"/>
          <w:lang w:val="en-US"/>
        </w:rPr>
        <w:t xml:space="preserve">the </w:t>
      </w:r>
      <w:r w:rsidRPr="009E2B03">
        <w:rPr>
          <w:rFonts w:ascii="Calibri Light" w:hAnsi="Calibri Light"/>
          <w:sz w:val="22"/>
          <w:lang w:val="en-US"/>
        </w:rPr>
        <w:t>potential signs of domestic abuse and violence.</w:t>
      </w:r>
      <w:r w:rsidRPr="009E2B03">
        <w:rPr>
          <w:rStyle w:val="FootnoteReference"/>
          <w:rFonts w:ascii="Calibri Light" w:hAnsi="Calibri Light"/>
          <w:sz w:val="22"/>
          <w:lang w:val="en-US"/>
        </w:rPr>
        <w:footnoteReference w:id="110"/>
      </w:r>
    </w:p>
    <w:p w14:paraId="37574505"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Women identifying as lesbian, bisexual, transgender, intersex and queer</w:t>
      </w:r>
    </w:p>
    <w:p w14:paraId="29FFA231"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As a cohort who are at higher risk of negative health and wellbeing outcomes, individuals who identify as lesbian, gay, bisexual, transgender or intersex are particularly vulnerable to the impacts of violence and abuse.</w:t>
      </w:r>
    </w:p>
    <w:p w14:paraId="4EFDEF51"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Prevalence data for violence against women who identify as LGBTIQ is scarce compared to other at risk cohorts. Violence experienced by women identifying as LGBTIQ is often ‘hidden’ as a result of under reporting, narrow national data collection, and social stigma. This, in turn, results in limited LGBTIQ community and societal understanding of violence.</w:t>
      </w:r>
      <w:r w:rsidRPr="009E2B03">
        <w:rPr>
          <w:rStyle w:val="FootnoteReference"/>
          <w:rFonts w:ascii="Calibri Light" w:hAnsi="Calibri Light"/>
          <w:sz w:val="22"/>
          <w:lang w:val="en-US"/>
        </w:rPr>
        <w:footnoteReference w:id="111"/>
      </w:r>
      <w:r w:rsidRPr="009E2B03">
        <w:rPr>
          <w:rFonts w:ascii="Calibri Light" w:hAnsi="Calibri Light"/>
          <w:sz w:val="22"/>
          <w:lang w:val="en-US"/>
        </w:rPr>
        <w:t xml:space="preserve"> The research is not definitive in estimating prevalence, though most studies indicate that same-sex couples experience approximately the same rates of violence as heterosexual couples. </w:t>
      </w:r>
    </w:p>
    <w:p w14:paraId="7ED2D522" w14:textId="77777777" w:rsidR="00403232" w:rsidRPr="009E2B03" w:rsidRDefault="00403232" w:rsidP="00403232">
      <w:pPr>
        <w:pStyle w:val="BodyBullet"/>
        <w:shd w:val="clear" w:color="auto" w:fill="FFFFFF" w:themeFill="background1"/>
        <w:rPr>
          <w:rFonts w:ascii="Calibri Light" w:hAnsi="Calibri Light" w:cs="Arial"/>
          <w:sz w:val="22"/>
        </w:rPr>
      </w:pPr>
      <w:r w:rsidRPr="009E2B03">
        <w:rPr>
          <w:rFonts w:ascii="Calibri Light" w:hAnsi="Calibri Light" w:cs="Arial"/>
          <w:i/>
          <w:sz w:val="22"/>
        </w:rPr>
        <w:t>The Private Lives</w:t>
      </w:r>
      <w:r w:rsidRPr="009E2B03">
        <w:rPr>
          <w:rFonts w:ascii="Calibri Light" w:hAnsi="Calibri Light" w:cs="Arial"/>
          <w:sz w:val="22"/>
        </w:rPr>
        <w:t xml:space="preserve"> study, an online survey by Gay and Lesbian Health Victoria and the Australian Research Centre in Sex, Health and Society, conducted in 2006 with 5,476 individuals of both genders who identified as LGBTIQ found that 33 per cent of respondents had been in a relationship with an abusive partner (in either same-sex or heterosexual relationships).</w:t>
      </w:r>
      <w:r w:rsidRPr="009E2B03">
        <w:rPr>
          <w:rFonts w:ascii="Calibri Light" w:hAnsi="Calibri Light" w:cs="Arial"/>
          <w:sz w:val="22"/>
          <w:vertAlign w:val="superscript"/>
        </w:rPr>
        <w:footnoteReference w:id="112"/>
      </w:r>
      <w:r w:rsidRPr="009E2B03">
        <w:rPr>
          <w:rFonts w:ascii="Calibri Light" w:hAnsi="Calibri Light" w:cs="Arial"/>
          <w:sz w:val="22"/>
          <w:vertAlign w:val="superscript"/>
        </w:rPr>
        <w:t xml:space="preserve"> </w:t>
      </w:r>
    </w:p>
    <w:p w14:paraId="794769F7" w14:textId="77777777" w:rsidR="00403232" w:rsidRPr="009E2B03" w:rsidRDefault="00403232"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 xml:space="preserve">A 2008 Victorian study involving 390 LGBTIQ respondents found that 31 per cent of respondents were subject to abuse by their partner, with the proportion of individuals in same-sex intimate </w:t>
      </w:r>
      <w:r w:rsidRPr="009E2B03">
        <w:rPr>
          <w:rFonts w:ascii="Calibri Light" w:hAnsi="Calibri Light" w:cs="Arial"/>
          <w:sz w:val="22"/>
        </w:rPr>
        <w:lastRenderedPageBreak/>
        <w:t>relationships who were male-identifying or female-identifying reporting incidents of physical violence at 41 per cent and 28 per cent respectively.</w:t>
      </w:r>
      <w:r w:rsidRPr="009E2B03">
        <w:rPr>
          <w:rFonts w:ascii="Calibri Light" w:hAnsi="Calibri Light" w:cs="Arial"/>
          <w:sz w:val="22"/>
          <w:vertAlign w:val="superscript"/>
        </w:rPr>
        <w:footnoteReference w:id="113"/>
      </w:r>
      <w:r w:rsidRPr="009E2B03">
        <w:rPr>
          <w:rFonts w:ascii="Calibri Light" w:hAnsi="Calibri Light" w:cs="Arial"/>
          <w:sz w:val="22"/>
          <w:vertAlign w:val="superscript"/>
        </w:rPr>
        <w:t xml:space="preserve"> </w:t>
      </w:r>
    </w:p>
    <w:p w14:paraId="43B9293C" w14:textId="77777777" w:rsidR="00403232" w:rsidRPr="009E2B03" w:rsidRDefault="00403232"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 xml:space="preserve">In the year 2009-10, the Victorian Family Violence Database recorded over 250 incidents of violence reported to the police by males identified in same sex relationships, and over 150 females identified in same sex relationships. This finding is based on limited information and is not sufficient to be able to comprehensively understand incidents of violence against LBGTIQ individuals. </w:t>
      </w:r>
    </w:p>
    <w:p w14:paraId="316FAA0E" w14:textId="77777777" w:rsidR="00403232" w:rsidRPr="009E2B03" w:rsidRDefault="00403232"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In the same study, 78 per cent of these individuals identified the abuse as psychological and 58 per cent identified an incident involving physical abuse or being hit.</w:t>
      </w:r>
      <w:r w:rsidRPr="009E2B03">
        <w:rPr>
          <w:rFonts w:ascii="Calibri Light" w:hAnsi="Calibri Light" w:cs="Arial"/>
          <w:sz w:val="22"/>
          <w:vertAlign w:val="superscript"/>
        </w:rPr>
        <w:footnoteReference w:id="114"/>
      </w:r>
    </w:p>
    <w:p w14:paraId="23DBAAF6"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Research has indicated that women identifying as LGBTIQ may also be vulnerable to identity abuse, which is specific to relationships involving an individual with a sexually or gender diverse identity. An abusive partner may threaten to public</w:t>
      </w:r>
      <w:r w:rsidR="004327F3" w:rsidRPr="009E2B03">
        <w:rPr>
          <w:rFonts w:ascii="Calibri Light" w:hAnsi="Calibri Light"/>
          <w:sz w:val="22"/>
          <w:lang w:val="en-US"/>
        </w:rPr>
        <w:t>l</w:t>
      </w:r>
      <w:r w:rsidRPr="009E2B03">
        <w:rPr>
          <w:rFonts w:ascii="Calibri Light" w:hAnsi="Calibri Light"/>
          <w:sz w:val="22"/>
          <w:lang w:val="en-US"/>
        </w:rPr>
        <w:t xml:space="preserve">y ‘out’ their partner to family, friends, colleagues or the community, or demean an individual privately on this basis – thereby using an individual’s gender or sexual identity as an abuse mechanism. </w:t>
      </w:r>
      <w:r w:rsidR="00EB0DAC" w:rsidRPr="009E2B03">
        <w:rPr>
          <w:rFonts w:ascii="Calibri Light" w:hAnsi="Calibri Light"/>
          <w:sz w:val="22"/>
          <w:lang w:val="en-US"/>
        </w:rPr>
        <w:t>Th</w:t>
      </w:r>
      <w:r w:rsidRPr="009E2B03">
        <w:rPr>
          <w:rFonts w:ascii="Calibri Light" w:hAnsi="Calibri Light"/>
          <w:sz w:val="22"/>
          <w:lang w:val="en-US"/>
        </w:rPr>
        <w:t>e NSW LGBTIQ Relationships Survey, a 2014 study of 813 survey respondents</w:t>
      </w:r>
      <w:r w:rsidR="00EB0DAC" w:rsidRPr="009E2B03">
        <w:rPr>
          <w:rFonts w:ascii="Calibri Light" w:hAnsi="Calibri Light"/>
          <w:sz w:val="22"/>
          <w:lang w:val="en-US"/>
        </w:rPr>
        <w:t>,</w:t>
      </w:r>
      <w:r w:rsidRPr="009E2B03">
        <w:rPr>
          <w:rFonts w:ascii="Calibri Light" w:hAnsi="Calibri Light"/>
          <w:sz w:val="22"/>
          <w:lang w:val="en-US"/>
        </w:rPr>
        <w:t xml:space="preserve"> found that:</w:t>
      </w:r>
    </w:p>
    <w:p w14:paraId="3D3A6AF8" w14:textId="77777777" w:rsidR="00403232" w:rsidRPr="009E2B03" w:rsidRDefault="00EB0DAC"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Eleven</w:t>
      </w:r>
      <w:r w:rsidR="00403232" w:rsidRPr="009E2B03">
        <w:rPr>
          <w:rFonts w:ascii="Calibri Light" w:hAnsi="Calibri Light" w:cs="Arial"/>
          <w:sz w:val="22"/>
        </w:rPr>
        <w:t xml:space="preserve"> per cent of</w:t>
      </w:r>
      <w:r w:rsidRPr="009E2B03">
        <w:rPr>
          <w:rFonts w:ascii="Calibri Light" w:hAnsi="Calibri Light" w:cs="Arial"/>
          <w:sz w:val="22"/>
        </w:rPr>
        <w:t xml:space="preserve"> study</w:t>
      </w:r>
      <w:r w:rsidR="00403232" w:rsidRPr="009E2B03">
        <w:rPr>
          <w:rFonts w:ascii="Calibri Light" w:hAnsi="Calibri Light" w:cs="Arial"/>
          <w:sz w:val="22"/>
        </w:rPr>
        <w:t xml:space="preserve"> </w:t>
      </w:r>
      <w:r w:rsidRPr="009E2B03">
        <w:rPr>
          <w:rFonts w:ascii="Calibri Light" w:hAnsi="Calibri Light" w:cs="Arial"/>
          <w:sz w:val="22"/>
        </w:rPr>
        <w:t>participants</w:t>
      </w:r>
      <w:r w:rsidR="00403232" w:rsidRPr="009E2B03">
        <w:rPr>
          <w:rFonts w:ascii="Calibri Light" w:hAnsi="Calibri Light" w:cs="Arial"/>
          <w:sz w:val="22"/>
        </w:rPr>
        <w:t xml:space="preserve"> responded that their current partner had used sexuality as a means of control</w:t>
      </w:r>
      <w:r w:rsidRPr="009E2B03">
        <w:rPr>
          <w:rFonts w:ascii="Calibri Light" w:hAnsi="Calibri Light" w:cs="Arial"/>
          <w:sz w:val="22"/>
        </w:rPr>
        <w:t>.</w:t>
      </w:r>
    </w:p>
    <w:p w14:paraId="05269080" w14:textId="77777777" w:rsidR="00403232" w:rsidRPr="009E2B03" w:rsidRDefault="00EB0DAC"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O</w:t>
      </w:r>
      <w:r w:rsidR="00403232" w:rsidRPr="009E2B03">
        <w:rPr>
          <w:rFonts w:ascii="Calibri Light" w:hAnsi="Calibri Light" w:cs="Arial"/>
          <w:sz w:val="22"/>
        </w:rPr>
        <w:t>f transgender, gender diverse and intersex respondents</w:t>
      </w:r>
      <w:r w:rsidRPr="009E2B03">
        <w:rPr>
          <w:rFonts w:ascii="Calibri Light" w:hAnsi="Calibri Light" w:cs="Arial"/>
          <w:sz w:val="22"/>
        </w:rPr>
        <w:t>, 12.8 per cent</w:t>
      </w:r>
      <w:r w:rsidR="00403232" w:rsidRPr="009E2B03">
        <w:rPr>
          <w:rFonts w:ascii="Calibri Light" w:hAnsi="Calibri Light" w:cs="Arial"/>
          <w:sz w:val="22"/>
        </w:rPr>
        <w:t xml:space="preserve"> stated that their gender identity, gender expression or an intersex trait was used by a partner to put them down or as a means of control at least once.</w:t>
      </w:r>
      <w:r w:rsidR="00403232" w:rsidRPr="009E2B03">
        <w:rPr>
          <w:rFonts w:ascii="Calibri Light" w:hAnsi="Calibri Light" w:cs="Arial"/>
          <w:sz w:val="22"/>
          <w:vertAlign w:val="superscript"/>
        </w:rPr>
        <w:footnoteReference w:id="115"/>
      </w:r>
    </w:p>
    <w:p w14:paraId="33824143" w14:textId="77777777" w:rsidR="00403232" w:rsidRPr="009E2B03" w:rsidRDefault="00403232" w:rsidP="00403232">
      <w:pPr>
        <w:autoSpaceDE w:val="0"/>
        <w:autoSpaceDN w:val="0"/>
        <w:adjustRightInd w:val="0"/>
        <w:spacing w:after="0"/>
        <w:rPr>
          <w:rFonts w:ascii="Calibri Light" w:hAnsi="Calibri Light"/>
          <w:sz w:val="22"/>
          <w:lang w:val="en-US"/>
        </w:rPr>
      </w:pPr>
      <w:r w:rsidRPr="009E2B03">
        <w:rPr>
          <w:rFonts w:ascii="Calibri Light" w:hAnsi="Calibri Light"/>
          <w:sz w:val="22"/>
          <w:lang w:val="en-US"/>
        </w:rPr>
        <w:t xml:space="preserve">Further, LGBTIQ individuals are at higher risks of non-domestic forms of violence, namely heterosexist violence, which the 2008 Victorian report describes as </w:t>
      </w:r>
      <w:r w:rsidR="00EB0DAC" w:rsidRPr="009E2B03">
        <w:rPr>
          <w:rFonts w:ascii="Calibri Light" w:hAnsi="Calibri Light"/>
          <w:sz w:val="22"/>
          <w:lang w:val="en-US"/>
        </w:rPr>
        <w:t>‘</w:t>
      </w:r>
      <w:r w:rsidRPr="009E2B03">
        <w:rPr>
          <w:rFonts w:ascii="Calibri Light" w:hAnsi="Calibri Light"/>
          <w:sz w:val="22"/>
          <w:lang w:val="en-US"/>
        </w:rPr>
        <w:t>the complex social and psychological processes underpinning violence and discrimination</w:t>
      </w:r>
      <w:r w:rsidR="00EB0DAC" w:rsidRPr="009E2B03">
        <w:rPr>
          <w:rFonts w:ascii="Calibri Light" w:hAnsi="Calibri Light"/>
          <w:sz w:val="22"/>
          <w:lang w:val="en-US"/>
        </w:rPr>
        <w:t>’</w:t>
      </w:r>
      <w:r w:rsidRPr="009E2B03">
        <w:rPr>
          <w:rFonts w:ascii="Calibri Light" w:hAnsi="Calibri Light"/>
          <w:sz w:val="22"/>
          <w:lang w:val="en-US"/>
        </w:rPr>
        <w:t xml:space="preserve"> against LGBTIQ individuals. This research found that one in three incidents of heterosexist violence occurs on the street, and that in 70 per cent of cases, the perpetrator is a stranger with no prior relation to the victim. This indicates that the specific experience of violence relating to sexual identity presents in circumstances that are different to other forms of violence. Furthermore, it is an issue affecting a number of individuals identifying as LGBTIQ:</w:t>
      </w:r>
    </w:p>
    <w:p w14:paraId="270E7B1D" w14:textId="77777777" w:rsidR="00403232" w:rsidRPr="009E2B03" w:rsidRDefault="00EB0DAC"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N</w:t>
      </w:r>
      <w:r w:rsidR="00403232" w:rsidRPr="009E2B03">
        <w:rPr>
          <w:rFonts w:ascii="Calibri Light" w:hAnsi="Calibri Light" w:cs="Arial"/>
          <w:sz w:val="22"/>
        </w:rPr>
        <w:t>early 85 per cent of respondents have been subject to heterosexist violence or harassment in their lifetimes</w:t>
      </w:r>
      <w:r w:rsidRPr="009E2B03">
        <w:rPr>
          <w:rFonts w:ascii="Calibri Light" w:hAnsi="Calibri Light" w:cs="Arial"/>
          <w:sz w:val="22"/>
        </w:rPr>
        <w:t>.</w:t>
      </w:r>
    </w:p>
    <w:p w14:paraId="7195BDDB" w14:textId="77777777" w:rsidR="00403232" w:rsidRPr="009E2B03" w:rsidRDefault="00EB0DAC"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S</w:t>
      </w:r>
      <w:r w:rsidR="00403232" w:rsidRPr="009E2B03">
        <w:rPr>
          <w:rFonts w:ascii="Calibri Light" w:hAnsi="Calibri Light" w:cs="Arial"/>
          <w:sz w:val="22"/>
        </w:rPr>
        <w:t>even in ten respondents have been subject to heterosexist violence while alone in the past two years.</w:t>
      </w:r>
      <w:r w:rsidR="00403232" w:rsidRPr="009E2B03">
        <w:rPr>
          <w:rFonts w:ascii="Calibri Light" w:hAnsi="Calibri Light" w:cs="Arial"/>
          <w:sz w:val="22"/>
          <w:vertAlign w:val="superscript"/>
        </w:rPr>
        <w:footnoteReference w:id="116"/>
      </w:r>
    </w:p>
    <w:p w14:paraId="18A16EDA" w14:textId="77777777" w:rsidR="00403232" w:rsidRPr="009E2B03" w:rsidRDefault="00403232" w:rsidP="00403232">
      <w:pPr>
        <w:pStyle w:val="BodyBullet"/>
        <w:numPr>
          <w:ilvl w:val="0"/>
          <w:numId w:val="0"/>
        </w:numPr>
        <w:shd w:val="clear" w:color="auto" w:fill="FFFFFF" w:themeFill="background1"/>
        <w:rPr>
          <w:rFonts w:ascii="Calibri Light" w:hAnsi="Calibri Light" w:cs="Arial"/>
          <w:sz w:val="22"/>
        </w:rPr>
      </w:pPr>
      <w:r w:rsidRPr="009E2B03">
        <w:rPr>
          <w:rFonts w:ascii="Calibri Light" w:hAnsi="Calibri Light" w:cs="Arial"/>
          <w:sz w:val="22"/>
          <w:lang w:val="en-US"/>
        </w:rPr>
        <w:t>The experience of heterosexist abuse is also one that may affect any gender identity, and</w:t>
      </w:r>
      <w:r w:rsidR="00353147" w:rsidRPr="009E2B03">
        <w:rPr>
          <w:rFonts w:ascii="Calibri Light" w:hAnsi="Calibri Light" w:cs="Arial"/>
          <w:sz w:val="22"/>
          <w:lang w:val="en-US"/>
        </w:rPr>
        <w:t xml:space="preserve"> </w:t>
      </w:r>
      <w:r w:rsidR="00353147" w:rsidRPr="009E2B03">
        <w:rPr>
          <w:rFonts w:ascii="Calibri Light" w:hAnsi="Calibri Light" w:cs="Arial"/>
          <w:sz w:val="22"/>
          <w:lang w:val="en-US"/>
        </w:rPr>
        <w:fldChar w:fldCharType="begin"/>
      </w:r>
      <w:r w:rsidR="00353147" w:rsidRPr="009E2B03">
        <w:rPr>
          <w:rFonts w:ascii="Calibri Light" w:hAnsi="Calibri Light" w:cs="Arial"/>
          <w:sz w:val="22"/>
          <w:lang w:val="en-US"/>
        </w:rPr>
        <w:instrText xml:space="preserve"> REF _Ref447377104 \h </w:instrText>
      </w:r>
      <w:r w:rsidR="009B0258" w:rsidRPr="009E2B03">
        <w:rPr>
          <w:rFonts w:ascii="Calibri Light" w:hAnsi="Calibri Light" w:cs="Arial"/>
          <w:sz w:val="22"/>
          <w:lang w:val="en-US"/>
        </w:rPr>
        <w:instrText xml:space="preserve"> \* MERGEFORMAT </w:instrText>
      </w:r>
      <w:r w:rsidR="00353147" w:rsidRPr="009E2B03">
        <w:rPr>
          <w:rFonts w:ascii="Calibri Light" w:hAnsi="Calibri Light" w:cs="Arial"/>
          <w:sz w:val="22"/>
          <w:lang w:val="en-US"/>
        </w:rPr>
      </w:r>
      <w:r w:rsidR="00353147" w:rsidRPr="009E2B03">
        <w:rPr>
          <w:rFonts w:ascii="Calibri Light" w:hAnsi="Calibri Light" w:cs="Arial"/>
          <w:sz w:val="22"/>
          <w:lang w:val="en-US"/>
        </w:rPr>
        <w:fldChar w:fldCharType="separate"/>
      </w:r>
      <w:r w:rsidR="00417237" w:rsidRPr="009E2B03">
        <w:rPr>
          <w:rFonts w:ascii="Calibri Light" w:hAnsi="Calibri Light" w:cs="Arial"/>
          <w:sz w:val="22"/>
        </w:rPr>
        <w:t xml:space="preserve">Table </w:t>
      </w:r>
      <w:r w:rsidR="00417237">
        <w:rPr>
          <w:rFonts w:ascii="Calibri Light" w:hAnsi="Calibri Light" w:cs="Arial"/>
          <w:noProof/>
          <w:sz w:val="22"/>
        </w:rPr>
        <w:t>4</w:t>
      </w:r>
      <w:r w:rsidR="00417237" w:rsidRPr="009E2B03">
        <w:rPr>
          <w:rFonts w:ascii="Calibri Light" w:hAnsi="Calibri Light" w:cs="Arial"/>
          <w:noProof/>
          <w:sz w:val="22"/>
        </w:rPr>
        <w:noBreakHyphen/>
      </w:r>
      <w:r w:rsidR="00417237">
        <w:rPr>
          <w:rFonts w:ascii="Calibri Light" w:hAnsi="Calibri Light" w:cs="Arial"/>
          <w:noProof/>
          <w:sz w:val="22"/>
        </w:rPr>
        <w:t>4</w:t>
      </w:r>
      <w:r w:rsidR="00353147" w:rsidRPr="009E2B03">
        <w:rPr>
          <w:rFonts w:ascii="Calibri Light" w:hAnsi="Calibri Light" w:cs="Arial"/>
          <w:sz w:val="22"/>
          <w:lang w:val="en-US"/>
        </w:rPr>
        <w:fldChar w:fldCharType="end"/>
      </w:r>
      <w:r w:rsidR="00353147" w:rsidRPr="009E2B03">
        <w:rPr>
          <w:rFonts w:ascii="Calibri Light" w:hAnsi="Calibri Light" w:cs="Arial"/>
          <w:sz w:val="22"/>
          <w:lang w:val="en-US"/>
        </w:rPr>
        <w:t xml:space="preserve"> </w:t>
      </w:r>
      <w:r w:rsidRPr="009E2B03">
        <w:rPr>
          <w:rFonts w:ascii="Calibri Light" w:hAnsi="Calibri Light" w:cs="Arial"/>
          <w:sz w:val="22"/>
          <w:lang w:val="en-US"/>
        </w:rPr>
        <w:t xml:space="preserve">below highlights the variation in the experience of heterosexist abuse across different gender </w:t>
      </w:r>
      <w:r w:rsidRPr="009E2B03">
        <w:rPr>
          <w:rFonts w:ascii="Calibri Light" w:hAnsi="Calibri Light" w:cs="Arial"/>
          <w:sz w:val="22"/>
        </w:rPr>
        <w:t>identities:</w:t>
      </w:r>
    </w:p>
    <w:p w14:paraId="04265114" w14:textId="77777777" w:rsidR="00403232" w:rsidRPr="009E2B03" w:rsidRDefault="00EB0DAC"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V</w:t>
      </w:r>
      <w:r w:rsidR="00403232" w:rsidRPr="009E2B03">
        <w:rPr>
          <w:rFonts w:ascii="Calibri Light" w:hAnsi="Calibri Light" w:cs="Arial"/>
          <w:sz w:val="22"/>
        </w:rPr>
        <w:t>erbal abuse was the most common form of heterosexist abuse for women identifying as LGBTIQ</w:t>
      </w:r>
      <w:r w:rsidRPr="009E2B03">
        <w:rPr>
          <w:rFonts w:ascii="Calibri Light" w:hAnsi="Calibri Light" w:cs="Arial"/>
          <w:sz w:val="22"/>
        </w:rPr>
        <w:t>.</w:t>
      </w:r>
    </w:p>
    <w:p w14:paraId="4D01225D" w14:textId="77777777" w:rsidR="00403232" w:rsidRPr="009E2B03" w:rsidRDefault="00EB0DAC"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T</w:t>
      </w:r>
      <w:r w:rsidR="00403232" w:rsidRPr="009E2B03">
        <w:rPr>
          <w:rFonts w:ascii="Calibri Light" w:hAnsi="Calibri Light" w:cs="Arial"/>
          <w:sz w:val="22"/>
        </w:rPr>
        <w:t>he rate of verbal abuse was 1.5 times higher for transgender females, compared to all women identifying as LGBTIQ</w:t>
      </w:r>
      <w:r w:rsidRPr="009E2B03">
        <w:rPr>
          <w:rFonts w:ascii="Calibri Light" w:hAnsi="Calibri Light" w:cs="Arial"/>
          <w:sz w:val="22"/>
        </w:rPr>
        <w:t>.</w:t>
      </w:r>
    </w:p>
    <w:p w14:paraId="3F90292B" w14:textId="77777777" w:rsidR="00403232" w:rsidRPr="009E2B03" w:rsidRDefault="00EB0DAC" w:rsidP="00403232">
      <w:pPr>
        <w:pStyle w:val="BodyBullet"/>
        <w:shd w:val="clear" w:color="auto" w:fill="FFFFFF" w:themeFill="background1"/>
        <w:rPr>
          <w:rFonts w:ascii="Calibri Light" w:hAnsi="Calibri Light" w:cs="Arial"/>
          <w:sz w:val="22"/>
        </w:rPr>
      </w:pPr>
      <w:r w:rsidRPr="009E2B03">
        <w:rPr>
          <w:rFonts w:ascii="Calibri Light" w:hAnsi="Calibri Light" w:cs="Arial"/>
          <w:sz w:val="22"/>
        </w:rPr>
        <w:t>T</w:t>
      </w:r>
      <w:r w:rsidR="00403232" w:rsidRPr="009E2B03">
        <w:rPr>
          <w:rFonts w:ascii="Calibri Light" w:hAnsi="Calibri Light" w:cs="Arial"/>
          <w:sz w:val="22"/>
        </w:rPr>
        <w:t>he threat and experience of physical violence was three times higher for transgender females compared to all women identifying as LGBTIQ.</w:t>
      </w:r>
    </w:p>
    <w:p w14:paraId="1888393B" w14:textId="77777777" w:rsidR="00403232" w:rsidRPr="009E2B03" w:rsidRDefault="00403232" w:rsidP="00403232">
      <w:pPr>
        <w:pStyle w:val="Caption"/>
        <w:rPr>
          <w:rFonts w:ascii="Calibri Light" w:hAnsi="Calibri Light" w:cs="Arial"/>
          <w:sz w:val="22"/>
        </w:rPr>
      </w:pPr>
      <w:bookmarkStart w:id="94" w:name="_Ref447377104"/>
      <w:r w:rsidRPr="009E2B03">
        <w:rPr>
          <w:rFonts w:ascii="Calibri Light" w:hAnsi="Calibri Light" w:cs="Arial"/>
          <w:sz w:val="22"/>
        </w:rPr>
        <w:lastRenderedPageBreak/>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bookmarkEnd w:id="94"/>
      <w:r w:rsidRPr="009E2B03">
        <w:rPr>
          <w:rFonts w:ascii="Calibri Light" w:hAnsi="Calibri Light" w:cs="Arial"/>
          <w:sz w:val="22"/>
        </w:rPr>
        <w:t>: Experiences of heterosexist violence and harassment by gender identity</w:t>
      </w:r>
    </w:p>
    <w:tbl>
      <w:tblPr>
        <w:tblStyle w:val="KPMGtable1"/>
        <w:tblW w:w="8940" w:type="dxa"/>
        <w:tblLook w:val="04A0" w:firstRow="1" w:lastRow="0" w:firstColumn="1" w:lastColumn="0" w:noHBand="0" w:noVBand="1"/>
        <w:tblCaption w:val="Table of information on the experiences of heterosexist violence and harassment by gender identity"/>
      </w:tblPr>
      <w:tblGrid>
        <w:gridCol w:w="2552"/>
        <w:gridCol w:w="1064"/>
        <w:gridCol w:w="1065"/>
        <w:gridCol w:w="1065"/>
        <w:gridCol w:w="1064"/>
        <w:gridCol w:w="1065"/>
        <w:gridCol w:w="1065"/>
      </w:tblGrid>
      <w:tr w:rsidR="00403232" w:rsidRPr="009E2B03" w14:paraId="5781CD28" w14:textId="77777777" w:rsidTr="00E431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002060"/>
            <w:hideMark/>
          </w:tcPr>
          <w:p w14:paraId="3D084169"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b/>
                <w:szCs w:val="18"/>
                <w:lang w:val="en-US"/>
              </w:rPr>
              <w:t>Types of heterosexist abuse</w:t>
            </w:r>
          </w:p>
        </w:tc>
        <w:tc>
          <w:tcPr>
            <w:tcW w:w="1064" w:type="dxa"/>
            <w:shd w:val="clear" w:color="auto" w:fill="002060"/>
          </w:tcPr>
          <w:p w14:paraId="00C21CBC" w14:textId="77777777" w:rsidR="00403232" w:rsidRPr="009E2B03" w:rsidRDefault="00403232" w:rsidP="0040323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Arial"/>
                <w:b/>
                <w:szCs w:val="18"/>
                <w:lang w:val="en-US"/>
              </w:rPr>
            </w:pPr>
            <w:r w:rsidRPr="009E2B03">
              <w:rPr>
                <w:rFonts w:ascii="Calibri Light" w:eastAsiaTheme="majorEastAsia" w:hAnsi="Calibri Light" w:cs="Arial"/>
                <w:b/>
                <w:szCs w:val="18"/>
                <w:lang w:val="en-US"/>
              </w:rPr>
              <w:t>%</w:t>
            </w:r>
          </w:p>
        </w:tc>
        <w:tc>
          <w:tcPr>
            <w:tcW w:w="1065" w:type="dxa"/>
            <w:shd w:val="clear" w:color="auto" w:fill="002060"/>
          </w:tcPr>
          <w:p w14:paraId="31D505A1" w14:textId="77777777" w:rsidR="00403232" w:rsidRPr="009E2B03" w:rsidRDefault="00403232" w:rsidP="0040323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Arial"/>
                <w:b/>
                <w:szCs w:val="18"/>
                <w:lang w:val="en-US"/>
              </w:rPr>
            </w:pPr>
            <w:r w:rsidRPr="009E2B03">
              <w:rPr>
                <w:rFonts w:ascii="Calibri Light" w:eastAsiaTheme="majorEastAsia" w:hAnsi="Calibri Light" w:cs="Arial"/>
                <w:b/>
                <w:szCs w:val="18"/>
                <w:lang w:val="en-US"/>
              </w:rPr>
              <w:t>Female</w:t>
            </w:r>
          </w:p>
        </w:tc>
        <w:tc>
          <w:tcPr>
            <w:tcW w:w="1065" w:type="dxa"/>
            <w:shd w:val="clear" w:color="auto" w:fill="002060"/>
            <w:hideMark/>
          </w:tcPr>
          <w:p w14:paraId="5445C735" w14:textId="77777777" w:rsidR="00403232" w:rsidRPr="009E2B03" w:rsidRDefault="00403232" w:rsidP="0040323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Arial"/>
                <w:b/>
                <w:szCs w:val="18"/>
                <w:lang w:val="en-US"/>
              </w:rPr>
            </w:pPr>
            <w:r w:rsidRPr="009E2B03">
              <w:rPr>
                <w:rFonts w:ascii="Calibri Light" w:eastAsiaTheme="majorEastAsia" w:hAnsi="Calibri Light" w:cs="Arial"/>
                <w:b/>
                <w:szCs w:val="18"/>
                <w:lang w:val="en-US"/>
              </w:rPr>
              <w:t>Male</w:t>
            </w:r>
          </w:p>
        </w:tc>
        <w:tc>
          <w:tcPr>
            <w:tcW w:w="1064" w:type="dxa"/>
            <w:shd w:val="clear" w:color="auto" w:fill="002060"/>
            <w:hideMark/>
          </w:tcPr>
          <w:p w14:paraId="13F819CE" w14:textId="77777777" w:rsidR="00403232" w:rsidRPr="009E2B03" w:rsidRDefault="00403232" w:rsidP="0040323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Arial"/>
                <w:b/>
                <w:szCs w:val="18"/>
                <w:lang w:val="en-US"/>
              </w:rPr>
            </w:pPr>
            <w:r w:rsidRPr="009E2B03">
              <w:rPr>
                <w:rFonts w:ascii="Calibri Light" w:eastAsiaTheme="majorEastAsia" w:hAnsi="Calibri Light" w:cs="Arial"/>
                <w:b/>
                <w:szCs w:val="18"/>
                <w:lang w:val="en-US"/>
              </w:rPr>
              <w:t>Trans (M)</w:t>
            </w:r>
          </w:p>
        </w:tc>
        <w:tc>
          <w:tcPr>
            <w:tcW w:w="1065" w:type="dxa"/>
            <w:shd w:val="clear" w:color="auto" w:fill="002060"/>
          </w:tcPr>
          <w:p w14:paraId="3002B207" w14:textId="77777777" w:rsidR="00403232" w:rsidRPr="009E2B03" w:rsidRDefault="00403232" w:rsidP="0040323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Arial"/>
                <w:b/>
                <w:szCs w:val="18"/>
                <w:lang w:val="en-US"/>
              </w:rPr>
            </w:pPr>
            <w:r w:rsidRPr="009E2B03">
              <w:rPr>
                <w:rFonts w:ascii="Calibri Light" w:eastAsiaTheme="majorEastAsia" w:hAnsi="Calibri Light" w:cs="Arial"/>
                <w:b/>
                <w:szCs w:val="18"/>
                <w:lang w:val="en-US"/>
              </w:rPr>
              <w:t>Trans (F)</w:t>
            </w:r>
          </w:p>
          <w:p w14:paraId="7274873D" w14:textId="77777777" w:rsidR="00403232" w:rsidRPr="009E2B03" w:rsidRDefault="00403232" w:rsidP="0040323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Arial"/>
                <w:b/>
                <w:szCs w:val="18"/>
                <w:lang w:val="en-US"/>
              </w:rPr>
            </w:pPr>
          </w:p>
        </w:tc>
        <w:tc>
          <w:tcPr>
            <w:tcW w:w="1065" w:type="dxa"/>
            <w:shd w:val="clear" w:color="auto" w:fill="002060"/>
            <w:hideMark/>
          </w:tcPr>
          <w:p w14:paraId="7B75210C" w14:textId="77777777" w:rsidR="00403232" w:rsidRPr="009E2B03" w:rsidRDefault="00403232" w:rsidP="0040323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Arial"/>
                <w:b/>
                <w:szCs w:val="18"/>
                <w:lang w:val="en-US"/>
              </w:rPr>
            </w:pPr>
            <w:r w:rsidRPr="009E2B03">
              <w:rPr>
                <w:rFonts w:ascii="Calibri Light" w:eastAsiaTheme="majorEastAsia" w:hAnsi="Calibri Light" w:cs="Arial"/>
                <w:b/>
                <w:szCs w:val="18"/>
                <w:lang w:val="en-US"/>
              </w:rPr>
              <w:t>Other preferred</w:t>
            </w:r>
          </w:p>
        </w:tc>
      </w:tr>
      <w:tr w:rsidR="00403232" w:rsidRPr="009E2B03" w14:paraId="5846CB48" w14:textId="77777777" w:rsidTr="00BC5A4F">
        <w:tc>
          <w:tcPr>
            <w:cnfStyle w:val="001000000000" w:firstRow="0" w:lastRow="0" w:firstColumn="1" w:lastColumn="0" w:oddVBand="0" w:evenVBand="0" w:oddHBand="0" w:evenHBand="0" w:firstRowFirstColumn="0" w:firstRowLastColumn="0" w:lastRowFirstColumn="0" w:lastRowLastColumn="0"/>
            <w:tcW w:w="2552" w:type="dxa"/>
            <w:shd w:val="clear" w:color="auto" w:fill="F3F0F4"/>
            <w:hideMark/>
          </w:tcPr>
          <w:p w14:paraId="29A864DA"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szCs w:val="18"/>
                <w:lang w:val="en-US"/>
              </w:rPr>
              <w:t>Verbal abuse</w:t>
            </w:r>
          </w:p>
        </w:tc>
        <w:tc>
          <w:tcPr>
            <w:tcW w:w="1064" w:type="dxa"/>
            <w:vAlign w:val="center"/>
          </w:tcPr>
          <w:p w14:paraId="3C31D98F"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25.5</w:t>
            </w:r>
          </w:p>
        </w:tc>
        <w:tc>
          <w:tcPr>
            <w:tcW w:w="1065" w:type="dxa"/>
            <w:vAlign w:val="center"/>
          </w:tcPr>
          <w:p w14:paraId="5F741F09"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22.5</w:t>
            </w:r>
          </w:p>
        </w:tc>
        <w:tc>
          <w:tcPr>
            <w:tcW w:w="1065" w:type="dxa"/>
            <w:vAlign w:val="center"/>
            <w:hideMark/>
          </w:tcPr>
          <w:p w14:paraId="04D77F2E"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26</w:t>
            </w:r>
          </w:p>
        </w:tc>
        <w:tc>
          <w:tcPr>
            <w:tcW w:w="1064" w:type="dxa"/>
            <w:vAlign w:val="center"/>
            <w:hideMark/>
          </w:tcPr>
          <w:p w14:paraId="5A36B232"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46.7</w:t>
            </w:r>
          </w:p>
        </w:tc>
        <w:tc>
          <w:tcPr>
            <w:tcW w:w="1065" w:type="dxa"/>
            <w:vAlign w:val="center"/>
            <w:hideMark/>
          </w:tcPr>
          <w:p w14:paraId="7F5F01A0"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36.9</w:t>
            </w:r>
          </w:p>
        </w:tc>
        <w:tc>
          <w:tcPr>
            <w:tcW w:w="1065" w:type="dxa"/>
            <w:vAlign w:val="center"/>
            <w:hideMark/>
          </w:tcPr>
          <w:p w14:paraId="7ACE52AE"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45.1</w:t>
            </w:r>
          </w:p>
        </w:tc>
      </w:tr>
      <w:tr w:rsidR="00403232" w:rsidRPr="009E2B03" w14:paraId="5726BD4E" w14:textId="77777777" w:rsidTr="00BC5A4F">
        <w:tc>
          <w:tcPr>
            <w:cnfStyle w:val="001000000000" w:firstRow="0" w:lastRow="0" w:firstColumn="1" w:lastColumn="0" w:oddVBand="0" w:evenVBand="0" w:oddHBand="0" w:evenHBand="0" w:firstRowFirstColumn="0" w:firstRowLastColumn="0" w:lastRowFirstColumn="0" w:lastRowLastColumn="0"/>
            <w:tcW w:w="2552" w:type="dxa"/>
            <w:shd w:val="clear" w:color="auto" w:fill="F3F0F4"/>
            <w:hideMark/>
          </w:tcPr>
          <w:p w14:paraId="2EF15C8E"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szCs w:val="18"/>
                <w:lang w:val="en-US"/>
              </w:rPr>
              <w:t xml:space="preserve">Harassment </w:t>
            </w:r>
          </w:p>
        </w:tc>
        <w:tc>
          <w:tcPr>
            <w:tcW w:w="1064" w:type="dxa"/>
            <w:vAlign w:val="center"/>
          </w:tcPr>
          <w:p w14:paraId="7C786D6D"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15.5</w:t>
            </w:r>
          </w:p>
        </w:tc>
        <w:tc>
          <w:tcPr>
            <w:tcW w:w="1065" w:type="dxa"/>
            <w:vAlign w:val="center"/>
          </w:tcPr>
          <w:p w14:paraId="330AF77E"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14.8</w:t>
            </w:r>
          </w:p>
        </w:tc>
        <w:tc>
          <w:tcPr>
            <w:tcW w:w="1065" w:type="dxa"/>
            <w:vAlign w:val="center"/>
          </w:tcPr>
          <w:p w14:paraId="46C57138"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15.4</w:t>
            </w:r>
          </w:p>
        </w:tc>
        <w:tc>
          <w:tcPr>
            <w:tcW w:w="1064" w:type="dxa"/>
            <w:vAlign w:val="center"/>
          </w:tcPr>
          <w:p w14:paraId="1F954005"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22.2</w:t>
            </w:r>
          </w:p>
        </w:tc>
        <w:tc>
          <w:tcPr>
            <w:tcW w:w="1065" w:type="dxa"/>
            <w:vAlign w:val="center"/>
          </w:tcPr>
          <w:p w14:paraId="3BC5CF04"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17.8</w:t>
            </w:r>
          </w:p>
        </w:tc>
        <w:tc>
          <w:tcPr>
            <w:tcW w:w="1065" w:type="dxa"/>
            <w:vAlign w:val="center"/>
          </w:tcPr>
          <w:p w14:paraId="2EA3A612"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33.6</w:t>
            </w:r>
          </w:p>
        </w:tc>
      </w:tr>
      <w:tr w:rsidR="00403232" w:rsidRPr="009E2B03" w14:paraId="353B641D" w14:textId="77777777" w:rsidTr="00BC5A4F">
        <w:tc>
          <w:tcPr>
            <w:cnfStyle w:val="001000000000" w:firstRow="0" w:lastRow="0" w:firstColumn="1" w:lastColumn="0" w:oddVBand="0" w:evenVBand="0" w:oddHBand="0" w:evenHBand="0" w:firstRowFirstColumn="0" w:firstRowLastColumn="0" w:lastRowFirstColumn="0" w:lastRowLastColumn="0"/>
            <w:tcW w:w="2552" w:type="dxa"/>
            <w:shd w:val="clear" w:color="auto" w:fill="F3F0F4"/>
            <w:hideMark/>
          </w:tcPr>
          <w:p w14:paraId="04393F18"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szCs w:val="18"/>
                <w:lang w:val="en-US"/>
              </w:rPr>
              <w:t>Threats of physical violence, physical violence or assault without a weapon</w:t>
            </w:r>
          </w:p>
        </w:tc>
        <w:tc>
          <w:tcPr>
            <w:tcW w:w="1064" w:type="dxa"/>
            <w:vAlign w:val="center"/>
          </w:tcPr>
          <w:p w14:paraId="23362275"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8.7</w:t>
            </w:r>
          </w:p>
        </w:tc>
        <w:tc>
          <w:tcPr>
            <w:tcW w:w="1065" w:type="dxa"/>
            <w:vAlign w:val="center"/>
          </w:tcPr>
          <w:p w14:paraId="6ED4B8D2"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5.9</w:t>
            </w:r>
          </w:p>
        </w:tc>
        <w:tc>
          <w:tcPr>
            <w:tcW w:w="1065" w:type="dxa"/>
            <w:vAlign w:val="center"/>
          </w:tcPr>
          <w:p w14:paraId="71C333B7"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10.5</w:t>
            </w:r>
          </w:p>
        </w:tc>
        <w:tc>
          <w:tcPr>
            <w:tcW w:w="1064" w:type="dxa"/>
            <w:vAlign w:val="center"/>
          </w:tcPr>
          <w:p w14:paraId="68A3F52E"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11.1</w:t>
            </w:r>
          </w:p>
        </w:tc>
        <w:tc>
          <w:tcPr>
            <w:tcW w:w="1065" w:type="dxa"/>
            <w:vAlign w:val="center"/>
          </w:tcPr>
          <w:p w14:paraId="7501CFBB"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15.1</w:t>
            </w:r>
          </w:p>
        </w:tc>
        <w:tc>
          <w:tcPr>
            <w:tcW w:w="1065" w:type="dxa"/>
            <w:vAlign w:val="center"/>
          </w:tcPr>
          <w:p w14:paraId="618B39F5"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20.5</w:t>
            </w:r>
          </w:p>
        </w:tc>
      </w:tr>
      <w:tr w:rsidR="00403232" w:rsidRPr="009E2B03" w14:paraId="4DF29797" w14:textId="77777777" w:rsidTr="00BC5A4F">
        <w:tc>
          <w:tcPr>
            <w:cnfStyle w:val="001000000000" w:firstRow="0" w:lastRow="0" w:firstColumn="1" w:lastColumn="0" w:oddVBand="0" w:evenVBand="0" w:oddHBand="0" w:evenHBand="0" w:firstRowFirstColumn="0" w:firstRowLastColumn="0" w:lastRowFirstColumn="0" w:lastRowLastColumn="0"/>
            <w:tcW w:w="2552" w:type="dxa"/>
            <w:shd w:val="clear" w:color="auto" w:fill="F3F0F4"/>
            <w:hideMark/>
          </w:tcPr>
          <w:p w14:paraId="427C8CE5"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szCs w:val="18"/>
                <w:lang w:val="en-US"/>
              </w:rPr>
              <w:t>Written threats and abuse – including emails and graffiti</w:t>
            </w:r>
          </w:p>
        </w:tc>
        <w:tc>
          <w:tcPr>
            <w:tcW w:w="1064" w:type="dxa"/>
            <w:vAlign w:val="center"/>
          </w:tcPr>
          <w:p w14:paraId="3F35F74C"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6.6</w:t>
            </w:r>
          </w:p>
        </w:tc>
        <w:tc>
          <w:tcPr>
            <w:tcW w:w="1065" w:type="dxa"/>
            <w:vAlign w:val="center"/>
          </w:tcPr>
          <w:p w14:paraId="145CEABD"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4.9</w:t>
            </w:r>
          </w:p>
        </w:tc>
        <w:tc>
          <w:tcPr>
            <w:tcW w:w="1065" w:type="dxa"/>
            <w:vAlign w:val="center"/>
          </w:tcPr>
          <w:p w14:paraId="4BA61D1E"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6.8</w:t>
            </w:r>
          </w:p>
        </w:tc>
        <w:tc>
          <w:tcPr>
            <w:tcW w:w="1064" w:type="dxa"/>
            <w:vAlign w:val="center"/>
          </w:tcPr>
          <w:p w14:paraId="3EB7D42D"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15.6</w:t>
            </w:r>
          </w:p>
        </w:tc>
        <w:tc>
          <w:tcPr>
            <w:tcW w:w="1065" w:type="dxa"/>
            <w:vAlign w:val="center"/>
          </w:tcPr>
          <w:p w14:paraId="2D5398BE"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16.5</w:t>
            </w:r>
          </w:p>
        </w:tc>
        <w:tc>
          <w:tcPr>
            <w:tcW w:w="1065" w:type="dxa"/>
            <w:vAlign w:val="center"/>
          </w:tcPr>
          <w:p w14:paraId="7B17750E"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17.7</w:t>
            </w:r>
          </w:p>
        </w:tc>
      </w:tr>
      <w:tr w:rsidR="00403232" w:rsidRPr="009E2B03" w14:paraId="34EABF62" w14:textId="77777777" w:rsidTr="00BC5A4F">
        <w:tc>
          <w:tcPr>
            <w:cnfStyle w:val="001000000000" w:firstRow="0" w:lastRow="0" w:firstColumn="1" w:lastColumn="0" w:oddVBand="0" w:evenVBand="0" w:oddHBand="0" w:evenHBand="0" w:firstRowFirstColumn="0" w:firstRowLastColumn="0" w:lastRowFirstColumn="0" w:lastRowLastColumn="0"/>
            <w:tcW w:w="2552" w:type="dxa"/>
            <w:shd w:val="clear" w:color="auto" w:fill="F3F0F4"/>
            <w:hideMark/>
          </w:tcPr>
          <w:p w14:paraId="6EAE5F48"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szCs w:val="18"/>
                <w:lang w:val="en-US"/>
              </w:rPr>
              <w:t>Deliberate damage to property or vandalism – Car</w:t>
            </w:r>
          </w:p>
        </w:tc>
        <w:tc>
          <w:tcPr>
            <w:tcW w:w="1064" w:type="dxa"/>
            <w:vAlign w:val="center"/>
          </w:tcPr>
          <w:p w14:paraId="328A4EC9"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3.3</w:t>
            </w:r>
          </w:p>
        </w:tc>
        <w:tc>
          <w:tcPr>
            <w:tcW w:w="1065" w:type="dxa"/>
            <w:vAlign w:val="center"/>
          </w:tcPr>
          <w:p w14:paraId="7EFD31C8"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2.9</w:t>
            </w:r>
          </w:p>
        </w:tc>
        <w:tc>
          <w:tcPr>
            <w:tcW w:w="1065" w:type="dxa"/>
            <w:vAlign w:val="center"/>
          </w:tcPr>
          <w:p w14:paraId="526BD1C5"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3.5</w:t>
            </w:r>
          </w:p>
        </w:tc>
        <w:tc>
          <w:tcPr>
            <w:tcW w:w="1064" w:type="dxa"/>
            <w:vAlign w:val="center"/>
          </w:tcPr>
          <w:p w14:paraId="0D5B662F"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2.2</w:t>
            </w:r>
          </w:p>
        </w:tc>
        <w:tc>
          <w:tcPr>
            <w:tcW w:w="1065" w:type="dxa"/>
            <w:vAlign w:val="center"/>
          </w:tcPr>
          <w:p w14:paraId="066BD6F8"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6.7</w:t>
            </w:r>
          </w:p>
        </w:tc>
        <w:tc>
          <w:tcPr>
            <w:tcW w:w="1065" w:type="dxa"/>
            <w:vAlign w:val="center"/>
          </w:tcPr>
          <w:p w14:paraId="72229CEA"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5.3</w:t>
            </w:r>
          </w:p>
        </w:tc>
      </w:tr>
      <w:tr w:rsidR="00403232" w:rsidRPr="009E2B03" w14:paraId="599D5B85" w14:textId="77777777" w:rsidTr="00BC5A4F">
        <w:tc>
          <w:tcPr>
            <w:cnfStyle w:val="001000000000" w:firstRow="0" w:lastRow="0" w:firstColumn="1" w:lastColumn="0" w:oddVBand="0" w:evenVBand="0" w:oddHBand="0" w:evenHBand="0" w:firstRowFirstColumn="0" w:firstRowLastColumn="0" w:lastRowFirstColumn="0" w:lastRowLastColumn="0"/>
            <w:tcW w:w="2552" w:type="dxa"/>
            <w:shd w:val="clear" w:color="auto" w:fill="F3F0F4"/>
          </w:tcPr>
          <w:p w14:paraId="2CBCEE8A"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szCs w:val="18"/>
                <w:lang w:val="en-US"/>
              </w:rPr>
              <w:t xml:space="preserve">Sexual </w:t>
            </w:r>
            <w:r w:rsidR="00EB0DAC" w:rsidRPr="009E2B03">
              <w:rPr>
                <w:rFonts w:ascii="Calibri Light" w:eastAsiaTheme="majorEastAsia" w:hAnsi="Calibri Light" w:cs="Arial"/>
                <w:szCs w:val="18"/>
                <w:lang w:val="en-US"/>
              </w:rPr>
              <w:t>a</w:t>
            </w:r>
            <w:r w:rsidRPr="009E2B03">
              <w:rPr>
                <w:rFonts w:ascii="Calibri Light" w:eastAsiaTheme="majorEastAsia" w:hAnsi="Calibri Light" w:cs="Arial"/>
                <w:szCs w:val="18"/>
                <w:lang w:val="en-US"/>
              </w:rPr>
              <w:t>ssault</w:t>
            </w:r>
          </w:p>
        </w:tc>
        <w:tc>
          <w:tcPr>
            <w:tcW w:w="1064" w:type="dxa"/>
            <w:vAlign w:val="center"/>
          </w:tcPr>
          <w:p w14:paraId="6717F919"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2.9</w:t>
            </w:r>
          </w:p>
        </w:tc>
        <w:tc>
          <w:tcPr>
            <w:tcW w:w="1065" w:type="dxa"/>
            <w:vAlign w:val="center"/>
          </w:tcPr>
          <w:p w14:paraId="1DBC338A"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3.1</w:t>
            </w:r>
          </w:p>
        </w:tc>
        <w:tc>
          <w:tcPr>
            <w:tcW w:w="1065" w:type="dxa"/>
            <w:vAlign w:val="center"/>
          </w:tcPr>
          <w:p w14:paraId="5811E77C"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2.3</w:t>
            </w:r>
          </w:p>
        </w:tc>
        <w:tc>
          <w:tcPr>
            <w:tcW w:w="1064" w:type="dxa"/>
            <w:vAlign w:val="center"/>
          </w:tcPr>
          <w:p w14:paraId="41EA5C49"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0</w:t>
            </w:r>
          </w:p>
        </w:tc>
        <w:tc>
          <w:tcPr>
            <w:tcW w:w="1065" w:type="dxa"/>
            <w:vAlign w:val="center"/>
          </w:tcPr>
          <w:p w14:paraId="56E326FF"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6.8</w:t>
            </w:r>
          </w:p>
        </w:tc>
        <w:tc>
          <w:tcPr>
            <w:tcW w:w="1065" w:type="dxa"/>
            <w:vAlign w:val="center"/>
          </w:tcPr>
          <w:p w14:paraId="635BF39B"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4.5</w:t>
            </w:r>
          </w:p>
        </w:tc>
      </w:tr>
      <w:tr w:rsidR="00403232" w:rsidRPr="009E2B03" w14:paraId="52EFA450" w14:textId="77777777" w:rsidTr="00BC5A4F">
        <w:tc>
          <w:tcPr>
            <w:cnfStyle w:val="001000000000" w:firstRow="0" w:lastRow="0" w:firstColumn="1" w:lastColumn="0" w:oddVBand="0" w:evenVBand="0" w:oddHBand="0" w:evenHBand="0" w:firstRowFirstColumn="0" w:firstRowLastColumn="0" w:lastRowFirstColumn="0" w:lastRowLastColumn="0"/>
            <w:tcW w:w="2552" w:type="dxa"/>
            <w:shd w:val="clear" w:color="auto" w:fill="F3F0F4"/>
          </w:tcPr>
          <w:p w14:paraId="04CCF1D5" w14:textId="77777777" w:rsidR="00403232" w:rsidRPr="009E2B03" w:rsidRDefault="00403232" w:rsidP="00403232">
            <w:pPr>
              <w:spacing w:before="40" w:after="40"/>
              <w:rPr>
                <w:rFonts w:ascii="Calibri Light" w:eastAsiaTheme="majorEastAsia" w:hAnsi="Calibri Light" w:cs="Arial"/>
                <w:b/>
                <w:szCs w:val="18"/>
                <w:lang w:val="en-US"/>
              </w:rPr>
            </w:pPr>
            <w:r w:rsidRPr="009E2B03">
              <w:rPr>
                <w:rFonts w:ascii="Calibri Light" w:eastAsiaTheme="majorEastAsia" w:hAnsi="Calibri Light" w:cs="Arial"/>
                <w:szCs w:val="18"/>
                <w:lang w:val="en-US"/>
              </w:rPr>
              <w:t>Deliberate damage to property or vandalism - House</w:t>
            </w:r>
          </w:p>
        </w:tc>
        <w:tc>
          <w:tcPr>
            <w:tcW w:w="1064" w:type="dxa"/>
            <w:vAlign w:val="center"/>
          </w:tcPr>
          <w:p w14:paraId="45663D2A"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2.4</w:t>
            </w:r>
          </w:p>
        </w:tc>
        <w:tc>
          <w:tcPr>
            <w:tcW w:w="1065" w:type="dxa"/>
            <w:vAlign w:val="center"/>
          </w:tcPr>
          <w:p w14:paraId="7E45445A"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1.7</w:t>
            </w:r>
          </w:p>
        </w:tc>
        <w:tc>
          <w:tcPr>
            <w:tcW w:w="1065" w:type="dxa"/>
            <w:vAlign w:val="center"/>
          </w:tcPr>
          <w:p w14:paraId="425C3791"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2.9</w:t>
            </w:r>
          </w:p>
        </w:tc>
        <w:tc>
          <w:tcPr>
            <w:tcW w:w="1064" w:type="dxa"/>
            <w:vAlign w:val="center"/>
          </w:tcPr>
          <w:p w14:paraId="66CC8DB7"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4.4</w:t>
            </w:r>
          </w:p>
        </w:tc>
        <w:tc>
          <w:tcPr>
            <w:tcW w:w="1065" w:type="dxa"/>
            <w:vAlign w:val="center"/>
          </w:tcPr>
          <w:p w14:paraId="50658FBA"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2.5</w:t>
            </w:r>
          </w:p>
        </w:tc>
        <w:tc>
          <w:tcPr>
            <w:tcW w:w="1065" w:type="dxa"/>
            <w:vAlign w:val="center"/>
          </w:tcPr>
          <w:p w14:paraId="6347C223" w14:textId="77777777" w:rsidR="00403232" w:rsidRPr="009E2B03" w:rsidRDefault="00403232" w:rsidP="0040323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lang w:val="en-US"/>
              </w:rPr>
            </w:pPr>
            <w:r w:rsidRPr="009E2B03">
              <w:rPr>
                <w:rFonts w:ascii="Calibri Light" w:eastAsiaTheme="majorEastAsia" w:hAnsi="Calibri Light" w:cs="Arial"/>
                <w:szCs w:val="18"/>
                <w:lang w:val="en-US"/>
              </w:rPr>
              <w:t>7.1</w:t>
            </w:r>
          </w:p>
        </w:tc>
      </w:tr>
    </w:tbl>
    <w:p w14:paraId="4E7F649B" w14:textId="77777777" w:rsidR="00403232" w:rsidRPr="009E2B03" w:rsidRDefault="00403232" w:rsidP="00403232">
      <w:pPr>
        <w:rPr>
          <w:rFonts w:ascii="Calibri Light" w:hAnsi="Calibri Light"/>
          <w:lang w:val="en-US"/>
        </w:rPr>
      </w:pPr>
      <w:r w:rsidRPr="009E2B03">
        <w:rPr>
          <w:rFonts w:ascii="Calibri Light" w:hAnsi="Calibri Light"/>
          <w:lang w:val="en-US"/>
        </w:rPr>
        <w:t>Source: Leonard et al, 2012, ‘</w:t>
      </w:r>
      <w:r w:rsidRPr="009E2B03">
        <w:rPr>
          <w:rFonts w:ascii="Calibri Light" w:hAnsi="Calibri Light"/>
          <w:i/>
          <w:lang w:val="en-US"/>
        </w:rPr>
        <w:t>Private Lives 2 Report: The second national survey of the health and wellbeing of GLBT Australians’</w:t>
      </w:r>
      <w:r w:rsidR="00FC29A3" w:rsidRPr="009E2B03">
        <w:rPr>
          <w:rFonts w:ascii="Calibri Light" w:hAnsi="Calibri Light"/>
          <w:lang w:val="en-US"/>
        </w:rPr>
        <w:t>.</w:t>
      </w:r>
    </w:p>
    <w:p w14:paraId="08437C75"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Most data collection in Australia does not account for sexual orientations, with limited collection of information on victims of violence who are bisexual, transgender or intersex. Research indicates that these individuals may be at high risk of physical and sexual violence, and at a higher risk than individuals in other same-sex relationships, yet there are few support services tailored to the need of these individuals. This may result in a significant burden for these individuals that is faced alone, with insufficient external support.</w:t>
      </w:r>
      <w:r w:rsidRPr="009E2B03">
        <w:rPr>
          <w:rStyle w:val="FootnoteReference"/>
          <w:rFonts w:ascii="Calibri Light" w:hAnsi="Calibri Light"/>
          <w:sz w:val="22"/>
          <w:lang w:val="en-US"/>
        </w:rPr>
        <w:footnoteReference w:id="117"/>
      </w:r>
    </w:p>
    <w:p w14:paraId="200A486E" w14:textId="77777777" w:rsidR="00403232" w:rsidRPr="009E2B03" w:rsidRDefault="00403232" w:rsidP="00403232">
      <w:pPr>
        <w:rPr>
          <w:rFonts w:ascii="Calibri Light" w:hAnsi="Calibri Light"/>
          <w:sz w:val="22"/>
          <w:lang w:val="en-US"/>
        </w:rPr>
      </w:pPr>
      <w:r w:rsidRPr="009E2B03">
        <w:rPr>
          <w:rFonts w:ascii="Calibri Light" w:hAnsi="Calibri Light"/>
          <w:sz w:val="22"/>
          <w:lang w:val="en-US"/>
        </w:rPr>
        <w:t>There are significant limitations in understanding violence against LGBTIQ victims, as there is limited availability of data and information to inform understanding. The National LGBTIQ Health Alliance has identified the need for reliable nationally, representative dat</w:t>
      </w:r>
      <w:r w:rsidR="00727EEA" w:rsidRPr="009E2B03">
        <w:rPr>
          <w:rFonts w:ascii="Calibri Light" w:hAnsi="Calibri Light"/>
          <w:sz w:val="22"/>
          <w:lang w:val="en-US"/>
        </w:rPr>
        <w:t>a</w:t>
      </w:r>
      <w:r w:rsidRPr="009E2B03">
        <w:rPr>
          <w:rFonts w:ascii="Calibri Light" w:hAnsi="Calibri Light"/>
          <w:sz w:val="22"/>
          <w:lang w:val="en-US"/>
        </w:rPr>
        <w:t xml:space="preserve"> on the prevalence and incidence of violence against LGBTIQ individuals, advocating for greater consideration of these at risk individuals in the development of</w:t>
      </w:r>
      <w:r w:rsidR="00727EEA" w:rsidRPr="009E2B03">
        <w:rPr>
          <w:rFonts w:ascii="Calibri Light" w:hAnsi="Calibri Light"/>
          <w:sz w:val="22"/>
          <w:lang w:val="en-US"/>
        </w:rPr>
        <w:t xml:space="preserve"> the</w:t>
      </w:r>
      <w:r w:rsidRPr="009E2B03">
        <w:rPr>
          <w:rFonts w:ascii="Calibri Light" w:hAnsi="Calibri Light"/>
          <w:sz w:val="22"/>
          <w:lang w:val="en-US"/>
        </w:rPr>
        <w:t xml:space="preserve"> National Data Collection and Reporting Framework. This is amplified by considerable underreporting issues. Research suggests that current estimates of violence against LGBTIQ individuals do not account for many unreported incidents. In particular, underreporting of domestic violence among gay men has been identified in research as a key issue for the LGBTIQ cohort, both in Australian and international literature.</w:t>
      </w:r>
      <w:r w:rsidRPr="009E2B03">
        <w:rPr>
          <w:rStyle w:val="FootnoteReference"/>
          <w:rFonts w:ascii="Calibri Light" w:hAnsi="Calibri Light"/>
          <w:sz w:val="22"/>
          <w:lang w:val="en-US"/>
        </w:rPr>
        <w:footnoteReference w:id="118"/>
      </w:r>
    </w:p>
    <w:p w14:paraId="45897914" w14:textId="77777777" w:rsidR="00403232" w:rsidRPr="009E2B03" w:rsidRDefault="00403232" w:rsidP="00BC5A4F">
      <w:pPr>
        <w:pStyle w:val="Heading3"/>
        <w:numPr>
          <w:ilvl w:val="2"/>
          <w:numId w:val="19"/>
        </w:numPr>
        <w:shd w:val="clear" w:color="auto" w:fill="FFFFFF" w:themeFill="background1"/>
        <w:rPr>
          <w:rFonts w:ascii="Calibri Light" w:hAnsi="Calibri Light"/>
          <w:color w:val="6D2077"/>
          <w:sz w:val="24"/>
        </w:rPr>
      </w:pPr>
      <w:r w:rsidRPr="009E2B03">
        <w:rPr>
          <w:rFonts w:ascii="Calibri Light" w:hAnsi="Calibri Light"/>
          <w:color w:val="6D2077"/>
          <w:sz w:val="24"/>
        </w:rPr>
        <w:t>Women with disability</w:t>
      </w:r>
    </w:p>
    <w:p w14:paraId="45F6DB4B" w14:textId="77777777" w:rsidR="00C75DC7" w:rsidRPr="009E2B03" w:rsidRDefault="00C75DC7" w:rsidP="00C75DC7">
      <w:pPr>
        <w:pStyle w:val="BodyBullet"/>
        <w:numPr>
          <w:ilvl w:val="0"/>
          <w:numId w:val="0"/>
        </w:numPr>
        <w:rPr>
          <w:rFonts w:ascii="Calibri Light" w:hAnsi="Calibri Light" w:cs="Arial"/>
          <w:color w:val="6D2077"/>
          <w:sz w:val="22"/>
        </w:rPr>
      </w:pPr>
      <w:r w:rsidRPr="009E2B03">
        <w:rPr>
          <w:rFonts w:ascii="Calibri Light" w:hAnsi="Calibri Light" w:cs="Arial"/>
          <w:b/>
          <w:color w:val="6D2077"/>
          <w:sz w:val="22"/>
        </w:rPr>
        <w:t>Women with disability face a higher risk of experiencing violence, and are also likely to experience violence at a more severe level and over a longer period. It is estimated that the cost of violence against women with disability is approximately $1.7 billion.</w:t>
      </w:r>
    </w:p>
    <w:p w14:paraId="2A479CB9"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 xml:space="preserve">Women with a disability face a significantly higher risk of experiencing violence. Broadly speaking, people with a disability are more vulnerable in society, due to diminished or limited physical, cognitive, and intellectual capacity, as well as greater dependence on others for financial and physical </w:t>
      </w:r>
      <w:r w:rsidRPr="009E2B03">
        <w:rPr>
          <w:rFonts w:ascii="Calibri Light" w:hAnsi="Calibri Light"/>
          <w:sz w:val="22"/>
        </w:rPr>
        <w:lastRenderedPageBreak/>
        <w:t>support. It has been suggested that women with disabilities are 40 per cent more likely to be the victims of domestic violence than women without disabilities, and more than 70 per cent of women with disabilities have been victims of violent sexual encounters at some time in their lives.</w:t>
      </w:r>
      <w:r w:rsidRPr="009E2B03">
        <w:rPr>
          <w:rStyle w:val="FootnoteReference"/>
          <w:rFonts w:ascii="Calibri Light" w:hAnsi="Calibri Light"/>
          <w:sz w:val="22"/>
        </w:rPr>
        <w:footnoteReference w:id="119"/>
      </w:r>
      <w:r w:rsidRPr="009E2B03">
        <w:rPr>
          <w:rFonts w:ascii="Calibri Light" w:hAnsi="Calibri Light"/>
          <w:sz w:val="22"/>
        </w:rPr>
        <w:t xml:space="preserve"> Similarly, a Victorian study conducted in 2008 concluded that 25 per cent of women who reported sexual violence to police had a disability, with 15 per cent having an intellectual disability and 5.9 per cent having a physical disability.</w:t>
      </w:r>
      <w:r w:rsidRPr="009E2B03">
        <w:rPr>
          <w:rStyle w:val="FootnoteReference"/>
          <w:rFonts w:ascii="Calibri Light" w:hAnsi="Calibri Light"/>
          <w:sz w:val="22"/>
        </w:rPr>
        <w:footnoteReference w:id="120"/>
      </w:r>
    </w:p>
    <w:p w14:paraId="18541BD5"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Data from the PSS shows that six per cent of women with a disability or long term health condition had experienced violence in the 12 months to the survey, compared to five per cent for women without a disability or long</w:t>
      </w:r>
      <w:r w:rsidR="005C41B8" w:rsidRPr="009E2B03">
        <w:rPr>
          <w:rFonts w:ascii="Calibri Light" w:hAnsi="Calibri Light"/>
          <w:sz w:val="22"/>
        </w:rPr>
        <w:t>-</w:t>
      </w:r>
      <w:r w:rsidRPr="009E2B03">
        <w:rPr>
          <w:rFonts w:ascii="Calibri Light" w:hAnsi="Calibri Light"/>
          <w:sz w:val="22"/>
        </w:rPr>
        <w:t>term health condition.</w:t>
      </w:r>
      <w:r w:rsidRPr="009E2B03">
        <w:rPr>
          <w:rStyle w:val="FootnoteReference"/>
          <w:rFonts w:ascii="Calibri Light" w:hAnsi="Calibri Light"/>
          <w:sz w:val="22"/>
        </w:rPr>
        <w:footnoteReference w:id="121"/>
      </w:r>
      <w:r w:rsidRPr="009E2B03">
        <w:rPr>
          <w:rFonts w:ascii="Calibri Light" w:hAnsi="Calibri Light"/>
          <w:sz w:val="22"/>
        </w:rPr>
        <w:t xml:space="preserve"> Further, women with a disability or long</w:t>
      </w:r>
      <w:r w:rsidR="005C41B8" w:rsidRPr="009E2B03">
        <w:rPr>
          <w:rFonts w:ascii="Calibri Light" w:hAnsi="Calibri Light"/>
          <w:sz w:val="22"/>
        </w:rPr>
        <w:t>-</w:t>
      </w:r>
      <w:r w:rsidRPr="009E2B03">
        <w:rPr>
          <w:rFonts w:ascii="Calibri Light" w:hAnsi="Calibri Light"/>
          <w:sz w:val="22"/>
        </w:rPr>
        <w:t>term health condition were found to be more likely to experience multiple incidents of violence when compared to the broader population. This suggests that women with disability may also face barriers to reporting violence and seeking support, with contributing factors likely to include financial or care dependency, or limited ability to access appropriate services without the intervention of a carer or family member. Women with a disability or a long</w:t>
      </w:r>
      <w:r w:rsidR="005C41B8" w:rsidRPr="009E2B03">
        <w:rPr>
          <w:rFonts w:ascii="Calibri Light" w:hAnsi="Calibri Light"/>
          <w:sz w:val="22"/>
        </w:rPr>
        <w:t>-</w:t>
      </w:r>
      <w:r w:rsidRPr="009E2B03">
        <w:rPr>
          <w:rFonts w:ascii="Calibri Light" w:hAnsi="Calibri Light"/>
          <w:sz w:val="22"/>
        </w:rPr>
        <w:t xml:space="preserve">term health condition also represent about half of all women who experienced sexual assault in the 12 months prior to the survey. </w:t>
      </w:r>
    </w:p>
    <w:p w14:paraId="6DBC7DD0" w14:textId="77777777" w:rsidR="00403232" w:rsidRPr="009E2B03" w:rsidRDefault="00403232" w:rsidP="00C95D8A">
      <w:pPr>
        <w:pBdr>
          <w:top w:val="single" w:sz="4" w:space="1" w:color="auto"/>
          <w:left w:val="single" w:sz="4" w:space="4" w:color="auto"/>
          <w:bottom w:val="single" w:sz="4" w:space="1" w:color="auto"/>
          <w:right w:val="single" w:sz="4" w:space="4" w:color="auto"/>
        </w:pBdr>
        <w:shd w:val="clear" w:color="auto" w:fill="F3F0F4"/>
        <w:tabs>
          <w:tab w:val="left" w:pos="8143"/>
        </w:tabs>
        <w:rPr>
          <w:rFonts w:ascii="Calibri Light" w:hAnsi="Calibri Light"/>
          <w:b/>
          <w:sz w:val="22"/>
        </w:rPr>
      </w:pPr>
      <w:r w:rsidRPr="009E2B03">
        <w:rPr>
          <w:rFonts w:ascii="Calibri Light" w:hAnsi="Calibri Light"/>
          <w:b/>
          <w:color w:val="6D2077"/>
          <w:sz w:val="22"/>
        </w:rPr>
        <w:t xml:space="preserve">Limitations associated with using the PSS </w:t>
      </w:r>
      <w:r w:rsidRPr="009E2B03">
        <w:rPr>
          <w:rFonts w:ascii="Calibri Light" w:hAnsi="Calibri Light"/>
          <w:b/>
          <w:sz w:val="22"/>
        </w:rPr>
        <w:tab/>
      </w:r>
    </w:p>
    <w:p w14:paraId="733380AE" w14:textId="77777777" w:rsidR="00403232" w:rsidRPr="009E2B03" w:rsidRDefault="00403232" w:rsidP="00C95D8A">
      <w:pPr>
        <w:pBdr>
          <w:top w:val="single" w:sz="4" w:space="1" w:color="auto"/>
          <w:left w:val="single" w:sz="4" w:space="4" w:color="auto"/>
          <w:bottom w:val="single" w:sz="4" w:space="1" w:color="auto"/>
          <w:right w:val="single" w:sz="4" w:space="4" w:color="auto"/>
        </w:pBdr>
        <w:shd w:val="clear" w:color="auto" w:fill="F3F0F4"/>
        <w:rPr>
          <w:rFonts w:ascii="Calibri Light" w:hAnsi="Calibri Light"/>
          <w:sz w:val="22"/>
        </w:rPr>
      </w:pPr>
      <w:r w:rsidRPr="009E2B03">
        <w:rPr>
          <w:rFonts w:ascii="Calibri Light" w:hAnsi="Calibri Light"/>
          <w:sz w:val="22"/>
        </w:rPr>
        <w:t xml:space="preserve">It is important to note that the PSS uses a standard measure of core activity limitation (used in other ABS surveys), which is based on the extent to which a person </w:t>
      </w:r>
      <w:r w:rsidR="005C41B8" w:rsidRPr="009E2B03">
        <w:rPr>
          <w:rFonts w:ascii="Calibri Light" w:hAnsi="Calibri Light"/>
          <w:sz w:val="22"/>
        </w:rPr>
        <w:t>‘</w:t>
      </w:r>
      <w:r w:rsidRPr="009E2B03">
        <w:rPr>
          <w:rFonts w:ascii="Calibri Light" w:hAnsi="Calibri Light"/>
          <w:sz w:val="22"/>
        </w:rPr>
        <w:t>needs help, has difficulty, or uses aids or equipment</w:t>
      </w:r>
      <w:r w:rsidR="005C41B8" w:rsidRPr="009E2B03">
        <w:rPr>
          <w:rFonts w:ascii="Calibri Light" w:hAnsi="Calibri Light"/>
          <w:sz w:val="22"/>
        </w:rPr>
        <w:t>’</w:t>
      </w:r>
      <w:r w:rsidRPr="009E2B03">
        <w:rPr>
          <w:rFonts w:ascii="Calibri Light" w:hAnsi="Calibri Light"/>
          <w:sz w:val="22"/>
        </w:rPr>
        <w:t xml:space="preserve">. Therefore, it only reports data on a point-in-time definition of disability, and does not consider possible changes over time. Further, the survey only selects respondents from private dwellings, with no respondents living in institutional care settings interviewed. </w:t>
      </w:r>
    </w:p>
    <w:p w14:paraId="19DC979D" w14:textId="77777777"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Violence against women with disability also includes different forms of abuse, including physical violence such as the withholding of food, water, medication or support, sexual violence, emotional violence, financial violence, and coercion and manipulation that may result from existing hierarchies between people with disability and people without disability.</w:t>
      </w:r>
      <w:r w:rsidRPr="009E2B03">
        <w:rPr>
          <w:rStyle w:val="FootnoteReference"/>
          <w:rFonts w:ascii="Calibri Light" w:hAnsi="Calibri Light"/>
          <w:sz w:val="22"/>
        </w:rPr>
        <w:footnoteReference w:id="122"/>
      </w:r>
      <w:r w:rsidRPr="009E2B03">
        <w:rPr>
          <w:rFonts w:ascii="Calibri Light" w:hAnsi="Calibri Light"/>
          <w:sz w:val="22"/>
        </w:rPr>
        <w:t xml:space="preserve"> The perpetuation of violence is also more likely to persist over time due to a range of contributing factors, including: </w:t>
      </w:r>
    </w:p>
    <w:p w14:paraId="3EB11403" w14:textId="77777777" w:rsidR="00403232" w:rsidRPr="009E2B03" w:rsidRDefault="00403232" w:rsidP="00403232">
      <w:pPr>
        <w:pStyle w:val="BodyBullet"/>
        <w:rPr>
          <w:rFonts w:ascii="Calibri Light" w:hAnsi="Calibri Light" w:cs="Arial"/>
          <w:sz w:val="22"/>
          <w:lang w:val="en-US"/>
        </w:rPr>
      </w:pPr>
      <w:r w:rsidRPr="009E2B03">
        <w:rPr>
          <w:rFonts w:ascii="Calibri Light" w:hAnsi="Calibri Light" w:cs="Arial"/>
          <w:sz w:val="22"/>
          <w:lang w:val="en-US"/>
        </w:rPr>
        <w:t>the place of residence or service setting</w:t>
      </w:r>
    </w:p>
    <w:p w14:paraId="2A5996DA" w14:textId="77777777" w:rsidR="00403232" w:rsidRPr="009E2B03" w:rsidRDefault="00403232" w:rsidP="00403232">
      <w:pPr>
        <w:pStyle w:val="BodyBullet"/>
        <w:rPr>
          <w:rFonts w:ascii="Calibri Light" w:hAnsi="Calibri Light" w:cs="Arial"/>
          <w:sz w:val="22"/>
          <w:lang w:val="en-US"/>
        </w:rPr>
      </w:pPr>
      <w:r w:rsidRPr="009E2B03">
        <w:rPr>
          <w:rFonts w:ascii="Calibri Light" w:hAnsi="Calibri Light" w:cs="Arial"/>
          <w:sz w:val="22"/>
          <w:lang w:val="en-US"/>
        </w:rPr>
        <w:t>physical, emotional and financial dependence on others</w:t>
      </w:r>
    </w:p>
    <w:p w14:paraId="49FCE1EA" w14:textId="77777777" w:rsidR="00403232" w:rsidRPr="009E2B03" w:rsidRDefault="00403232" w:rsidP="00403232">
      <w:pPr>
        <w:pStyle w:val="BodyBullet"/>
        <w:rPr>
          <w:rFonts w:ascii="Calibri Light" w:hAnsi="Calibri Light" w:cs="Arial"/>
          <w:sz w:val="22"/>
          <w:lang w:val="en-US"/>
        </w:rPr>
      </w:pPr>
      <w:r w:rsidRPr="009E2B03">
        <w:rPr>
          <w:rFonts w:ascii="Calibri Light" w:hAnsi="Calibri Light" w:cs="Arial"/>
          <w:sz w:val="22"/>
          <w:lang w:val="en-US"/>
        </w:rPr>
        <w:t>lack of access to the broader service system</w:t>
      </w:r>
    </w:p>
    <w:p w14:paraId="0573BB1B" w14:textId="77777777" w:rsidR="00403232" w:rsidRPr="009E2B03" w:rsidRDefault="00403232" w:rsidP="00403232">
      <w:pPr>
        <w:pStyle w:val="BodyBullet"/>
        <w:rPr>
          <w:rFonts w:ascii="Calibri Light" w:hAnsi="Calibri Light" w:cs="Arial"/>
          <w:sz w:val="22"/>
          <w:lang w:val="en-US"/>
        </w:rPr>
      </w:pPr>
      <w:r w:rsidRPr="009E2B03">
        <w:rPr>
          <w:rFonts w:ascii="Calibri Light" w:hAnsi="Calibri Light" w:cs="Arial"/>
          <w:sz w:val="22"/>
          <w:lang w:val="en-US"/>
        </w:rPr>
        <w:t>limited participation and access in decision making</w:t>
      </w:r>
    </w:p>
    <w:p w14:paraId="43DDC044" w14:textId="77777777" w:rsidR="00403232" w:rsidRPr="009E2B03" w:rsidRDefault="00403232" w:rsidP="00403232">
      <w:pPr>
        <w:pStyle w:val="BodyBullet"/>
        <w:rPr>
          <w:rFonts w:ascii="Calibri Light" w:hAnsi="Calibri Light" w:cs="Arial"/>
          <w:sz w:val="22"/>
          <w:lang w:val="en-US"/>
        </w:rPr>
      </w:pPr>
      <w:r w:rsidRPr="009E2B03">
        <w:rPr>
          <w:rFonts w:ascii="Calibri Light" w:hAnsi="Calibri Light" w:cs="Arial"/>
          <w:sz w:val="22"/>
          <w:lang w:val="en-US"/>
        </w:rPr>
        <w:t>fear of disclosure.</w:t>
      </w:r>
    </w:p>
    <w:p w14:paraId="2D25D928" w14:textId="21E72B04" w:rsidR="00403232" w:rsidRPr="009E2B03" w:rsidRDefault="00403232" w:rsidP="00403232">
      <w:pPr>
        <w:shd w:val="clear" w:color="auto" w:fill="FFFFFF" w:themeFill="background1"/>
        <w:rPr>
          <w:rFonts w:ascii="Calibri Light" w:hAnsi="Calibri Light"/>
          <w:sz w:val="22"/>
        </w:rPr>
      </w:pPr>
      <w:r w:rsidRPr="009E2B03">
        <w:rPr>
          <w:rFonts w:ascii="Calibri Light" w:hAnsi="Calibri Light"/>
          <w:sz w:val="22"/>
        </w:rPr>
        <w:t>Importantly, heightened vulnerability among women with disability can also create or reinforce other areas of disadvantage. For example, AIHW data on specialist homeless services identifies that approximately 15 per cent of women who access services citing domestic violence as a key reason also have a form of disability.</w:t>
      </w:r>
      <w:r w:rsidRPr="009E2B03">
        <w:rPr>
          <w:rStyle w:val="FootnoteReference"/>
          <w:rFonts w:ascii="Calibri Light" w:hAnsi="Calibri Light"/>
          <w:sz w:val="22"/>
        </w:rPr>
        <w:footnoteReference w:id="123"/>
      </w:r>
      <w:r w:rsidRPr="009E2B03">
        <w:rPr>
          <w:rFonts w:ascii="Calibri Light" w:hAnsi="Calibri Light"/>
          <w:sz w:val="22"/>
        </w:rPr>
        <w:t xml:space="preserve"> Further, there is also a need to address the multiple forms of violence and abuse that may result from the intersection of disability with other socio-demographic</w:t>
      </w:r>
      <w:r w:rsidR="00036345">
        <w:rPr>
          <w:rFonts w:ascii="Calibri Light" w:hAnsi="Calibri Light"/>
          <w:sz w:val="22"/>
        </w:rPr>
        <w:t xml:space="preserve"> c</w:t>
      </w:r>
      <w:r w:rsidRPr="009E2B03">
        <w:rPr>
          <w:rFonts w:ascii="Calibri Light" w:hAnsi="Calibri Light"/>
          <w:sz w:val="22"/>
        </w:rPr>
        <w:t>haracteristics such as age, Aboriginal and Torres Strait Islander</w:t>
      </w:r>
      <w:r w:rsidRPr="009E2B03" w:rsidDel="00D5154C">
        <w:rPr>
          <w:rFonts w:ascii="Calibri Light" w:hAnsi="Calibri Light"/>
          <w:sz w:val="22"/>
        </w:rPr>
        <w:t xml:space="preserve"> </w:t>
      </w:r>
      <w:r w:rsidRPr="009E2B03">
        <w:rPr>
          <w:rFonts w:ascii="Calibri Light" w:hAnsi="Calibri Light"/>
          <w:sz w:val="22"/>
        </w:rPr>
        <w:t>status and racial, cultural or linguistic status.</w:t>
      </w:r>
      <w:r w:rsidRPr="009E2B03">
        <w:rPr>
          <w:rStyle w:val="FootnoteReference"/>
          <w:rFonts w:ascii="Calibri Light" w:hAnsi="Calibri Light"/>
          <w:sz w:val="22"/>
        </w:rPr>
        <w:footnoteReference w:id="124"/>
      </w:r>
      <w:r w:rsidRPr="009E2B03">
        <w:rPr>
          <w:rFonts w:ascii="Calibri Light" w:hAnsi="Calibri Light"/>
          <w:sz w:val="22"/>
        </w:rPr>
        <w:t xml:space="preserve"> </w:t>
      </w:r>
    </w:p>
    <w:p w14:paraId="35D8DFDB" w14:textId="77777777" w:rsidR="00CA005A" w:rsidRPr="009E2B03" w:rsidRDefault="00CA005A" w:rsidP="00CA005A">
      <w:pPr>
        <w:pStyle w:val="Heading2"/>
        <w:numPr>
          <w:ilvl w:val="1"/>
          <w:numId w:val="19"/>
        </w:numPr>
        <w:rPr>
          <w:rFonts w:ascii="Calibri Light" w:hAnsi="Calibri Light"/>
          <w:color w:val="6D2077"/>
          <w:sz w:val="36"/>
        </w:rPr>
      </w:pPr>
      <w:bookmarkStart w:id="95" w:name="_Toc449553524"/>
      <w:bookmarkStart w:id="96" w:name="_Ref447375429"/>
      <w:bookmarkEnd w:id="69"/>
      <w:bookmarkEnd w:id="87"/>
      <w:r w:rsidRPr="009E2B03">
        <w:rPr>
          <w:rFonts w:ascii="Calibri Light" w:hAnsi="Calibri Light"/>
          <w:color w:val="6D2077"/>
          <w:sz w:val="36"/>
        </w:rPr>
        <w:lastRenderedPageBreak/>
        <w:t>Additional cost of violence against vulnerable women</w:t>
      </w:r>
      <w:bookmarkEnd w:id="95"/>
    </w:p>
    <w:p w14:paraId="5C10A422" w14:textId="77777777" w:rsidR="0072706B" w:rsidRPr="009E2B03" w:rsidRDefault="00CA005A" w:rsidP="00CA005A">
      <w:pPr>
        <w:tabs>
          <w:tab w:val="left" w:pos="2733"/>
        </w:tabs>
        <w:rPr>
          <w:rFonts w:ascii="Calibri Light" w:hAnsi="Calibri Light"/>
          <w:sz w:val="22"/>
        </w:rPr>
      </w:pPr>
      <w:r w:rsidRPr="009E2B03">
        <w:rPr>
          <w:rFonts w:ascii="Calibri Light" w:hAnsi="Calibri Light"/>
          <w:sz w:val="22"/>
        </w:rPr>
        <w:t>The higher rates of violence for many vulnerable women</w:t>
      </w:r>
      <w:r w:rsidR="003E4D29" w:rsidRPr="009E2B03">
        <w:rPr>
          <w:rFonts w:ascii="Calibri Light" w:hAnsi="Calibri Light"/>
          <w:sz w:val="22"/>
        </w:rPr>
        <w:t xml:space="preserve"> documented in </w:t>
      </w:r>
      <w:r w:rsidR="001B7129" w:rsidRPr="009E2B03">
        <w:rPr>
          <w:rFonts w:ascii="Calibri Light" w:hAnsi="Calibri Light"/>
          <w:sz w:val="22"/>
        </w:rPr>
        <w:t>S</w:t>
      </w:r>
      <w:r w:rsidR="003E4D29" w:rsidRPr="009E2B03">
        <w:rPr>
          <w:rFonts w:ascii="Calibri Light" w:hAnsi="Calibri Light"/>
          <w:sz w:val="22"/>
        </w:rPr>
        <w:t>ection 4</w:t>
      </w:r>
      <w:r w:rsidRPr="009E2B03">
        <w:rPr>
          <w:rFonts w:ascii="Calibri Light" w:hAnsi="Calibri Light"/>
          <w:sz w:val="22"/>
        </w:rPr>
        <w:t xml:space="preserve"> indicate that the central prevalence </w:t>
      </w:r>
      <w:r w:rsidR="003E4D29" w:rsidRPr="009E2B03">
        <w:rPr>
          <w:rFonts w:ascii="Calibri Light" w:hAnsi="Calibri Light"/>
          <w:sz w:val="22"/>
        </w:rPr>
        <w:t>calculations</w:t>
      </w:r>
      <w:r w:rsidRPr="009E2B03">
        <w:rPr>
          <w:rFonts w:ascii="Calibri Light" w:hAnsi="Calibri Light"/>
          <w:sz w:val="22"/>
        </w:rPr>
        <w:t xml:space="preserve"> in the PSS underestimate the full sco</w:t>
      </w:r>
      <w:r w:rsidR="003E4D29" w:rsidRPr="009E2B03">
        <w:rPr>
          <w:rFonts w:ascii="Calibri Light" w:hAnsi="Calibri Light"/>
          <w:sz w:val="22"/>
        </w:rPr>
        <w:t>p</w:t>
      </w:r>
      <w:r w:rsidR="00D124AD" w:rsidRPr="009E2B03">
        <w:rPr>
          <w:rFonts w:ascii="Calibri Light" w:hAnsi="Calibri Light"/>
          <w:sz w:val="22"/>
        </w:rPr>
        <w:t xml:space="preserve">e of violence across Australia. As </w:t>
      </w:r>
      <w:r w:rsidR="0055746E" w:rsidRPr="009E2B03">
        <w:rPr>
          <w:rFonts w:ascii="Calibri Light" w:hAnsi="Calibri Light"/>
          <w:sz w:val="22"/>
        </w:rPr>
        <w:t>a result</w:t>
      </w:r>
      <w:r w:rsidR="00D124AD" w:rsidRPr="009E2B03">
        <w:rPr>
          <w:rFonts w:ascii="Calibri Light" w:hAnsi="Calibri Light"/>
          <w:sz w:val="22"/>
        </w:rPr>
        <w:t xml:space="preserve">, the </w:t>
      </w:r>
      <w:r w:rsidR="0072706B" w:rsidRPr="009E2B03">
        <w:rPr>
          <w:rFonts w:ascii="Calibri Light" w:hAnsi="Calibri Light"/>
          <w:sz w:val="22"/>
        </w:rPr>
        <w:t xml:space="preserve">cost of violence pertaining to these underrepresented cohorts is </w:t>
      </w:r>
      <w:r w:rsidR="0055746E" w:rsidRPr="009E2B03">
        <w:rPr>
          <w:rFonts w:ascii="Calibri Light" w:hAnsi="Calibri Light"/>
          <w:sz w:val="22"/>
        </w:rPr>
        <w:t xml:space="preserve">not fully </w:t>
      </w:r>
      <w:r w:rsidR="0072706B" w:rsidRPr="009E2B03">
        <w:rPr>
          <w:rFonts w:ascii="Calibri Light" w:hAnsi="Calibri Light"/>
          <w:sz w:val="22"/>
        </w:rPr>
        <w:t>accounted for in the central costing es</w:t>
      </w:r>
      <w:r w:rsidR="00C15DB0" w:rsidRPr="009E2B03">
        <w:rPr>
          <w:rFonts w:ascii="Calibri Light" w:hAnsi="Calibri Light"/>
          <w:sz w:val="22"/>
        </w:rPr>
        <w:t>timates.</w:t>
      </w:r>
    </w:p>
    <w:p w14:paraId="05758273" w14:textId="77777777" w:rsidR="0072706B" w:rsidRPr="009E2B03" w:rsidRDefault="00C15DB0" w:rsidP="006D1E80">
      <w:pPr>
        <w:tabs>
          <w:tab w:val="left" w:pos="2733"/>
        </w:tabs>
        <w:rPr>
          <w:rFonts w:ascii="Calibri Light" w:hAnsi="Calibri Light"/>
          <w:sz w:val="22"/>
          <w:lang w:val="en-US"/>
        </w:rPr>
      </w:pPr>
      <w:r w:rsidRPr="009E2B03">
        <w:rPr>
          <w:rFonts w:ascii="Calibri Light" w:hAnsi="Calibri Light"/>
          <w:sz w:val="22"/>
        </w:rPr>
        <w:t xml:space="preserve">As identified throughout </w:t>
      </w:r>
      <w:r w:rsidR="001B7129" w:rsidRPr="009E2B03">
        <w:rPr>
          <w:rFonts w:ascii="Calibri Light" w:hAnsi="Calibri Light"/>
          <w:sz w:val="22"/>
        </w:rPr>
        <w:t>S</w:t>
      </w:r>
      <w:r w:rsidRPr="009E2B03">
        <w:rPr>
          <w:rFonts w:ascii="Calibri Light" w:hAnsi="Calibri Light"/>
          <w:sz w:val="22"/>
        </w:rPr>
        <w:t xml:space="preserve">ection 4, </w:t>
      </w:r>
      <w:r w:rsidR="00BC4D85" w:rsidRPr="009E2B03">
        <w:rPr>
          <w:rFonts w:ascii="Calibri Light" w:hAnsi="Calibri Light"/>
          <w:sz w:val="22"/>
        </w:rPr>
        <w:t>indicative</w:t>
      </w:r>
      <w:r w:rsidRPr="009E2B03">
        <w:rPr>
          <w:rFonts w:ascii="Calibri Light" w:hAnsi="Calibri Light"/>
          <w:sz w:val="22"/>
        </w:rPr>
        <w:t xml:space="preserve"> estimates of the additional costs, based on available evidence of underrepresentation of prevalence within the PSS</w:t>
      </w:r>
      <w:r w:rsidR="006D1E80" w:rsidRPr="009E2B03">
        <w:rPr>
          <w:rFonts w:ascii="Calibri Light" w:hAnsi="Calibri Light"/>
          <w:sz w:val="22"/>
        </w:rPr>
        <w:t>, has been undertaken for</w:t>
      </w:r>
      <w:r w:rsidR="0055746E" w:rsidRPr="009E2B03">
        <w:rPr>
          <w:rFonts w:ascii="Calibri Light" w:hAnsi="Calibri Light"/>
          <w:sz w:val="22"/>
        </w:rPr>
        <w:t>:</w:t>
      </w:r>
      <w:r w:rsidR="006D1E80" w:rsidRPr="009E2B03">
        <w:rPr>
          <w:rFonts w:ascii="Calibri Light" w:hAnsi="Calibri Light"/>
          <w:sz w:val="22"/>
        </w:rPr>
        <w:t xml:space="preserve"> </w:t>
      </w:r>
      <w:r w:rsidR="0072706B" w:rsidRPr="009E2B03">
        <w:rPr>
          <w:rFonts w:ascii="Calibri Light" w:hAnsi="Calibri Light"/>
          <w:sz w:val="22"/>
          <w:lang w:val="en-US"/>
        </w:rPr>
        <w:t>Aboriginal and Torres Strait Islander women, women who are pregnant, women with a disability, and women who experience homelessness as a result of violence.</w:t>
      </w:r>
    </w:p>
    <w:p w14:paraId="081A1DF1" w14:textId="77777777" w:rsidR="00C15DB0" w:rsidRPr="009E2B03" w:rsidRDefault="001B7129" w:rsidP="006D1E80">
      <w:pPr>
        <w:pStyle w:val="BodyBullet"/>
        <w:numPr>
          <w:ilvl w:val="0"/>
          <w:numId w:val="0"/>
        </w:numPr>
        <w:rPr>
          <w:rFonts w:ascii="Calibri Light" w:hAnsi="Calibri Light" w:cs="Arial"/>
          <w:sz w:val="22"/>
        </w:rPr>
      </w:pPr>
      <w:r w:rsidRPr="009E2B03">
        <w:rPr>
          <w:rFonts w:ascii="Calibri Light" w:hAnsi="Calibri Light" w:cs="Arial"/>
          <w:sz w:val="22"/>
        </w:rPr>
        <w:t>We</w:t>
      </w:r>
      <w:r w:rsidR="00C15DB0" w:rsidRPr="009E2B03">
        <w:rPr>
          <w:rFonts w:ascii="Calibri Light" w:hAnsi="Calibri Light" w:cs="Arial"/>
          <w:sz w:val="22"/>
        </w:rPr>
        <w:t xml:space="preserve"> suggest that the</w:t>
      </w:r>
      <w:r w:rsidRPr="009E2B03">
        <w:rPr>
          <w:rFonts w:ascii="Calibri Light" w:hAnsi="Calibri Light" w:cs="Arial"/>
          <w:sz w:val="22"/>
        </w:rPr>
        <w:t>se</w:t>
      </w:r>
      <w:r w:rsidR="00C15DB0" w:rsidRPr="009E2B03">
        <w:rPr>
          <w:rFonts w:ascii="Calibri Light" w:hAnsi="Calibri Light" w:cs="Arial"/>
          <w:sz w:val="22"/>
        </w:rPr>
        <w:t xml:space="preserve"> are conservative estimates, </w:t>
      </w:r>
      <w:r w:rsidR="00C15DB0" w:rsidRPr="009E2B03">
        <w:rPr>
          <w:rFonts w:ascii="Calibri Light" w:hAnsi="Calibri Light" w:cs="Arial"/>
          <w:sz w:val="22"/>
          <w:lang w:val="en-US"/>
        </w:rPr>
        <w:t>specifically</w:t>
      </w:r>
      <w:r w:rsidR="00C15DB0" w:rsidRPr="009E2B03">
        <w:rPr>
          <w:rFonts w:ascii="Calibri Light" w:hAnsi="Calibri Light" w:cs="Arial"/>
          <w:sz w:val="22"/>
        </w:rPr>
        <w:t xml:space="preserve">, because they do not consider: </w:t>
      </w:r>
    </w:p>
    <w:p w14:paraId="6CFB67D0" w14:textId="77777777" w:rsidR="00C15DB0" w:rsidRPr="009E2B03" w:rsidRDefault="00C15DB0" w:rsidP="00C15DB0">
      <w:pPr>
        <w:pStyle w:val="BodyBullet"/>
        <w:rPr>
          <w:rFonts w:ascii="Calibri Light" w:hAnsi="Calibri Light" w:cs="Arial"/>
          <w:sz w:val="22"/>
          <w:lang w:val="en-US"/>
        </w:rPr>
      </w:pPr>
      <w:r w:rsidRPr="009E2B03">
        <w:rPr>
          <w:rFonts w:ascii="Calibri Light" w:hAnsi="Calibri Light" w:cs="Arial"/>
          <w:sz w:val="22"/>
          <w:lang w:val="en-US"/>
        </w:rPr>
        <w:t>the extent of potential underreporting of violence</w:t>
      </w:r>
    </w:p>
    <w:p w14:paraId="03CA786C" w14:textId="77777777" w:rsidR="00C15DB0" w:rsidRPr="009E2B03" w:rsidRDefault="00C15DB0" w:rsidP="00C15DB0">
      <w:pPr>
        <w:pStyle w:val="BodyBullet"/>
        <w:rPr>
          <w:rFonts w:ascii="Calibri Light" w:hAnsi="Calibri Light" w:cs="Arial"/>
          <w:sz w:val="22"/>
          <w:lang w:val="en-US"/>
        </w:rPr>
      </w:pPr>
      <w:r w:rsidRPr="009E2B03">
        <w:rPr>
          <w:rFonts w:ascii="Calibri Light" w:hAnsi="Calibri Light" w:cs="Arial"/>
          <w:sz w:val="22"/>
          <w:lang w:val="en-US"/>
        </w:rPr>
        <w:t>the potential need for more intensive service provision and support in the event of experiencing violence</w:t>
      </w:r>
    </w:p>
    <w:p w14:paraId="097A8368" w14:textId="77777777" w:rsidR="00C15DB0" w:rsidRPr="009E2B03" w:rsidRDefault="00C15DB0" w:rsidP="00C15DB0">
      <w:pPr>
        <w:pStyle w:val="BodyBullet"/>
        <w:rPr>
          <w:rFonts w:ascii="Calibri Light" w:hAnsi="Calibri Light" w:cs="Arial"/>
          <w:i/>
          <w:iCs/>
          <w:sz w:val="22"/>
        </w:rPr>
      </w:pPr>
      <w:r w:rsidRPr="009E2B03">
        <w:rPr>
          <w:rFonts w:ascii="Calibri Light" w:hAnsi="Calibri Light" w:cs="Arial"/>
          <w:sz w:val="22"/>
          <w:lang w:val="en-US"/>
        </w:rPr>
        <w:t>potential underrepresentation of broader cohorts where data was not sufficient to undertake a similar estimation, for example women from culturally and linguistically diverse (CALD) backgrounds</w:t>
      </w:r>
      <w:r w:rsidRPr="009E2B03">
        <w:rPr>
          <w:rFonts w:ascii="Calibri Light" w:hAnsi="Calibri Light" w:cs="Arial"/>
          <w:i/>
          <w:iCs/>
          <w:sz w:val="22"/>
        </w:rPr>
        <w:t xml:space="preserve">, </w:t>
      </w:r>
      <w:r w:rsidRPr="009E2B03">
        <w:rPr>
          <w:rFonts w:ascii="Calibri Light" w:hAnsi="Calibri Light" w:cs="Arial"/>
          <w:iCs/>
          <w:sz w:val="22"/>
        </w:rPr>
        <w:t>and women who identify as LGBTIQ</w:t>
      </w:r>
      <w:r w:rsidRPr="009E2B03">
        <w:rPr>
          <w:rFonts w:ascii="Calibri Light" w:hAnsi="Calibri Light" w:cs="Arial"/>
          <w:i/>
          <w:iCs/>
          <w:sz w:val="22"/>
        </w:rPr>
        <w:t>.</w:t>
      </w:r>
    </w:p>
    <w:p w14:paraId="3C0FDACA" w14:textId="77777777" w:rsidR="006D1E80" w:rsidRPr="009E2B03" w:rsidRDefault="006D1E80" w:rsidP="006D1E80">
      <w:pPr>
        <w:tabs>
          <w:tab w:val="left" w:pos="2733"/>
        </w:tabs>
        <w:rPr>
          <w:rFonts w:ascii="Calibri Light" w:hAnsi="Calibri Light"/>
          <w:sz w:val="22"/>
        </w:rPr>
      </w:pPr>
      <w:r w:rsidRPr="009E2B03">
        <w:rPr>
          <w:rFonts w:ascii="Calibri Light" w:hAnsi="Calibri Light"/>
          <w:sz w:val="22"/>
        </w:rPr>
        <w:fldChar w:fldCharType="begin"/>
      </w:r>
      <w:r w:rsidRPr="009E2B03">
        <w:rPr>
          <w:rFonts w:ascii="Calibri Light" w:hAnsi="Calibri Light"/>
          <w:sz w:val="22"/>
        </w:rPr>
        <w:instrText xml:space="preserve"> REF _Ref447375429 \h </w:instrText>
      </w:r>
      <w:r w:rsidR="009B0258" w:rsidRPr="009E2B03">
        <w:rPr>
          <w:rFonts w:ascii="Calibri Light" w:hAnsi="Calibri Light"/>
          <w:sz w:val="22"/>
        </w:rPr>
        <w:instrText xml:space="preserve"> \* MERGEFORMAT </w:instrText>
      </w:r>
      <w:r w:rsidRPr="009E2B03">
        <w:rPr>
          <w:rFonts w:ascii="Calibri Light" w:hAnsi="Calibri Light"/>
          <w:sz w:val="22"/>
        </w:rPr>
        <w:fldChar w:fldCharType="separate"/>
      </w:r>
      <w:r w:rsidR="00417237">
        <w:rPr>
          <w:rFonts w:ascii="Calibri Light" w:hAnsi="Calibri Light"/>
          <w:b/>
          <w:bCs/>
          <w:sz w:val="22"/>
          <w:lang w:val="en-US"/>
        </w:rPr>
        <w:t>Error! Not a valid bookmark self-reference.</w:t>
      </w:r>
      <w:r w:rsidRPr="009E2B03">
        <w:rPr>
          <w:rFonts w:ascii="Calibri Light" w:hAnsi="Calibri Light"/>
          <w:sz w:val="22"/>
        </w:rPr>
        <w:fldChar w:fldCharType="end"/>
      </w:r>
      <w:r w:rsidRPr="009E2B03">
        <w:rPr>
          <w:rFonts w:ascii="Calibri Light" w:hAnsi="Calibri Light"/>
          <w:sz w:val="22"/>
        </w:rPr>
        <w:t xml:space="preserve"> below provides a summary of the </w:t>
      </w:r>
      <w:r w:rsidR="001B7129" w:rsidRPr="009E2B03">
        <w:rPr>
          <w:rFonts w:ascii="Calibri Light" w:hAnsi="Calibri Light"/>
          <w:sz w:val="22"/>
        </w:rPr>
        <w:t xml:space="preserve">estimated </w:t>
      </w:r>
      <w:r w:rsidRPr="009E2B03">
        <w:rPr>
          <w:rFonts w:ascii="Calibri Light" w:hAnsi="Calibri Light"/>
          <w:sz w:val="22"/>
        </w:rPr>
        <w:t>additional costs for the cohorts underrepresented in the PSS and which have been identified to be of greater risk or vulnerability of experiencing violence.</w:t>
      </w:r>
    </w:p>
    <w:p w14:paraId="47493F17" w14:textId="77777777" w:rsidR="003E4D29" w:rsidRPr="009E2B03" w:rsidRDefault="0055746E" w:rsidP="00CA005A">
      <w:pPr>
        <w:pStyle w:val="Caption"/>
        <w:rPr>
          <w:rFonts w:ascii="Calibri Light" w:hAnsi="Calibri Light" w:cs="Arial"/>
          <w:i w:val="0"/>
          <w:sz w:val="22"/>
        </w:rPr>
        <w:sectPr w:rsidR="003E4D29" w:rsidRPr="009E2B03" w:rsidSect="003E4D29">
          <w:headerReference w:type="even" r:id="rId22"/>
          <w:headerReference w:type="default" r:id="rId23"/>
          <w:footerReference w:type="default" r:id="rId24"/>
          <w:headerReference w:type="first" r:id="rId25"/>
          <w:pgSz w:w="11906" w:h="16838"/>
          <w:pgMar w:top="1440" w:right="1440" w:bottom="1440" w:left="1440" w:header="708" w:footer="708" w:gutter="0"/>
          <w:cols w:space="708"/>
          <w:docGrid w:linePitch="360"/>
        </w:sectPr>
      </w:pPr>
      <w:r w:rsidRPr="009E2B03">
        <w:rPr>
          <w:rFonts w:ascii="Calibri Light" w:hAnsi="Calibri Light" w:cs="Arial"/>
          <w:i w:val="0"/>
          <w:sz w:val="22"/>
        </w:rPr>
        <w:t>These supplementary cost estimates should be considered preliminary, and in conjunction with the supporting research and the limitations outlined in the main body of the report.</w:t>
      </w:r>
    </w:p>
    <w:p w14:paraId="600628AD" w14:textId="77777777" w:rsidR="00CA005A" w:rsidRPr="009E2B03" w:rsidRDefault="00CA005A" w:rsidP="00CA005A">
      <w:pPr>
        <w:pStyle w:val="Caption"/>
        <w:rPr>
          <w:rFonts w:ascii="Calibri Light" w:hAnsi="Calibri Light" w:cs="Arial"/>
          <w:sz w:val="22"/>
        </w:rPr>
      </w:pPr>
      <w:r w:rsidRPr="009E2B03">
        <w:rPr>
          <w:rFonts w:ascii="Calibri Light" w:hAnsi="Calibri Light" w:cs="Arial"/>
          <w:sz w:val="22"/>
        </w:rPr>
        <w:lastRenderedPageBreak/>
        <w:t xml:space="preserve">Table </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4</w:t>
      </w:r>
      <w:r w:rsidR="00CF0F96" w:rsidRPr="009E2B03">
        <w:rPr>
          <w:rFonts w:ascii="Calibri Light" w:hAnsi="Calibri Light" w:cs="Arial"/>
          <w:noProof/>
          <w:sz w:val="22"/>
        </w:rPr>
        <w:fldChar w:fldCharType="end"/>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5</w:t>
      </w:r>
      <w:r w:rsidR="00CF0F96" w:rsidRPr="009E2B03">
        <w:rPr>
          <w:rFonts w:ascii="Calibri Light" w:hAnsi="Calibri Light" w:cs="Arial"/>
          <w:noProof/>
          <w:sz w:val="22"/>
        </w:rPr>
        <w:fldChar w:fldCharType="end"/>
      </w:r>
      <w:bookmarkEnd w:id="96"/>
      <w:r w:rsidRPr="009E2B03">
        <w:rPr>
          <w:rFonts w:ascii="Calibri Light" w:hAnsi="Calibri Light" w:cs="Arial"/>
          <w:sz w:val="22"/>
        </w:rPr>
        <w:t>: Additional costs for cohorts experiencing a varied rate of violence to the broader population</w:t>
      </w:r>
    </w:p>
    <w:tbl>
      <w:tblPr>
        <w:tblStyle w:val="KPMGtable1"/>
        <w:tblW w:w="13892" w:type="dxa"/>
        <w:tblLook w:val="04A0" w:firstRow="1" w:lastRow="0" w:firstColumn="1" w:lastColumn="0" w:noHBand="0" w:noVBand="1"/>
        <w:tblCaption w:val="Table of information on additional costs for cohorts experiencing a varied rate of violence to the broader population"/>
      </w:tblPr>
      <w:tblGrid>
        <w:gridCol w:w="1701"/>
        <w:gridCol w:w="3261"/>
        <w:gridCol w:w="3543"/>
        <w:gridCol w:w="3828"/>
        <w:gridCol w:w="1559"/>
      </w:tblGrid>
      <w:tr w:rsidR="00CA005A" w:rsidRPr="009E2B03" w14:paraId="1F256F24" w14:textId="77777777" w:rsidTr="00C95D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6D2077"/>
          </w:tcPr>
          <w:p w14:paraId="67534E16" w14:textId="77777777" w:rsidR="00CA005A" w:rsidRPr="009E2B03" w:rsidRDefault="00CA005A" w:rsidP="00BC4D85">
            <w:pPr>
              <w:pStyle w:val="BodyBullet"/>
              <w:numPr>
                <w:ilvl w:val="0"/>
                <w:numId w:val="0"/>
              </w:numPr>
              <w:spacing w:before="40" w:after="40"/>
              <w:ind w:left="360" w:hanging="360"/>
              <w:rPr>
                <w:rFonts w:ascii="Calibri Light" w:hAnsi="Calibri Light" w:cs="Arial"/>
                <w:b/>
                <w:szCs w:val="20"/>
              </w:rPr>
            </w:pPr>
            <w:r w:rsidRPr="009E2B03">
              <w:rPr>
                <w:rFonts w:ascii="Calibri Light" w:hAnsi="Calibri Light" w:cs="Arial"/>
                <w:b/>
                <w:szCs w:val="20"/>
              </w:rPr>
              <w:t>Cohort</w:t>
            </w:r>
          </w:p>
        </w:tc>
        <w:tc>
          <w:tcPr>
            <w:tcW w:w="3261" w:type="dxa"/>
            <w:shd w:val="clear" w:color="auto" w:fill="6D2077"/>
          </w:tcPr>
          <w:p w14:paraId="01E788A6" w14:textId="77777777" w:rsidR="00CA005A" w:rsidRPr="009E2B03" w:rsidRDefault="00CA005A" w:rsidP="00BC4D85">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bCs/>
                <w:color w:val="FFFFFF"/>
              </w:rPr>
            </w:pPr>
            <w:r w:rsidRPr="009E2B03">
              <w:rPr>
                <w:rFonts w:ascii="Calibri Light" w:hAnsi="Calibri Light" w:cs="Arial"/>
                <w:b/>
                <w:bCs/>
                <w:color w:val="FFFFFF"/>
              </w:rPr>
              <w:t>Representation within the PSS</w:t>
            </w:r>
          </w:p>
        </w:tc>
        <w:tc>
          <w:tcPr>
            <w:tcW w:w="3543" w:type="dxa"/>
            <w:shd w:val="clear" w:color="auto" w:fill="6D2077"/>
            <w:hideMark/>
          </w:tcPr>
          <w:p w14:paraId="2A71F5F0" w14:textId="77777777" w:rsidR="00CA005A" w:rsidRPr="009E2B03" w:rsidRDefault="00CA005A" w:rsidP="00BC4D85">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bCs/>
                <w:color w:val="FFFFFF"/>
              </w:rPr>
            </w:pPr>
            <w:r w:rsidRPr="009E2B03">
              <w:rPr>
                <w:rFonts w:ascii="Calibri Light" w:hAnsi="Calibri Light" w:cs="Arial"/>
                <w:b/>
                <w:bCs/>
                <w:color w:val="FFFFFF"/>
              </w:rPr>
              <w:t xml:space="preserve">Risk of experiencing violence  </w:t>
            </w:r>
          </w:p>
        </w:tc>
        <w:tc>
          <w:tcPr>
            <w:tcW w:w="3828" w:type="dxa"/>
            <w:shd w:val="clear" w:color="auto" w:fill="6D2077"/>
          </w:tcPr>
          <w:p w14:paraId="70F4C36A" w14:textId="77777777" w:rsidR="00CA005A" w:rsidRPr="009E2B03" w:rsidRDefault="00CA005A" w:rsidP="00BC4D85">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bCs/>
                <w:color w:val="FFFFFF"/>
              </w:rPr>
            </w:pPr>
            <w:r w:rsidRPr="009E2B03">
              <w:rPr>
                <w:rFonts w:ascii="Calibri Light" w:hAnsi="Calibri Light" w:cs="Arial"/>
                <w:b/>
                <w:bCs/>
                <w:color w:val="FFFFFF"/>
              </w:rPr>
              <w:t>Difference in prevalence rate</w:t>
            </w:r>
          </w:p>
        </w:tc>
        <w:tc>
          <w:tcPr>
            <w:tcW w:w="1559" w:type="dxa"/>
            <w:shd w:val="clear" w:color="auto" w:fill="6D2077"/>
          </w:tcPr>
          <w:p w14:paraId="78F9B86F" w14:textId="77777777" w:rsidR="00CA005A" w:rsidRPr="009E2B03" w:rsidRDefault="00CA005A" w:rsidP="008F1548">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bCs/>
                <w:color w:val="FFFFFF"/>
              </w:rPr>
            </w:pPr>
            <w:r w:rsidRPr="009E2B03">
              <w:rPr>
                <w:rFonts w:ascii="Calibri Light" w:hAnsi="Calibri Light" w:cs="Arial"/>
                <w:b/>
                <w:bCs/>
                <w:color w:val="FFFFFF"/>
              </w:rPr>
              <w:t xml:space="preserve">Additional </w:t>
            </w:r>
            <w:r w:rsidR="001B7129" w:rsidRPr="009E2B03">
              <w:rPr>
                <w:rFonts w:ascii="Calibri Light" w:hAnsi="Calibri Light" w:cs="Arial"/>
                <w:b/>
                <w:bCs/>
                <w:color w:val="FFFFFF"/>
              </w:rPr>
              <w:t>c</w:t>
            </w:r>
            <w:r w:rsidRPr="009E2B03">
              <w:rPr>
                <w:rFonts w:ascii="Calibri Light" w:hAnsi="Calibri Light" w:cs="Arial"/>
                <w:b/>
                <w:bCs/>
                <w:color w:val="FFFFFF"/>
              </w:rPr>
              <w:t xml:space="preserve">ost </w:t>
            </w:r>
            <w:r w:rsidR="001B7129" w:rsidRPr="009E2B03">
              <w:rPr>
                <w:rFonts w:ascii="Calibri Light" w:hAnsi="Calibri Light" w:cs="Arial"/>
                <w:b/>
                <w:bCs/>
                <w:color w:val="FFFFFF"/>
              </w:rPr>
              <w:t>($ million)</w:t>
            </w:r>
          </w:p>
        </w:tc>
      </w:tr>
      <w:tr w:rsidR="00941A03" w:rsidRPr="009E2B03" w14:paraId="525D85EE" w14:textId="77777777" w:rsidTr="00D00E36">
        <w:trPr>
          <w:trHeight w:val="2561"/>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hideMark/>
          </w:tcPr>
          <w:p w14:paraId="7A257272" w14:textId="77777777" w:rsidR="00941A03" w:rsidRPr="009E2B03" w:rsidRDefault="00941A03" w:rsidP="00BC4D85">
            <w:pPr>
              <w:spacing w:before="40" w:after="40"/>
              <w:rPr>
                <w:rFonts w:ascii="Calibri Light" w:hAnsi="Calibri Light" w:cs="Arial"/>
                <w:szCs w:val="18"/>
              </w:rPr>
            </w:pPr>
            <w:r w:rsidRPr="009E2B03">
              <w:rPr>
                <w:rFonts w:ascii="Calibri Light" w:hAnsi="Calibri Light" w:cs="Arial"/>
                <w:szCs w:val="18"/>
              </w:rPr>
              <w:t>Aboriginal and Torres Strait Islander women</w:t>
            </w:r>
          </w:p>
        </w:tc>
        <w:tc>
          <w:tcPr>
            <w:tcW w:w="3261" w:type="dxa"/>
          </w:tcPr>
          <w:p w14:paraId="09A46C5D" w14:textId="77777777"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Aboriginal and Torres Strait Islander flag not included within the PSS due to insufficient sample size. This cohort was not targeted during data collection.</w:t>
            </w:r>
          </w:p>
        </w:tc>
        <w:tc>
          <w:tcPr>
            <w:tcW w:w="3543" w:type="dxa"/>
          </w:tcPr>
          <w:p w14:paraId="265364E9" w14:textId="77777777"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Amongst Aboriginal and Torres Strait Islander women, 23.2 per cent experience physical violence each year, compared to 4.6 per cent of the broader female population.</w:t>
            </w:r>
          </w:p>
          <w:p w14:paraId="03DDE376" w14:textId="68530BD2"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Twelve per cent of Aboriginal and Torres Strait Islander women experience sexual violence each year, compared to 1.2 per cent of the broader female population.</w:t>
            </w:r>
          </w:p>
        </w:tc>
        <w:tc>
          <w:tcPr>
            <w:tcW w:w="3828" w:type="dxa"/>
          </w:tcPr>
          <w:p w14:paraId="1F5EEDF2" w14:textId="77777777"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rPr>
              <w:t>Considering the 18.6 percentage point difference in the rates of violence, KPMG estimates approximately 35,420 women experiencing violence are not included in PSS prevalence estimates.</w:t>
            </w:r>
          </w:p>
          <w:p w14:paraId="726BD7C4" w14:textId="17DB2FCA"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rPr>
              <w:t>Considering the 10.8 percentage point difference in the rates of violence, KPMG estimates approximately 20,566 women experiencing violence are not included in PSS prevalence estimates.</w:t>
            </w:r>
          </w:p>
        </w:tc>
        <w:tc>
          <w:tcPr>
            <w:tcW w:w="1559" w:type="dxa"/>
          </w:tcPr>
          <w:p w14:paraId="2E41795C" w14:textId="77777777"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755</w:t>
            </w:r>
          </w:p>
          <w:p w14:paraId="2242A3AF" w14:textId="77777777" w:rsidR="00941A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(physical violence)</w:t>
            </w:r>
          </w:p>
          <w:p w14:paraId="02C53A9E" w14:textId="77777777" w:rsidR="00941A03" w:rsidRPr="009E2B03" w:rsidRDefault="00941A03" w:rsidP="00941A03">
            <w:pPr>
              <w:spacing w:before="40" w:after="16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p>
          <w:p w14:paraId="718E3D86" w14:textId="77777777"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432</w:t>
            </w:r>
          </w:p>
          <w:p w14:paraId="20D97B57" w14:textId="78DB2C6C" w:rsidR="00941A03" w:rsidRPr="009E2B03" w:rsidRDefault="00941A03"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rPr>
              <w:t>(sexual violence)</w:t>
            </w:r>
          </w:p>
        </w:tc>
      </w:tr>
      <w:tr w:rsidR="00CA005A" w:rsidRPr="009E2B03" w14:paraId="6A2B5315" w14:textId="77777777" w:rsidTr="00C95D8A">
        <w:tc>
          <w:tcPr>
            <w:cnfStyle w:val="001000000000" w:firstRow="0" w:lastRow="0" w:firstColumn="1" w:lastColumn="0" w:oddVBand="0" w:evenVBand="0" w:oddHBand="0" w:evenHBand="0" w:firstRowFirstColumn="0" w:firstRowLastColumn="0" w:lastRowFirstColumn="0" w:lastRowLastColumn="0"/>
            <w:tcW w:w="1701" w:type="dxa"/>
            <w:shd w:val="clear" w:color="auto" w:fill="F3F0F4"/>
            <w:hideMark/>
          </w:tcPr>
          <w:p w14:paraId="017C25E3" w14:textId="77777777" w:rsidR="00CA005A" w:rsidRPr="009E2B03" w:rsidRDefault="00CA005A" w:rsidP="00BC4D85">
            <w:pPr>
              <w:spacing w:before="40" w:after="40"/>
              <w:rPr>
                <w:rFonts w:ascii="Calibri Light" w:hAnsi="Calibri Light" w:cs="Arial"/>
              </w:rPr>
            </w:pPr>
            <w:r w:rsidRPr="009E2B03">
              <w:rPr>
                <w:rFonts w:ascii="Calibri Light" w:hAnsi="Calibri Light" w:cs="Arial"/>
              </w:rPr>
              <w:t>Women from a CALD background</w:t>
            </w:r>
          </w:p>
        </w:tc>
        <w:tc>
          <w:tcPr>
            <w:tcW w:w="3261" w:type="dxa"/>
          </w:tcPr>
          <w:p w14:paraId="12C622F3"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Identification of women born in Australia or overseas.</w:t>
            </w:r>
          </w:p>
        </w:tc>
        <w:tc>
          <w:tcPr>
            <w:tcW w:w="3543" w:type="dxa"/>
          </w:tcPr>
          <w:p w14:paraId="56378192"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An estimated 292,000 women living in Australia who were born overseas have experienced violence over a 12 month period.</w:t>
            </w:r>
          </w:p>
        </w:tc>
        <w:tc>
          <w:tcPr>
            <w:tcW w:w="3828" w:type="dxa"/>
          </w:tcPr>
          <w:p w14:paraId="2A729359"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There is limited evidence to identify if prevalence rates are high</w:t>
            </w:r>
            <w:r w:rsidR="001B7129" w:rsidRPr="009E2B03">
              <w:rPr>
                <w:rFonts w:ascii="Calibri Light" w:hAnsi="Calibri Light" w:cs="Arial"/>
              </w:rPr>
              <w:t>er</w:t>
            </w:r>
            <w:r w:rsidRPr="009E2B03">
              <w:rPr>
                <w:rFonts w:ascii="Calibri Light" w:hAnsi="Calibri Light" w:cs="Arial"/>
              </w:rPr>
              <w:t xml:space="preserve"> for women from a CALD background. As such, more research is required to determine the differences in cost of violence compared to the broader population.</w:t>
            </w:r>
          </w:p>
        </w:tc>
        <w:tc>
          <w:tcPr>
            <w:tcW w:w="1559" w:type="dxa"/>
          </w:tcPr>
          <w:p w14:paraId="088B7C47"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rPr>
              <w:t>Insufficient data.</w:t>
            </w:r>
          </w:p>
        </w:tc>
      </w:tr>
      <w:tr w:rsidR="00CA005A" w:rsidRPr="009E2B03" w14:paraId="000EA8A0" w14:textId="77777777" w:rsidTr="00C95D8A">
        <w:tc>
          <w:tcPr>
            <w:cnfStyle w:val="001000000000" w:firstRow="0" w:lastRow="0" w:firstColumn="1" w:lastColumn="0" w:oddVBand="0" w:evenVBand="0" w:oddHBand="0" w:evenHBand="0" w:firstRowFirstColumn="0" w:firstRowLastColumn="0" w:lastRowFirstColumn="0" w:lastRowLastColumn="0"/>
            <w:tcW w:w="1701" w:type="dxa"/>
            <w:shd w:val="clear" w:color="auto" w:fill="F3F0F4"/>
            <w:hideMark/>
          </w:tcPr>
          <w:p w14:paraId="1B1F3BAD" w14:textId="77777777" w:rsidR="00CA005A" w:rsidRPr="009E2B03" w:rsidRDefault="00CA005A" w:rsidP="00BC4D85">
            <w:pPr>
              <w:spacing w:before="40" w:after="40"/>
              <w:rPr>
                <w:rFonts w:ascii="Calibri Light" w:hAnsi="Calibri Light" w:cs="Arial"/>
              </w:rPr>
            </w:pPr>
            <w:r w:rsidRPr="009E2B03">
              <w:rPr>
                <w:rFonts w:ascii="Calibri Light" w:hAnsi="Calibri Light" w:cs="Arial"/>
              </w:rPr>
              <w:t xml:space="preserve">Pregnant women </w:t>
            </w:r>
          </w:p>
        </w:tc>
        <w:tc>
          <w:tcPr>
            <w:tcW w:w="3261" w:type="dxa"/>
          </w:tcPr>
          <w:p w14:paraId="184116AB" w14:textId="77777777" w:rsidR="00CA005A" w:rsidRPr="009E2B03" w:rsidRDefault="00CA005A"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Women who have experienced violence during pregnancy since the age of 15</w:t>
            </w:r>
            <w:r w:rsidR="00E36F72" w:rsidRPr="009E2B03">
              <w:rPr>
                <w:rFonts w:ascii="Calibri Light" w:hAnsi="Calibri Light" w:cs="Arial"/>
                <w:szCs w:val="18"/>
              </w:rPr>
              <w:t xml:space="preserve"> are included in the PSS</w:t>
            </w:r>
            <w:r w:rsidRPr="009E2B03">
              <w:rPr>
                <w:rFonts w:ascii="Calibri Light" w:hAnsi="Calibri Light" w:cs="Arial"/>
                <w:szCs w:val="18"/>
              </w:rPr>
              <w:t xml:space="preserve">. However, </w:t>
            </w:r>
            <w:r w:rsidR="001B7129" w:rsidRPr="009E2B03">
              <w:rPr>
                <w:rFonts w:ascii="Calibri Light" w:hAnsi="Calibri Light" w:cs="Arial"/>
                <w:szCs w:val="18"/>
              </w:rPr>
              <w:t>the PSS</w:t>
            </w:r>
            <w:r w:rsidR="00E36F72" w:rsidRPr="009E2B03">
              <w:rPr>
                <w:rFonts w:ascii="Calibri Light" w:hAnsi="Calibri Light" w:cs="Arial"/>
                <w:szCs w:val="18"/>
              </w:rPr>
              <w:t xml:space="preserve"> </w:t>
            </w:r>
            <w:r w:rsidRPr="009E2B03">
              <w:rPr>
                <w:rFonts w:ascii="Calibri Light" w:hAnsi="Calibri Light" w:cs="Arial"/>
                <w:szCs w:val="18"/>
              </w:rPr>
              <w:t>does not include an adequate representation of pregnant women in the past 12 months.</w:t>
            </w:r>
          </w:p>
        </w:tc>
        <w:tc>
          <w:tcPr>
            <w:tcW w:w="3543" w:type="dxa"/>
          </w:tcPr>
          <w:p w14:paraId="140F6827" w14:textId="77777777" w:rsidR="007E6ACD" w:rsidRPr="009E2B03" w:rsidRDefault="001B7129" w:rsidP="00A172F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Thirteen</w:t>
            </w:r>
            <w:r w:rsidR="00CA005A" w:rsidRPr="009E2B03">
              <w:rPr>
                <w:rFonts w:ascii="Calibri Light" w:hAnsi="Calibri Light" w:cs="Arial"/>
                <w:szCs w:val="18"/>
              </w:rPr>
              <w:t xml:space="preserve"> per cent of women </w:t>
            </w:r>
            <w:r w:rsidR="00D605D5" w:rsidRPr="009E2B03">
              <w:rPr>
                <w:rFonts w:ascii="Calibri Light" w:hAnsi="Calibri Light" w:cs="Arial"/>
                <w:szCs w:val="18"/>
              </w:rPr>
              <w:t>experience</w:t>
            </w:r>
            <w:r w:rsidR="00A172FD" w:rsidRPr="009E2B03">
              <w:rPr>
                <w:rFonts w:ascii="Calibri Light" w:hAnsi="Calibri Light" w:cs="Arial"/>
                <w:szCs w:val="18"/>
              </w:rPr>
              <w:t xml:space="preserve"> violence when they are pregnant, compared </w:t>
            </w:r>
            <w:r w:rsidR="00CA005A" w:rsidRPr="009E2B03">
              <w:rPr>
                <w:rFonts w:ascii="Calibri Light" w:hAnsi="Calibri Light" w:cs="Arial"/>
                <w:szCs w:val="18"/>
              </w:rPr>
              <w:t>to 5.3 per</w:t>
            </w:r>
            <w:r w:rsidR="00A172FD" w:rsidRPr="009E2B03">
              <w:rPr>
                <w:rFonts w:ascii="Calibri Light" w:hAnsi="Calibri Light" w:cs="Arial"/>
                <w:szCs w:val="18"/>
              </w:rPr>
              <w:t xml:space="preserve"> cent of the broader population</w:t>
            </w:r>
            <w:r w:rsidR="00CA005A" w:rsidRPr="009E2B03">
              <w:rPr>
                <w:rFonts w:ascii="Calibri Light" w:hAnsi="Calibri Light" w:cs="Arial"/>
                <w:szCs w:val="18"/>
              </w:rPr>
              <w:t>.</w:t>
            </w:r>
          </w:p>
        </w:tc>
        <w:tc>
          <w:tcPr>
            <w:tcW w:w="3828" w:type="dxa"/>
          </w:tcPr>
          <w:p w14:paraId="2E1B6554" w14:textId="77777777" w:rsidR="00CA005A" w:rsidRPr="009E2B03" w:rsidRDefault="00D605D5"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highlight w:val="yellow"/>
              </w:rPr>
            </w:pPr>
            <w:r w:rsidRPr="009E2B03">
              <w:rPr>
                <w:rFonts w:ascii="Calibri Light" w:hAnsi="Calibri Light" w:cs="Arial"/>
              </w:rPr>
              <w:t>Considering the 7.7 percent</w:t>
            </w:r>
            <w:r w:rsidR="001B7129" w:rsidRPr="009E2B03">
              <w:rPr>
                <w:rFonts w:ascii="Calibri Light" w:hAnsi="Calibri Light" w:cs="Arial"/>
              </w:rPr>
              <w:t>age point</w:t>
            </w:r>
            <w:r w:rsidRPr="009E2B03">
              <w:rPr>
                <w:rFonts w:ascii="Calibri Light" w:hAnsi="Calibri Light" w:cs="Arial"/>
              </w:rPr>
              <w:t xml:space="preserve"> difference in the rates of violence, KPMG estimates that 39,062 women experiencing violence while pregnant are not included in the PSS prevalence estimates.</w:t>
            </w:r>
          </w:p>
        </w:tc>
        <w:tc>
          <w:tcPr>
            <w:tcW w:w="1559" w:type="dxa"/>
          </w:tcPr>
          <w:p w14:paraId="6C0B1417" w14:textId="77777777" w:rsidR="00CA005A" w:rsidRPr="009E2B03" w:rsidRDefault="00D605D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 w:val="22"/>
              </w:rPr>
              <w:t>821</w:t>
            </w:r>
          </w:p>
        </w:tc>
      </w:tr>
      <w:tr w:rsidR="00CA005A" w:rsidRPr="009E2B03" w14:paraId="2175B74B" w14:textId="77777777" w:rsidTr="00C95D8A">
        <w:tc>
          <w:tcPr>
            <w:cnfStyle w:val="001000000000" w:firstRow="0" w:lastRow="0" w:firstColumn="1" w:lastColumn="0" w:oddVBand="0" w:evenVBand="0" w:oddHBand="0" w:evenHBand="0" w:firstRowFirstColumn="0" w:firstRowLastColumn="0" w:lastRowFirstColumn="0" w:lastRowLastColumn="0"/>
            <w:tcW w:w="1701" w:type="dxa"/>
            <w:shd w:val="clear" w:color="auto" w:fill="F3F0F4"/>
            <w:hideMark/>
          </w:tcPr>
          <w:p w14:paraId="4D67B5C0" w14:textId="77777777" w:rsidR="00CA005A" w:rsidRPr="009E2B03" w:rsidRDefault="00CA005A" w:rsidP="00BC4D85">
            <w:pPr>
              <w:spacing w:before="40" w:after="40"/>
              <w:rPr>
                <w:rFonts w:ascii="Calibri Light" w:hAnsi="Calibri Light" w:cs="Arial"/>
              </w:rPr>
            </w:pPr>
            <w:r w:rsidRPr="009E2B03">
              <w:rPr>
                <w:rFonts w:ascii="Calibri Light" w:hAnsi="Calibri Light" w:cs="Arial"/>
              </w:rPr>
              <w:t>Women identifying as LGBTIQ</w:t>
            </w:r>
          </w:p>
        </w:tc>
        <w:tc>
          <w:tcPr>
            <w:tcW w:w="3261" w:type="dxa"/>
          </w:tcPr>
          <w:p w14:paraId="1EB4665D"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PSS does not include a flag for women identifying as LGBTIQ. This cohort was not targeted during data collection.</w:t>
            </w:r>
          </w:p>
        </w:tc>
        <w:tc>
          <w:tcPr>
            <w:tcW w:w="3543" w:type="dxa"/>
          </w:tcPr>
          <w:p w14:paraId="09C7B636"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Women identifying as LGBTIQ may face greater risk of experiencing violence, with research indicating rates of violence are higher for transgender women.</w:t>
            </w:r>
          </w:p>
        </w:tc>
        <w:tc>
          <w:tcPr>
            <w:tcW w:w="3828" w:type="dxa"/>
          </w:tcPr>
          <w:p w14:paraId="4DA5E07A"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Insufficient data.</w:t>
            </w:r>
          </w:p>
        </w:tc>
        <w:tc>
          <w:tcPr>
            <w:tcW w:w="1559" w:type="dxa"/>
          </w:tcPr>
          <w:p w14:paraId="6FA17E43" w14:textId="77777777" w:rsidR="00CA005A" w:rsidRPr="009E2B03" w:rsidRDefault="00CA005A" w:rsidP="00BC4D85">
            <w:pPr>
              <w:pStyle w:val="Body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rPr>
              <w:t>Insufficient data.</w:t>
            </w:r>
          </w:p>
        </w:tc>
      </w:tr>
      <w:tr w:rsidR="00CA005A" w:rsidRPr="009E2B03" w14:paraId="5077E794" w14:textId="77777777" w:rsidTr="00C95D8A">
        <w:tc>
          <w:tcPr>
            <w:cnfStyle w:val="001000000000" w:firstRow="0" w:lastRow="0" w:firstColumn="1" w:lastColumn="0" w:oddVBand="0" w:evenVBand="0" w:oddHBand="0" w:evenHBand="0" w:firstRowFirstColumn="0" w:firstRowLastColumn="0" w:lastRowFirstColumn="0" w:lastRowLastColumn="0"/>
            <w:tcW w:w="1701" w:type="dxa"/>
            <w:shd w:val="clear" w:color="auto" w:fill="F3F0F4"/>
            <w:hideMark/>
          </w:tcPr>
          <w:p w14:paraId="3C0581E7" w14:textId="77777777" w:rsidR="00CA005A" w:rsidRPr="009E2B03" w:rsidRDefault="00CA005A" w:rsidP="00BC4D85">
            <w:pPr>
              <w:spacing w:before="40" w:after="40"/>
              <w:rPr>
                <w:rFonts w:ascii="Calibri Light" w:hAnsi="Calibri Light" w:cs="Arial"/>
              </w:rPr>
            </w:pPr>
            <w:r w:rsidRPr="009E2B03">
              <w:rPr>
                <w:rFonts w:ascii="Calibri Light" w:hAnsi="Calibri Light" w:cs="Arial"/>
              </w:rPr>
              <w:t xml:space="preserve">Women with disability </w:t>
            </w:r>
          </w:p>
        </w:tc>
        <w:tc>
          <w:tcPr>
            <w:tcW w:w="3261" w:type="dxa"/>
          </w:tcPr>
          <w:p w14:paraId="3A554399" w14:textId="77777777" w:rsidR="00CA005A" w:rsidRPr="009E2B03" w:rsidRDefault="00C225EE" w:rsidP="000E5FE9">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The PSS identifies women who </w:t>
            </w:r>
            <w:r w:rsidR="001D6D43" w:rsidRPr="009E2B03">
              <w:rPr>
                <w:rFonts w:ascii="Calibri Light" w:hAnsi="Calibri Light" w:cs="Arial"/>
                <w:szCs w:val="18"/>
              </w:rPr>
              <w:t xml:space="preserve">have a disability or long term health condition. However, </w:t>
            </w:r>
            <w:r w:rsidR="000E5FE9" w:rsidRPr="009E2B03">
              <w:rPr>
                <w:rFonts w:ascii="Calibri Light" w:hAnsi="Calibri Light" w:cs="Arial"/>
                <w:szCs w:val="18"/>
              </w:rPr>
              <w:t>the</w:t>
            </w:r>
            <w:r w:rsidR="001D6D43" w:rsidRPr="009E2B03">
              <w:rPr>
                <w:rFonts w:ascii="Calibri Light" w:hAnsi="Calibri Light" w:cs="Arial"/>
                <w:szCs w:val="18"/>
              </w:rPr>
              <w:t xml:space="preserve"> methodology does not allow for facilitators </w:t>
            </w:r>
            <w:r w:rsidR="000E5FE9" w:rsidRPr="009E2B03">
              <w:rPr>
                <w:rFonts w:ascii="Calibri Light" w:hAnsi="Calibri Light" w:cs="Arial"/>
                <w:szCs w:val="18"/>
              </w:rPr>
              <w:t xml:space="preserve">for women who require </w:t>
            </w:r>
            <w:r w:rsidR="000E5FE9" w:rsidRPr="009E2B03">
              <w:rPr>
                <w:rFonts w:ascii="Calibri Light" w:hAnsi="Calibri Light" w:cs="Arial"/>
                <w:szCs w:val="18"/>
              </w:rPr>
              <w:lastRenderedPageBreak/>
              <w:t>support for communication, limiting the inclusion of many women in the survey.</w:t>
            </w:r>
          </w:p>
        </w:tc>
        <w:tc>
          <w:tcPr>
            <w:tcW w:w="3543" w:type="dxa"/>
          </w:tcPr>
          <w:p w14:paraId="740F25C3" w14:textId="77777777" w:rsidR="000E5FE9" w:rsidRPr="009E2B03" w:rsidRDefault="000E5FE9" w:rsidP="00BC4D8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rPr>
              <w:lastRenderedPageBreak/>
              <w:t>Women with disabilities are 40 per cent more likely to be the victims of domestic violence than women without disabilities.</w:t>
            </w:r>
          </w:p>
        </w:tc>
        <w:tc>
          <w:tcPr>
            <w:tcW w:w="3828" w:type="dxa"/>
          </w:tcPr>
          <w:p w14:paraId="04289A3C" w14:textId="77777777" w:rsidR="00CA005A" w:rsidRPr="009E2B03" w:rsidRDefault="004A412A" w:rsidP="004A412A">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highlight w:val="yellow"/>
              </w:rPr>
            </w:pPr>
            <w:r w:rsidRPr="009E2B03">
              <w:rPr>
                <w:rFonts w:ascii="Calibri Light" w:hAnsi="Calibri Light" w:cs="Arial"/>
              </w:rPr>
              <w:t xml:space="preserve">Considering this difference of 40 per cent, KPMG estimates that approximately 78,577 women with a disability who experience violence are not included in the PSS </w:t>
            </w:r>
            <w:r w:rsidRPr="009E2B03">
              <w:rPr>
                <w:rFonts w:ascii="Calibri Light" w:hAnsi="Calibri Light" w:cs="Arial"/>
              </w:rPr>
              <w:lastRenderedPageBreak/>
              <w:t xml:space="preserve">prevalence estimates. </w:t>
            </w:r>
          </w:p>
        </w:tc>
        <w:tc>
          <w:tcPr>
            <w:tcW w:w="1559" w:type="dxa"/>
          </w:tcPr>
          <w:p w14:paraId="24B1B4F5" w14:textId="77777777" w:rsidR="00CA005A" w:rsidRPr="009E2B03" w:rsidRDefault="00D605D5">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 w:val="22"/>
              </w:rPr>
              <w:lastRenderedPageBreak/>
              <w:t>1,651</w:t>
            </w:r>
          </w:p>
        </w:tc>
      </w:tr>
      <w:tr w:rsidR="00E00BD9" w:rsidRPr="009E2B03" w14:paraId="68FF3557" w14:textId="77777777" w:rsidTr="00C95D8A">
        <w:tc>
          <w:tcPr>
            <w:cnfStyle w:val="001000000000" w:firstRow="0" w:lastRow="0" w:firstColumn="1" w:lastColumn="0" w:oddVBand="0" w:evenVBand="0" w:oddHBand="0" w:evenHBand="0" w:firstRowFirstColumn="0" w:firstRowLastColumn="0" w:lastRowFirstColumn="0" w:lastRowLastColumn="0"/>
            <w:tcW w:w="1701" w:type="dxa"/>
            <w:shd w:val="clear" w:color="auto" w:fill="F3F0F4"/>
          </w:tcPr>
          <w:p w14:paraId="2853FE89" w14:textId="65BF91D1" w:rsidR="00E00BD9" w:rsidRPr="009E2B03" w:rsidRDefault="00E00BD9" w:rsidP="00E72EAD">
            <w:pPr>
              <w:spacing w:before="40" w:after="40"/>
              <w:rPr>
                <w:rFonts w:ascii="Calibri Light" w:hAnsi="Calibri Light" w:cs="Arial"/>
              </w:rPr>
            </w:pPr>
            <w:r w:rsidRPr="009E2B03">
              <w:rPr>
                <w:rFonts w:ascii="Calibri Light" w:hAnsi="Calibri Light" w:cs="Arial"/>
              </w:rPr>
              <w:lastRenderedPageBreak/>
              <w:t>Women experiencing homelessness as a result of violence</w:t>
            </w:r>
          </w:p>
        </w:tc>
        <w:tc>
          <w:tcPr>
            <w:tcW w:w="3261" w:type="dxa"/>
          </w:tcPr>
          <w:p w14:paraId="39589600" w14:textId="77777777" w:rsidR="00E00BD9" w:rsidRPr="009E2B03" w:rsidRDefault="00E00BD9" w:rsidP="00E00BD9">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The PSS identifies women who experienced </w:t>
            </w:r>
            <w:r w:rsidR="001B7129" w:rsidRPr="009E2B03">
              <w:rPr>
                <w:rFonts w:ascii="Calibri Light" w:hAnsi="Calibri Light" w:cs="Arial"/>
                <w:szCs w:val="18"/>
              </w:rPr>
              <w:t>homelessness</w:t>
            </w:r>
            <w:r w:rsidRPr="009E2B03">
              <w:rPr>
                <w:rFonts w:ascii="Calibri Light" w:hAnsi="Calibri Light" w:cs="Arial"/>
                <w:szCs w:val="18"/>
              </w:rPr>
              <w:t xml:space="preserve"> because of violence in previous relationships. However, the survey methodology does not include women in refuges, homelessness shelters, living rough, or who cannot identify themselves in temporary residence. As a result, this group is excluded from prevalence estimates.</w:t>
            </w:r>
          </w:p>
        </w:tc>
        <w:tc>
          <w:tcPr>
            <w:tcW w:w="3543" w:type="dxa"/>
          </w:tcPr>
          <w:p w14:paraId="167F5BBD" w14:textId="77777777" w:rsidR="00E00BD9" w:rsidRPr="009E2B03" w:rsidRDefault="00E00BD9" w:rsidP="00E00BD9">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Not applicable – this category is not included in the PSS because of their household status during the survey.</w:t>
            </w:r>
          </w:p>
        </w:tc>
        <w:tc>
          <w:tcPr>
            <w:tcW w:w="3828" w:type="dxa"/>
          </w:tcPr>
          <w:p w14:paraId="2EEF1E0E" w14:textId="77777777" w:rsidR="00E00BD9" w:rsidRPr="009E2B03" w:rsidRDefault="00E00BD9" w:rsidP="00E00BD9">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 xml:space="preserve">It is estimated that over 12 months, 79,301 women experienced homelessness because of violence. Based on AIHW specialist homelessness data, an average of </w:t>
            </w:r>
            <w:r w:rsidR="001B7129" w:rsidRPr="009E2B03">
              <w:rPr>
                <w:rFonts w:ascii="Calibri Light" w:hAnsi="Calibri Light" w:cs="Arial"/>
              </w:rPr>
              <w:br/>
            </w:r>
            <w:r w:rsidRPr="009E2B03">
              <w:rPr>
                <w:rFonts w:ascii="Calibri Light" w:hAnsi="Calibri Light" w:cs="Arial"/>
              </w:rPr>
              <w:t>24 per cent of these women’s time during the year is spent away from home.</w:t>
            </w:r>
          </w:p>
        </w:tc>
        <w:tc>
          <w:tcPr>
            <w:tcW w:w="1559" w:type="dxa"/>
          </w:tcPr>
          <w:p w14:paraId="2660C200" w14:textId="77777777" w:rsidR="00E00BD9" w:rsidRPr="009E2B03" w:rsidRDefault="00E00BD9">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9E2B03">
              <w:rPr>
                <w:rFonts w:ascii="Calibri Light" w:hAnsi="Calibri Light" w:cs="Arial"/>
                <w:sz w:val="22"/>
              </w:rPr>
              <w:t>407</w:t>
            </w:r>
          </w:p>
        </w:tc>
      </w:tr>
    </w:tbl>
    <w:p w14:paraId="21AE456A" w14:textId="18AAA66E" w:rsidR="00CA005A" w:rsidRPr="009E2B03" w:rsidRDefault="00CA005A" w:rsidP="00CA005A">
      <w:pPr>
        <w:tabs>
          <w:tab w:val="left" w:pos="2733"/>
        </w:tabs>
        <w:rPr>
          <w:rFonts w:ascii="Calibri Light" w:hAnsi="Calibri Light"/>
        </w:rPr>
      </w:pPr>
      <w:r w:rsidRPr="009E2B03">
        <w:rPr>
          <w:rFonts w:ascii="Calibri Light" w:hAnsi="Calibri Light"/>
        </w:rPr>
        <w:t xml:space="preserve">Note: Given limitations around the scope and scale of available data, there are challenges to estimating the prevalence of violence for a number of vulnerable groups, as well as the cost of violence. Therefore, the costs provided are illustrative, and should not be considered alongside, or in addition to, the cost estimates provided in Section </w:t>
      </w:r>
      <w:r w:rsidRPr="009E2B03">
        <w:rPr>
          <w:rFonts w:ascii="Calibri Light" w:hAnsi="Calibri Light"/>
        </w:rPr>
        <w:fldChar w:fldCharType="begin"/>
      </w:r>
      <w:r w:rsidRPr="009E2B03">
        <w:rPr>
          <w:rFonts w:ascii="Calibri Light" w:hAnsi="Calibri Light"/>
        </w:rPr>
        <w:instrText xml:space="preserve"> REF _Ref447375525 \r \h </w:instrText>
      </w:r>
      <w:r w:rsidR="009B0258" w:rsidRPr="009E2B03">
        <w:rPr>
          <w:rFonts w:ascii="Calibri Light" w:hAnsi="Calibri Light"/>
        </w:rPr>
        <w:instrText xml:space="preserve"> \* MERGEFORMAT </w:instrText>
      </w:r>
      <w:r w:rsidRPr="009E2B03">
        <w:rPr>
          <w:rFonts w:ascii="Calibri Light" w:hAnsi="Calibri Light"/>
        </w:rPr>
      </w:r>
      <w:r w:rsidRPr="009E2B03">
        <w:rPr>
          <w:rFonts w:ascii="Calibri Light" w:hAnsi="Calibri Light"/>
        </w:rPr>
        <w:fldChar w:fldCharType="separate"/>
      </w:r>
      <w:r w:rsidR="00417237">
        <w:rPr>
          <w:rFonts w:ascii="Calibri Light" w:hAnsi="Calibri Light"/>
        </w:rPr>
        <w:t>3</w:t>
      </w:r>
      <w:r w:rsidRPr="009E2B03">
        <w:rPr>
          <w:rFonts w:ascii="Calibri Light" w:hAnsi="Calibri Light"/>
        </w:rPr>
        <w:fldChar w:fldCharType="end"/>
      </w:r>
      <w:r w:rsidRPr="009E2B03">
        <w:rPr>
          <w:rFonts w:ascii="Calibri Light" w:hAnsi="Calibri Light"/>
        </w:rPr>
        <w:t xml:space="preserve">. </w:t>
      </w:r>
    </w:p>
    <w:p w14:paraId="35A9C22F" w14:textId="77777777" w:rsidR="00CA005A" w:rsidRPr="009E2B03" w:rsidRDefault="00CA005A" w:rsidP="00CA005A">
      <w:pPr>
        <w:tabs>
          <w:tab w:val="left" w:pos="2733"/>
        </w:tabs>
        <w:rPr>
          <w:rFonts w:ascii="Calibri Light" w:hAnsi="Calibri Light"/>
        </w:rPr>
      </w:pPr>
      <w:r w:rsidRPr="009E2B03">
        <w:rPr>
          <w:rFonts w:ascii="Calibri Light" w:hAnsi="Calibri Light"/>
        </w:rPr>
        <w:t xml:space="preserve">Source: KPMG. </w:t>
      </w:r>
    </w:p>
    <w:p w14:paraId="4C8B5446" w14:textId="77777777" w:rsidR="00BC4D85" w:rsidRPr="009E2B03" w:rsidRDefault="00BC4D85" w:rsidP="00CA005A">
      <w:pPr>
        <w:tabs>
          <w:tab w:val="left" w:pos="2733"/>
        </w:tabs>
        <w:rPr>
          <w:rFonts w:ascii="Calibri Light" w:hAnsi="Calibri Light"/>
        </w:rPr>
      </w:pPr>
    </w:p>
    <w:p w14:paraId="182CDB0C" w14:textId="77777777" w:rsidR="00CA005A" w:rsidRPr="009E2B03" w:rsidRDefault="00CA005A" w:rsidP="00CA005A">
      <w:pPr>
        <w:tabs>
          <w:tab w:val="left" w:pos="2733"/>
        </w:tabs>
        <w:rPr>
          <w:rFonts w:ascii="Calibri Light" w:hAnsi="Calibri Light"/>
        </w:rPr>
        <w:sectPr w:rsidR="00CA005A" w:rsidRPr="009E2B03" w:rsidSect="00BC4D85">
          <w:type w:val="continuous"/>
          <w:pgSz w:w="16838" w:h="11906" w:orient="landscape"/>
          <w:pgMar w:top="1440" w:right="1440" w:bottom="1440" w:left="1440" w:header="708" w:footer="708" w:gutter="0"/>
          <w:cols w:space="708"/>
          <w:docGrid w:linePitch="360"/>
        </w:sectPr>
      </w:pPr>
    </w:p>
    <w:p w14:paraId="0BDC1821" w14:textId="5B91F4DA" w:rsidR="00FB6EF4" w:rsidRPr="009E2B03" w:rsidRDefault="00036345" w:rsidP="00E127F4">
      <w:pPr>
        <w:pStyle w:val="Heading1"/>
        <w:numPr>
          <w:ilvl w:val="0"/>
          <w:numId w:val="19"/>
        </w:numPr>
        <w:rPr>
          <w:rFonts w:ascii="Calibri Light" w:hAnsi="Calibri Light"/>
          <w:sz w:val="48"/>
        </w:rPr>
      </w:pPr>
      <w:bookmarkStart w:id="97" w:name="_Toc449553525"/>
      <w:r>
        <w:rPr>
          <w:rFonts w:ascii="Calibri Light" w:eastAsiaTheme="minorHAnsi" w:hAnsi="Calibri Light"/>
          <w:b w:val="0"/>
          <w:noProof/>
          <w:color w:val="6D2077"/>
          <w:sz w:val="76"/>
          <w:szCs w:val="76"/>
          <w:lang w:eastAsia="en-AU"/>
        </w:rPr>
        <w:lastRenderedPageBreak/>
        <w:t xml:space="preserve">. </w:t>
      </w:r>
      <w:r w:rsidR="00FB6EF4" w:rsidRPr="009E2B03">
        <w:rPr>
          <w:rFonts w:ascii="Calibri Light" w:eastAsiaTheme="minorHAnsi" w:hAnsi="Calibri Light"/>
          <w:b w:val="0"/>
          <w:noProof/>
          <w:color w:val="6D2077"/>
          <w:sz w:val="76"/>
          <w:szCs w:val="76"/>
          <w:lang w:eastAsia="en-AU"/>
        </w:rPr>
        <w:t>Roadmap</w:t>
      </w:r>
      <w:r w:rsidR="00FB6EF4" w:rsidRPr="009E2B03">
        <w:rPr>
          <w:rFonts w:ascii="Calibri Light" w:hAnsi="Calibri Light"/>
          <w:sz w:val="48"/>
        </w:rPr>
        <w:t xml:space="preserve"> </w:t>
      </w:r>
      <w:r w:rsidR="00FB6EF4" w:rsidRPr="009E2B03">
        <w:rPr>
          <w:rFonts w:ascii="Calibri Light" w:eastAsiaTheme="minorHAnsi" w:hAnsi="Calibri Light"/>
          <w:b w:val="0"/>
          <w:noProof/>
          <w:color w:val="6D2077"/>
          <w:sz w:val="76"/>
          <w:szCs w:val="76"/>
          <w:lang w:eastAsia="en-AU"/>
        </w:rPr>
        <w:t>and next steps</w:t>
      </w:r>
      <w:bookmarkEnd w:id="97"/>
    </w:p>
    <w:p w14:paraId="15966961" w14:textId="77777777" w:rsidR="00F96E45" w:rsidRPr="009E2B03" w:rsidRDefault="00F96E45" w:rsidP="00F96E45">
      <w:pPr>
        <w:rPr>
          <w:rFonts w:ascii="Calibri Light" w:hAnsi="Calibri Light"/>
          <w:sz w:val="22"/>
        </w:rPr>
      </w:pPr>
      <w:r w:rsidRPr="009E2B03">
        <w:rPr>
          <w:rFonts w:ascii="Calibri Light" w:hAnsi="Calibri Light"/>
          <w:sz w:val="22"/>
        </w:rPr>
        <w:t xml:space="preserve">Addressing the issue of violence against women and their children is complex, and will necessitate generational change and ongoing and targeted investment into long term solutions. The collective commitment by </w:t>
      </w:r>
      <w:r w:rsidR="008E25D7" w:rsidRPr="009E2B03">
        <w:rPr>
          <w:rFonts w:ascii="Calibri Light" w:hAnsi="Calibri Light"/>
          <w:sz w:val="22"/>
        </w:rPr>
        <w:t>Commonwealth</w:t>
      </w:r>
      <w:r w:rsidRPr="009E2B03">
        <w:rPr>
          <w:rFonts w:ascii="Calibri Light" w:hAnsi="Calibri Light"/>
          <w:sz w:val="22"/>
        </w:rPr>
        <w:t xml:space="preserve">, </w:t>
      </w:r>
      <w:r w:rsidR="001A3745" w:rsidRPr="009E2B03">
        <w:rPr>
          <w:rFonts w:ascii="Calibri Light" w:hAnsi="Calibri Light"/>
          <w:sz w:val="22"/>
        </w:rPr>
        <w:t>s</w:t>
      </w:r>
      <w:r w:rsidRPr="009E2B03">
        <w:rPr>
          <w:rFonts w:ascii="Calibri Light" w:hAnsi="Calibri Light"/>
          <w:sz w:val="22"/>
        </w:rPr>
        <w:t xml:space="preserve">tate and </w:t>
      </w:r>
      <w:r w:rsidR="001A3745" w:rsidRPr="009E2B03">
        <w:rPr>
          <w:rFonts w:ascii="Calibri Light" w:hAnsi="Calibri Light"/>
          <w:sz w:val="22"/>
        </w:rPr>
        <w:t>t</w:t>
      </w:r>
      <w:r w:rsidRPr="009E2B03">
        <w:rPr>
          <w:rFonts w:ascii="Calibri Light" w:hAnsi="Calibri Light"/>
          <w:sz w:val="22"/>
        </w:rPr>
        <w:t xml:space="preserve">erritory governments made in recent Council of Australian Governments (COAG) meetings towards reducing the extent of violence across Australia has been well recognised by key stakeholders as an important step </w:t>
      </w:r>
      <w:r w:rsidR="00D31085" w:rsidRPr="009E2B03">
        <w:rPr>
          <w:rFonts w:ascii="Calibri Light" w:hAnsi="Calibri Light"/>
          <w:sz w:val="22"/>
        </w:rPr>
        <w:t>towards achieving this outcome.</w:t>
      </w:r>
    </w:p>
    <w:p w14:paraId="46557B57" w14:textId="77777777" w:rsidR="00E77BC0" w:rsidRPr="009E2B03" w:rsidRDefault="007D4500" w:rsidP="00F47231">
      <w:pPr>
        <w:rPr>
          <w:rFonts w:ascii="Calibri Light" w:hAnsi="Calibri Light"/>
          <w:sz w:val="22"/>
        </w:rPr>
      </w:pPr>
      <w:r w:rsidRPr="009E2B03">
        <w:rPr>
          <w:rFonts w:ascii="Calibri Light" w:hAnsi="Calibri Light"/>
          <w:sz w:val="22"/>
        </w:rPr>
        <w:t>T</w:t>
      </w:r>
      <w:r w:rsidR="00F47231" w:rsidRPr="009E2B03">
        <w:rPr>
          <w:rFonts w:ascii="Calibri Light" w:hAnsi="Calibri Light"/>
          <w:sz w:val="22"/>
        </w:rPr>
        <w:t>he momentum generated across governments is a unique opportunity to deliver more effective and integrated services and programs, develop collaborative and consistent data collection practices across Australia, and leverage the research and data collected in different jurisdictions to support evidence based policy making</w:t>
      </w:r>
      <w:r w:rsidR="00D31085" w:rsidRPr="009E2B03">
        <w:rPr>
          <w:rFonts w:ascii="Calibri Light" w:hAnsi="Calibri Light"/>
          <w:sz w:val="22"/>
        </w:rPr>
        <w:t>.</w:t>
      </w:r>
      <w:r w:rsidR="00E77BC0" w:rsidRPr="009E2B03">
        <w:rPr>
          <w:rFonts w:ascii="Calibri Light" w:hAnsi="Calibri Light"/>
          <w:sz w:val="22"/>
        </w:rPr>
        <w:t xml:space="preserve"> </w:t>
      </w:r>
    </w:p>
    <w:p w14:paraId="58698EEC" w14:textId="77777777" w:rsidR="007D4500" w:rsidRPr="009E2B03" w:rsidRDefault="00E77BC0" w:rsidP="00F47231">
      <w:pPr>
        <w:rPr>
          <w:rFonts w:ascii="Calibri Light" w:hAnsi="Calibri Light"/>
          <w:sz w:val="22"/>
        </w:rPr>
      </w:pPr>
      <w:r w:rsidRPr="009E2B03">
        <w:rPr>
          <w:rFonts w:ascii="Calibri Light" w:hAnsi="Calibri Light"/>
          <w:sz w:val="22"/>
        </w:rPr>
        <w:t xml:space="preserve">An improved evidence base will also help to underpin the continued refinement and extension of the method undertaken in </w:t>
      </w:r>
      <w:r w:rsidR="00C44227" w:rsidRPr="009E2B03">
        <w:rPr>
          <w:rFonts w:ascii="Calibri Light" w:hAnsi="Calibri Light"/>
          <w:sz w:val="22"/>
        </w:rPr>
        <w:t>further costing studies</w:t>
      </w:r>
      <w:r w:rsidRPr="009E2B03">
        <w:rPr>
          <w:rFonts w:ascii="Calibri Light" w:hAnsi="Calibri Light"/>
          <w:sz w:val="22"/>
        </w:rPr>
        <w:t>, providing the opportunity for more detailed and targeted analyses about the economic and non-economic impact of violence and its associated consequences. This can help to guide the development of targeted policy initiatives, improving our understanding and measurement of policy outcomes, and identifying areas where targeted research and service delivery is required.</w:t>
      </w:r>
    </w:p>
    <w:p w14:paraId="6FF74185" w14:textId="6B4EE093" w:rsidR="006008E4" w:rsidRPr="009E2B03" w:rsidRDefault="00E774F9" w:rsidP="000B4A9C">
      <w:pPr>
        <w:rPr>
          <w:rFonts w:ascii="Calibri Light" w:hAnsi="Calibri Light"/>
          <w:sz w:val="22"/>
        </w:rPr>
      </w:pPr>
      <w:r w:rsidRPr="009E2B03">
        <w:rPr>
          <w:rFonts w:ascii="Calibri Light" w:hAnsi="Calibri Light"/>
          <w:sz w:val="22"/>
        </w:rPr>
        <w:t>On the basis of the analysis undertaken in this Report, KPMG have prepared a roadmap of key considerations to assist the Department in identifying the steps required to support the continued implementation of the National Plan and the develo</w:t>
      </w:r>
      <w:r w:rsidR="001F09EA" w:rsidRPr="009E2B03">
        <w:rPr>
          <w:rFonts w:ascii="Calibri Light" w:hAnsi="Calibri Light"/>
          <w:sz w:val="22"/>
        </w:rPr>
        <w:t xml:space="preserve">pment of the Third Action Plan. </w:t>
      </w:r>
      <w:r w:rsidR="00287D9B" w:rsidRPr="009E2B03">
        <w:rPr>
          <w:rFonts w:ascii="Calibri Light" w:hAnsi="Calibri Light"/>
          <w:sz w:val="22"/>
        </w:rPr>
        <w:t>Considering the complexity of the issue of violence</w:t>
      </w:r>
      <w:r w:rsidR="007D095C" w:rsidRPr="009E2B03">
        <w:rPr>
          <w:rFonts w:ascii="Calibri Light" w:hAnsi="Calibri Light"/>
          <w:sz w:val="22"/>
        </w:rPr>
        <w:t>,</w:t>
      </w:r>
      <w:r w:rsidR="007D4500" w:rsidRPr="009E2B03">
        <w:rPr>
          <w:rFonts w:ascii="Calibri Light" w:hAnsi="Calibri Light"/>
          <w:sz w:val="22"/>
        </w:rPr>
        <w:t xml:space="preserve"> </w:t>
      </w:r>
      <w:r w:rsidR="00E215A1" w:rsidRPr="009E2B03">
        <w:rPr>
          <w:rFonts w:ascii="Calibri Light" w:hAnsi="Calibri Light"/>
          <w:sz w:val="22"/>
        </w:rPr>
        <w:t xml:space="preserve">it is important to emphasise </w:t>
      </w:r>
      <w:r w:rsidR="007D4500" w:rsidRPr="009E2B03">
        <w:rPr>
          <w:rFonts w:ascii="Calibri Light" w:hAnsi="Calibri Light"/>
          <w:sz w:val="22"/>
        </w:rPr>
        <w:t>the roadmap is not exhaustive</w:t>
      </w:r>
      <w:r w:rsidR="001F09EA" w:rsidRPr="009E2B03">
        <w:rPr>
          <w:rFonts w:ascii="Calibri Light" w:hAnsi="Calibri Light"/>
          <w:sz w:val="22"/>
        </w:rPr>
        <w:t xml:space="preserve"> and should be considered in relation to the other recent recommendations for reform, such as the </w:t>
      </w:r>
      <w:r w:rsidR="000B4A9C" w:rsidRPr="009E2B03">
        <w:rPr>
          <w:rFonts w:ascii="Calibri Light" w:hAnsi="Calibri Light"/>
          <w:sz w:val="22"/>
        </w:rPr>
        <w:t xml:space="preserve">Victoria </w:t>
      </w:r>
      <w:r w:rsidR="001F09EA" w:rsidRPr="009E2B03">
        <w:rPr>
          <w:rFonts w:ascii="Calibri Light" w:hAnsi="Calibri Light"/>
          <w:sz w:val="22"/>
        </w:rPr>
        <w:t>Royal Commission</w:t>
      </w:r>
      <w:r w:rsidR="000B4A9C" w:rsidRPr="009E2B03">
        <w:rPr>
          <w:rFonts w:ascii="Calibri Light" w:hAnsi="Calibri Light"/>
          <w:sz w:val="22"/>
        </w:rPr>
        <w:t>’</w:t>
      </w:r>
      <w:r w:rsidR="001F09EA" w:rsidRPr="009E2B03">
        <w:rPr>
          <w:rFonts w:ascii="Calibri Light" w:hAnsi="Calibri Light"/>
          <w:sz w:val="22"/>
        </w:rPr>
        <w:t>s 227 recommendations and the Queensland Government</w:t>
      </w:r>
      <w:r w:rsidR="000B4A9C" w:rsidRPr="009E2B03">
        <w:rPr>
          <w:rFonts w:ascii="Calibri Light" w:hAnsi="Calibri Light"/>
          <w:sz w:val="22"/>
        </w:rPr>
        <w:t>’</w:t>
      </w:r>
      <w:r w:rsidR="001F09EA" w:rsidRPr="009E2B03">
        <w:rPr>
          <w:rFonts w:ascii="Calibri Light" w:hAnsi="Calibri Light"/>
          <w:sz w:val="22"/>
        </w:rPr>
        <w:t>s report and recommendations Not Now, Not Ever</w:t>
      </w:r>
      <w:r w:rsidR="00E215A1" w:rsidRPr="009E2B03">
        <w:rPr>
          <w:rFonts w:ascii="Calibri Light" w:hAnsi="Calibri Light"/>
          <w:sz w:val="22"/>
        </w:rPr>
        <w:t>.</w:t>
      </w:r>
      <w:r w:rsidR="000B4A9C" w:rsidRPr="009E2B03">
        <w:rPr>
          <w:rFonts w:ascii="Calibri Light" w:hAnsi="Calibri Light"/>
          <w:sz w:val="22"/>
        </w:rPr>
        <w:t xml:space="preserve"> </w:t>
      </w:r>
    </w:p>
    <w:p w14:paraId="7B996E4B" w14:textId="77777777" w:rsidR="001F1DA2" w:rsidRPr="009E2B03" w:rsidRDefault="00AA0F6B" w:rsidP="00C250C5">
      <w:pPr>
        <w:rPr>
          <w:rFonts w:ascii="Calibri Light" w:hAnsi="Calibri Light"/>
          <w:sz w:val="22"/>
        </w:rPr>
      </w:pPr>
      <w:r w:rsidRPr="009E2B03">
        <w:rPr>
          <w:rFonts w:ascii="Calibri Light" w:hAnsi="Calibri Light"/>
          <w:sz w:val="22"/>
        </w:rPr>
        <w:t xml:space="preserve">In light of these considerations, the </w:t>
      </w:r>
      <w:r w:rsidR="009B6A77" w:rsidRPr="009E2B03">
        <w:rPr>
          <w:rFonts w:ascii="Calibri Light" w:hAnsi="Calibri Light"/>
          <w:sz w:val="22"/>
        </w:rPr>
        <w:t xml:space="preserve">summary </w:t>
      </w:r>
      <w:r w:rsidRPr="009E2B03">
        <w:rPr>
          <w:rFonts w:ascii="Calibri Light" w:hAnsi="Calibri Light"/>
          <w:sz w:val="22"/>
        </w:rPr>
        <w:t>identif</w:t>
      </w:r>
      <w:r w:rsidR="009B6A77" w:rsidRPr="009E2B03">
        <w:rPr>
          <w:rFonts w:ascii="Calibri Light" w:hAnsi="Calibri Light"/>
          <w:sz w:val="22"/>
        </w:rPr>
        <w:t>ies</w:t>
      </w:r>
      <w:r w:rsidRPr="009E2B03">
        <w:rPr>
          <w:rFonts w:ascii="Calibri Light" w:hAnsi="Calibri Light"/>
          <w:sz w:val="22"/>
        </w:rPr>
        <w:t xml:space="preserve"> </w:t>
      </w:r>
      <w:r w:rsidR="000E5A97" w:rsidRPr="009E2B03">
        <w:rPr>
          <w:rFonts w:ascii="Calibri Light" w:hAnsi="Calibri Light"/>
          <w:sz w:val="22"/>
        </w:rPr>
        <w:t xml:space="preserve">some of </w:t>
      </w:r>
      <w:r w:rsidRPr="009E2B03">
        <w:rPr>
          <w:rFonts w:ascii="Calibri Light" w:hAnsi="Calibri Light"/>
          <w:sz w:val="22"/>
        </w:rPr>
        <w:t xml:space="preserve">the </w:t>
      </w:r>
      <w:r w:rsidR="009B6A77" w:rsidRPr="009E2B03">
        <w:rPr>
          <w:rFonts w:ascii="Calibri Light" w:hAnsi="Calibri Light"/>
          <w:sz w:val="22"/>
        </w:rPr>
        <w:t>most important</w:t>
      </w:r>
      <w:r w:rsidRPr="009E2B03">
        <w:rPr>
          <w:rFonts w:ascii="Calibri Light" w:hAnsi="Calibri Light"/>
          <w:sz w:val="22"/>
        </w:rPr>
        <w:t xml:space="preserve"> areas of </w:t>
      </w:r>
      <w:r w:rsidR="009B6A77" w:rsidRPr="009E2B03">
        <w:rPr>
          <w:rFonts w:ascii="Calibri Light" w:hAnsi="Calibri Light"/>
          <w:sz w:val="22"/>
        </w:rPr>
        <w:t xml:space="preserve">interest </w:t>
      </w:r>
      <w:r w:rsidRPr="009E2B03">
        <w:rPr>
          <w:rFonts w:ascii="Calibri Light" w:hAnsi="Calibri Light"/>
          <w:sz w:val="22"/>
        </w:rPr>
        <w:t xml:space="preserve">for government in developing a stronger evidence base to support longer term policy decision making to reduce violence against women and their children. Specifically, the </w:t>
      </w:r>
      <w:r w:rsidR="009B6A77" w:rsidRPr="009E2B03">
        <w:rPr>
          <w:rFonts w:ascii="Calibri Light" w:hAnsi="Calibri Light"/>
          <w:sz w:val="22"/>
        </w:rPr>
        <w:t xml:space="preserve">summary </w:t>
      </w:r>
      <w:r w:rsidRPr="009E2B03">
        <w:rPr>
          <w:rFonts w:ascii="Calibri Light" w:hAnsi="Calibri Light"/>
          <w:sz w:val="22"/>
        </w:rPr>
        <w:t xml:space="preserve">includes five focus areas, namely: </w:t>
      </w:r>
    </w:p>
    <w:p w14:paraId="48293180" w14:textId="77777777" w:rsidR="00FB6EF4" w:rsidRPr="009E2B03" w:rsidRDefault="001F1DA2" w:rsidP="00C250C5">
      <w:pPr>
        <w:pStyle w:val="BodyBullet"/>
        <w:rPr>
          <w:rFonts w:ascii="Calibri Light" w:hAnsi="Calibri Light" w:cs="Arial"/>
          <w:sz w:val="22"/>
        </w:rPr>
      </w:pPr>
      <w:r w:rsidRPr="009E2B03">
        <w:rPr>
          <w:rFonts w:ascii="Calibri Light" w:hAnsi="Calibri Light" w:cs="Arial"/>
          <w:b/>
          <w:color w:val="6D2077"/>
          <w:sz w:val="22"/>
        </w:rPr>
        <w:t>Co</w:t>
      </w:r>
      <w:r w:rsidR="00FB6EF4" w:rsidRPr="009E2B03">
        <w:rPr>
          <w:rFonts w:ascii="Calibri Light" w:hAnsi="Calibri Light" w:cs="Arial"/>
          <w:b/>
          <w:color w:val="6D2077"/>
          <w:sz w:val="22"/>
        </w:rPr>
        <w:t>llaboration and integration of reporting across jurisdictions</w:t>
      </w:r>
      <w:r w:rsidR="00FB6EF4" w:rsidRPr="009E2B03">
        <w:rPr>
          <w:rFonts w:ascii="Calibri Light" w:hAnsi="Calibri Light" w:cs="Arial"/>
          <w:color w:val="6D2077"/>
          <w:sz w:val="22"/>
        </w:rPr>
        <w:t xml:space="preserve"> </w:t>
      </w:r>
      <w:r w:rsidR="00FB6EF4" w:rsidRPr="009E2B03">
        <w:rPr>
          <w:rFonts w:ascii="Calibri Light" w:hAnsi="Calibri Light" w:cs="Arial"/>
          <w:sz w:val="22"/>
        </w:rPr>
        <w:t>–</w:t>
      </w:r>
      <w:r w:rsidR="00F70C0C" w:rsidRPr="009E2B03">
        <w:rPr>
          <w:rFonts w:ascii="Calibri Light" w:hAnsi="Calibri Light" w:cs="Arial"/>
          <w:sz w:val="22"/>
        </w:rPr>
        <w:t xml:space="preserve"> </w:t>
      </w:r>
      <w:r w:rsidR="00FB6EF4" w:rsidRPr="009E2B03">
        <w:rPr>
          <w:rFonts w:ascii="Calibri Light" w:hAnsi="Calibri Light" w:cs="Arial"/>
          <w:sz w:val="22"/>
        </w:rPr>
        <w:t xml:space="preserve">more consistent data collection and collation activities across </w:t>
      </w:r>
      <w:r w:rsidRPr="009E2B03">
        <w:rPr>
          <w:rFonts w:ascii="Calibri Light" w:hAnsi="Calibri Light" w:cs="Arial"/>
          <w:sz w:val="22"/>
        </w:rPr>
        <w:t xml:space="preserve">the </w:t>
      </w:r>
      <w:r w:rsidR="009B6A77" w:rsidRPr="009E2B03">
        <w:rPr>
          <w:rFonts w:ascii="Calibri Light" w:hAnsi="Calibri Light" w:cs="Arial"/>
          <w:sz w:val="22"/>
        </w:rPr>
        <w:t>s</w:t>
      </w:r>
      <w:r w:rsidR="00FB6EF4" w:rsidRPr="009E2B03">
        <w:rPr>
          <w:rFonts w:ascii="Calibri Light" w:hAnsi="Calibri Light" w:cs="Arial"/>
          <w:sz w:val="22"/>
        </w:rPr>
        <w:t xml:space="preserve">tates and </w:t>
      </w:r>
      <w:r w:rsidR="009B6A77" w:rsidRPr="009E2B03">
        <w:rPr>
          <w:rFonts w:ascii="Calibri Light" w:hAnsi="Calibri Light" w:cs="Arial"/>
          <w:sz w:val="22"/>
        </w:rPr>
        <w:t>t</w:t>
      </w:r>
      <w:r w:rsidR="00FB6EF4" w:rsidRPr="009E2B03">
        <w:rPr>
          <w:rFonts w:ascii="Calibri Light" w:hAnsi="Calibri Light" w:cs="Arial"/>
          <w:sz w:val="22"/>
        </w:rPr>
        <w:t>erritories</w:t>
      </w:r>
      <w:r w:rsidR="00AA0F6B" w:rsidRPr="009E2B03">
        <w:rPr>
          <w:rFonts w:ascii="Calibri Light" w:hAnsi="Calibri Light" w:cs="Arial"/>
          <w:sz w:val="22"/>
        </w:rPr>
        <w:t xml:space="preserve"> is </w:t>
      </w:r>
      <w:r w:rsidR="00565210" w:rsidRPr="009E2B03">
        <w:rPr>
          <w:rFonts w:ascii="Calibri Light" w:hAnsi="Calibri Light" w:cs="Arial"/>
          <w:sz w:val="22"/>
        </w:rPr>
        <w:t>needed</w:t>
      </w:r>
      <w:r w:rsidR="00FB6EF4" w:rsidRPr="009E2B03">
        <w:rPr>
          <w:rFonts w:ascii="Calibri Light" w:hAnsi="Calibri Light" w:cs="Arial"/>
          <w:sz w:val="22"/>
        </w:rPr>
        <w:t xml:space="preserve">, including the </w:t>
      </w:r>
      <w:r w:rsidRPr="009E2B03">
        <w:rPr>
          <w:rFonts w:ascii="Calibri Light" w:hAnsi="Calibri Light" w:cs="Arial"/>
          <w:sz w:val="22"/>
        </w:rPr>
        <w:t>identification and measurement</w:t>
      </w:r>
      <w:r w:rsidR="00FB6EF4" w:rsidRPr="009E2B03">
        <w:rPr>
          <w:rFonts w:ascii="Calibri Light" w:hAnsi="Calibri Light" w:cs="Arial"/>
          <w:sz w:val="22"/>
        </w:rPr>
        <w:t xml:space="preserve"> of violence</w:t>
      </w:r>
      <w:r w:rsidR="00AA0F6B" w:rsidRPr="009E2B03">
        <w:rPr>
          <w:rFonts w:ascii="Calibri Light" w:hAnsi="Calibri Light" w:cs="Arial"/>
          <w:sz w:val="22"/>
        </w:rPr>
        <w:t xml:space="preserve"> to better underpin comparative analysis around the nature, risk and impact of violence across areas</w:t>
      </w:r>
      <w:r w:rsidR="00FB6EF4" w:rsidRPr="009E2B03">
        <w:rPr>
          <w:rFonts w:ascii="Calibri Light" w:hAnsi="Calibri Light" w:cs="Arial"/>
          <w:sz w:val="22"/>
        </w:rPr>
        <w:t>.</w:t>
      </w:r>
    </w:p>
    <w:p w14:paraId="6F5CD7E2" w14:textId="77777777" w:rsidR="00FB6EF4" w:rsidRPr="009E2B03" w:rsidRDefault="00FB6EF4" w:rsidP="00C250C5">
      <w:pPr>
        <w:pStyle w:val="BodyBullet"/>
        <w:rPr>
          <w:rFonts w:ascii="Calibri Light" w:hAnsi="Calibri Light" w:cs="Arial"/>
          <w:sz w:val="22"/>
        </w:rPr>
      </w:pPr>
      <w:r w:rsidRPr="009E2B03">
        <w:rPr>
          <w:rFonts w:ascii="Calibri Light" w:hAnsi="Calibri Light" w:cs="Arial"/>
          <w:b/>
          <w:color w:val="6D2077"/>
          <w:sz w:val="22"/>
        </w:rPr>
        <w:t>Strengthening our understanding of the economic impacts of violence</w:t>
      </w:r>
      <w:r w:rsidRPr="009E2B03">
        <w:rPr>
          <w:rFonts w:ascii="Calibri Light" w:hAnsi="Calibri Light" w:cs="Arial"/>
          <w:sz w:val="22"/>
        </w:rPr>
        <w:t xml:space="preserve"> – </w:t>
      </w:r>
      <w:r w:rsidR="00AA0F6B" w:rsidRPr="009E2B03">
        <w:rPr>
          <w:rFonts w:ascii="Calibri Light" w:hAnsi="Calibri Light" w:cs="Arial"/>
          <w:sz w:val="22"/>
        </w:rPr>
        <w:t xml:space="preserve">understanding the prevalence and incidence of violence, as well as opportunities to further refine and extend </w:t>
      </w:r>
      <w:r w:rsidR="009B6A77" w:rsidRPr="009E2B03">
        <w:rPr>
          <w:rFonts w:ascii="Calibri Light" w:hAnsi="Calibri Light" w:cs="Arial"/>
          <w:sz w:val="22"/>
        </w:rPr>
        <w:t xml:space="preserve">methods </w:t>
      </w:r>
      <w:r w:rsidR="00AA0F6B" w:rsidRPr="009E2B03">
        <w:rPr>
          <w:rFonts w:ascii="Calibri Light" w:hAnsi="Calibri Light" w:cs="Arial"/>
          <w:sz w:val="22"/>
        </w:rPr>
        <w:t>to estimating the cost of violence will be important to supporting policy decisions. Further, there is significant potential to further our understanding of the imp</w:t>
      </w:r>
      <w:r w:rsidR="00691EBB" w:rsidRPr="009E2B03">
        <w:rPr>
          <w:rFonts w:ascii="Calibri Light" w:hAnsi="Calibri Light" w:cs="Arial"/>
          <w:sz w:val="22"/>
        </w:rPr>
        <w:t>act of economic abuse on women.</w:t>
      </w:r>
    </w:p>
    <w:p w14:paraId="57D2F7E1" w14:textId="77777777" w:rsidR="00FB6EF4" w:rsidRPr="009E2B03" w:rsidRDefault="008B0EEE" w:rsidP="00C250C5">
      <w:pPr>
        <w:pStyle w:val="BodyBullet"/>
        <w:rPr>
          <w:rFonts w:ascii="Calibri Light" w:hAnsi="Calibri Light" w:cs="Arial"/>
          <w:sz w:val="22"/>
        </w:rPr>
      </w:pPr>
      <w:r w:rsidRPr="009E2B03">
        <w:rPr>
          <w:rFonts w:ascii="Calibri Light" w:hAnsi="Calibri Light" w:cs="Arial"/>
          <w:b/>
          <w:color w:val="6D2077"/>
          <w:sz w:val="22"/>
        </w:rPr>
        <w:t>Strengthening our understanding of t</w:t>
      </w:r>
      <w:r w:rsidR="00FB6EF4" w:rsidRPr="009E2B03">
        <w:rPr>
          <w:rFonts w:ascii="Calibri Light" w:hAnsi="Calibri Light" w:cs="Arial"/>
          <w:b/>
          <w:color w:val="6D2077"/>
          <w:sz w:val="22"/>
        </w:rPr>
        <w:t>he impact of socio-demographic and geographic characteristics</w:t>
      </w:r>
      <w:r w:rsidRPr="009E2B03">
        <w:rPr>
          <w:rFonts w:ascii="Calibri Light" w:hAnsi="Calibri Light" w:cs="Arial"/>
          <w:sz w:val="22"/>
        </w:rPr>
        <w:t xml:space="preserve"> – understanding the interdependencies between socio-demographic and geographic factors is pivotal to mapping the experience and impact of violence across cohorts.</w:t>
      </w:r>
    </w:p>
    <w:p w14:paraId="537C5977" w14:textId="77777777" w:rsidR="00FB6EF4" w:rsidRPr="009E2B03" w:rsidRDefault="008B0EEE" w:rsidP="00C250C5">
      <w:pPr>
        <w:pStyle w:val="BodyBullet"/>
        <w:rPr>
          <w:rFonts w:ascii="Calibri Light" w:hAnsi="Calibri Light" w:cs="Arial"/>
          <w:sz w:val="22"/>
        </w:rPr>
      </w:pPr>
      <w:r w:rsidRPr="009E2B03">
        <w:rPr>
          <w:rFonts w:ascii="Calibri Light" w:hAnsi="Calibri Light" w:cs="Arial"/>
          <w:b/>
          <w:color w:val="6D2077"/>
          <w:sz w:val="22"/>
        </w:rPr>
        <w:t>Strengthening our understanding of t</w:t>
      </w:r>
      <w:r w:rsidR="00FB6EF4" w:rsidRPr="009E2B03">
        <w:rPr>
          <w:rFonts w:ascii="Calibri Light" w:hAnsi="Calibri Light" w:cs="Arial"/>
          <w:b/>
          <w:color w:val="6D2077"/>
          <w:sz w:val="22"/>
        </w:rPr>
        <w:t>he risk of experiencing violence by vulnerable groups</w:t>
      </w:r>
      <w:r w:rsidR="00FB6EF4" w:rsidRPr="009E2B03">
        <w:rPr>
          <w:rFonts w:ascii="Calibri Light" w:hAnsi="Calibri Light" w:cs="Arial"/>
          <w:color w:val="6D2077"/>
          <w:sz w:val="22"/>
        </w:rPr>
        <w:t xml:space="preserve"> </w:t>
      </w:r>
      <w:r w:rsidR="00FB6EF4" w:rsidRPr="009E2B03">
        <w:rPr>
          <w:rFonts w:ascii="Calibri Light" w:hAnsi="Calibri Light" w:cs="Arial"/>
          <w:sz w:val="22"/>
        </w:rPr>
        <w:t xml:space="preserve">– </w:t>
      </w:r>
      <w:r w:rsidRPr="009E2B03">
        <w:rPr>
          <w:rFonts w:ascii="Calibri Light" w:hAnsi="Calibri Light" w:cs="Arial"/>
          <w:sz w:val="22"/>
        </w:rPr>
        <w:t xml:space="preserve">recognition of the different level of risk faced by vulnerable cohorts in experiencing violence over the course of their life is important to developing opportunities for targeted services and more informed policy making. </w:t>
      </w:r>
    </w:p>
    <w:p w14:paraId="64810531" w14:textId="77777777" w:rsidR="008B0EEE" w:rsidRPr="009E2B03" w:rsidRDefault="008B0EEE" w:rsidP="008B0EEE">
      <w:pPr>
        <w:pStyle w:val="BodyBullet"/>
        <w:rPr>
          <w:rFonts w:ascii="Calibri Light" w:hAnsi="Calibri Light" w:cs="Arial"/>
          <w:sz w:val="22"/>
        </w:rPr>
      </w:pPr>
      <w:r w:rsidRPr="009E2B03">
        <w:rPr>
          <w:rFonts w:ascii="Calibri Light" w:hAnsi="Calibri Light" w:cs="Arial"/>
          <w:b/>
          <w:color w:val="6D2077"/>
          <w:sz w:val="22"/>
        </w:rPr>
        <w:lastRenderedPageBreak/>
        <w:t>Strengthening our understanding of the linkages and impacts on the broader services system</w:t>
      </w:r>
      <w:r w:rsidRPr="009E2B03">
        <w:rPr>
          <w:rFonts w:ascii="Calibri Light" w:hAnsi="Calibri Light" w:cs="Arial"/>
          <w:sz w:val="22"/>
        </w:rPr>
        <w:t xml:space="preserve"> – recog</w:t>
      </w:r>
      <w:r w:rsidR="009B6A77" w:rsidRPr="009E2B03">
        <w:rPr>
          <w:rFonts w:ascii="Calibri Light" w:hAnsi="Calibri Light" w:cs="Arial"/>
          <w:sz w:val="22"/>
        </w:rPr>
        <w:t xml:space="preserve">nising how </w:t>
      </w:r>
      <w:r w:rsidRPr="009E2B03">
        <w:rPr>
          <w:rFonts w:ascii="Calibri Light" w:hAnsi="Calibri Light" w:cs="Arial"/>
          <w:sz w:val="22"/>
        </w:rPr>
        <w:t>the experience of violence</w:t>
      </w:r>
      <w:r w:rsidR="009B6A77" w:rsidRPr="009E2B03">
        <w:rPr>
          <w:rFonts w:ascii="Calibri Light" w:hAnsi="Calibri Light" w:cs="Arial"/>
          <w:sz w:val="22"/>
        </w:rPr>
        <w:t xml:space="preserve"> intersects</w:t>
      </w:r>
      <w:r w:rsidRPr="009E2B03">
        <w:rPr>
          <w:rFonts w:ascii="Calibri Light" w:hAnsi="Calibri Light" w:cs="Arial"/>
          <w:sz w:val="22"/>
        </w:rPr>
        <w:t xml:space="preserve"> with other areas of the service system, for example service provision for homelessness, mental health, and the justice sector is important to better inform holistic policy decision making. </w:t>
      </w:r>
    </w:p>
    <w:p w14:paraId="44B11645" w14:textId="77777777" w:rsidR="00FB6EF4" w:rsidRPr="009E2B03" w:rsidRDefault="00FB6EF4" w:rsidP="00E127F4">
      <w:pPr>
        <w:pStyle w:val="Heading2"/>
        <w:numPr>
          <w:ilvl w:val="1"/>
          <w:numId w:val="19"/>
        </w:numPr>
        <w:rPr>
          <w:rFonts w:ascii="Calibri Light" w:hAnsi="Calibri Light"/>
          <w:color w:val="6D2077"/>
          <w:sz w:val="36"/>
        </w:rPr>
      </w:pPr>
      <w:bookmarkStart w:id="98" w:name="_Toc449553526"/>
      <w:r w:rsidRPr="009E2B03">
        <w:rPr>
          <w:rFonts w:ascii="Calibri Light" w:hAnsi="Calibri Light"/>
          <w:color w:val="6D2077"/>
          <w:sz w:val="36"/>
        </w:rPr>
        <w:t>Collaboration and integration of reporting across jurisdictions</w:t>
      </w:r>
      <w:bookmarkEnd w:id="98"/>
    </w:p>
    <w:p w14:paraId="58B03D5E" w14:textId="77777777" w:rsidR="00FB6EF4" w:rsidRPr="009E2B03" w:rsidRDefault="00FB6EF4" w:rsidP="00FB6EF4">
      <w:pPr>
        <w:rPr>
          <w:rFonts w:ascii="Calibri Light" w:hAnsi="Calibri Light"/>
          <w:sz w:val="22"/>
        </w:rPr>
      </w:pPr>
      <w:r w:rsidRPr="009E2B03">
        <w:rPr>
          <w:rFonts w:ascii="Calibri Light" w:hAnsi="Calibri Light"/>
          <w:sz w:val="22"/>
        </w:rPr>
        <w:t xml:space="preserve">Understanding the impacts of violence requires a detailed understanding of the number of women experiencing violence across Australia, as well as the number of incidents that occur </w:t>
      </w:r>
      <w:r w:rsidR="009B6A77" w:rsidRPr="009E2B03">
        <w:rPr>
          <w:rFonts w:ascii="Calibri Light" w:hAnsi="Calibri Light"/>
          <w:sz w:val="22"/>
        </w:rPr>
        <w:t>during</w:t>
      </w:r>
      <w:r w:rsidR="009F6456" w:rsidRPr="009E2B03">
        <w:rPr>
          <w:rFonts w:ascii="Calibri Light" w:hAnsi="Calibri Light"/>
          <w:sz w:val="22"/>
        </w:rPr>
        <w:t xml:space="preserve"> a single year. At present, there are substantial differences in the reporting of violence and administrative data collection between states and territories which largely reflects their respective legal and social services systems. While it is important to consider the needs of local reporting requirements, t</w:t>
      </w:r>
      <w:r w:rsidRPr="009E2B03">
        <w:rPr>
          <w:rFonts w:ascii="Calibri Light" w:hAnsi="Calibri Light"/>
          <w:sz w:val="22"/>
        </w:rPr>
        <w:t xml:space="preserve">o </w:t>
      </w:r>
      <w:r w:rsidR="009F6456" w:rsidRPr="009E2B03">
        <w:rPr>
          <w:rFonts w:ascii="Calibri Light" w:hAnsi="Calibri Light"/>
          <w:sz w:val="22"/>
        </w:rPr>
        <w:t>improve the understanding of violence and</w:t>
      </w:r>
      <w:r w:rsidRPr="009E2B03">
        <w:rPr>
          <w:rFonts w:ascii="Calibri Light" w:hAnsi="Calibri Light"/>
          <w:sz w:val="22"/>
        </w:rPr>
        <w:t xml:space="preserve"> enable comparison across jurisdictions and sub-jurisdictions, it is </w:t>
      </w:r>
      <w:r w:rsidR="009F6456" w:rsidRPr="009E2B03">
        <w:rPr>
          <w:rFonts w:ascii="Calibri Light" w:hAnsi="Calibri Light"/>
          <w:sz w:val="22"/>
        </w:rPr>
        <w:t>useful</w:t>
      </w:r>
      <w:r w:rsidRPr="009E2B03">
        <w:rPr>
          <w:rFonts w:ascii="Calibri Light" w:hAnsi="Calibri Light"/>
          <w:sz w:val="22"/>
        </w:rPr>
        <w:t xml:space="preserve"> to ensure data collection activities are well coordinated between </w:t>
      </w:r>
      <w:r w:rsidR="001E6B80" w:rsidRPr="009E2B03">
        <w:rPr>
          <w:rFonts w:ascii="Calibri Light" w:hAnsi="Calibri Light"/>
          <w:sz w:val="22"/>
        </w:rPr>
        <w:t>Commonwealth</w:t>
      </w:r>
      <w:r w:rsidRPr="009E2B03">
        <w:rPr>
          <w:rFonts w:ascii="Calibri Light" w:hAnsi="Calibri Light"/>
          <w:sz w:val="22"/>
        </w:rPr>
        <w:t xml:space="preserve">, </w:t>
      </w:r>
      <w:r w:rsidR="001A3745" w:rsidRPr="009E2B03">
        <w:rPr>
          <w:rFonts w:ascii="Calibri Light" w:hAnsi="Calibri Light"/>
          <w:sz w:val="22"/>
        </w:rPr>
        <w:t>s</w:t>
      </w:r>
      <w:r w:rsidRPr="009E2B03">
        <w:rPr>
          <w:rFonts w:ascii="Calibri Light" w:hAnsi="Calibri Light"/>
          <w:sz w:val="22"/>
        </w:rPr>
        <w:t xml:space="preserve">tate and </w:t>
      </w:r>
      <w:r w:rsidR="001A3745" w:rsidRPr="009E2B03">
        <w:rPr>
          <w:rFonts w:ascii="Calibri Light" w:hAnsi="Calibri Light"/>
          <w:sz w:val="22"/>
        </w:rPr>
        <w:t>t</w:t>
      </w:r>
      <w:r w:rsidRPr="009E2B03">
        <w:rPr>
          <w:rFonts w:ascii="Calibri Light" w:hAnsi="Calibri Light"/>
          <w:sz w:val="22"/>
        </w:rPr>
        <w:t>erritory governments, as well as through the various pathways of the service system.</w:t>
      </w:r>
    </w:p>
    <w:p w14:paraId="7C2F12FD" w14:textId="77777777" w:rsidR="00FB6EF4" w:rsidRPr="009E2B03" w:rsidRDefault="00FB6EF4" w:rsidP="00FB6EF4">
      <w:pPr>
        <w:rPr>
          <w:rFonts w:ascii="Calibri Light" w:hAnsi="Calibri Light"/>
          <w:sz w:val="22"/>
        </w:rPr>
      </w:pPr>
      <w:r w:rsidRPr="009E2B03">
        <w:rPr>
          <w:rFonts w:ascii="Calibri Light" w:hAnsi="Calibri Light"/>
          <w:sz w:val="22"/>
        </w:rPr>
        <w:t xml:space="preserve">The PSS and the ABS experimental data on crime reporting of domestic violence provide useful high level </w:t>
      </w:r>
      <w:r w:rsidR="001E6B80" w:rsidRPr="009E2B03">
        <w:rPr>
          <w:rFonts w:ascii="Calibri Light" w:hAnsi="Calibri Light"/>
          <w:sz w:val="22"/>
        </w:rPr>
        <w:t>sources</w:t>
      </w:r>
      <w:r w:rsidRPr="009E2B03">
        <w:rPr>
          <w:rFonts w:ascii="Calibri Light" w:hAnsi="Calibri Light"/>
          <w:sz w:val="22"/>
        </w:rPr>
        <w:t xml:space="preserve"> for determining the scope of violence across Australia, but greater consistency and granularity is required in the evidence base to understand trends and the impact of policy over time. Two key challenges are identified below</w:t>
      </w:r>
      <w:r w:rsidR="009B6A77" w:rsidRPr="009E2B03">
        <w:rPr>
          <w:rFonts w:ascii="Calibri Light" w:hAnsi="Calibri Light"/>
          <w:sz w:val="22"/>
        </w:rPr>
        <w:t>.</w:t>
      </w:r>
    </w:p>
    <w:tbl>
      <w:tblPr>
        <w:tblStyle w:val="KPMGtable1"/>
        <w:tblW w:w="0" w:type="auto"/>
        <w:tblLook w:val="04A0" w:firstRow="1" w:lastRow="0" w:firstColumn="1" w:lastColumn="0" w:noHBand="0" w:noVBand="1"/>
        <w:tblCaption w:val="Table of information highlighting key challenges and considerations identified in this section"/>
      </w:tblPr>
      <w:tblGrid>
        <w:gridCol w:w="2551"/>
        <w:gridCol w:w="6044"/>
      </w:tblGrid>
      <w:tr w:rsidR="00AA0F6B" w:rsidRPr="009E2B03" w14:paraId="7B52100F"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shd w:val="clear" w:color="auto" w:fill="6D2077"/>
          </w:tcPr>
          <w:p w14:paraId="34F87DEE" w14:textId="77777777" w:rsidR="00AA0F6B" w:rsidRPr="009E2B03" w:rsidRDefault="00AA0F6B" w:rsidP="006E2EC9">
            <w:pPr>
              <w:pStyle w:val="BodyBullet"/>
              <w:numPr>
                <w:ilvl w:val="0"/>
                <w:numId w:val="0"/>
              </w:numPr>
              <w:rPr>
                <w:rFonts w:ascii="Calibri Light" w:hAnsi="Calibri Light" w:cs="Arial"/>
                <w:b/>
                <w:szCs w:val="18"/>
              </w:rPr>
            </w:pPr>
            <w:r w:rsidRPr="009E2B03">
              <w:rPr>
                <w:rFonts w:ascii="Calibri Light" w:hAnsi="Calibri Light" w:cs="Arial"/>
                <w:b/>
                <w:szCs w:val="18"/>
              </w:rPr>
              <w:t>Key challenge</w:t>
            </w:r>
          </w:p>
        </w:tc>
        <w:tc>
          <w:tcPr>
            <w:tcW w:w="6044" w:type="dxa"/>
            <w:shd w:val="clear" w:color="auto" w:fill="6D2077"/>
          </w:tcPr>
          <w:p w14:paraId="3C03DD6A" w14:textId="77777777" w:rsidR="00AA0F6B" w:rsidRPr="009E2B03" w:rsidRDefault="00AA0F6B" w:rsidP="006E2EC9">
            <w:pPr>
              <w:pStyle w:val="BodyBullet"/>
              <w:numPr>
                <w:ilvl w:val="0"/>
                <w:numId w:val="0"/>
              </w:num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Key considerations</w:t>
            </w:r>
          </w:p>
        </w:tc>
      </w:tr>
      <w:tr w:rsidR="00AA0F6B" w:rsidRPr="009E2B03" w14:paraId="3EF38B35"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163F0683" w14:textId="77777777" w:rsidR="00AA0F6B" w:rsidRPr="009E2B03" w:rsidRDefault="00AA0F6B" w:rsidP="006E2EC9">
            <w:pPr>
              <w:pStyle w:val="BodyBullet"/>
              <w:numPr>
                <w:ilvl w:val="0"/>
                <w:numId w:val="0"/>
              </w:numPr>
              <w:rPr>
                <w:rFonts w:ascii="Calibri Light" w:hAnsi="Calibri Light" w:cs="Arial"/>
                <w:b/>
                <w:color w:val="6D2077"/>
                <w:szCs w:val="18"/>
              </w:rPr>
            </w:pPr>
            <w:r w:rsidRPr="009E2B03">
              <w:rPr>
                <w:rFonts w:ascii="Calibri Light" w:hAnsi="Calibri Light" w:cs="Arial"/>
                <w:b/>
                <w:color w:val="6D2077"/>
                <w:szCs w:val="18"/>
              </w:rPr>
              <w:t>1. A more consistent understanding of both the prevalence and incidence of violence against women is pivotal to understanding the trends in violence and the individual and societal cost of violence</w:t>
            </w:r>
          </w:p>
        </w:tc>
        <w:tc>
          <w:tcPr>
            <w:tcW w:w="6044" w:type="dxa"/>
          </w:tcPr>
          <w:p w14:paraId="0AE99B32" w14:textId="77777777" w:rsidR="00AA0F6B" w:rsidRPr="009E2B03" w:rsidRDefault="00AA0F6B" w:rsidP="004F5F07">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At present, there is a lack of clarity around the relationship between prevalence and incidence rates across the jurisdictions, given that prevalence data provides population-level rates of violence, and incidence data provides police data on reported </w:t>
            </w:r>
            <w:r w:rsidR="008107AD" w:rsidRPr="009E2B03">
              <w:rPr>
                <w:rFonts w:ascii="Calibri Light" w:hAnsi="Calibri Light" w:cs="Arial"/>
                <w:szCs w:val="18"/>
              </w:rPr>
              <w:t xml:space="preserve">incidents </w:t>
            </w:r>
            <w:r w:rsidRPr="009E2B03">
              <w:rPr>
                <w:rFonts w:ascii="Calibri Light" w:hAnsi="Calibri Light" w:cs="Arial"/>
                <w:szCs w:val="18"/>
              </w:rPr>
              <w:t>only. Further, the high level of unreported violence suggests that incidence rates understate the actual rate of violence among the population. These issues have led to inconsistency in results making it difficult to a</w:t>
            </w:r>
            <w:r w:rsidR="004F5F07" w:rsidRPr="009E2B03">
              <w:rPr>
                <w:rFonts w:ascii="Calibri Light" w:hAnsi="Calibri Light" w:cs="Arial"/>
                <w:szCs w:val="18"/>
              </w:rPr>
              <w:t>ssess trends over time.</w:t>
            </w:r>
          </w:p>
        </w:tc>
      </w:tr>
      <w:tr w:rsidR="00AA0F6B" w:rsidRPr="009E2B03" w14:paraId="55A30B64"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20303304" w14:textId="77777777" w:rsidR="00AA0F6B" w:rsidRPr="009E2B03" w:rsidRDefault="00AA0F6B" w:rsidP="006E2EC9">
            <w:pPr>
              <w:pStyle w:val="BodyBullet"/>
              <w:numPr>
                <w:ilvl w:val="0"/>
                <w:numId w:val="0"/>
              </w:numPr>
              <w:rPr>
                <w:rFonts w:ascii="Calibri Light" w:hAnsi="Calibri Light" w:cs="Arial"/>
                <w:b/>
                <w:color w:val="6D2077"/>
                <w:szCs w:val="18"/>
              </w:rPr>
            </w:pPr>
            <w:r w:rsidRPr="009E2B03">
              <w:rPr>
                <w:rFonts w:ascii="Calibri Light" w:hAnsi="Calibri Light" w:cs="Arial"/>
                <w:b/>
                <w:color w:val="6D2077"/>
                <w:szCs w:val="18"/>
              </w:rPr>
              <w:t>2. Greater consistency of definitions, reporting methods, and the collection of data across the jurisdictions will improve the comparability of trends over time</w:t>
            </w:r>
          </w:p>
        </w:tc>
        <w:tc>
          <w:tcPr>
            <w:tcW w:w="6044" w:type="dxa"/>
          </w:tcPr>
          <w:p w14:paraId="7421F438" w14:textId="77777777" w:rsidR="00AA0F6B" w:rsidRPr="009E2B03" w:rsidRDefault="00AA0F6B">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szCs w:val="18"/>
              </w:rPr>
              <w:t xml:space="preserve">Differences in the definition and classification of violence and abuse, and the measuring and reporting of violence has implications on the ability to analyse the trends in violence against women over time. This has implications for understanding the nature and extent of violence, measuring the impact and outcomes of targeted programs, and estimating the overall cost of violence. Greater consistency in the approach to data across the jurisdictions will also enable the development of a consistent national framework with </w:t>
            </w:r>
            <w:r w:rsidR="00A53BA0" w:rsidRPr="009E2B03">
              <w:rPr>
                <w:rFonts w:ascii="Calibri Light" w:hAnsi="Calibri Light" w:cs="Arial"/>
                <w:szCs w:val="18"/>
              </w:rPr>
              <w:t xml:space="preserve">actionable </w:t>
            </w:r>
            <w:r w:rsidRPr="009E2B03">
              <w:rPr>
                <w:rFonts w:ascii="Calibri Light" w:hAnsi="Calibri Light" w:cs="Arial"/>
                <w:szCs w:val="18"/>
              </w:rPr>
              <w:t>and measurable steps to reduce violence against women in Australia.</w:t>
            </w:r>
          </w:p>
        </w:tc>
      </w:tr>
    </w:tbl>
    <w:p w14:paraId="6AF8EFB1" w14:textId="77777777" w:rsidR="00FB6EF4" w:rsidRPr="009E2B03" w:rsidRDefault="00FB6EF4" w:rsidP="00E127F4">
      <w:pPr>
        <w:pStyle w:val="Heading2"/>
        <w:numPr>
          <w:ilvl w:val="1"/>
          <w:numId w:val="19"/>
        </w:numPr>
        <w:rPr>
          <w:rFonts w:ascii="Calibri Light" w:hAnsi="Calibri Light"/>
          <w:color w:val="6D2077"/>
          <w:sz w:val="36"/>
        </w:rPr>
      </w:pPr>
      <w:bookmarkStart w:id="99" w:name="_Toc449553527"/>
      <w:r w:rsidRPr="009E2B03">
        <w:rPr>
          <w:rFonts w:ascii="Calibri Light" w:hAnsi="Calibri Light"/>
          <w:color w:val="6D2077"/>
          <w:sz w:val="36"/>
        </w:rPr>
        <w:t>Strengthening our understanding of the economic impacts of violence</w:t>
      </w:r>
      <w:bookmarkEnd w:id="99"/>
    </w:p>
    <w:p w14:paraId="6B103682" w14:textId="77777777" w:rsidR="00FB6EF4" w:rsidRPr="009E2B03" w:rsidRDefault="00FB6EF4" w:rsidP="00FB6EF4">
      <w:pPr>
        <w:rPr>
          <w:rFonts w:ascii="Calibri Light" w:hAnsi="Calibri Light"/>
          <w:sz w:val="22"/>
        </w:rPr>
      </w:pPr>
      <w:r w:rsidRPr="009E2B03">
        <w:rPr>
          <w:rFonts w:ascii="Calibri Light" w:hAnsi="Calibri Light"/>
          <w:sz w:val="22"/>
        </w:rPr>
        <w:t xml:space="preserve">As described in detail throughout this Report, approaches to estimating the economic and non-economic impacts of violence on women, their families and the broader Australian economy has evolved into a consistent methodology for establishing high level costing calculations. This method </w:t>
      </w:r>
      <w:r w:rsidRPr="009E2B03">
        <w:rPr>
          <w:rFonts w:ascii="Calibri Light" w:hAnsi="Calibri Light"/>
          <w:sz w:val="22"/>
        </w:rPr>
        <w:lastRenderedPageBreak/>
        <w:t>and the resulting costing has enabled the identification of the nationwide costs associated with the economic and non-economic consequences of violence</w:t>
      </w:r>
      <w:r w:rsidR="00841A72" w:rsidRPr="009E2B03">
        <w:rPr>
          <w:rFonts w:ascii="Calibri Light" w:hAnsi="Calibri Light"/>
          <w:sz w:val="22"/>
        </w:rPr>
        <w:t>.</w:t>
      </w:r>
      <w:r w:rsidRPr="009E2B03">
        <w:rPr>
          <w:rFonts w:ascii="Calibri Light" w:hAnsi="Calibri Light"/>
          <w:sz w:val="22"/>
        </w:rPr>
        <w:t xml:space="preserve"> </w:t>
      </w:r>
    </w:p>
    <w:p w14:paraId="680817EE" w14:textId="77777777" w:rsidR="00FB6EF4" w:rsidRPr="009E2B03" w:rsidRDefault="00A53BA0" w:rsidP="00FB6EF4">
      <w:pPr>
        <w:rPr>
          <w:rFonts w:ascii="Calibri Light" w:hAnsi="Calibri Light"/>
          <w:sz w:val="22"/>
        </w:rPr>
      </w:pPr>
      <w:r w:rsidRPr="009E2B03">
        <w:rPr>
          <w:rFonts w:ascii="Calibri Light" w:hAnsi="Calibri Light"/>
          <w:sz w:val="22"/>
        </w:rPr>
        <w:t>There are three significant challenges t</w:t>
      </w:r>
      <w:r w:rsidR="00FB6EF4" w:rsidRPr="009E2B03">
        <w:rPr>
          <w:rFonts w:ascii="Calibri Light" w:hAnsi="Calibri Light"/>
          <w:sz w:val="22"/>
        </w:rPr>
        <w:t>o continu</w:t>
      </w:r>
      <w:r w:rsidRPr="009E2B03">
        <w:rPr>
          <w:rFonts w:ascii="Calibri Light" w:hAnsi="Calibri Light"/>
          <w:sz w:val="22"/>
        </w:rPr>
        <w:t>ing</w:t>
      </w:r>
      <w:r w:rsidR="00FB6EF4" w:rsidRPr="009E2B03">
        <w:rPr>
          <w:rFonts w:ascii="Calibri Light" w:hAnsi="Calibri Light"/>
          <w:sz w:val="22"/>
        </w:rPr>
        <w:t xml:space="preserve"> to strengthen and refine the costing methodology applied across the 2009 and </w:t>
      </w:r>
      <w:r w:rsidR="00841A72" w:rsidRPr="009E2B03">
        <w:rPr>
          <w:rFonts w:ascii="Calibri Light" w:hAnsi="Calibri Light"/>
          <w:sz w:val="22"/>
        </w:rPr>
        <w:t>2016</w:t>
      </w:r>
      <w:r w:rsidR="00FB6EF4" w:rsidRPr="009E2B03">
        <w:rPr>
          <w:rFonts w:ascii="Calibri Light" w:hAnsi="Calibri Light"/>
          <w:sz w:val="22"/>
        </w:rPr>
        <w:t xml:space="preserve"> KPMG </w:t>
      </w:r>
      <w:r w:rsidR="00841A72" w:rsidRPr="009E2B03">
        <w:rPr>
          <w:rFonts w:ascii="Calibri Light" w:hAnsi="Calibri Light"/>
          <w:sz w:val="22"/>
        </w:rPr>
        <w:t>studies</w:t>
      </w:r>
      <w:r w:rsidRPr="009E2B03">
        <w:rPr>
          <w:rFonts w:ascii="Calibri Light" w:hAnsi="Calibri Light"/>
          <w:sz w:val="22"/>
        </w:rPr>
        <w:t>. The</w:t>
      </w:r>
      <w:r w:rsidR="00FB6EF4" w:rsidRPr="009E2B03">
        <w:rPr>
          <w:rFonts w:ascii="Calibri Light" w:hAnsi="Calibri Light"/>
          <w:sz w:val="22"/>
        </w:rPr>
        <w:t xml:space="preserve"> </w:t>
      </w:r>
      <w:r w:rsidR="00841A72" w:rsidRPr="009E2B03">
        <w:rPr>
          <w:rFonts w:ascii="Calibri Light" w:hAnsi="Calibri Light"/>
          <w:sz w:val="22"/>
        </w:rPr>
        <w:t>three</w:t>
      </w:r>
      <w:r w:rsidR="00FB6EF4" w:rsidRPr="009E2B03">
        <w:rPr>
          <w:rFonts w:ascii="Calibri Light" w:hAnsi="Calibri Light"/>
          <w:sz w:val="22"/>
        </w:rPr>
        <w:t xml:space="preserve"> challenges are outlined below. These relate to both updating and nuancing the current cost categories and assumptions, and to targeted research into additional economic impacts on women and their families from economic abuse. </w:t>
      </w:r>
    </w:p>
    <w:tbl>
      <w:tblPr>
        <w:tblStyle w:val="KPMGtable1"/>
        <w:tblW w:w="0" w:type="auto"/>
        <w:tblLook w:val="04A0" w:firstRow="1" w:lastRow="0" w:firstColumn="1" w:lastColumn="0" w:noHBand="0" w:noVBand="1"/>
        <w:tblCaption w:val="Table of information outlining the key challenges and key consideration of this section"/>
      </w:tblPr>
      <w:tblGrid>
        <w:gridCol w:w="2551"/>
        <w:gridCol w:w="6044"/>
      </w:tblGrid>
      <w:tr w:rsidR="00AA0F6B" w:rsidRPr="009E2B03" w14:paraId="7C2DD095"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shd w:val="clear" w:color="auto" w:fill="6D2077"/>
          </w:tcPr>
          <w:p w14:paraId="198AE54C" w14:textId="77777777" w:rsidR="00AA0F6B" w:rsidRPr="009E2B03" w:rsidRDefault="00AA0F6B" w:rsidP="006E2EC9">
            <w:pPr>
              <w:pStyle w:val="BodyBullet"/>
              <w:numPr>
                <w:ilvl w:val="0"/>
                <w:numId w:val="0"/>
              </w:numPr>
              <w:rPr>
                <w:rFonts w:ascii="Calibri Light" w:hAnsi="Calibri Light" w:cs="Arial"/>
                <w:b/>
                <w:szCs w:val="18"/>
              </w:rPr>
            </w:pPr>
            <w:r w:rsidRPr="009E2B03">
              <w:rPr>
                <w:rFonts w:ascii="Calibri Light" w:hAnsi="Calibri Light" w:cs="Arial"/>
                <w:b/>
                <w:szCs w:val="18"/>
              </w:rPr>
              <w:t>Key challenge</w:t>
            </w:r>
          </w:p>
        </w:tc>
        <w:tc>
          <w:tcPr>
            <w:tcW w:w="6044" w:type="dxa"/>
            <w:shd w:val="clear" w:color="auto" w:fill="6D2077"/>
          </w:tcPr>
          <w:p w14:paraId="008B544D" w14:textId="77777777" w:rsidR="00AA0F6B" w:rsidRPr="009E2B03" w:rsidRDefault="00AA0F6B" w:rsidP="006E2EC9">
            <w:pPr>
              <w:pStyle w:val="BodyBullet"/>
              <w:numPr>
                <w:ilvl w:val="0"/>
                <w:numId w:val="0"/>
              </w:num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Key considerations</w:t>
            </w:r>
          </w:p>
        </w:tc>
      </w:tr>
      <w:tr w:rsidR="00AA0F6B" w:rsidRPr="009E2B03" w14:paraId="2BAA2649"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04A7D055" w14:textId="77777777" w:rsidR="00AA0F6B" w:rsidRPr="009E2B03" w:rsidRDefault="00AA0F6B" w:rsidP="006E2EC9">
            <w:pPr>
              <w:pStyle w:val="BodyBullet"/>
              <w:numPr>
                <w:ilvl w:val="0"/>
                <w:numId w:val="0"/>
              </w:numPr>
              <w:rPr>
                <w:rFonts w:ascii="Calibri Light" w:hAnsi="Calibri Light" w:cs="Arial"/>
                <w:b/>
                <w:color w:val="6D2077"/>
                <w:szCs w:val="18"/>
                <w:highlight w:val="yellow"/>
              </w:rPr>
            </w:pPr>
            <w:r w:rsidRPr="009E2B03">
              <w:rPr>
                <w:rFonts w:ascii="Calibri Light" w:hAnsi="Calibri Light" w:cs="Arial"/>
                <w:b/>
                <w:color w:val="6D2077"/>
                <w:szCs w:val="18"/>
              </w:rPr>
              <w:t>3. Refinements to sub-cost categorisation such as sector specific costs can be made with enhanced data availability and consistency between jurisdictions</w:t>
            </w:r>
          </w:p>
        </w:tc>
        <w:tc>
          <w:tcPr>
            <w:tcW w:w="6044" w:type="dxa"/>
          </w:tcPr>
          <w:p w14:paraId="34EFF09F" w14:textId="77777777" w:rsidR="00841A72" w:rsidRPr="009E2B03" w:rsidRDefault="00AA0F6B" w:rsidP="00841A72">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The current approach utilises a combination of top</w:t>
            </w:r>
            <w:r w:rsidR="00841A72" w:rsidRPr="009E2B03">
              <w:rPr>
                <w:rFonts w:ascii="Calibri Light" w:hAnsi="Calibri Light" w:cs="Arial"/>
                <w:szCs w:val="18"/>
                <w:lang w:eastAsia="en-AU"/>
              </w:rPr>
              <w:t>-</w:t>
            </w:r>
            <w:r w:rsidRPr="009E2B03">
              <w:rPr>
                <w:rFonts w:ascii="Calibri Light" w:hAnsi="Calibri Light" w:cs="Arial"/>
                <w:szCs w:val="18"/>
                <w:lang w:eastAsia="en-AU"/>
              </w:rPr>
              <w:t>down and bottom</w:t>
            </w:r>
            <w:r w:rsidR="00841A72" w:rsidRPr="009E2B03">
              <w:rPr>
                <w:rFonts w:ascii="Calibri Light" w:hAnsi="Calibri Light" w:cs="Arial"/>
                <w:szCs w:val="18"/>
                <w:lang w:eastAsia="en-AU"/>
              </w:rPr>
              <w:t>-</w:t>
            </w:r>
            <w:r w:rsidRPr="009E2B03">
              <w:rPr>
                <w:rFonts w:ascii="Calibri Light" w:hAnsi="Calibri Light" w:cs="Arial"/>
                <w:szCs w:val="18"/>
                <w:lang w:eastAsia="en-AU"/>
              </w:rPr>
              <w:t>up calculations, utilising the most up</w:t>
            </w:r>
            <w:r w:rsidR="00841A72" w:rsidRPr="009E2B03">
              <w:rPr>
                <w:rFonts w:ascii="Calibri Light" w:hAnsi="Calibri Light" w:cs="Arial"/>
                <w:szCs w:val="18"/>
                <w:lang w:eastAsia="en-AU"/>
              </w:rPr>
              <w:t>-</w:t>
            </w:r>
            <w:r w:rsidRPr="009E2B03">
              <w:rPr>
                <w:rFonts w:ascii="Calibri Light" w:hAnsi="Calibri Light" w:cs="Arial"/>
                <w:szCs w:val="18"/>
                <w:lang w:eastAsia="en-AU"/>
              </w:rPr>
              <w:t>to</w:t>
            </w:r>
            <w:r w:rsidR="00841A72" w:rsidRPr="009E2B03">
              <w:rPr>
                <w:rFonts w:ascii="Calibri Light" w:hAnsi="Calibri Light" w:cs="Arial"/>
                <w:szCs w:val="18"/>
                <w:lang w:eastAsia="en-AU"/>
              </w:rPr>
              <w:t>-</w:t>
            </w:r>
            <w:r w:rsidRPr="009E2B03">
              <w:rPr>
                <w:rFonts w:ascii="Calibri Light" w:hAnsi="Calibri Light" w:cs="Arial"/>
                <w:szCs w:val="18"/>
                <w:lang w:eastAsia="en-AU"/>
              </w:rPr>
              <w:t xml:space="preserve">date data sources to ascertain high level costs across </w:t>
            </w:r>
            <w:r w:rsidR="00841A72" w:rsidRPr="009E2B03">
              <w:rPr>
                <w:rFonts w:ascii="Calibri Light" w:hAnsi="Calibri Light" w:cs="Arial"/>
                <w:szCs w:val="18"/>
                <w:lang w:eastAsia="en-AU"/>
              </w:rPr>
              <w:t>seven</w:t>
            </w:r>
            <w:r w:rsidRPr="009E2B03">
              <w:rPr>
                <w:rFonts w:ascii="Calibri Light" w:hAnsi="Calibri Light" w:cs="Arial"/>
                <w:szCs w:val="18"/>
                <w:lang w:eastAsia="en-AU"/>
              </w:rPr>
              <w:t xml:space="preserve"> cost categories. The strength of this approach is in establishing nation</w:t>
            </w:r>
            <w:r w:rsidR="00841A72" w:rsidRPr="009E2B03">
              <w:rPr>
                <w:rFonts w:ascii="Calibri Light" w:hAnsi="Calibri Light" w:cs="Arial"/>
                <w:szCs w:val="18"/>
                <w:lang w:eastAsia="en-AU"/>
              </w:rPr>
              <w:t>-</w:t>
            </w:r>
            <w:r w:rsidRPr="009E2B03">
              <w:rPr>
                <w:rFonts w:ascii="Calibri Light" w:hAnsi="Calibri Light" w:cs="Arial"/>
                <w:szCs w:val="18"/>
                <w:lang w:eastAsia="en-AU"/>
              </w:rPr>
              <w:t>wide and jurisdiction</w:t>
            </w:r>
            <w:r w:rsidR="00841A72" w:rsidRPr="009E2B03">
              <w:rPr>
                <w:rFonts w:ascii="Calibri Light" w:hAnsi="Calibri Light" w:cs="Arial"/>
                <w:szCs w:val="18"/>
                <w:lang w:eastAsia="en-AU"/>
              </w:rPr>
              <w:t>-</w:t>
            </w:r>
            <w:r w:rsidRPr="009E2B03">
              <w:rPr>
                <w:rFonts w:ascii="Calibri Light" w:hAnsi="Calibri Light" w:cs="Arial"/>
                <w:szCs w:val="18"/>
                <w:lang w:eastAsia="en-AU"/>
              </w:rPr>
              <w:t xml:space="preserve">based costing to communicate the scope of the issue in regards to the impact across the economy. </w:t>
            </w:r>
          </w:p>
          <w:p w14:paraId="73EECFE3" w14:textId="77777777" w:rsidR="00AA0F6B" w:rsidRPr="009E2B03" w:rsidRDefault="00AA0F6B" w:rsidP="00841A72">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highlight w:val="yellow"/>
              </w:rPr>
            </w:pPr>
            <w:r w:rsidRPr="009E2B03">
              <w:rPr>
                <w:rFonts w:ascii="Calibri Light" w:hAnsi="Calibri Light" w:cs="Arial"/>
                <w:szCs w:val="18"/>
                <w:lang w:eastAsia="en-AU"/>
              </w:rPr>
              <w:t>Mo</w:t>
            </w:r>
            <w:r w:rsidR="00841A72" w:rsidRPr="009E2B03">
              <w:rPr>
                <w:rFonts w:ascii="Calibri Light" w:hAnsi="Calibri Light" w:cs="Arial"/>
                <w:szCs w:val="18"/>
                <w:lang w:eastAsia="en-AU"/>
              </w:rPr>
              <w:t>r</w:t>
            </w:r>
            <w:r w:rsidRPr="009E2B03">
              <w:rPr>
                <w:rFonts w:ascii="Calibri Light" w:hAnsi="Calibri Light" w:cs="Arial"/>
                <w:szCs w:val="18"/>
                <w:lang w:eastAsia="en-AU"/>
              </w:rPr>
              <w:t>e detailed costing relating to sub-sections of the cost categories may be able to be established with additional research and data identifying the number of women accessing</w:t>
            </w:r>
            <w:r w:rsidR="00841A72" w:rsidRPr="009E2B03">
              <w:rPr>
                <w:rFonts w:ascii="Calibri Light" w:hAnsi="Calibri Light" w:cs="Arial"/>
                <w:szCs w:val="18"/>
                <w:lang w:eastAsia="en-AU"/>
              </w:rPr>
              <w:t xml:space="preserve"> services across the service system, including for health care, and justice services</w:t>
            </w:r>
            <w:r w:rsidRPr="009E2B03">
              <w:rPr>
                <w:rFonts w:ascii="Calibri Light" w:hAnsi="Calibri Light" w:cs="Arial"/>
                <w:szCs w:val="18"/>
                <w:lang w:eastAsia="en-AU"/>
              </w:rPr>
              <w:t>. Additionally, u</w:t>
            </w:r>
            <w:r w:rsidRPr="009E2B03">
              <w:rPr>
                <w:rFonts w:ascii="Calibri Light" w:hAnsi="Calibri Light" w:cs="Arial"/>
                <w:szCs w:val="18"/>
              </w:rPr>
              <w:t>pdated research on key assumptions underpinning calculations – for example, the number of days taken off from work by victims of violence, based on violence type – would further strengthen costing estimates.</w:t>
            </w:r>
          </w:p>
        </w:tc>
      </w:tr>
      <w:tr w:rsidR="00AA0F6B" w:rsidRPr="009E2B03" w14:paraId="030CA4CB"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398B8ADF" w14:textId="77777777" w:rsidR="00AA0F6B" w:rsidRPr="009E2B03" w:rsidRDefault="00AA0F6B" w:rsidP="006E2EC9">
            <w:pPr>
              <w:pStyle w:val="BodyBullet"/>
              <w:numPr>
                <w:ilvl w:val="0"/>
                <w:numId w:val="0"/>
              </w:numPr>
              <w:rPr>
                <w:rFonts w:ascii="Calibri Light" w:hAnsi="Calibri Light" w:cs="Arial"/>
                <w:b/>
                <w:color w:val="6D2077"/>
                <w:szCs w:val="18"/>
                <w:highlight w:val="yellow"/>
              </w:rPr>
            </w:pPr>
            <w:r w:rsidRPr="009E2B03">
              <w:rPr>
                <w:rFonts w:ascii="Calibri Light" w:hAnsi="Calibri Light" w:cs="Arial"/>
                <w:b/>
                <w:color w:val="6D2077"/>
                <w:szCs w:val="18"/>
              </w:rPr>
              <w:t>4. Economic abuse can accompany and compound experiences of violence, however additional data is required to develop a more comprehensive analysis of the effects of resource control, financial inequality and partner debt</w:t>
            </w:r>
          </w:p>
        </w:tc>
        <w:tc>
          <w:tcPr>
            <w:tcW w:w="6044" w:type="dxa"/>
          </w:tcPr>
          <w:p w14:paraId="395B6A60" w14:textId="77777777" w:rsidR="00AA0F6B" w:rsidRPr="009E2B03" w:rsidRDefault="00AA0F6B" w:rsidP="00841A72">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highlight w:val="yellow"/>
              </w:rPr>
            </w:pPr>
            <w:r w:rsidRPr="009E2B03">
              <w:rPr>
                <w:rFonts w:ascii="Calibri Light" w:hAnsi="Calibri Light" w:cs="Arial"/>
                <w:szCs w:val="18"/>
              </w:rPr>
              <w:t xml:space="preserve">New research into the impact of economic abuse on women has identified that experiences of violence can be accompanied by economic abuse, which can also extend experiences of violence by reducing </w:t>
            </w:r>
            <w:r w:rsidR="00841A72" w:rsidRPr="009E2B03">
              <w:rPr>
                <w:rFonts w:ascii="Calibri Light" w:hAnsi="Calibri Light" w:cs="Arial"/>
                <w:szCs w:val="18"/>
              </w:rPr>
              <w:t>opportunities for women to leave an abusive relationship</w:t>
            </w:r>
            <w:r w:rsidRPr="009E2B03">
              <w:rPr>
                <w:rFonts w:ascii="Calibri Light" w:hAnsi="Calibri Light" w:cs="Arial"/>
                <w:szCs w:val="18"/>
              </w:rPr>
              <w:t>. Key issues include financial inequality between partners leading to the control of household finances</w:t>
            </w:r>
            <w:r w:rsidR="00841A72" w:rsidRPr="009E2B03">
              <w:rPr>
                <w:rFonts w:ascii="Calibri Light" w:hAnsi="Calibri Light" w:cs="Arial"/>
                <w:szCs w:val="18"/>
              </w:rPr>
              <w:t>,</w:t>
            </w:r>
            <w:r w:rsidRPr="009E2B03">
              <w:rPr>
                <w:rFonts w:ascii="Calibri Light" w:hAnsi="Calibri Light" w:cs="Arial"/>
                <w:szCs w:val="18"/>
              </w:rPr>
              <w:t xml:space="preserve"> and the accumulation of bad debt in a joint account or victim</w:t>
            </w:r>
            <w:r w:rsidR="00841A72" w:rsidRPr="009E2B03">
              <w:rPr>
                <w:rFonts w:ascii="Calibri Light" w:hAnsi="Calibri Light" w:cs="Arial"/>
                <w:szCs w:val="18"/>
              </w:rPr>
              <w:t>’</w:t>
            </w:r>
            <w:r w:rsidRPr="009E2B03">
              <w:rPr>
                <w:rFonts w:ascii="Calibri Light" w:hAnsi="Calibri Light" w:cs="Arial"/>
                <w:szCs w:val="18"/>
              </w:rPr>
              <w:t>s name. Economic abuse may impact engagement in paid employment, education participation, work absenteeism, credit records and debt concerns, and reliance on social security. These ongoing difficulties of economic insecurity, and the limitations they place on fulfilling basic needs</w:t>
            </w:r>
            <w:r w:rsidR="00841A72" w:rsidRPr="009E2B03">
              <w:rPr>
                <w:rFonts w:ascii="Calibri Light" w:hAnsi="Calibri Light" w:cs="Arial"/>
                <w:szCs w:val="18"/>
              </w:rPr>
              <w:t xml:space="preserve"> act as barriers to reporting violence</w:t>
            </w:r>
            <w:r w:rsidRPr="009E2B03">
              <w:rPr>
                <w:rFonts w:ascii="Calibri Light" w:hAnsi="Calibri Light" w:cs="Arial"/>
                <w:szCs w:val="18"/>
              </w:rPr>
              <w:t xml:space="preserve">. Additional data and research is required on </w:t>
            </w:r>
            <w:r w:rsidR="00841A72" w:rsidRPr="009E2B03">
              <w:rPr>
                <w:rFonts w:ascii="Calibri Light" w:hAnsi="Calibri Light" w:cs="Arial"/>
                <w:szCs w:val="18"/>
              </w:rPr>
              <w:t xml:space="preserve">the impact of </w:t>
            </w:r>
            <w:r w:rsidRPr="009E2B03">
              <w:rPr>
                <w:rFonts w:ascii="Calibri Light" w:hAnsi="Calibri Light" w:cs="Arial"/>
                <w:szCs w:val="18"/>
              </w:rPr>
              <w:t>economic abuse, as well as the role institutions such as banks and insurance companies can play in reducing the prevalence, impact and pathways towards economic abuse and violence.</w:t>
            </w:r>
          </w:p>
        </w:tc>
      </w:tr>
      <w:tr w:rsidR="00AA0F6B" w:rsidRPr="009E2B03" w14:paraId="2A1C9E06"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171AB0E7" w14:textId="77777777" w:rsidR="00AA0F6B" w:rsidRPr="009E2B03" w:rsidRDefault="00AA0F6B" w:rsidP="006E2EC9">
            <w:pPr>
              <w:pStyle w:val="BodyBullet"/>
              <w:numPr>
                <w:ilvl w:val="0"/>
                <w:numId w:val="0"/>
              </w:numPr>
              <w:rPr>
                <w:rFonts w:ascii="Calibri Light" w:hAnsi="Calibri Light" w:cs="Arial"/>
                <w:b/>
                <w:color w:val="6D2077"/>
                <w:szCs w:val="18"/>
                <w:highlight w:val="yellow"/>
              </w:rPr>
            </w:pPr>
            <w:r w:rsidRPr="009E2B03">
              <w:rPr>
                <w:rFonts w:ascii="Calibri Light" w:hAnsi="Calibri Light" w:cs="Arial"/>
                <w:b/>
                <w:color w:val="6D2077"/>
                <w:szCs w:val="18"/>
              </w:rPr>
              <w:t>5. Continue refining and extending costing approach to determine cost differentials for vulnerable and diverse cohorts of women experiencing violence</w:t>
            </w:r>
          </w:p>
        </w:tc>
        <w:tc>
          <w:tcPr>
            <w:tcW w:w="6044" w:type="dxa"/>
          </w:tcPr>
          <w:p w14:paraId="76014763" w14:textId="77777777" w:rsidR="00AA0F6B" w:rsidRPr="009E2B03" w:rsidRDefault="00AA0F6B" w:rsidP="00963C35">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highlight w:val="yellow"/>
              </w:rPr>
            </w:pPr>
            <w:r w:rsidRPr="009E2B03">
              <w:rPr>
                <w:rFonts w:ascii="Calibri Light" w:hAnsi="Calibri Light" w:cs="Arial"/>
                <w:szCs w:val="18"/>
              </w:rPr>
              <w:t xml:space="preserve">To further identify the cost impact of violence on vulnerable and diverse groups, additional research into the prevalence, impact and severity of violence is required for these cohorts. Importantly, current evidence suggests that the experience and rate of violence for vulnerable groups </w:t>
            </w:r>
            <w:r w:rsidR="00841A72" w:rsidRPr="009E2B03">
              <w:rPr>
                <w:rFonts w:ascii="Calibri Light" w:hAnsi="Calibri Light" w:cs="Arial"/>
                <w:szCs w:val="18"/>
              </w:rPr>
              <w:t>differ markedly</w:t>
            </w:r>
            <w:r w:rsidRPr="009E2B03">
              <w:rPr>
                <w:rFonts w:ascii="Calibri Light" w:hAnsi="Calibri Light" w:cs="Arial"/>
                <w:szCs w:val="18"/>
              </w:rPr>
              <w:t xml:space="preserve">, with some groups such as Aboriginal and Torres Strait Islander women experiencing far higher levels of violence compared to the broader population. As such, there is a substantial cost differential for the communities and regions where there is a higher proportion of violence, and </w:t>
            </w:r>
            <w:r w:rsidR="00841A72" w:rsidRPr="009E2B03">
              <w:rPr>
                <w:rFonts w:ascii="Calibri Light" w:hAnsi="Calibri Light" w:cs="Arial"/>
                <w:szCs w:val="18"/>
              </w:rPr>
              <w:t>a higher</w:t>
            </w:r>
            <w:r w:rsidRPr="009E2B03">
              <w:rPr>
                <w:rFonts w:ascii="Calibri Light" w:hAnsi="Calibri Light" w:cs="Arial"/>
                <w:szCs w:val="18"/>
              </w:rPr>
              <w:t xml:space="preserve"> need for targeted services tailored to the needs of individual groups. Further research would enable an increasingly nuanced understanding of the cost impacts and cost drivers of violence </w:t>
            </w:r>
            <w:r w:rsidR="00963C35" w:rsidRPr="009E2B03">
              <w:rPr>
                <w:rFonts w:ascii="Calibri Light" w:hAnsi="Calibri Light" w:cs="Arial"/>
                <w:szCs w:val="18"/>
              </w:rPr>
              <w:t>to</w:t>
            </w:r>
            <w:r w:rsidRPr="009E2B03">
              <w:rPr>
                <w:rFonts w:ascii="Calibri Light" w:hAnsi="Calibri Light" w:cs="Arial"/>
                <w:szCs w:val="18"/>
              </w:rPr>
              <w:t xml:space="preserve"> support the development of targeted policy initiatives. </w:t>
            </w:r>
          </w:p>
        </w:tc>
      </w:tr>
    </w:tbl>
    <w:p w14:paraId="26E705CD" w14:textId="77777777" w:rsidR="00FB6EF4" w:rsidRPr="00036345" w:rsidRDefault="00AA0F6B" w:rsidP="00E127F4">
      <w:pPr>
        <w:pStyle w:val="Heading2"/>
        <w:numPr>
          <w:ilvl w:val="1"/>
          <w:numId w:val="19"/>
        </w:numPr>
        <w:rPr>
          <w:rFonts w:ascii="Calibri Light" w:hAnsi="Calibri Light"/>
          <w:color w:val="6D2077"/>
        </w:rPr>
      </w:pPr>
      <w:bookmarkStart w:id="100" w:name="_Toc449553528"/>
      <w:r w:rsidRPr="00036345">
        <w:rPr>
          <w:rFonts w:ascii="Calibri Light" w:hAnsi="Calibri Light"/>
          <w:color w:val="6D2077"/>
        </w:rPr>
        <w:lastRenderedPageBreak/>
        <w:t xml:space="preserve">Understanding the </w:t>
      </w:r>
      <w:r w:rsidR="00FB6EF4" w:rsidRPr="00036345">
        <w:rPr>
          <w:rFonts w:ascii="Calibri Light" w:hAnsi="Calibri Light"/>
          <w:color w:val="6D2077"/>
        </w:rPr>
        <w:t>impact of socio-demographic and geographical characteristics</w:t>
      </w:r>
      <w:bookmarkEnd w:id="100"/>
    </w:p>
    <w:p w14:paraId="07D6571A" w14:textId="77777777" w:rsidR="00FB6EF4" w:rsidRPr="009E2B03" w:rsidRDefault="00FB6EF4" w:rsidP="00FB6EF4">
      <w:pPr>
        <w:pStyle w:val="BodyText"/>
        <w:rPr>
          <w:rFonts w:ascii="Calibri Light" w:hAnsi="Calibri Light"/>
          <w:sz w:val="22"/>
        </w:rPr>
      </w:pPr>
      <w:r w:rsidRPr="009E2B03">
        <w:rPr>
          <w:rFonts w:ascii="Calibri Light" w:hAnsi="Calibri Light"/>
          <w:sz w:val="22"/>
        </w:rPr>
        <w:t xml:space="preserve">There are a number of interdependent factors to consider when examining the drivers and impacts of violence. Socio-demographic characteristics such as age and socioeconomic status as well as geographical factors may impact on the risk of women experiencing violence. For example, young women are consistently identified in research and data as being at higher risk of experiencing violence than </w:t>
      </w:r>
      <w:r w:rsidR="00963C35" w:rsidRPr="009E2B03">
        <w:rPr>
          <w:rFonts w:ascii="Calibri Light" w:hAnsi="Calibri Light"/>
          <w:sz w:val="22"/>
        </w:rPr>
        <w:t xml:space="preserve">the </w:t>
      </w:r>
      <w:r w:rsidRPr="009E2B03">
        <w:rPr>
          <w:rFonts w:ascii="Calibri Light" w:hAnsi="Calibri Light"/>
          <w:sz w:val="22"/>
        </w:rPr>
        <w:t>broader population. However, less is known about the impacts of characteristics of socioeconomic status in both contributing to the risk of violence and other drivers of violence such as drug and alcohol abuse. Two challenges are identified bel</w:t>
      </w:r>
      <w:r w:rsidR="00963C35" w:rsidRPr="009E2B03">
        <w:rPr>
          <w:rFonts w:ascii="Calibri Light" w:hAnsi="Calibri Light"/>
          <w:sz w:val="22"/>
        </w:rPr>
        <w:t xml:space="preserve">ow. </w:t>
      </w:r>
    </w:p>
    <w:tbl>
      <w:tblPr>
        <w:tblStyle w:val="KPMGtable1"/>
        <w:tblW w:w="0" w:type="auto"/>
        <w:tblLook w:val="04A0" w:firstRow="1" w:lastRow="0" w:firstColumn="1" w:lastColumn="0" w:noHBand="0" w:noVBand="1"/>
        <w:tblCaption w:val="Table of information outlining the key challenges and key consideration of this section"/>
      </w:tblPr>
      <w:tblGrid>
        <w:gridCol w:w="2551"/>
        <w:gridCol w:w="6044"/>
      </w:tblGrid>
      <w:tr w:rsidR="00AA0F6B" w:rsidRPr="009E2B03" w14:paraId="7C4C9B1C"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shd w:val="clear" w:color="auto" w:fill="6D2077"/>
          </w:tcPr>
          <w:p w14:paraId="44D83AD1" w14:textId="77777777" w:rsidR="00AA0F6B" w:rsidRPr="009E2B03" w:rsidRDefault="00AA0F6B" w:rsidP="006E2EC9">
            <w:pPr>
              <w:pStyle w:val="BodyBullet"/>
              <w:numPr>
                <w:ilvl w:val="0"/>
                <w:numId w:val="0"/>
              </w:numPr>
              <w:rPr>
                <w:rFonts w:ascii="Calibri Light" w:hAnsi="Calibri Light" w:cs="Arial"/>
                <w:b/>
                <w:szCs w:val="18"/>
              </w:rPr>
            </w:pPr>
            <w:r w:rsidRPr="009E2B03">
              <w:rPr>
                <w:rFonts w:ascii="Calibri Light" w:hAnsi="Calibri Light" w:cs="Arial"/>
                <w:b/>
                <w:szCs w:val="18"/>
              </w:rPr>
              <w:t>Key challenge</w:t>
            </w:r>
          </w:p>
        </w:tc>
        <w:tc>
          <w:tcPr>
            <w:tcW w:w="6044" w:type="dxa"/>
            <w:shd w:val="clear" w:color="auto" w:fill="6D2077"/>
          </w:tcPr>
          <w:p w14:paraId="36552A82" w14:textId="77777777" w:rsidR="00AA0F6B" w:rsidRPr="009E2B03" w:rsidRDefault="00AA0F6B" w:rsidP="006E2EC9">
            <w:pPr>
              <w:pStyle w:val="BodyBullet"/>
              <w:numPr>
                <w:ilvl w:val="0"/>
                <w:numId w:val="0"/>
              </w:num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 xml:space="preserve">Key considerations </w:t>
            </w:r>
          </w:p>
        </w:tc>
      </w:tr>
      <w:tr w:rsidR="00AA0F6B" w:rsidRPr="009E2B03" w14:paraId="1ACD61E2"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21E771DE" w14:textId="77777777" w:rsidR="00AA0F6B" w:rsidRPr="009E2B03" w:rsidRDefault="00AA0F6B" w:rsidP="00963C35">
            <w:pPr>
              <w:pStyle w:val="BodyBullet"/>
              <w:numPr>
                <w:ilvl w:val="0"/>
                <w:numId w:val="0"/>
              </w:numPr>
              <w:rPr>
                <w:rFonts w:ascii="Calibri Light" w:hAnsi="Calibri Light" w:cs="Arial"/>
                <w:b/>
                <w:color w:val="6D2077"/>
                <w:szCs w:val="18"/>
              </w:rPr>
            </w:pPr>
            <w:r w:rsidRPr="009E2B03">
              <w:rPr>
                <w:rFonts w:ascii="Calibri Light" w:hAnsi="Calibri Light" w:cs="Arial"/>
                <w:b/>
                <w:color w:val="6D2077"/>
                <w:szCs w:val="18"/>
              </w:rPr>
              <w:t xml:space="preserve">6. </w:t>
            </w:r>
            <w:r w:rsidR="00963C35" w:rsidRPr="009E2B03">
              <w:rPr>
                <w:rFonts w:ascii="Calibri Light" w:hAnsi="Calibri Light" w:cs="Arial"/>
                <w:b/>
                <w:color w:val="6D2077"/>
                <w:szCs w:val="18"/>
              </w:rPr>
              <w:t>The identification</w:t>
            </w:r>
            <w:r w:rsidRPr="009E2B03">
              <w:rPr>
                <w:rFonts w:ascii="Calibri Light" w:hAnsi="Calibri Light" w:cs="Arial"/>
                <w:b/>
                <w:color w:val="6D2077"/>
                <w:szCs w:val="18"/>
              </w:rPr>
              <w:t xml:space="preserve"> of</w:t>
            </w:r>
            <w:r w:rsidR="00963C35" w:rsidRPr="009E2B03">
              <w:rPr>
                <w:rFonts w:ascii="Calibri Light" w:hAnsi="Calibri Light" w:cs="Arial"/>
                <w:b/>
                <w:color w:val="6D2077"/>
                <w:szCs w:val="18"/>
              </w:rPr>
              <w:t xml:space="preserve"> key</w:t>
            </w:r>
            <w:r w:rsidRPr="009E2B03">
              <w:rPr>
                <w:rFonts w:ascii="Calibri Light" w:hAnsi="Calibri Light" w:cs="Arial"/>
                <w:b/>
                <w:color w:val="6D2077"/>
                <w:szCs w:val="18"/>
              </w:rPr>
              <w:t xml:space="preserve"> demographic cohorts and geographies is required to better understand the historical trends in violence, and enable resources to be targeted at cohorts and geographies of greatest risk</w:t>
            </w:r>
          </w:p>
        </w:tc>
        <w:tc>
          <w:tcPr>
            <w:tcW w:w="6044" w:type="dxa"/>
          </w:tcPr>
          <w:p w14:paraId="47080C51" w14:textId="77777777" w:rsidR="00AA0F6B" w:rsidRPr="009E2B03" w:rsidRDefault="00AA0F6B">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szCs w:val="18"/>
              </w:rPr>
              <w:t xml:space="preserve">The exploratory analysis and research undertaken in this study found a significant number of valuable datasets around the nature and extent of violence against women in Australia. However, for many of the key datasets, the data is not stratified at an appropriately granular level, with substantial challenges to understanding the prevalence of violence across all at risk or vulnerable cohorts, or below the </w:t>
            </w:r>
            <w:r w:rsidR="00015FFA" w:rsidRPr="009E2B03">
              <w:rPr>
                <w:rFonts w:ascii="Calibri Light" w:hAnsi="Calibri Light" w:cs="Arial"/>
                <w:szCs w:val="18"/>
              </w:rPr>
              <w:t>s</w:t>
            </w:r>
            <w:r w:rsidRPr="009E2B03">
              <w:rPr>
                <w:rFonts w:ascii="Calibri Light" w:hAnsi="Calibri Light" w:cs="Arial"/>
                <w:szCs w:val="18"/>
              </w:rPr>
              <w:t xml:space="preserve">tate or </w:t>
            </w:r>
            <w:r w:rsidR="00015FFA" w:rsidRPr="009E2B03">
              <w:rPr>
                <w:rFonts w:ascii="Calibri Light" w:hAnsi="Calibri Light" w:cs="Arial"/>
                <w:szCs w:val="18"/>
              </w:rPr>
              <w:t>t</w:t>
            </w:r>
            <w:r w:rsidRPr="009E2B03">
              <w:rPr>
                <w:rFonts w:ascii="Calibri Light" w:hAnsi="Calibri Light" w:cs="Arial"/>
                <w:szCs w:val="18"/>
              </w:rPr>
              <w:t xml:space="preserve">erritory level. Similarly, specific demographic and geographic characteristics for women reporting </w:t>
            </w:r>
            <w:r w:rsidR="008107AD" w:rsidRPr="009E2B03">
              <w:rPr>
                <w:rFonts w:ascii="Calibri Light" w:hAnsi="Calibri Light" w:cs="Arial"/>
                <w:szCs w:val="18"/>
              </w:rPr>
              <w:t xml:space="preserve">incidents </w:t>
            </w:r>
            <w:r w:rsidRPr="009E2B03">
              <w:rPr>
                <w:rFonts w:ascii="Calibri Light" w:hAnsi="Calibri Light" w:cs="Arial"/>
                <w:szCs w:val="18"/>
              </w:rPr>
              <w:t>of violence i</w:t>
            </w:r>
            <w:r w:rsidR="00015FFA" w:rsidRPr="009E2B03">
              <w:rPr>
                <w:rFonts w:ascii="Calibri Light" w:hAnsi="Calibri Light" w:cs="Arial"/>
                <w:szCs w:val="18"/>
              </w:rPr>
              <w:t>s often not present in</w:t>
            </w:r>
            <w:r w:rsidRPr="009E2B03">
              <w:rPr>
                <w:rFonts w:ascii="Calibri Light" w:hAnsi="Calibri Light" w:cs="Arial"/>
                <w:szCs w:val="18"/>
              </w:rPr>
              <w:t xml:space="preserve"> the police crime data. To enable costs to be estimated for a number of cohorts, greater </w:t>
            </w:r>
            <w:r w:rsidR="007B7EE7" w:rsidRPr="009E2B03">
              <w:rPr>
                <w:rFonts w:ascii="Calibri Light" w:hAnsi="Calibri Light" w:cs="Arial"/>
                <w:szCs w:val="18"/>
              </w:rPr>
              <w:t>detail is</w:t>
            </w:r>
            <w:r w:rsidRPr="009E2B03">
              <w:rPr>
                <w:rFonts w:ascii="Calibri Light" w:hAnsi="Calibri Light" w:cs="Arial"/>
                <w:szCs w:val="18"/>
              </w:rPr>
              <w:t xml:space="preserve"> necessary. This will also help to inform policy decision making around the allocation of government resources and funding to the cohorts or areas of greatest risk.</w:t>
            </w:r>
          </w:p>
        </w:tc>
      </w:tr>
      <w:tr w:rsidR="00AA0F6B" w:rsidRPr="009E2B03" w14:paraId="08412140"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5430E880" w14:textId="77777777" w:rsidR="00AA0F6B" w:rsidRPr="009E2B03" w:rsidRDefault="00AA0F6B" w:rsidP="006E2EC9">
            <w:pPr>
              <w:pStyle w:val="BodyBullet"/>
              <w:numPr>
                <w:ilvl w:val="0"/>
                <w:numId w:val="0"/>
              </w:numPr>
              <w:rPr>
                <w:rFonts w:ascii="Calibri Light" w:hAnsi="Calibri Light" w:cs="Arial"/>
                <w:b/>
                <w:color w:val="6D2077"/>
                <w:szCs w:val="18"/>
              </w:rPr>
            </w:pPr>
            <w:r w:rsidRPr="009E2B03">
              <w:rPr>
                <w:rFonts w:ascii="Calibri Light" w:hAnsi="Calibri Light" w:cs="Arial"/>
                <w:b/>
                <w:color w:val="6D2077"/>
                <w:szCs w:val="18"/>
              </w:rPr>
              <w:t>7. There is a lack of clarity on the impact of socio-economic characteristics as contributing factors to the risk of violence</w:t>
            </w:r>
          </w:p>
        </w:tc>
        <w:tc>
          <w:tcPr>
            <w:tcW w:w="6044" w:type="dxa"/>
          </w:tcPr>
          <w:p w14:paraId="735468B0" w14:textId="77777777" w:rsidR="00AA0F6B" w:rsidRPr="009E2B03" w:rsidRDefault="00AA0F6B">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szCs w:val="18"/>
              </w:rPr>
              <w:t xml:space="preserve">While there is broad agreement across the research that violence can affect women of all ages, locations and circumstances, there is some inconsistency in the data around the impact of socio-economic status on the risk factors for violence. For example, the PSS identifies that there is no statistically significant difference in women who experience violence and face socioeconomic disadvantage, while reported crime incident data from each jurisdiction indicate there may be a correlation between rates of violence in a geographical area and socio-economic status. As such, there is a need to examine socioeconomic status at a more detailed level, including exploring the impact of individual indicators such as educational attainment, employment status and income level. Equally important, </w:t>
            </w:r>
            <w:r w:rsidR="002455EC" w:rsidRPr="009E2B03">
              <w:rPr>
                <w:rFonts w:ascii="Calibri Light" w:hAnsi="Calibri Light" w:cs="Arial"/>
                <w:szCs w:val="18"/>
              </w:rPr>
              <w:t>there is potential to</w:t>
            </w:r>
            <w:r w:rsidRPr="009E2B03">
              <w:rPr>
                <w:rFonts w:ascii="Calibri Light" w:hAnsi="Calibri Light" w:cs="Arial"/>
                <w:szCs w:val="18"/>
              </w:rPr>
              <w:t xml:space="preserve"> further examine how socioeconomic factors may also inform drivers of violence, such as the use of drugs and alcohol, access to services and the experience of mental health issues.</w:t>
            </w:r>
          </w:p>
        </w:tc>
      </w:tr>
    </w:tbl>
    <w:p w14:paraId="45A54AB9" w14:textId="77777777" w:rsidR="00FB6EF4" w:rsidRPr="00036345" w:rsidRDefault="00AA0F6B" w:rsidP="00036345">
      <w:pPr>
        <w:pStyle w:val="Heading2"/>
        <w:numPr>
          <w:ilvl w:val="1"/>
          <w:numId w:val="19"/>
        </w:numPr>
        <w:spacing w:before="240"/>
        <w:rPr>
          <w:rFonts w:ascii="Calibri Light" w:hAnsi="Calibri Light"/>
          <w:color w:val="6D2077"/>
        </w:rPr>
      </w:pPr>
      <w:bookmarkStart w:id="101" w:name="_Toc449553529"/>
      <w:r w:rsidRPr="00036345">
        <w:rPr>
          <w:rFonts w:ascii="Calibri Light" w:hAnsi="Calibri Light"/>
          <w:color w:val="6D2077"/>
        </w:rPr>
        <w:t>Understanding the r</w:t>
      </w:r>
      <w:r w:rsidR="00FB6EF4" w:rsidRPr="00036345">
        <w:rPr>
          <w:rFonts w:ascii="Calibri Light" w:hAnsi="Calibri Light"/>
          <w:color w:val="6D2077"/>
        </w:rPr>
        <w:t>isk of experiencing violence by vulnerable groups</w:t>
      </w:r>
      <w:bookmarkEnd w:id="101"/>
    </w:p>
    <w:p w14:paraId="71307711" w14:textId="77777777" w:rsidR="00FB6EF4" w:rsidRPr="009E2B03" w:rsidRDefault="00FB6EF4" w:rsidP="00FB6EF4">
      <w:pPr>
        <w:pStyle w:val="BodyBullet"/>
        <w:numPr>
          <w:ilvl w:val="0"/>
          <w:numId w:val="0"/>
        </w:numPr>
        <w:rPr>
          <w:rFonts w:ascii="Calibri Light" w:hAnsi="Calibri Light" w:cs="Arial"/>
          <w:sz w:val="22"/>
        </w:rPr>
      </w:pPr>
      <w:r w:rsidRPr="009E2B03">
        <w:rPr>
          <w:rFonts w:ascii="Calibri Light" w:hAnsi="Calibri Light" w:cs="Arial"/>
          <w:sz w:val="22"/>
        </w:rPr>
        <w:t xml:space="preserve">The risk of experiencing violence can be far greater for many vulnerable groups, such as </w:t>
      </w:r>
      <w:r w:rsidR="00D5154C" w:rsidRPr="009E2B03">
        <w:rPr>
          <w:rFonts w:ascii="Calibri Light" w:hAnsi="Calibri Light" w:cs="Arial"/>
          <w:sz w:val="22"/>
        </w:rPr>
        <w:t>Aboriginal and Torres Strait Islander women</w:t>
      </w:r>
      <w:r w:rsidRPr="009E2B03">
        <w:rPr>
          <w:rFonts w:ascii="Calibri Light" w:hAnsi="Calibri Light" w:cs="Arial"/>
          <w:sz w:val="22"/>
        </w:rPr>
        <w:t xml:space="preserve">. However, there is less clarity on the rate and drivers of violence against other vulnerable groups such as women identifying as </w:t>
      </w:r>
      <w:r w:rsidR="00AA0F6B" w:rsidRPr="009E2B03">
        <w:rPr>
          <w:rFonts w:ascii="Calibri Light" w:hAnsi="Calibri Light" w:cs="Arial"/>
          <w:sz w:val="22"/>
        </w:rPr>
        <w:t>LGBTIQ</w:t>
      </w:r>
      <w:r w:rsidRPr="009E2B03">
        <w:rPr>
          <w:rFonts w:ascii="Calibri Light" w:hAnsi="Calibri Light" w:cs="Arial"/>
          <w:sz w:val="22"/>
        </w:rPr>
        <w:t xml:space="preserve"> </w:t>
      </w:r>
      <w:r w:rsidR="00015FFA" w:rsidRPr="009E2B03">
        <w:rPr>
          <w:rFonts w:ascii="Calibri Light" w:hAnsi="Calibri Light" w:cs="Arial"/>
          <w:sz w:val="22"/>
        </w:rPr>
        <w:t>and</w:t>
      </w:r>
      <w:r w:rsidRPr="009E2B03">
        <w:rPr>
          <w:rFonts w:ascii="Calibri Light" w:hAnsi="Calibri Light" w:cs="Arial"/>
          <w:sz w:val="22"/>
        </w:rPr>
        <w:t xml:space="preserve"> women </w:t>
      </w:r>
      <w:r w:rsidR="00AA0F6B" w:rsidRPr="009E2B03">
        <w:rPr>
          <w:rFonts w:ascii="Calibri Light" w:hAnsi="Calibri Light" w:cs="Arial"/>
          <w:sz w:val="22"/>
        </w:rPr>
        <w:t>from a CALD background</w:t>
      </w:r>
      <w:r w:rsidRPr="009E2B03">
        <w:rPr>
          <w:rFonts w:ascii="Calibri Light" w:hAnsi="Calibri Light" w:cs="Arial"/>
          <w:sz w:val="22"/>
        </w:rPr>
        <w:t>.</w:t>
      </w:r>
    </w:p>
    <w:p w14:paraId="6B54BB89" w14:textId="77777777" w:rsidR="00FB6EF4" w:rsidRPr="009E2B03" w:rsidRDefault="00FB6EF4" w:rsidP="00FB6EF4">
      <w:pPr>
        <w:pStyle w:val="BodyBullet"/>
        <w:numPr>
          <w:ilvl w:val="0"/>
          <w:numId w:val="0"/>
        </w:numPr>
        <w:rPr>
          <w:rFonts w:ascii="Calibri Light" w:hAnsi="Calibri Light" w:cs="Arial"/>
          <w:sz w:val="22"/>
        </w:rPr>
      </w:pPr>
      <w:r w:rsidRPr="009E2B03">
        <w:rPr>
          <w:rFonts w:ascii="Calibri Light" w:hAnsi="Calibri Light" w:cs="Arial"/>
          <w:sz w:val="22"/>
        </w:rPr>
        <w:t xml:space="preserve">It is important to identify both the overlapping and unique characteristics of each group contributing to their risk of experiencing violence, as well as the concurrent experience of different forms of violence, such as emotional abuse and physical assault. Additional research is required on each of these characteristics and experiences to understand the interdependent drivers and impacts of </w:t>
      </w:r>
      <w:r w:rsidRPr="009E2B03">
        <w:rPr>
          <w:rFonts w:ascii="Calibri Light" w:hAnsi="Calibri Light" w:cs="Arial"/>
          <w:sz w:val="22"/>
        </w:rPr>
        <w:lastRenderedPageBreak/>
        <w:t xml:space="preserve">violence. Insights drawn from </w:t>
      </w:r>
      <w:r w:rsidR="00015FFA" w:rsidRPr="009E2B03">
        <w:rPr>
          <w:rFonts w:ascii="Calibri Light" w:hAnsi="Calibri Light" w:cs="Arial"/>
          <w:sz w:val="22"/>
        </w:rPr>
        <w:t>relevant</w:t>
      </w:r>
      <w:r w:rsidRPr="009E2B03">
        <w:rPr>
          <w:rFonts w:ascii="Calibri Light" w:hAnsi="Calibri Light" w:cs="Arial"/>
          <w:sz w:val="22"/>
        </w:rPr>
        <w:t xml:space="preserve"> research and the gaps and challenges identified for furthe</w:t>
      </w:r>
      <w:r w:rsidR="002455EC" w:rsidRPr="009E2B03">
        <w:rPr>
          <w:rFonts w:ascii="Calibri Light" w:hAnsi="Calibri Light" w:cs="Arial"/>
          <w:sz w:val="22"/>
        </w:rPr>
        <w:t>r analysis are identified below.</w:t>
      </w:r>
    </w:p>
    <w:tbl>
      <w:tblPr>
        <w:tblStyle w:val="KPMGtable1"/>
        <w:tblW w:w="0" w:type="auto"/>
        <w:tblLook w:val="04A0" w:firstRow="1" w:lastRow="0" w:firstColumn="1" w:lastColumn="0" w:noHBand="0" w:noVBand="1"/>
        <w:tblCaption w:val="Table of information outlining the key challenges and key consideration of this section"/>
      </w:tblPr>
      <w:tblGrid>
        <w:gridCol w:w="2551"/>
        <w:gridCol w:w="6044"/>
      </w:tblGrid>
      <w:tr w:rsidR="00AA0F6B" w:rsidRPr="009E2B03" w14:paraId="70BBB237"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shd w:val="clear" w:color="auto" w:fill="6D2077"/>
          </w:tcPr>
          <w:p w14:paraId="2CAB7A6C" w14:textId="77777777" w:rsidR="00AA0F6B" w:rsidRPr="009E2B03" w:rsidRDefault="00AA0F6B" w:rsidP="006E2EC9">
            <w:pPr>
              <w:pStyle w:val="BodyBullet"/>
              <w:numPr>
                <w:ilvl w:val="0"/>
                <w:numId w:val="0"/>
              </w:numPr>
              <w:rPr>
                <w:rFonts w:ascii="Calibri Light" w:hAnsi="Calibri Light" w:cs="Arial"/>
                <w:b/>
                <w:szCs w:val="18"/>
              </w:rPr>
            </w:pPr>
            <w:r w:rsidRPr="009E2B03">
              <w:rPr>
                <w:rFonts w:ascii="Calibri Light" w:hAnsi="Calibri Light" w:cs="Arial"/>
                <w:b/>
                <w:szCs w:val="18"/>
              </w:rPr>
              <w:t>Key challenge</w:t>
            </w:r>
          </w:p>
        </w:tc>
        <w:tc>
          <w:tcPr>
            <w:tcW w:w="6044" w:type="dxa"/>
            <w:shd w:val="clear" w:color="auto" w:fill="6D2077"/>
          </w:tcPr>
          <w:p w14:paraId="49843A41" w14:textId="77777777" w:rsidR="00AA0F6B" w:rsidRPr="009E2B03" w:rsidRDefault="00AA0F6B" w:rsidP="006E2EC9">
            <w:pPr>
              <w:pStyle w:val="BodyBullet"/>
              <w:numPr>
                <w:ilvl w:val="0"/>
                <w:numId w:val="0"/>
              </w:num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Key considerations</w:t>
            </w:r>
          </w:p>
        </w:tc>
      </w:tr>
      <w:tr w:rsidR="00AA0F6B" w:rsidRPr="009E2B03" w14:paraId="42B9B289"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6BB0E9AE" w14:textId="77777777" w:rsidR="00AA0F6B" w:rsidRPr="009E2B03" w:rsidRDefault="002455EC" w:rsidP="002455EC">
            <w:pPr>
              <w:pStyle w:val="BodyBullet"/>
              <w:numPr>
                <w:ilvl w:val="0"/>
                <w:numId w:val="0"/>
              </w:numPr>
              <w:rPr>
                <w:rFonts w:ascii="Calibri Light" w:hAnsi="Calibri Light" w:cs="Arial"/>
                <w:b/>
                <w:color w:val="6D2077"/>
                <w:szCs w:val="18"/>
              </w:rPr>
            </w:pPr>
            <w:r w:rsidRPr="009E2B03">
              <w:rPr>
                <w:rFonts w:ascii="Calibri Light" w:hAnsi="Calibri Light" w:cs="Arial"/>
                <w:b/>
                <w:color w:val="6D2077"/>
                <w:szCs w:val="18"/>
              </w:rPr>
              <w:t xml:space="preserve">8. </w:t>
            </w:r>
            <w:r w:rsidR="00AA0F6B" w:rsidRPr="009E2B03">
              <w:rPr>
                <w:rFonts w:ascii="Calibri Light" w:hAnsi="Calibri Light" w:cs="Arial"/>
                <w:b/>
                <w:color w:val="6D2077"/>
                <w:szCs w:val="18"/>
              </w:rPr>
              <w:t xml:space="preserve">The exploratory analysis shows that there are certain cohorts that face a higher risk of experiencing violence – and the heightened risk for these cohorts is in line with trends </w:t>
            </w:r>
            <w:r w:rsidRPr="009E2B03">
              <w:rPr>
                <w:rFonts w:ascii="Calibri Light" w:hAnsi="Calibri Light" w:cs="Arial"/>
                <w:b/>
                <w:color w:val="6D2077"/>
                <w:szCs w:val="18"/>
              </w:rPr>
              <w:t>of greater demand for services</w:t>
            </w:r>
            <w:r w:rsidR="00AA0F6B" w:rsidRPr="009E2B03">
              <w:rPr>
                <w:rFonts w:ascii="Calibri Light" w:hAnsi="Calibri Light" w:cs="Arial"/>
                <w:b/>
                <w:color w:val="6D2077"/>
                <w:szCs w:val="18"/>
              </w:rPr>
              <w:t xml:space="preserve"> within the</w:t>
            </w:r>
            <w:r w:rsidRPr="009E2B03">
              <w:rPr>
                <w:rFonts w:ascii="Calibri Light" w:hAnsi="Calibri Light" w:cs="Arial"/>
                <w:b/>
                <w:color w:val="6D2077"/>
                <w:szCs w:val="18"/>
              </w:rPr>
              <w:t xml:space="preserve"> broader</w:t>
            </w:r>
            <w:r w:rsidR="00AA0F6B" w:rsidRPr="009E2B03">
              <w:rPr>
                <w:rFonts w:ascii="Calibri Light" w:hAnsi="Calibri Light" w:cs="Arial"/>
                <w:b/>
                <w:color w:val="6D2077"/>
                <w:szCs w:val="18"/>
              </w:rPr>
              <w:t xml:space="preserve"> human services sector</w:t>
            </w:r>
          </w:p>
        </w:tc>
        <w:tc>
          <w:tcPr>
            <w:tcW w:w="6044" w:type="dxa"/>
          </w:tcPr>
          <w:p w14:paraId="7D01A23B" w14:textId="77777777" w:rsidR="00AA0F6B" w:rsidRPr="009E2B03" w:rsidRDefault="00AA0F6B">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szCs w:val="18"/>
              </w:rPr>
              <w:t>The most vulnerable and at</w:t>
            </w:r>
            <w:r w:rsidR="002455EC" w:rsidRPr="009E2B03">
              <w:rPr>
                <w:rFonts w:ascii="Calibri Light" w:hAnsi="Calibri Light" w:cs="Arial"/>
                <w:szCs w:val="18"/>
              </w:rPr>
              <w:t>-</w:t>
            </w:r>
            <w:r w:rsidRPr="009E2B03">
              <w:rPr>
                <w:rFonts w:ascii="Calibri Light" w:hAnsi="Calibri Light" w:cs="Arial"/>
                <w:szCs w:val="18"/>
              </w:rPr>
              <w:t xml:space="preserve">risk groups of women have been identified to be </w:t>
            </w:r>
            <w:r w:rsidR="00D5154C" w:rsidRPr="009E2B03">
              <w:rPr>
                <w:rFonts w:ascii="Calibri Light" w:hAnsi="Calibri Light" w:cs="Arial"/>
                <w:szCs w:val="18"/>
              </w:rPr>
              <w:t>Aboriginal and Torres Strait Islander women</w:t>
            </w:r>
            <w:r w:rsidRPr="009E2B03">
              <w:rPr>
                <w:rFonts w:ascii="Calibri Light" w:hAnsi="Calibri Light" w:cs="Arial"/>
                <w:szCs w:val="18"/>
              </w:rPr>
              <w:t>, women of CALD status, women with disability, and women who have experienced homelessness. Given that these cohorts are also overrepresented in other areas within the human services sector, there is significant value in developing a stronger understanding of the characteristics of these cohorts, and the potential demographic and socio-economic drivers that may increase the</w:t>
            </w:r>
            <w:r w:rsidR="00015FFA" w:rsidRPr="009E2B03">
              <w:rPr>
                <w:rFonts w:ascii="Calibri Light" w:hAnsi="Calibri Light" w:cs="Arial"/>
                <w:szCs w:val="18"/>
              </w:rPr>
              <w:t>ir</w:t>
            </w:r>
            <w:r w:rsidRPr="009E2B03">
              <w:rPr>
                <w:rFonts w:ascii="Calibri Light" w:hAnsi="Calibri Light" w:cs="Arial"/>
                <w:szCs w:val="18"/>
              </w:rPr>
              <w:t xml:space="preserve"> vulnerability. Over time, there is potential for this analysis to inform detailed planning around appropriate whole-of-government policy responses – responses that recognise the importance of cross-departmental and agency collaboration and coordination – to reduce the prevalence and incidence of violence among these cohorts.</w:t>
            </w:r>
          </w:p>
        </w:tc>
      </w:tr>
      <w:tr w:rsidR="00AA0F6B" w:rsidRPr="009E2B03" w14:paraId="711D5266" w14:textId="77777777" w:rsidTr="00BC5A4F">
        <w:tc>
          <w:tcPr>
            <w:cnfStyle w:val="001000000000" w:firstRow="0" w:lastRow="0" w:firstColumn="1" w:lastColumn="0" w:oddVBand="0" w:evenVBand="0" w:oddHBand="0" w:evenHBand="0" w:firstRowFirstColumn="0" w:firstRowLastColumn="0" w:lastRowFirstColumn="0" w:lastRowLastColumn="0"/>
            <w:tcW w:w="2551" w:type="dxa"/>
            <w:shd w:val="clear" w:color="auto" w:fill="F3F0F4"/>
          </w:tcPr>
          <w:p w14:paraId="69030A68" w14:textId="77777777" w:rsidR="00AA0F6B" w:rsidRPr="009E2B03" w:rsidRDefault="002455EC" w:rsidP="006E2EC9">
            <w:pPr>
              <w:pStyle w:val="BodyBullet"/>
              <w:numPr>
                <w:ilvl w:val="0"/>
                <w:numId w:val="0"/>
              </w:numPr>
              <w:rPr>
                <w:rFonts w:ascii="Calibri Light" w:hAnsi="Calibri Light" w:cs="Arial"/>
                <w:b/>
                <w:color w:val="6D2077"/>
                <w:szCs w:val="18"/>
              </w:rPr>
            </w:pPr>
            <w:r w:rsidRPr="009E2B03">
              <w:rPr>
                <w:rFonts w:ascii="Calibri Light" w:hAnsi="Calibri Light" w:cs="Arial"/>
                <w:b/>
                <w:color w:val="6D2077"/>
                <w:szCs w:val="18"/>
              </w:rPr>
              <w:t xml:space="preserve">9. </w:t>
            </w:r>
            <w:r w:rsidR="00AA0F6B" w:rsidRPr="009E2B03">
              <w:rPr>
                <w:rFonts w:ascii="Calibri Light" w:hAnsi="Calibri Light" w:cs="Arial"/>
                <w:b/>
                <w:color w:val="6D2077"/>
                <w:szCs w:val="18"/>
              </w:rPr>
              <w:t>Research has identified key differences in the experience of violence for vulnerable cohorts – and each of these groups requires targeted research, data and analysis to determine relevant drivers, impacts and trends</w:t>
            </w:r>
          </w:p>
        </w:tc>
        <w:tc>
          <w:tcPr>
            <w:tcW w:w="6044" w:type="dxa"/>
          </w:tcPr>
          <w:p w14:paraId="34B3336A" w14:textId="77777777" w:rsidR="00AA0F6B" w:rsidRPr="009E2B03" w:rsidRDefault="00AA0F6B" w:rsidP="006E2EC9">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Research has identified that there may be no increase in prevalence for some cohorts, such as women identifying as </w:t>
            </w:r>
            <w:r w:rsidR="002455EC" w:rsidRPr="009E2B03">
              <w:rPr>
                <w:rFonts w:ascii="Calibri Light" w:hAnsi="Calibri Light" w:cs="Arial"/>
                <w:szCs w:val="18"/>
              </w:rPr>
              <w:t>LBGTIQ, as well as some women from a</w:t>
            </w:r>
            <w:r w:rsidRPr="009E2B03">
              <w:rPr>
                <w:rFonts w:ascii="Calibri Light" w:hAnsi="Calibri Light" w:cs="Arial"/>
                <w:szCs w:val="18"/>
              </w:rPr>
              <w:t xml:space="preserve"> CALD background. As such, it is important to conduct targeted research into individual groups to effectively determine the drivers and impacts of violence across these groups. </w:t>
            </w:r>
          </w:p>
          <w:p w14:paraId="59C8381B" w14:textId="77777777" w:rsidR="00AA0F6B" w:rsidRPr="009E2B03" w:rsidRDefault="00AA0F6B" w:rsidP="006E2EC9">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p>
        </w:tc>
      </w:tr>
    </w:tbl>
    <w:p w14:paraId="0CEF1728" w14:textId="77777777" w:rsidR="00FB6EF4" w:rsidRPr="009E2B03" w:rsidRDefault="00AA0F6B" w:rsidP="00E127F4">
      <w:pPr>
        <w:pStyle w:val="Heading2"/>
        <w:numPr>
          <w:ilvl w:val="1"/>
          <w:numId w:val="19"/>
        </w:numPr>
        <w:rPr>
          <w:rFonts w:ascii="Calibri Light" w:hAnsi="Calibri Light"/>
          <w:color w:val="6D2077"/>
          <w:sz w:val="36"/>
        </w:rPr>
      </w:pPr>
      <w:bookmarkStart w:id="102" w:name="_Toc449553530"/>
      <w:r w:rsidRPr="009E2B03">
        <w:rPr>
          <w:rFonts w:ascii="Calibri Light" w:hAnsi="Calibri Light"/>
          <w:color w:val="6D2077"/>
          <w:sz w:val="36"/>
        </w:rPr>
        <w:t>Understanding the interdependent</w:t>
      </w:r>
      <w:r w:rsidR="00FB6EF4" w:rsidRPr="009E2B03">
        <w:rPr>
          <w:rFonts w:ascii="Calibri Light" w:hAnsi="Calibri Light"/>
          <w:color w:val="6D2077"/>
          <w:sz w:val="36"/>
        </w:rPr>
        <w:t xml:space="preserve"> impacts on the broader services system</w:t>
      </w:r>
      <w:bookmarkEnd w:id="102"/>
    </w:p>
    <w:p w14:paraId="4B5815FF" w14:textId="77777777" w:rsidR="00FB6EF4" w:rsidRPr="009E2B03" w:rsidRDefault="00FB6EF4" w:rsidP="00FB6EF4">
      <w:pPr>
        <w:pStyle w:val="BodyText"/>
        <w:rPr>
          <w:rFonts w:ascii="Calibri Light" w:hAnsi="Calibri Light"/>
          <w:szCs w:val="18"/>
        </w:rPr>
      </w:pPr>
      <w:r w:rsidRPr="009E2B03">
        <w:rPr>
          <w:rFonts w:ascii="Calibri Light" w:hAnsi="Calibri Light"/>
          <w:szCs w:val="18"/>
        </w:rPr>
        <w:t>Women who experience violence often require s</w:t>
      </w:r>
      <w:r w:rsidR="005D144E" w:rsidRPr="009E2B03">
        <w:rPr>
          <w:rFonts w:ascii="Calibri Light" w:hAnsi="Calibri Light"/>
          <w:szCs w:val="18"/>
        </w:rPr>
        <w:t xml:space="preserve">ervices and supports </w:t>
      </w:r>
      <w:r w:rsidRPr="009E2B03">
        <w:rPr>
          <w:rFonts w:ascii="Calibri Light" w:hAnsi="Calibri Light"/>
          <w:szCs w:val="18"/>
        </w:rPr>
        <w:t xml:space="preserve">that </w:t>
      </w:r>
      <w:r w:rsidR="005D144E" w:rsidRPr="009E2B03">
        <w:rPr>
          <w:rFonts w:ascii="Calibri Light" w:hAnsi="Calibri Light"/>
          <w:szCs w:val="18"/>
        </w:rPr>
        <w:t>may</w:t>
      </w:r>
      <w:r w:rsidRPr="009E2B03">
        <w:rPr>
          <w:rFonts w:ascii="Calibri Light" w:hAnsi="Calibri Light"/>
          <w:szCs w:val="18"/>
        </w:rPr>
        <w:t xml:space="preserve"> not directly fall in the </w:t>
      </w:r>
      <w:r w:rsidR="004F0B6B" w:rsidRPr="009E2B03">
        <w:rPr>
          <w:rFonts w:ascii="Calibri Light" w:hAnsi="Calibri Light"/>
          <w:szCs w:val="18"/>
        </w:rPr>
        <w:t xml:space="preserve">scope </w:t>
      </w:r>
      <w:r w:rsidRPr="009E2B03">
        <w:rPr>
          <w:rFonts w:ascii="Calibri Light" w:hAnsi="Calibri Light"/>
          <w:szCs w:val="18"/>
        </w:rPr>
        <w:t>of domestic violence service provision, such as disability, health, homelessness and justice services. Data collected from each of these domains can provide important insights into the pathways of victims and perpetrators through the services system, and support the collection of information required to determine the demand for services and opportunities for prevention. A key challenge is identified below to better understand these interrelated services and the interdepend</w:t>
      </w:r>
      <w:r w:rsidR="005D144E" w:rsidRPr="009E2B03">
        <w:rPr>
          <w:rFonts w:ascii="Calibri Light" w:hAnsi="Calibri Light"/>
          <w:szCs w:val="18"/>
        </w:rPr>
        <w:t>ent</w:t>
      </w:r>
      <w:r w:rsidRPr="009E2B03">
        <w:rPr>
          <w:rFonts w:ascii="Calibri Light" w:hAnsi="Calibri Light"/>
          <w:szCs w:val="18"/>
        </w:rPr>
        <w:t xml:space="preserve"> facto</w:t>
      </w:r>
      <w:r w:rsidR="0036451C" w:rsidRPr="009E2B03">
        <w:rPr>
          <w:rFonts w:ascii="Calibri Light" w:hAnsi="Calibri Light"/>
          <w:szCs w:val="18"/>
        </w:rPr>
        <w:t>rs which can compound women’s</w:t>
      </w:r>
      <w:r w:rsidRPr="009E2B03">
        <w:rPr>
          <w:rFonts w:ascii="Calibri Light" w:hAnsi="Calibri Light"/>
          <w:szCs w:val="18"/>
        </w:rPr>
        <w:t xml:space="preserve"> risk and experience of violence</w:t>
      </w:r>
      <w:r w:rsidR="005D144E" w:rsidRPr="009E2B03">
        <w:rPr>
          <w:rFonts w:ascii="Calibri Light" w:hAnsi="Calibri Light"/>
          <w:szCs w:val="18"/>
        </w:rPr>
        <w:t>.</w:t>
      </w:r>
    </w:p>
    <w:tbl>
      <w:tblPr>
        <w:tblStyle w:val="KPMGtable1"/>
        <w:tblW w:w="0" w:type="auto"/>
        <w:tblLook w:val="04A0" w:firstRow="1" w:lastRow="0" w:firstColumn="1" w:lastColumn="0" w:noHBand="0" w:noVBand="1"/>
        <w:tblCaption w:val="Table of information outlining the key challenges and key consideration of this section"/>
      </w:tblPr>
      <w:tblGrid>
        <w:gridCol w:w="2542"/>
        <w:gridCol w:w="6007"/>
      </w:tblGrid>
      <w:tr w:rsidR="00AA0F6B" w:rsidRPr="009E2B03" w14:paraId="757AA4F8" w14:textId="77777777" w:rsidTr="00865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2" w:type="dxa"/>
            <w:shd w:val="clear" w:color="auto" w:fill="6D2077"/>
          </w:tcPr>
          <w:p w14:paraId="0D50C7E2" w14:textId="77777777" w:rsidR="00AA0F6B" w:rsidRPr="009E2B03" w:rsidRDefault="00AA0F6B" w:rsidP="006E2EC9">
            <w:pPr>
              <w:pStyle w:val="BodyBullet"/>
              <w:numPr>
                <w:ilvl w:val="0"/>
                <w:numId w:val="0"/>
              </w:numPr>
              <w:rPr>
                <w:rFonts w:ascii="Calibri Light" w:hAnsi="Calibri Light" w:cs="Arial"/>
                <w:b/>
                <w:szCs w:val="18"/>
              </w:rPr>
            </w:pPr>
            <w:r w:rsidRPr="009E2B03">
              <w:rPr>
                <w:rFonts w:ascii="Calibri Light" w:hAnsi="Calibri Light" w:cs="Arial"/>
                <w:b/>
                <w:szCs w:val="18"/>
              </w:rPr>
              <w:t>Key challenge</w:t>
            </w:r>
          </w:p>
        </w:tc>
        <w:tc>
          <w:tcPr>
            <w:tcW w:w="6007" w:type="dxa"/>
            <w:shd w:val="clear" w:color="auto" w:fill="6D2077"/>
          </w:tcPr>
          <w:p w14:paraId="6F10E052" w14:textId="77777777" w:rsidR="00AA0F6B" w:rsidRPr="009E2B03" w:rsidRDefault="00AA0F6B" w:rsidP="006E2EC9">
            <w:pPr>
              <w:pStyle w:val="BodyBullet"/>
              <w:numPr>
                <w:ilvl w:val="0"/>
                <w:numId w:val="0"/>
              </w:num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 xml:space="preserve">Key considerations </w:t>
            </w:r>
          </w:p>
        </w:tc>
      </w:tr>
      <w:tr w:rsidR="00AA0F6B" w:rsidRPr="009E2B03" w14:paraId="1DC4DFEC" w14:textId="77777777" w:rsidTr="00BC5A4F">
        <w:tc>
          <w:tcPr>
            <w:cnfStyle w:val="001000000000" w:firstRow="0" w:lastRow="0" w:firstColumn="1" w:lastColumn="0" w:oddVBand="0" w:evenVBand="0" w:oddHBand="0" w:evenHBand="0" w:firstRowFirstColumn="0" w:firstRowLastColumn="0" w:lastRowFirstColumn="0" w:lastRowLastColumn="0"/>
            <w:tcW w:w="2542" w:type="dxa"/>
            <w:shd w:val="clear" w:color="auto" w:fill="F3F0F4"/>
          </w:tcPr>
          <w:p w14:paraId="7D17AF9B" w14:textId="77777777" w:rsidR="00AA0F6B" w:rsidRPr="009E2B03" w:rsidRDefault="002455EC" w:rsidP="006E2EC9">
            <w:pPr>
              <w:pStyle w:val="BodyBullet"/>
              <w:numPr>
                <w:ilvl w:val="0"/>
                <w:numId w:val="0"/>
              </w:numPr>
              <w:rPr>
                <w:rFonts w:ascii="Calibri Light" w:hAnsi="Calibri Light" w:cs="Arial"/>
                <w:b/>
                <w:szCs w:val="18"/>
              </w:rPr>
            </w:pPr>
            <w:r w:rsidRPr="009E2B03">
              <w:rPr>
                <w:rFonts w:ascii="Calibri Light" w:hAnsi="Calibri Light" w:cs="Arial"/>
                <w:b/>
                <w:color w:val="6D2077"/>
                <w:szCs w:val="18"/>
              </w:rPr>
              <w:t xml:space="preserve">10. </w:t>
            </w:r>
            <w:r w:rsidR="00AA0F6B" w:rsidRPr="009E2B03">
              <w:rPr>
                <w:rFonts w:ascii="Calibri Light" w:hAnsi="Calibri Light" w:cs="Arial"/>
                <w:b/>
                <w:color w:val="6D2077"/>
                <w:szCs w:val="18"/>
              </w:rPr>
              <w:t>There are contributing factors to violence that are complex and interrelated, and there is a need to develop a stronger understanding of these and how they may relate to the risk of specific cohorts in experiencing violence</w:t>
            </w:r>
          </w:p>
        </w:tc>
        <w:tc>
          <w:tcPr>
            <w:tcW w:w="6007" w:type="dxa"/>
          </w:tcPr>
          <w:p w14:paraId="10B8D4B5" w14:textId="77777777" w:rsidR="00AA0F6B" w:rsidRPr="009E2B03" w:rsidRDefault="00AA0F6B" w:rsidP="0036451C">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szCs w:val="18"/>
              </w:rPr>
              <w:t>The research and analysis has shown that contributing factors of violence include drug and alcohol consumption, drug and alcohol abuse, and existing mental health issues. To develop a comprehensive picture of violence, a detailed understanding of each risk and vulnerability factor contributing to the experience of violence need</w:t>
            </w:r>
            <w:r w:rsidR="0036451C" w:rsidRPr="009E2B03">
              <w:rPr>
                <w:rFonts w:ascii="Calibri Light" w:hAnsi="Calibri Light" w:cs="Arial"/>
                <w:szCs w:val="18"/>
              </w:rPr>
              <w:t>s</w:t>
            </w:r>
            <w:r w:rsidRPr="009E2B03">
              <w:rPr>
                <w:rFonts w:ascii="Calibri Light" w:hAnsi="Calibri Light" w:cs="Arial"/>
                <w:szCs w:val="18"/>
              </w:rPr>
              <w:t xml:space="preserve"> to be </w:t>
            </w:r>
            <w:r w:rsidR="0036451C" w:rsidRPr="009E2B03">
              <w:rPr>
                <w:rFonts w:ascii="Calibri Light" w:hAnsi="Calibri Light" w:cs="Arial"/>
                <w:szCs w:val="18"/>
              </w:rPr>
              <w:t>built over time</w:t>
            </w:r>
            <w:r w:rsidRPr="009E2B03">
              <w:rPr>
                <w:rFonts w:ascii="Calibri Light" w:hAnsi="Calibri Light" w:cs="Arial"/>
                <w:szCs w:val="18"/>
              </w:rPr>
              <w:t xml:space="preserve">. As such, there is a need to develop a more detailed understanding of the complex interactions of women </w:t>
            </w:r>
            <w:r w:rsidR="0036451C" w:rsidRPr="009E2B03">
              <w:rPr>
                <w:rFonts w:ascii="Calibri Light" w:hAnsi="Calibri Light" w:cs="Arial"/>
                <w:szCs w:val="18"/>
              </w:rPr>
              <w:t>within the broader</w:t>
            </w:r>
            <w:r w:rsidRPr="009E2B03">
              <w:rPr>
                <w:rFonts w:ascii="Calibri Light" w:hAnsi="Calibri Light" w:cs="Arial"/>
                <w:szCs w:val="18"/>
              </w:rPr>
              <w:t xml:space="preserve"> service system and the limits to reporting. There is significant scope to conduct more detailed analysis around the risk factors that may increase the likelihood of specific cohorts of women experiencing violence, particularly by supplementing the analysis with recent research around the impact of potential enablers of violence such as economic abuse.</w:t>
            </w:r>
          </w:p>
        </w:tc>
      </w:tr>
    </w:tbl>
    <w:p w14:paraId="24CF351B" w14:textId="6A349BB9" w:rsidR="00B717ED" w:rsidRPr="00F15095" w:rsidRDefault="00B717ED" w:rsidP="00C250C5">
      <w:pPr>
        <w:pStyle w:val="Heading1"/>
        <w:numPr>
          <w:ilvl w:val="0"/>
          <w:numId w:val="0"/>
        </w:numPr>
        <w:rPr>
          <w:rFonts w:ascii="Calibri Light" w:hAnsi="Calibri Light"/>
          <w:sz w:val="32"/>
        </w:rPr>
      </w:pPr>
      <w:bookmarkStart w:id="103" w:name="_Toc449553531"/>
      <w:r w:rsidRPr="00F15095">
        <w:rPr>
          <w:rFonts w:ascii="Calibri Light" w:eastAsiaTheme="minorHAnsi" w:hAnsi="Calibri Light"/>
          <w:b w:val="0"/>
          <w:noProof/>
          <w:color w:val="6D2077"/>
          <w:sz w:val="48"/>
          <w:szCs w:val="76"/>
          <w:lang w:eastAsia="en-AU"/>
        </w:rPr>
        <w:lastRenderedPageBreak/>
        <w:t>Appendix</w:t>
      </w:r>
      <w:r w:rsidRPr="00F15095">
        <w:rPr>
          <w:rFonts w:ascii="Calibri Light" w:hAnsi="Calibri Light"/>
          <w:sz w:val="32"/>
        </w:rPr>
        <w:t xml:space="preserve"> </w:t>
      </w:r>
      <w:r w:rsidRPr="00F15095">
        <w:rPr>
          <w:rFonts w:ascii="Calibri Light" w:eastAsiaTheme="minorHAnsi" w:hAnsi="Calibri Light"/>
          <w:b w:val="0"/>
          <w:noProof/>
          <w:color w:val="6D2077"/>
          <w:sz w:val="48"/>
          <w:szCs w:val="76"/>
          <w:lang w:eastAsia="en-AU"/>
        </w:rPr>
        <w:t>A: Violence against women and their children</w:t>
      </w:r>
      <w:r w:rsidRPr="00F15095">
        <w:rPr>
          <w:rFonts w:ascii="Calibri Light" w:hAnsi="Calibri Light"/>
          <w:sz w:val="32"/>
        </w:rPr>
        <w:t xml:space="preserve"> </w:t>
      </w:r>
      <w:r w:rsidRPr="00F15095">
        <w:rPr>
          <w:rFonts w:ascii="Calibri Light" w:eastAsiaTheme="minorHAnsi" w:hAnsi="Calibri Light"/>
          <w:b w:val="0"/>
          <w:noProof/>
          <w:color w:val="6D2077"/>
          <w:sz w:val="48"/>
          <w:szCs w:val="76"/>
          <w:lang w:eastAsia="en-AU"/>
        </w:rPr>
        <w:t>in</w:t>
      </w:r>
      <w:r w:rsidRPr="00F15095">
        <w:rPr>
          <w:rFonts w:ascii="Calibri Light" w:hAnsi="Calibri Light"/>
          <w:sz w:val="32"/>
        </w:rPr>
        <w:t xml:space="preserve"> </w:t>
      </w:r>
      <w:r w:rsidRPr="00F15095">
        <w:rPr>
          <w:rFonts w:ascii="Calibri Light" w:eastAsiaTheme="minorHAnsi" w:hAnsi="Calibri Light"/>
          <w:b w:val="0"/>
          <w:noProof/>
          <w:color w:val="6D2077"/>
          <w:sz w:val="48"/>
          <w:szCs w:val="76"/>
          <w:lang w:eastAsia="en-AU"/>
        </w:rPr>
        <w:t>Australia</w:t>
      </w:r>
      <w:bookmarkEnd w:id="103"/>
    </w:p>
    <w:p w14:paraId="3C351484" w14:textId="77777777" w:rsidR="00B717ED" w:rsidRPr="009E2B03" w:rsidRDefault="00B717ED" w:rsidP="005E4E54">
      <w:pPr>
        <w:pStyle w:val="BodyTextkeepwithnext0"/>
        <w:rPr>
          <w:rFonts w:ascii="Calibri Light" w:hAnsi="Calibri Light"/>
          <w:color w:val="6D2077"/>
          <w:sz w:val="36"/>
          <w:szCs w:val="66"/>
        </w:rPr>
      </w:pPr>
      <w:bookmarkStart w:id="104" w:name="_Toc447384511"/>
      <w:bookmarkStart w:id="105" w:name="_Toc447390099"/>
      <w:r w:rsidRPr="009E2B03">
        <w:rPr>
          <w:rFonts w:ascii="Calibri Light" w:hAnsi="Calibri Light"/>
          <w:color w:val="6D2077"/>
          <w:sz w:val="36"/>
          <w:szCs w:val="66"/>
        </w:rPr>
        <w:t>A.1 Background and context</w:t>
      </w:r>
      <w:bookmarkEnd w:id="104"/>
      <w:bookmarkEnd w:id="105"/>
    </w:p>
    <w:p w14:paraId="5B60DF46" w14:textId="77777777" w:rsidR="00B717ED" w:rsidRPr="009E2B03" w:rsidRDefault="00B717ED" w:rsidP="00B717ED">
      <w:pPr>
        <w:rPr>
          <w:rFonts w:ascii="Calibri Light" w:hAnsi="Calibri Light"/>
          <w:sz w:val="22"/>
        </w:rPr>
      </w:pPr>
      <w:r w:rsidRPr="009E2B03">
        <w:rPr>
          <w:rFonts w:ascii="Calibri Light" w:hAnsi="Calibri Light"/>
          <w:sz w:val="22"/>
        </w:rPr>
        <w:t>Violence against women and their children is a critical social issue that continues to persist around the world, including in Australia. It is an often invisible, but common</w:t>
      </w:r>
      <w:r w:rsidR="00911F3B" w:rsidRPr="009E2B03">
        <w:rPr>
          <w:rFonts w:ascii="Calibri Light" w:hAnsi="Calibri Light"/>
          <w:sz w:val="22"/>
        </w:rPr>
        <w:t>,</w:t>
      </w:r>
      <w:r w:rsidRPr="009E2B03">
        <w:rPr>
          <w:rFonts w:ascii="Calibri Light" w:hAnsi="Calibri Light"/>
          <w:sz w:val="22"/>
        </w:rPr>
        <w:t xml:space="preserve"> form of violence and is a fundamental breach of human rights.</w:t>
      </w:r>
      <w:r w:rsidRPr="009E2B03">
        <w:rPr>
          <w:rStyle w:val="FootnoteReference"/>
          <w:rFonts w:ascii="Calibri Light" w:hAnsi="Calibri Light"/>
          <w:sz w:val="22"/>
        </w:rPr>
        <w:footnoteReference w:id="125"/>
      </w:r>
      <w:r w:rsidRPr="009E2B03">
        <w:rPr>
          <w:rFonts w:ascii="Calibri Light" w:hAnsi="Calibri Light"/>
          <w:sz w:val="22"/>
        </w:rPr>
        <w:t xml:space="preserve"> </w:t>
      </w:r>
    </w:p>
    <w:p w14:paraId="2E6259AC" w14:textId="77777777" w:rsidR="00B717ED" w:rsidRPr="009E2B03" w:rsidRDefault="00B717ED" w:rsidP="00B717ED">
      <w:pPr>
        <w:rPr>
          <w:rFonts w:ascii="Calibri Light" w:hAnsi="Calibri Light"/>
          <w:sz w:val="22"/>
        </w:rPr>
      </w:pPr>
      <w:r w:rsidRPr="009E2B03">
        <w:rPr>
          <w:rFonts w:ascii="Calibri Light" w:hAnsi="Calibri Light"/>
          <w:sz w:val="22"/>
        </w:rPr>
        <w:t>Many women and their families experience social, health, and psychological suffering in the years and decades that follow violence and abuse. Many live with higher levels of anxiety, depression and fear, feelings which often continue to impact on their lives on a daily basis.</w:t>
      </w:r>
      <w:r w:rsidRPr="009E2B03">
        <w:rPr>
          <w:rStyle w:val="FootnoteReference"/>
          <w:rFonts w:ascii="Calibri Light" w:hAnsi="Calibri Light"/>
          <w:sz w:val="22"/>
        </w:rPr>
        <w:footnoteReference w:id="126"/>
      </w:r>
      <w:r w:rsidRPr="009E2B03">
        <w:rPr>
          <w:rFonts w:ascii="Calibri Light" w:hAnsi="Calibri Light"/>
          <w:sz w:val="22"/>
        </w:rPr>
        <w:t xml:space="preserve"> There are also significant inter-generational impacts as the children of victimised women become the ‘silent victims’ of violence. These impacts for families and communities in Australia are exacerbated </w:t>
      </w:r>
      <w:r w:rsidR="00911F3B" w:rsidRPr="009E2B03">
        <w:rPr>
          <w:rFonts w:ascii="Calibri Light" w:hAnsi="Calibri Light"/>
          <w:sz w:val="22"/>
        </w:rPr>
        <w:t>by</w:t>
      </w:r>
      <w:r w:rsidRPr="009E2B03">
        <w:rPr>
          <w:rFonts w:ascii="Calibri Light" w:hAnsi="Calibri Light"/>
          <w:sz w:val="22"/>
        </w:rPr>
        <w:t xml:space="preserve"> other interdependent social issues and risk factors associated with violence against women and their children. These factors include other forms of abuse (such as economic abuse, drug and alcohol abuse, or child abuse), homelessness, problem gambling, social and physical isolation or separation.</w:t>
      </w:r>
      <w:r w:rsidRPr="009E2B03">
        <w:rPr>
          <w:rStyle w:val="FootnoteReference"/>
          <w:rFonts w:ascii="Calibri Light" w:hAnsi="Calibri Light"/>
          <w:sz w:val="22"/>
        </w:rPr>
        <w:footnoteReference w:id="127"/>
      </w:r>
      <w:r w:rsidRPr="009E2B03">
        <w:rPr>
          <w:rFonts w:ascii="Calibri Light" w:hAnsi="Calibri Light"/>
          <w:sz w:val="22"/>
        </w:rPr>
        <w:t xml:space="preserve"> </w:t>
      </w:r>
    </w:p>
    <w:p w14:paraId="0E16DBC7" w14:textId="77777777" w:rsidR="00B717ED" w:rsidRPr="009E2B03" w:rsidRDefault="00B717ED" w:rsidP="00B717ED">
      <w:pPr>
        <w:rPr>
          <w:rFonts w:ascii="Calibri Light" w:hAnsi="Calibri Light"/>
          <w:sz w:val="22"/>
        </w:rPr>
      </w:pPr>
      <w:r w:rsidRPr="009E2B03">
        <w:rPr>
          <w:rFonts w:ascii="Calibri Light" w:hAnsi="Calibri Light"/>
          <w:sz w:val="22"/>
        </w:rPr>
        <w:t>In Australia, the experience of violence is more prevalent among vulnerable women, including Aboriginal and Torres Strait Islander</w:t>
      </w:r>
      <w:r w:rsidR="00911F3B" w:rsidRPr="009E2B03">
        <w:rPr>
          <w:rFonts w:ascii="Calibri Light" w:hAnsi="Calibri Light"/>
          <w:sz w:val="22"/>
        </w:rPr>
        <w:t xml:space="preserve"> women</w:t>
      </w:r>
      <w:r w:rsidRPr="009E2B03">
        <w:rPr>
          <w:rStyle w:val="FootnoteReference"/>
          <w:rFonts w:ascii="Calibri Light" w:hAnsi="Calibri Light"/>
          <w:sz w:val="22"/>
        </w:rPr>
        <w:footnoteReference w:id="128"/>
      </w:r>
      <w:r w:rsidRPr="009E2B03">
        <w:rPr>
          <w:rFonts w:ascii="Calibri Light" w:hAnsi="Calibri Light"/>
          <w:sz w:val="22"/>
        </w:rPr>
        <w:t>, women from a CALD background</w:t>
      </w:r>
      <w:r w:rsidRPr="009E2B03">
        <w:rPr>
          <w:rStyle w:val="FootnoteReference"/>
          <w:rFonts w:ascii="Calibri Light" w:hAnsi="Calibri Light"/>
          <w:sz w:val="22"/>
        </w:rPr>
        <w:footnoteReference w:id="129"/>
      </w:r>
      <w:r w:rsidRPr="009E2B03">
        <w:rPr>
          <w:rFonts w:ascii="Calibri Light" w:hAnsi="Calibri Light"/>
          <w:sz w:val="22"/>
        </w:rPr>
        <w:t>, women with a disability, and women who have experienced homelessness.</w:t>
      </w:r>
      <w:r w:rsidRPr="009E2B03">
        <w:rPr>
          <w:rStyle w:val="FootnoteReference"/>
          <w:rFonts w:ascii="Calibri Light" w:hAnsi="Calibri Light"/>
          <w:sz w:val="22"/>
        </w:rPr>
        <w:footnoteReference w:id="130"/>
      </w:r>
      <w:r w:rsidRPr="009E2B03">
        <w:rPr>
          <w:rFonts w:ascii="Calibri Light" w:hAnsi="Calibri Light"/>
          <w:sz w:val="22"/>
        </w:rPr>
        <w:t xml:space="preserve"> These specific cohorts are at greater risk of experiencing violence in Australia and as such, there is a need to develop an evidence base to support targeted policy reform and reduce the prevalence of violence against women and their children. </w:t>
      </w:r>
    </w:p>
    <w:p w14:paraId="1DFA0EED" w14:textId="45AF7EDB" w:rsidR="00B717ED" w:rsidRPr="009E2B03" w:rsidRDefault="00B717ED" w:rsidP="00B717ED">
      <w:pPr>
        <w:pStyle w:val="BodyText"/>
        <w:rPr>
          <w:rFonts w:ascii="Calibri Light" w:hAnsi="Calibri Light"/>
          <w:sz w:val="22"/>
        </w:rPr>
      </w:pPr>
      <w:r w:rsidRPr="009E2B03">
        <w:rPr>
          <w:rFonts w:ascii="Calibri Light" w:hAnsi="Calibri Light"/>
          <w:sz w:val="22"/>
        </w:rPr>
        <w:t>The impacts and costs of violence against women and their children represent a significant burden on Australian communities and Australian society at large. These costs are highlighted in previous reports analysing the cost of violence. In 2009, KPMG estimated that violence against women and their children cost the Australian economy approximately $13.6 billion dollars. In 2015, PwC estimated that violence against women cost $21.7 billion in 2015, and, if no actions are taken to address the issue, these costs will accumulate to $323.4 billion over the 30 year period to 2044-45. This cost burden is primarily assumed by individuals, where the health and psychological impacts of violence generate significant and lifelong costs on individual quality of life. These forgone quality of life ‘costs’ are also accompanied by economic and financial costs to both individuals, governments and general society. Previous research has indicated that governments bear the second biggest cost burden, with incremental spending required for additional health, administration and social welfare costs, estimated to total $7.8 billion per year.</w:t>
      </w:r>
      <w:r w:rsidRPr="009E2B03">
        <w:rPr>
          <w:rStyle w:val="FootnoteReference"/>
          <w:rFonts w:ascii="Calibri Light" w:hAnsi="Calibri Light"/>
          <w:sz w:val="22"/>
        </w:rPr>
        <w:footnoteReference w:id="131"/>
      </w:r>
      <w:r w:rsidRPr="009E2B03">
        <w:rPr>
          <w:rFonts w:ascii="Calibri Light" w:hAnsi="Calibri Light"/>
          <w:sz w:val="22"/>
        </w:rPr>
        <w:t xml:space="preserve"> </w:t>
      </w:r>
    </w:p>
    <w:p w14:paraId="1D1B6554"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This work, identifying the cost of violence against women and their children, has helped to strengthen public understanding of what is a complex issue with significant interdependencies with other social </w:t>
      </w:r>
      <w:r w:rsidRPr="009E2B03">
        <w:rPr>
          <w:rFonts w:ascii="Calibri Light" w:hAnsi="Calibri Light"/>
          <w:sz w:val="22"/>
        </w:rPr>
        <w:lastRenderedPageBreak/>
        <w:t>and health issues. To reduce the prevalence of violence experienced by Australian women, and consequently the cost of violence, a comprehensive evidence base is needed to track the rate of women experiencing violence, as well as the impacts of violence over the course of their lives. This will enable better understanding of the appropriate policy responses to reduce the prevalence of violence, and to measure social and economic costs and outcomes over time.</w:t>
      </w:r>
    </w:p>
    <w:p w14:paraId="3F0B0914"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Recognition of the significant and lifelong impacts of violence against women and their children, has driven a number of important policy developments to help address this issue. The most significant reform in recent years </w:t>
      </w:r>
      <w:r w:rsidR="00C5504F" w:rsidRPr="009E2B03">
        <w:rPr>
          <w:rFonts w:ascii="Calibri Light" w:hAnsi="Calibri Light"/>
          <w:sz w:val="22"/>
        </w:rPr>
        <w:t>is</w:t>
      </w:r>
      <w:r w:rsidRPr="009E2B03">
        <w:rPr>
          <w:rFonts w:ascii="Calibri Light" w:hAnsi="Calibri Light"/>
          <w:sz w:val="22"/>
        </w:rPr>
        <w:t xml:space="preserve"> the development of the National Plan, the first plan to coordinate the individual approaches of </w:t>
      </w:r>
      <w:r w:rsidR="00C5504F" w:rsidRPr="009E2B03">
        <w:rPr>
          <w:rFonts w:ascii="Calibri Light" w:hAnsi="Calibri Light"/>
          <w:sz w:val="22"/>
        </w:rPr>
        <w:t>s</w:t>
      </w:r>
      <w:r w:rsidRPr="009E2B03">
        <w:rPr>
          <w:rFonts w:ascii="Calibri Light" w:hAnsi="Calibri Light"/>
          <w:sz w:val="22"/>
        </w:rPr>
        <w:t xml:space="preserve">tate and </w:t>
      </w:r>
      <w:r w:rsidR="00C5504F" w:rsidRPr="009E2B03">
        <w:rPr>
          <w:rFonts w:ascii="Calibri Light" w:hAnsi="Calibri Light"/>
          <w:sz w:val="22"/>
        </w:rPr>
        <w:t>t</w:t>
      </w:r>
      <w:r w:rsidRPr="009E2B03">
        <w:rPr>
          <w:rFonts w:ascii="Calibri Light" w:hAnsi="Calibri Light"/>
          <w:sz w:val="22"/>
        </w:rPr>
        <w:t>erritory governments across Australia. The National Plan consists of four discrete three-year plans, with an overa</w:t>
      </w:r>
      <w:r w:rsidR="00C5504F" w:rsidRPr="009E2B03">
        <w:rPr>
          <w:rFonts w:ascii="Calibri Light" w:hAnsi="Calibri Light"/>
          <w:sz w:val="22"/>
        </w:rPr>
        <w:t>ll</w:t>
      </w:r>
      <w:r w:rsidRPr="009E2B03">
        <w:rPr>
          <w:rFonts w:ascii="Calibri Light" w:hAnsi="Calibri Light"/>
          <w:sz w:val="22"/>
        </w:rPr>
        <w:t xml:space="preserve"> strategy and set of directives to be implemented in the period from 2010 to 2022.</w:t>
      </w:r>
    </w:p>
    <w:p w14:paraId="25681BA2"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Prior to the development of the National Plan, the issue of violence against women and their children was primarily addressed by certain Commonwealth government agencies, and at the individual </w:t>
      </w:r>
      <w:r w:rsidR="001A3745" w:rsidRPr="009E2B03">
        <w:rPr>
          <w:rFonts w:ascii="Calibri Light" w:hAnsi="Calibri Light"/>
          <w:sz w:val="22"/>
        </w:rPr>
        <w:t>state and t</w:t>
      </w:r>
      <w:r w:rsidRPr="009E2B03">
        <w:rPr>
          <w:rFonts w:ascii="Calibri Light" w:hAnsi="Calibri Light"/>
          <w:sz w:val="22"/>
        </w:rPr>
        <w:t>erritory government level. Examples of key Commonwealth agency initiatives prior to the implementation of the National Plan are outlined below:</w:t>
      </w:r>
    </w:p>
    <w:p w14:paraId="25F8E7C0"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 xml:space="preserve">The 2005 </w:t>
      </w:r>
      <w:r w:rsidRPr="009E2B03">
        <w:rPr>
          <w:rFonts w:ascii="Calibri Light" w:hAnsi="Calibri Light" w:cs="Arial"/>
          <w:i/>
          <w:sz w:val="22"/>
        </w:rPr>
        <w:t>Women's Safety Agenda – Elimination of Violence</w:t>
      </w:r>
      <w:r w:rsidRPr="009E2B03">
        <w:rPr>
          <w:rFonts w:ascii="Calibri Light" w:hAnsi="Calibri Light" w:cs="Arial"/>
          <w:sz w:val="22"/>
        </w:rPr>
        <w:t xml:space="preserve">. Funded by The Department of Families, Housing, Community Services and Indigenous Affairs (FaHCSIA) this program provides a number of services including: training for rural and regional nurses and Aboriginal health workers, dedicated 24-hour help lines, research funding, and capacity building grants for </w:t>
      </w:r>
      <w:r w:rsidR="009B29C7" w:rsidRPr="009E2B03">
        <w:rPr>
          <w:rFonts w:ascii="Calibri Light" w:hAnsi="Calibri Light" w:cs="Arial"/>
          <w:sz w:val="22"/>
        </w:rPr>
        <w:t>w</w:t>
      </w:r>
      <w:r w:rsidRPr="009E2B03">
        <w:rPr>
          <w:rFonts w:ascii="Calibri Light" w:hAnsi="Calibri Light" w:cs="Arial"/>
          <w:sz w:val="22"/>
        </w:rPr>
        <w:t xml:space="preserve">omen’s services. </w:t>
      </w:r>
    </w:p>
    <w:p w14:paraId="58DF78AE"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iCs/>
          <w:sz w:val="22"/>
        </w:rPr>
        <w:t xml:space="preserve">The 2008 </w:t>
      </w:r>
      <w:r w:rsidRPr="009E2B03">
        <w:rPr>
          <w:rFonts w:ascii="Calibri Light" w:hAnsi="Calibri Light" w:cs="Arial"/>
          <w:i/>
          <w:iCs/>
          <w:sz w:val="22"/>
        </w:rPr>
        <w:t>Australasian Policing Strategy on the Prevention and Reduction of Family Violence</w:t>
      </w:r>
      <w:r w:rsidRPr="009E2B03">
        <w:rPr>
          <w:rFonts w:ascii="Calibri Light" w:hAnsi="Calibri Light" w:cs="Arial"/>
          <w:iCs/>
          <w:sz w:val="22"/>
        </w:rPr>
        <w:t xml:space="preserve"> to </w:t>
      </w:r>
      <w:r w:rsidRPr="009E2B03">
        <w:rPr>
          <w:rFonts w:ascii="Calibri Light" w:hAnsi="Calibri Light" w:cs="Arial"/>
          <w:sz w:val="22"/>
        </w:rPr>
        <w:t xml:space="preserve">ensure more consistent policies and practices for </w:t>
      </w:r>
      <w:r w:rsidR="00C5504F" w:rsidRPr="009E2B03">
        <w:rPr>
          <w:rFonts w:ascii="Calibri Light" w:hAnsi="Calibri Light" w:cs="Arial"/>
          <w:sz w:val="22"/>
        </w:rPr>
        <w:t>f</w:t>
      </w:r>
      <w:r w:rsidRPr="009E2B03">
        <w:rPr>
          <w:rFonts w:ascii="Calibri Light" w:hAnsi="Calibri Light" w:cs="Arial"/>
          <w:sz w:val="22"/>
        </w:rPr>
        <w:t xml:space="preserve">amily </w:t>
      </w:r>
      <w:r w:rsidR="00C5504F" w:rsidRPr="009E2B03">
        <w:rPr>
          <w:rFonts w:ascii="Calibri Light" w:hAnsi="Calibri Light" w:cs="Arial"/>
          <w:sz w:val="22"/>
        </w:rPr>
        <w:t>v</w:t>
      </w:r>
      <w:r w:rsidRPr="009E2B03">
        <w:rPr>
          <w:rFonts w:ascii="Calibri Light" w:hAnsi="Calibri Light" w:cs="Arial"/>
          <w:sz w:val="22"/>
        </w:rPr>
        <w:t>iolence. This program includes education and training, research toward broadening the knowledge base, police and legal response, incident response, early intervention</w:t>
      </w:r>
      <w:r w:rsidRPr="009E2B03">
        <w:rPr>
          <w:rFonts w:ascii="Calibri Light" w:hAnsi="Calibri Light" w:cs="Arial"/>
          <w:bCs/>
          <w:sz w:val="22"/>
          <w:lang w:val="en"/>
        </w:rPr>
        <w:t>, communication and information sharing, and a greater focus on at risk cohorts.</w:t>
      </w:r>
    </w:p>
    <w:p w14:paraId="10259370" w14:textId="77777777" w:rsidR="00B717ED" w:rsidRPr="009E2B03" w:rsidRDefault="00B717ED" w:rsidP="00B717ED">
      <w:pPr>
        <w:pStyle w:val="BodyBullet"/>
        <w:rPr>
          <w:rFonts w:ascii="Calibri Light" w:hAnsi="Calibri Light" w:cs="Arial"/>
          <w:bCs/>
          <w:sz w:val="24"/>
          <w:lang w:val="en"/>
        </w:rPr>
      </w:pPr>
      <w:r w:rsidRPr="009E2B03">
        <w:rPr>
          <w:rFonts w:ascii="Calibri Light" w:hAnsi="Calibri Light" w:cs="Arial"/>
          <w:bCs/>
          <w:sz w:val="22"/>
          <w:lang w:val="en"/>
        </w:rPr>
        <w:t>The 2005-08</w:t>
      </w:r>
      <w:r w:rsidRPr="009E2B03">
        <w:rPr>
          <w:rFonts w:ascii="Calibri Light" w:hAnsi="Calibri Light" w:cs="Arial"/>
          <w:bCs/>
          <w:i/>
          <w:sz w:val="22"/>
          <w:lang w:val="en"/>
        </w:rPr>
        <w:t xml:space="preserve"> Domestic and Family Violence Strategy</w:t>
      </w:r>
      <w:r w:rsidRPr="009E2B03">
        <w:rPr>
          <w:rFonts w:ascii="Calibri Light" w:hAnsi="Calibri Light" w:cs="Arial"/>
          <w:bCs/>
          <w:sz w:val="22"/>
          <w:lang w:val="en"/>
        </w:rPr>
        <w:t xml:space="preserve"> developed by Centrelink. This program included a high level action plan, and agency-wide strategy to improve the agencies’ domestic and family violence response. This included training for Centrelink customer service staff, improving customer service for domestic and family violence victims, and working with communities, and contributing to policy. </w:t>
      </w:r>
    </w:p>
    <w:p w14:paraId="0C95FC91" w14:textId="77777777" w:rsidR="00B717ED" w:rsidRPr="009E2B03" w:rsidRDefault="00B717ED" w:rsidP="00B717ED">
      <w:pPr>
        <w:pStyle w:val="BodyText"/>
        <w:rPr>
          <w:rFonts w:ascii="Calibri Light" w:hAnsi="Calibri Light"/>
          <w:sz w:val="22"/>
        </w:rPr>
      </w:pPr>
      <w:r w:rsidRPr="009E2B03">
        <w:rPr>
          <w:rFonts w:ascii="Calibri Light" w:hAnsi="Calibri Light"/>
          <w:sz w:val="22"/>
        </w:rPr>
        <w:t>In previous decades, violence against women and their children that occur</w:t>
      </w:r>
      <w:r w:rsidR="00C5504F" w:rsidRPr="009E2B03">
        <w:rPr>
          <w:rFonts w:ascii="Calibri Light" w:hAnsi="Calibri Light"/>
          <w:sz w:val="22"/>
        </w:rPr>
        <w:t>red</w:t>
      </w:r>
      <w:r w:rsidRPr="009E2B03">
        <w:rPr>
          <w:rFonts w:ascii="Calibri Light" w:hAnsi="Calibri Light"/>
          <w:sz w:val="22"/>
        </w:rPr>
        <w:t xml:space="preserve"> outside the home</w:t>
      </w:r>
      <w:r w:rsidR="00C5504F" w:rsidRPr="009E2B03">
        <w:rPr>
          <w:rFonts w:ascii="Calibri Light" w:hAnsi="Calibri Light"/>
          <w:sz w:val="22"/>
        </w:rPr>
        <w:t xml:space="preserve"> was visible</w:t>
      </w:r>
      <w:r w:rsidRPr="009E2B03">
        <w:rPr>
          <w:rFonts w:ascii="Calibri Light" w:hAnsi="Calibri Light"/>
          <w:sz w:val="22"/>
        </w:rPr>
        <w:t>,</w:t>
      </w:r>
      <w:r w:rsidR="00C5504F" w:rsidRPr="009E2B03">
        <w:rPr>
          <w:rFonts w:ascii="Calibri Light" w:hAnsi="Calibri Light"/>
          <w:sz w:val="22"/>
        </w:rPr>
        <w:t xml:space="preserve"> whereas the</w:t>
      </w:r>
      <w:r w:rsidRPr="009E2B03">
        <w:rPr>
          <w:rFonts w:ascii="Calibri Light" w:hAnsi="Calibri Light"/>
          <w:sz w:val="22"/>
        </w:rPr>
        <w:t xml:space="preserve"> issue of domestic and family violence</w:t>
      </w:r>
      <w:r w:rsidR="00C5504F" w:rsidRPr="009E2B03">
        <w:rPr>
          <w:rFonts w:ascii="Calibri Light" w:hAnsi="Calibri Light"/>
          <w:sz w:val="22"/>
        </w:rPr>
        <w:t xml:space="preserve"> had limited public exposure</w:t>
      </w:r>
      <w:r w:rsidRPr="009E2B03">
        <w:rPr>
          <w:rFonts w:ascii="Calibri Light" w:hAnsi="Calibri Light"/>
          <w:sz w:val="22"/>
        </w:rPr>
        <w:t xml:space="preserve">. The lack of understanding of, and active public engagement with, these issues has provided little imperative for large-scale change and targeted policy reform in Australia. The centralised effort to combat these issues is therefore indicative of the growing awareness of, and public support for, widespread policy reform and cultural change. </w:t>
      </w:r>
    </w:p>
    <w:p w14:paraId="71070816" w14:textId="77777777" w:rsidR="00B717ED" w:rsidRPr="009E2B03" w:rsidRDefault="00B717ED" w:rsidP="00B717ED">
      <w:pPr>
        <w:pStyle w:val="BodyText"/>
        <w:rPr>
          <w:rFonts w:ascii="Calibri Light" w:hAnsi="Calibri Light"/>
          <w:sz w:val="22"/>
        </w:rPr>
      </w:pPr>
      <w:r w:rsidRPr="009E2B03">
        <w:rPr>
          <w:rFonts w:ascii="Calibri Light" w:hAnsi="Calibri Light"/>
          <w:sz w:val="22"/>
        </w:rPr>
        <w:t>The National Plan is based on the premise that increased awareness helps to change the attitudes of both men and women to violence. The Plan points to gender inequality as a key issue that needs to be targeted to reduce violence. All Australian governments are committed to the National Plan, in the interest of developing a long term strategy to achieve tangible and sustainable long term change. Each of the three year action plans provide a staged approach to the overa</w:t>
      </w:r>
      <w:r w:rsidR="00C5504F" w:rsidRPr="009E2B03">
        <w:rPr>
          <w:rFonts w:ascii="Calibri Light" w:hAnsi="Calibri Light"/>
          <w:sz w:val="22"/>
        </w:rPr>
        <w:t>ll</w:t>
      </w:r>
      <w:r w:rsidRPr="009E2B03">
        <w:rPr>
          <w:rFonts w:ascii="Calibri Light" w:hAnsi="Calibri Light"/>
          <w:sz w:val="22"/>
        </w:rPr>
        <w:t xml:space="preserve"> strategy, with an accompanying National Implementation Plan and corresponding Jurisdictional Implementation Plan. The National Plan highlights</w:t>
      </w:r>
      <w:r w:rsidR="00C5504F" w:rsidRPr="009E2B03">
        <w:rPr>
          <w:rFonts w:ascii="Calibri Light" w:hAnsi="Calibri Light"/>
          <w:sz w:val="22"/>
        </w:rPr>
        <w:t xml:space="preserve"> the</w:t>
      </w:r>
      <w:r w:rsidRPr="009E2B03">
        <w:rPr>
          <w:rFonts w:ascii="Calibri Light" w:hAnsi="Calibri Light"/>
          <w:sz w:val="22"/>
        </w:rPr>
        <w:t xml:space="preserve"> </w:t>
      </w:r>
      <w:r w:rsidR="00C5504F" w:rsidRPr="009E2B03">
        <w:rPr>
          <w:rFonts w:ascii="Calibri Light" w:hAnsi="Calibri Light"/>
          <w:sz w:val="22"/>
        </w:rPr>
        <w:t>critical</w:t>
      </w:r>
      <w:r w:rsidRPr="009E2B03">
        <w:rPr>
          <w:rFonts w:ascii="Calibri Light" w:hAnsi="Calibri Light"/>
          <w:sz w:val="22"/>
        </w:rPr>
        <w:t xml:space="preserve"> components </w:t>
      </w:r>
      <w:r w:rsidR="00C5504F" w:rsidRPr="009E2B03">
        <w:rPr>
          <w:rFonts w:ascii="Calibri Light" w:hAnsi="Calibri Light"/>
          <w:sz w:val="22"/>
        </w:rPr>
        <w:t xml:space="preserve">required </w:t>
      </w:r>
      <w:r w:rsidRPr="009E2B03">
        <w:rPr>
          <w:rFonts w:ascii="Calibri Light" w:hAnsi="Calibri Light"/>
          <w:sz w:val="22"/>
        </w:rPr>
        <w:t>to provide the ‘foundations for change’</w:t>
      </w:r>
      <w:r w:rsidR="00C5504F" w:rsidRPr="009E2B03">
        <w:rPr>
          <w:rFonts w:ascii="Calibri Light" w:hAnsi="Calibri Light"/>
          <w:sz w:val="22"/>
        </w:rPr>
        <w:t>. E</w:t>
      </w:r>
      <w:r w:rsidRPr="009E2B03">
        <w:rPr>
          <w:rFonts w:ascii="Calibri Light" w:hAnsi="Calibri Light"/>
          <w:sz w:val="22"/>
        </w:rPr>
        <w:t>ach of the four stages promot</w:t>
      </w:r>
      <w:r w:rsidR="00C5504F" w:rsidRPr="009E2B03">
        <w:rPr>
          <w:rFonts w:ascii="Calibri Light" w:hAnsi="Calibri Light"/>
          <w:sz w:val="22"/>
        </w:rPr>
        <w:t>e</w:t>
      </w:r>
      <w:r w:rsidRPr="009E2B03">
        <w:rPr>
          <w:rFonts w:ascii="Calibri Light" w:hAnsi="Calibri Light"/>
          <w:sz w:val="22"/>
        </w:rPr>
        <w:t xml:space="preserve"> specific measures to address the following areas: </w:t>
      </w:r>
    </w:p>
    <w:p w14:paraId="35CE23C9" w14:textId="77777777" w:rsidR="00B717ED" w:rsidRPr="009E2B03" w:rsidRDefault="00C5504F" w:rsidP="00B717ED">
      <w:pPr>
        <w:pStyle w:val="BodyBullet"/>
        <w:rPr>
          <w:rFonts w:ascii="Calibri Light" w:hAnsi="Calibri Light" w:cs="Arial"/>
          <w:sz w:val="22"/>
        </w:rPr>
      </w:pPr>
      <w:r w:rsidRPr="009E2B03">
        <w:rPr>
          <w:rFonts w:ascii="Calibri Light" w:hAnsi="Calibri Light" w:cs="Arial"/>
          <w:sz w:val="22"/>
        </w:rPr>
        <w:t xml:space="preserve">There is a need to </w:t>
      </w:r>
      <w:r w:rsidR="00B717ED" w:rsidRPr="009E2B03">
        <w:rPr>
          <w:rFonts w:ascii="Calibri Light" w:hAnsi="Calibri Light" w:cs="Arial"/>
          <w:sz w:val="22"/>
        </w:rPr>
        <w:t>strengthen the workforce by providing appropriate training and support for the specialist and mainstream workforce to prevent and respond to victims and perpetrators of violence</w:t>
      </w:r>
      <w:r w:rsidRPr="009E2B03">
        <w:rPr>
          <w:rFonts w:ascii="Calibri Light" w:hAnsi="Calibri Light" w:cs="Arial"/>
          <w:sz w:val="22"/>
        </w:rPr>
        <w:t>.</w:t>
      </w:r>
    </w:p>
    <w:p w14:paraId="403FB029" w14:textId="77777777" w:rsidR="00B717ED" w:rsidRPr="009E2B03" w:rsidRDefault="00C5504F" w:rsidP="00B717ED">
      <w:pPr>
        <w:pStyle w:val="BodyBullet"/>
        <w:rPr>
          <w:rFonts w:ascii="Calibri Light" w:hAnsi="Calibri Light" w:cs="Arial"/>
          <w:sz w:val="22"/>
        </w:rPr>
      </w:pPr>
      <w:r w:rsidRPr="009E2B03">
        <w:rPr>
          <w:rFonts w:ascii="Calibri Light" w:hAnsi="Calibri Light" w:cs="Arial"/>
          <w:sz w:val="22"/>
        </w:rPr>
        <w:t>I</w:t>
      </w:r>
      <w:r w:rsidR="00B717ED" w:rsidRPr="009E2B03">
        <w:rPr>
          <w:rFonts w:ascii="Calibri Light" w:hAnsi="Calibri Light" w:cs="Arial"/>
          <w:sz w:val="22"/>
        </w:rPr>
        <w:t>ntegrated service delivery for victims of violence</w:t>
      </w:r>
      <w:r w:rsidRPr="009E2B03">
        <w:rPr>
          <w:rFonts w:ascii="Calibri Light" w:hAnsi="Calibri Light" w:cs="Arial"/>
          <w:sz w:val="22"/>
        </w:rPr>
        <w:t xml:space="preserve"> based upon shared information and integrated systems is required</w:t>
      </w:r>
      <w:r w:rsidR="00B717ED" w:rsidRPr="009E2B03">
        <w:rPr>
          <w:rFonts w:ascii="Calibri Light" w:hAnsi="Calibri Light" w:cs="Arial"/>
          <w:sz w:val="22"/>
        </w:rPr>
        <w:t xml:space="preserve">. Actions relating to government agencies and non-government organisation </w:t>
      </w:r>
      <w:r w:rsidR="00B717ED" w:rsidRPr="009E2B03">
        <w:rPr>
          <w:rFonts w:ascii="Calibri Light" w:hAnsi="Calibri Light" w:cs="Arial"/>
          <w:sz w:val="22"/>
        </w:rPr>
        <w:lastRenderedPageBreak/>
        <w:t>coordination aim to encourage the sharing of information, coordinated responses, and linked tracking of results to generate improved outcomes for victims of violence</w:t>
      </w:r>
      <w:r w:rsidRPr="009E2B03">
        <w:rPr>
          <w:rFonts w:ascii="Calibri Light" w:hAnsi="Calibri Light" w:cs="Arial"/>
          <w:sz w:val="22"/>
        </w:rPr>
        <w:t>.</w:t>
      </w:r>
    </w:p>
    <w:p w14:paraId="6655DC13" w14:textId="77777777" w:rsidR="00B717ED" w:rsidRPr="009E2B03" w:rsidRDefault="0043009C" w:rsidP="00B717ED">
      <w:pPr>
        <w:pStyle w:val="BodyBullet"/>
        <w:rPr>
          <w:rFonts w:ascii="Calibri Light" w:hAnsi="Calibri Light" w:cs="Arial"/>
          <w:sz w:val="22"/>
        </w:rPr>
      </w:pPr>
      <w:r w:rsidRPr="009E2B03">
        <w:rPr>
          <w:rFonts w:ascii="Calibri Light" w:hAnsi="Calibri Light" w:cs="Arial"/>
          <w:sz w:val="22"/>
        </w:rPr>
        <w:t>A</w:t>
      </w:r>
      <w:r w:rsidR="00B717ED" w:rsidRPr="009E2B03">
        <w:rPr>
          <w:rFonts w:ascii="Calibri Light" w:hAnsi="Calibri Light" w:cs="Arial"/>
          <w:sz w:val="22"/>
        </w:rPr>
        <w:t xml:space="preserve"> coordinated national research agenda</w:t>
      </w:r>
      <w:r w:rsidR="00C5504F" w:rsidRPr="009E2B03">
        <w:rPr>
          <w:rFonts w:ascii="Calibri Light" w:hAnsi="Calibri Light" w:cs="Arial"/>
          <w:sz w:val="22"/>
        </w:rPr>
        <w:t xml:space="preserve"> is required to improve the evidence base</w:t>
      </w:r>
      <w:r w:rsidR="00B717ED" w:rsidRPr="009E2B03">
        <w:rPr>
          <w:rFonts w:ascii="Calibri Light" w:hAnsi="Calibri Light" w:cs="Arial"/>
          <w:sz w:val="22"/>
        </w:rPr>
        <w:t>, as well as associated education and service delivery organisations, to translate th</w:t>
      </w:r>
      <w:r w:rsidRPr="009E2B03">
        <w:rPr>
          <w:rFonts w:ascii="Calibri Light" w:hAnsi="Calibri Light" w:cs="Arial"/>
          <w:sz w:val="22"/>
        </w:rPr>
        <w:t>e evidence</w:t>
      </w:r>
      <w:r w:rsidR="00B717ED" w:rsidRPr="009E2B03">
        <w:rPr>
          <w:rFonts w:ascii="Calibri Light" w:hAnsi="Calibri Light" w:cs="Arial"/>
          <w:sz w:val="22"/>
        </w:rPr>
        <w:t xml:space="preserve"> into information </w:t>
      </w:r>
      <w:r w:rsidRPr="009E2B03">
        <w:rPr>
          <w:rFonts w:ascii="Calibri Light" w:hAnsi="Calibri Light" w:cs="Arial"/>
          <w:sz w:val="22"/>
        </w:rPr>
        <w:t xml:space="preserve">for </w:t>
      </w:r>
      <w:r w:rsidR="00B717ED" w:rsidRPr="009E2B03">
        <w:rPr>
          <w:rFonts w:ascii="Calibri Light" w:hAnsi="Calibri Light" w:cs="Arial"/>
          <w:sz w:val="22"/>
        </w:rPr>
        <w:t>those working with victims</w:t>
      </w:r>
      <w:r w:rsidRPr="009E2B03">
        <w:rPr>
          <w:rFonts w:ascii="Calibri Light" w:hAnsi="Calibri Light" w:cs="Arial"/>
          <w:sz w:val="22"/>
        </w:rPr>
        <w:t xml:space="preserve"> of violence</w:t>
      </w:r>
      <w:r w:rsidR="00B717ED" w:rsidRPr="009E2B03">
        <w:rPr>
          <w:rFonts w:ascii="Calibri Light" w:hAnsi="Calibri Light" w:cs="Arial"/>
          <w:sz w:val="22"/>
        </w:rPr>
        <w:t>, and inform policy development and service deliver</w:t>
      </w:r>
      <w:r w:rsidRPr="009E2B03">
        <w:rPr>
          <w:rFonts w:ascii="Calibri Light" w:hAnsi="Calibri Light" w:cs="Arial"/>
          <w:sz w:val="22"/>
        </w:rPr>
        <w:t>y.</w:t>
      </w:r>
    </w:p>
    <w:p w14:paraId="06E8B42D" w14:textId="77777777" w:rsidR="00B717ED" w:rsidRPr="009E2B03" w:rsidRDefault="0043009C" w:rsidP="00B717ED">
      <w:pPr>
        <w:pStyle w:val="BodyBullet"/>
        <w:rPr>
          <w:rFonts w:ascii="Calibri Light" w:hAnsi="Calibri Light" w:cs="Arial"/>
          <w:sz w:val="22"/>
        </w:rPr>
      </w:pPr>
      <w:r w:rsidRPr="009E2B03">
        <w:rPr>
          <w:rFonts w:ascii="Calibri Light" w:hAnsi="Calibri Light" w:cs="Arial"/>
          <w:sz w:val="22"/>
        </w:rPr>
        <w:t>T</w:t>
      </w:r>
      <w:r w:rsidR="00B717ED" w:rsidRPr="009E2B03">
        <w:rPr>
          <w:rFonts w:ascii="Calibri Light" w:hAnsi="Calibri Light" w:cs="Arial"/>
          <w:sz w:val="22"/>
        </w:rPr>
        <w:t xml:space="preserve">rack performance, to provide nationally consistent indicators, definitions, collection methods and data frameworks to build a reliable evidence base for analysing violence against women and their children. This also involves the continuation of the Personal Safety Survey (PSS) and the National Community Attitudes Survey (NCAS) every four years. </w:t>
      </w:r>
    </w:p>
    <w:p w14:paraId="2854CBB6" w14:textId="77777777" w:rsidR="00B717ED" w:rsidRPr="009E2B03" w:rsidRDefault="00B717ED" w:rsidP="00B717ED">
      <w:pPr>
        <w:pStyle w:val="BodyText"/>
        <w:rPr>
          <w:rFonts w:ascii="Calibri Light" w:hAnsi="Calibri Light"/>
          <w:sz w:val="22"/>
        </w:rPr>
      </w:pPr>
      <w:r w:rsidRPr="009E2B03">
        <w:rPr>
          <w:rFonts w:ascii="Calibri Light" w:hAnsi="Calibri Light"/>
          <w:sz w:val="22"/>
        </w:rPr>
        <w:t>The National Plan and the Second Action Plan both recognise the far-reaching impacts, and the substantial costs, of violence and abuse against women and their children in Australia. These two plans also represent significant steps towards addressing issues within the broader system of services and support for women experiencing violence.</w:t>
      </w:r>
      <w:r w:rsidRPr="009E2B03" w:rsidDel="00FB33A0">
        <w:rPr>
          <w:rFonts w:ascii="Calibri Light" w:hAnsi="Calibri Light"/>
          <w:sz w:val="22"/>
        </w:rPr>
        <w:t xml:space="preserve"> </w:t>
      </w:r>
      <w:r w:rsidRPr="009E2B03">
        <w:rPr>
          <w:rFonts w:ascii="Calibri Light" w:hAnsi="Calibri Light"/>
          <w:sz w:val="22"/>
        </w:rPr>
        <w:t xml:space="preserve">The Second Action Plan, a component of The National Plan active from 2013-2016, highlights five key national priorities and 26 actions to reducing domestic and family violence. These national priorities are: </w:t>
      </w:r>
    </w:p>
    <w:p w14:paraId="5817C2C8"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driving whole of community action to prevent violence</w:t>
      </w:r>
    </w:p>
    <w:p w14:paraId="22985F4E"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understanding diverse experiences of violence</w:t>
      </w:r>
    </w:p>
    <w:p w14:paraId="4A8CF559"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supporting innovative services and integrated systems</w:t>
      </w:r>
    </w:p>
    <w:p w14:paraId="1CAD3226"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improving perpetrator interventions</w:t>
      </w:r>
    </w:p>
    <w:p w14:paraId="3B6994FA"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 xml:space="preserve">continuing to build the evidence base. </w:t>
      </w:r>
    </w:p>
    <w:p w14:paraId="5C8504FF" w14:textId="77777777" w:rsidR="00B717ED" w:rsidRPr="009E2B03" w:rsidRDefault="00B717ED" w:rsidP="00B717ED">
      <w:pPr>
        <w:rPr>
          <w:rFonts w:ascii="Calibri Light" w:hAnsi="Calibri Light"/>
          <w:sz w:val="22"/>
        </w:rPr>
      </w:pPr>
      <w:r w:rsidRPr="009E2B03">
        <w:rPr>
          <w:rFonts w:ascii="Calibri Light" w:hAnsi="Calibri Light"/>
          <w:sz w:val="22"/>
        </w:rPr>
        <w:t xml:space="preserve">In particular, the Second Action Plan aims to consolidate the evidence base around the strategies that have been undertaken prior to, and within, the First Action Plan. </w:t>
      </w:r>
    </w:p>
    <w:p w14:paraId="761DA418" w14:textId="77777777" w:rsidR="00B717ED" w:rsidRPr="009E2B03" w:rsidRDefault="00B717ED" w:rsidP="00B717ED">
      <w:pPr>
        <w:rPr>
          <w:rFonts w:ascii="Calibri Light" w:hAnsi="Calibri Light"/>
          <w:sz w:val="22"/>
        </w:rPr>
      </w:pPr>
      <w:r w:rsidRPr="009E2B03">
        <w:rPr>
          <w:rFonts w:ascii="Calibri Light" w:hAnsi="Calibri Light"/>
          <w:sz w:val="22"/>
        </w:rPr>
        <w:t xml:space="preserve">In addition to </w:t>
      </w:r>
      <w:r w:rsidR="0043009C" w:rsidRPr="009E2B03">
        <w:rPr>
          <w:rFonts w:ascii="Calibri Light" w:hAnsi="Calibri Light"/>
          <w:sz w:val="22"/>
        </w:rPr>
        <w:t>t</w:t>
      </w:r>
      <w:r w:rsidRPr="009E2B03">
        <w:rPr>
          <w:rFonts w:ascii="Calibri Light" w:hAnsi="Calibri Light"/>
          <w:sz w:val="22"/>
        </w:rPr>
        <w:t xml:space="preserve">he National Plan, further funding packages were announced over the course of 2015. In March 2015, a jointly-funded $30 million awareness campaign by the Commonwealth and </w:t>
      </w:r>
      <w:r w:rsidR="0043009C" w:rsidRPr="009E2B03">
        <w:rPr>
          <w:rFonts w:ascii="Calibri Light" w:hAnsi="Calibri Light"/>
          <w:sz w:val="22"/>
        </w:rPr>
        <w:t>s</w:t>
      </w:r>
      <w:r w:rsidRPr="009E2B03">
        <w:rPr>
          <w:rFonts w:ascii="Calibri Light" w:hAnsi="Calibri Light"/>
          <w:sz w:val="22"/>
        </w:rPr>
        <w:t>tate governments was announced, and in September of the same year, an announcement by the Turnbull Ministry outlined an additional $100 million funding package for women and children with a high risk of experiencing violence. This package was a result of the recommendations of the COAG Advisory Panel of Reducing Violence against Women and their Children, and includes frontline support services and resources for community education to change attitudes</w:t>
      </w:r>
      <w:r w:rsidR="000F39E7" w:rsidRPr="009E2B03">
        <w:rPr>
          <w:rFonts w:ascii="Calibri Light" w:hAnsi="Calibri Light"/>
          <w:sz w:val="22"/>
        </w:rPr>
        <w:t xml:space="preserve"> to violence and abuse. At the s</w:t>
      </w:r>
      <w:r w:rsidRPr="009E2B03">
        <w:rPr>
          <w:rFonts w:ascii="Calibri Light" w:hAnsi="Calibri Light"/>
          <w:sz w:val="22"/>
        </w:rPr>
        <w:t xml:space="preserve">tate and </w:t>
      </w:r>
      <w:r w:rsidR="000F39E7" w:rsidRPr="009E2B03">
        <w:rPr>
          <w:rFonts w:ascii="Calibri Light" w:hAnsi="Calibri Light"/>
          <w:sz w:val="22"/>
        </w:rPr>
        <w:t>t</w:t>
      </w:r>
      <w:r w:rsidRPr="009E2B03">
        <w:rPr>
          <w:rFonts w:ascii="Calibri Light" w:hAnsi="Calibri Light"/>
          <w:sz w:val="22"/>
        </w:rPr>
        <w:t>erritory level, a number of initiatives (examples shown below) were also instigated in conjunction with the National Plan.</w:t>
      </w:r>
    </w:p>
    <w:p w14:paraId="6A2D176A" w14:textId="77777777" w:rsidR="00B717ED" w:rsidRPr="009E2B03" w:rsidRDefault="00B717ED" w:rsidP="009B29C7">
      <w:pPr>
        <w:pStyle w:val="BodyBullet"/>
        <w:rPr>
          <w:rFonts w:ascii="Calibri Light" w:hAnsi="Calibri Light" w:cs="Arial"/>
          <w:sz w:val="22"/>
          <w:lang w:val="en"/>
        </w:rPr>
      </w:pPr>
      <w:r w:rsidRPr="009E2B03">
        <w:rPr>
          <w:rFonts w:ascii="Calibri Light" w:hAnsi="Calibri Light" w:cs="Arial"/>
          <w:sz w:val="22"/>
          <w:lang w:val="en"/>
        </w:rPr>
        <w:t xml:space="preserve">In 2014, the NSW Government announced the </w:t>
      </w:r>
      <w:r w:rsidRPr="009E2B03">
        <w:rPr>
          <w:rFonts w:ascii="Calibri Light" w:hAnsi="Calibri Light" w:cs="Arial"/>
          <w:i/>
          <w:sz w:val="22"/>
          <w:lang w:val="en"/>
        </w:rPr>
        <w:t>It Stops Here: Domestic and Family Violence Framework</w:t>
      </w:r>
      <w:r w:rsidRPr="009E2B03">
        <w:rPr>
          <w:rFonts w:ascii="Calibri Light" w:hAnsi="Calibri Light" w:cs="Arial"/>
          <w:sz w:val="22"/>
          <w:lang w:val="en"/>
        </w:rPr>
        <w:t xml:space="preserve">, aiming to improve the way government agencies and non-government organisations respond to, and prevent domestic and family violence in NSW. This was supported with additional funding and was implemented in conjunction with the Domestic Violence Justice Strategy. </w:t>
      </w:r>
    </w:p>
    <w:p w14:paraId="5EE83085" w14:textId="77777777" w:rsidR="00B717ED" w:rsidRPr="009E2B03" w:rsidRDefault="00B717ED" w:rsidP="009B29C7">
      <w:pPr>
        <w:pStyle w:val="BodyBullet"/>
        <w:rPr>
          <w:rFonts w:ascii="Calibri Light" w:hAnsi="Calibri Light" w:cs="Arial"/>
          <w:sz w:val="22"/>
          <w:lang w:val="en"/>
        </w:rPr>
      </w:pPr>
      <w:r w:rsidRPr="009E2B03">
        <w:rPr>
          <w:rFonts w:ascii="Calibri Light" w:hAnsi="Calibri Light" w:cs="Arial"/>
          <w:sz w:val="22"/>
          <w:lang w:val="en"/>
        </w:rPr>
        <w:t>The National Community Attitudes towards Violence against Women Survey (NCAS) was based on a questionnaire developed and implemented in 1987 and 1995 by the then Commonwealth Office of the Status of Women. It was adapted by VicHealth for implementation in Victoria in 2006 and nationally in 2009 (the latter in partnership with the Australian Government). The Australian Government funded the last two surveys in 2009 and 2013 and is funding the 2017 survey.</w:t>
      </w:r>
    </w:p>
    <w:p w14:paraId="0C9A578E" w14:textId="77777777" w:rsidR="00B717ED" w:rsidRPr="009E2B03" w:rsidRDefault="00B717ED" w:rsidP="009B29C7">
      <w:pPr>
        <w:pStyle w:val="BodyBullet"/>
        <w:rPr>
          <w:rFonts w:ascii="Calibri Light" w:hAnsi="Calibri Light" w:cs="Arial"/>
          <w:sz w:val="22"/>
          <w:lang w:val="en"/>
        </w:rPr>
      </w:pPr>
      <w:r w:rsidRPr="009E2B03">
        <w:rPr>
          <w:rFonts w:ascii="Calibri Light" w:hAnsi="Calibri Light" w:cs="Arial"/>
          <w:sz w:val="22"/>
          <w:lang w:val="en"/>
        </w:rPr>
        <w:t xml:space="preserve">Increased public awareness about violence against women and their children also prompted the 2015 Royal Commission into Family Violence in Victoria. The Royal Commission examined the best methods to prevent family violence, improve early intervention, support victims of violence, make the perpetrators of violence accountable for their actions, coordinate community and government responses more effectively, and evaluate and measure strategies, frameworks, policies, programs and services. The Royal Commission handed down its report on 30 March </w:t>
      </w:r>
      <w:r w:rsidRPr="009E2B03">
        <w:rPr>
          <w:rFonts w:ascii="Calibri Light" w:hAnsi="Calibri Light" w:cs="Arial"/>
          <w:sz w:val="22"/>
          <w:lang w:val="en"/>
        </w:rPr>
        <w:lastRenderedPageBreak/>
        <w:t>2016</w:t>
      </w:r>
      <w:r w:rsidR="00806D73" w:rsidRPr="009E2B03">
        <w:rPr>
          <w:rFonts w:ascii="Calibri Light" w:hAnsi="Calibri Light" w:cs="Arial"/>
          <w:sz w:val="22"/>
          <w:lang w:val="en"/>
        </w:rPr>
        <w:t>. The report</w:t>
      </w:r>
      <w:r w:rsidRPr="009E2B03">
        <w:rPr>
          <w:rFonts w:ascii="Calibri Light" w:hAnsi="Calibri Light" w:cs="Arial"/>
          <w:sz w:val="22"/>
          <w:lang w:val="en"/>
        </w:rPr>
        <w:t xml:space="preserve"> included 227 recommendations </w:t>
      </w:r>
      <w:r w:rsidR="00806D73" w:rsidRPr="009E2B03">
        <w:rPr>
          <w:rFonts w:ascii="Calibri Light" w:hAnsi="Calibri Light" w:cs="Arial"/>
          <w:sz w:val="22"/>
          <w:lang w:val="en"/>
        </w:rPr>
        <w:t>‘</w:t>
      </w:r>
      <w:r w:rsidRPr="009E2B03">
        <w:rPr>
          <w:rFonts w:ascii="Calibri Light" w:hAnsi="Calibri Light" w:cs="Arial"/>
          <w:sz w:val="22"/>
          <w:lang w:val="en"/>
        </w:rPr>
        <w:t>directed at improving the foundations of the current system, seizing opportunities to transform the way that we respond to family violence, and building the structures that will guide and oversee a long-term reform program that deals with all aspects of family violence.</w:t>
      </w:r>
      <w:r w:rsidR="00806D73" w:rsidRPr="009E2B03">
        <w:rPr>
          <w:rFonts w:ascii="Calibri Light" w:hAnsi="Calibri Light" w:cs="Arial"/>
          <w:sz w:val="22"/>
          <w:lang w:val="en"/>
        </w:rPr>
        <w:t>’</w:t>
      </w:r>
      <w:r w:rsidRPr="009E2B03">
        <w:rPr>
          <w:rStyle w:val="FootnoteReference"/>
          <w:rFonts w:ascii="Calibri Light" w:hAnsi="Calibri Light" w:cs="Arial"/>
          <w:sz w:val="22"/>
          <w:lang w:val="en"/>
        </w:rPr>
        <w:footnoteReference w:id="132"/>
      </w:r>
      <w:r w:rsidRPr="009E2B03">
        <w:rPr>
          <w:rFonts w:ascii="Calibri Light" w:hAnsi="Calibri Light" w:cs="Arial"/>
          <w:sz w:val="22"/>
          <w:lang w:val="en"/>
        </w:rPr>
        <w:t xml:space="preserve"> The Victorian Premier Daniel Andrews has promised to implement all of the recommendations. </w:t>
      </w:r>
    </w:p>
    <w:p w14:paraId="181D9205" w14:textId="77777777" w:rsidR="00B717ED" w:rsidRPr="009E2B03" w:rsidRDefault="00B717ED" w:rsidP="00B717ED">
      <w:pPr>
        <w:rPr>
          <w:rFonts w:ascii="Calibri Light" w:hAnsi="Calibri Light"/>
          <w:sz w:val="22"/>
        </w:rPr>
      </w:pPr>
      <w:r w:rsidRPr="009E2B03">
        <w:rPr>
          <w:rFonts w:ascii="Calibri Light" w:hAnsi="Calibri Light"/>
          <w:sz w:val="22"/>
        </w:rPr>
        <w:t>The National Plan, in conjunction with additional funding packages, speaks to, and further influences, the changing nature of attitudes to violence against women and their children, and the public impetus for change as a</w:t>
      </w:r>
      <w:r w:rsidR="00806D73" w:rsidRPr="009E2B03">
        <w:rPr>
          <w:rFonts w:ascii="Calibri Light" w:hAnsi="Calibri Light"/>
          <w:sz w:val="22"/>
        </w:rPr>
        <w:t>n important motivation</w:t>
      </w:r>
      <w:r w:rsidRPr="009E2B03">
        <w:rPr>
          <w:rFonts w:ascii="Calibri Light" w:hAnsi="Calibri Light"/>
          <w:sz w:val="22"/>
        </w:rPr>
        <w:t xml:space="preserve"> for addressing the problem. This growing public understanding of violence against women and their children is particularly relevant given the </w:t>
      </w:r>
      <w:r w:rsidR="00806D73" w:rsidRPr="009E2B03">
        <w:rPr>
          <w:rFonts w:ascii="Calibri Light" w:hAnsi="Calibri Light"/>
          <w:sz w:val="22"/>
        </w:rPr>
        <w:t xml:space="preserve">necessity </w:t>
      </w:r>
      <w:r w:rsidRPr="009E2B03">
        <w:rPr>
          <w:rFonts w:ascii="Calibri Light" w:hAnsi="Calibri Light"/>
          <w:sz w:val="22"/>
        </w:rPr>
        <w:t>of shifting cultural attitudes to successfully address violence against women and their children.</w:t>
      </w:r>
      <w:r w:rsidRPr="009E2B03">
        <w:rPr>
          <w:rStyle w:val="FootnoteReference"/>
          <w:rFonts w:ascii="Calibri Light" w:hAnsi="Calibri Light"/>
          <w:sz w:val="22"/>
        </w:rPr>
        <w:footnoteReference w:id="133"/>
      </w:r>
      <w:r w:rsidRPr="009E2B03">
        <w:rPr>
          <w:rFonts w:ascii="Calibri Light" w:hAnsi="Calibri Light"/>
          <w:sz w:val="22"/>
        </w:rPr>
        <w:t xml:space="preserve"> </w:t>
      </w:r>
    </w:p>
    <w:p w14:paraId="41777C78" w14:textId="77777777" w:rsidR="00B717ED" w:rsidRPr="009E2B03" w:rsidRDefault="00B717ED" w:rsidP="00B717ED">
      <w:pPr>
        <w:rPr>
          <w:rFonts w:ascii="Calibri Light" w:hAnsi="Calibri Light"/>
          <w:sz w:val="22"/>
        </w:rPr>
      </w:pPr>
      <w:r w:rsidRPr="009E2B03">
        <w:rPr>
          <w:rFonts w:ascii="Calibri Light" w:hAnsi="Calibri Light"/>
          <w:sz w:val="22"/>
        </w:rPr>
        <w:t>The introduction of The National Plan has also coincided with a series of events that brought the issue of violence against women and their children to the forefront of the public’s attention. A number of high-profile cases reported in the media has facilitated an increased exposure to these issues, and increased public awareness of</w:t>
      </w:r>
      <w:r w:rsidR="00806D73" w:rsidRPr="009E2B03">
        <w:rPr>
          <w:rFonts w:ascii="Calibri Light" w:hAnsi="Calibri Light"/>
          <w:sz w:val="22"/>
        </w:rPr>
        <w:t xml:space="preserve"> their</w:t>
      </w:r>
      <w:r w:rsidRPr="009E2B03">
        <w:rPr>
          <w:rFonts w:ascii="Calibri Light" w:hAnsi="Calibri Light"/>
          <w:sz w:val="22"/>
        </w:rPr>
        <w:t xml:space="preserve"> prevalence and the available support networks. The media attention following the death of Luke Batty and the subsequent work by Rosie Batty in sharing her story and campaigning against domestic and family violence, led to her receiving the 2015 Award for Australian of the Year, an act which further boosted the public awareness of violence against women and their children. Online commentary, social media awareness campaigns, and ongoing multi-platform campaigns such as White Ribbon Day further increased public understanding and education around these issues. Such events contribute to the public discussion by increasing the pressure for:</w:t>
      </w:r>
    </w:p>
    <w:p w14:paraId="1FEED958"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broader cultural change as a means of reducing instances of violence</w:t>
      </w:r>
    </w:p>
    <w:p w14:paraId="2914BEF7"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encouraging victims to report instances of violence</w:t>
      </w:r>
    </w:p>
    <w:p w14:paraId="1BEED3D6"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encouraging intervention and prevention in community responses to violence against women and their children.</w:t>
      </w:r>
      <w:r w:rsidRPr="009E2B03">
        <w:rPr>
          <w:rFonts w:ascii="Calibri Light" w:hAnsi="Calibri Light" w:cs="Arial"/>
          <w:sz w:val="22"/>
          <w:vertAlign w:val="superscript"/>
        </w:rPr>
        <w:footnoteReference w:id="134"/>
      </w:r>
      <w:r w:rsidRPr="009E2B03">
        <w:rPr>
          <w:rFonts w:ascii="Calibri Light" w:hAnsi="Calibri Light" w:cs="Arial"/>
          <w:sz w:val="22"/>
          <w:vertAlign w:val="superscript"/>
        </w:rPr>
        <w:t xml:space="preserve"> </w:t>
      </w:r>
    </w:p>
    <w:p w14:paraId="344184DF" w14:textId="77777777" w:rsidR="00B717ED" w:rsidRPr="009E2B03" w:rsidRDefault="00B717ED" w:rsidP="00B717ED">
      <w:pPr>
        <w:rPr>
          <w:rFonts w:ascii="Calibri Light" w:hAnsi="Calibri Light"/>
          <w:sz w:val="22"/>
        </w:rPr>
      </w:pPr>
      <w:r w:rsidRPr="009E2B03">
        <w:rPr>
          <w:rFonts w:ascii="Calibri Light" w:hAnsi="Calibri Light"/>
          <w:sz w:val="22"/>
        </w:rPr>
        <w:t>To tackle these challenges, as well as address community pressure for higher levels of government accountability and a focus on outcomes-driven and cost-effective approaches to delivering services, there is a need (amongst other actions) to develop a stronger evidence base that can be built over time. This will play a</w:t>
      </w:r>
      <w:r w:rsidR="00806D73" w:rsidRPr="009E2B03">
        <w:rPr>
          <w:rFonts w:ascii="Calibri Light" w:hAnsi="Calibri Light"/>
          <w:sz w:val="22"/>
        </w:rPr>
        <w:t xml:space="preserve">n important </w:t>
      </w:r>
      <w:r w:rsidRPr="009E2B03">
        <w:rPr>
          <w:rFonts w:ascii="Calibri Light" w:hAnsi="Calibri Light"/>
          <w:sz w:val="22"/>
        </w:rPr>
        <w:t xml:space="preserve">strategic role in guiding and informing policy and decision making across government. It will also provide a better understanding of the causes of violence, and provide assistance in developing the most appropriate responses and interventions to reduce violence in society. </w:t>
      </w:r>
    </w:p>
    <w:p w14:paraId="020C4510" w14:textId="77777777" w:rsidR="00AB3936" w:rsidRDefault="00B717ED" w:rsidP="00AB3936">
      <w:pPr>
        <w:pStyle w:val="BodyTextkeepwithnext0"/>
        <w:rPr>
          <w:rFonts w:ascii="Calibri Light" w:hAnsi="Calibri Light"/>
          <w:color w:val="6D2077"/>
          <w:sz w:val="36"/>
          <w:szCs w:val="32"/>
        </w:rPr>
      </w:pPr>
      <w:bookmarkStart w:id="106" w:name="_Toc445368593"/>
      <w:bookmarkStart w:id="107" w:name="_Toc445368594"/>
      <w:bookmarkStart w:id="108" w:name="_Toc445368595"/>
      <w:bookmarkStart w:id="109" w:name="_Toc445368596"/>
      <w:bookmarkStart w:id="110" w:name="_Toc445368597"/>
      <w:bookmarkStart w:id="111" w:name="_Toc445368598"/>
      <w:bookmarkStart w:id="112" w:name="_Toc445368599"/>
      <w:bookmarkStart w:id="113" w:name="_Toc445368600"/>
      <w:bookmarkStart w:id="114" w:name="_Toc445368601"/>
      <w:bookmarkStart w:id="115" w:name="_Toc445368602"/>
      <w:bookmarkStart w:id="116" w:name="_Toc445368603"/>
      <w:bookmarkStart w:id="117" w:name="_Toc445368604"/>
      <w:bookmarkStart w:id="118" w:name="_Toc447384512"/>
      <w:bookmarkStart w:id="119" w:name="_Toc447390100"/>
      <w:bookmarkEnd w:id="106"/>
      <w:bookmarkEnd w:id="107"/>
      <w:bookmarkEnd w:id="108"/>
      <w:bookmarkEnd w:id="109"/>
      <w:bookmarkEnd w:id="110"/>
      <w:bookmarkEnd w:id="111"/>
      <w:bookmarkEnd w:id="112"/>
      <w:bookmarkEnd w:id="113"/>
      <w:bookmarkEnd w:id="114"/>
      <w:bookmarkEnd w:id="115"/>
      <w:bookmarkEnd w:id="116"/>
      <w:bookmarkEnd w:id="117"/>
      <w:r w:rsidRPr="009E2B03">
        <w:rPr>
          <w:rFonts w:ascii="Calibri Light" w:hAnsi="Calibri Light"/>
          <w:color w:val="6D2077"/>
          <w:sz w:val="36"/>
          <w:szCs w:val="32"/>
        </w:rPr>
        <w:t>A.2 Trends in the experience of violence against women and their children in Australia</w:t>
      </w:r>
      <w:bookmarkEnd w:id="118"/>
      <w:bookmarkEnd w:id="119"/>
      <w:r w:rsidR="00AB3936">
        <w:rPr>
          <w:rFonts w:ascii="Calibri Light" w:hAnsi="Calibri Light"/>
          <w:color w:val="6D2077"/>
          <w:sz w:val="36"/>
          <w:szCs w:val="32"/>
        </w:rPr>
        <w:t xml:space="preserve"> </w:t>
      </w:r>
    </w:p>
    <w:p w14:paraId="385DF2DF" w14:textId="2BC23A40" w:rsidR="00B717ED" w:rsidRPr="00AB3936" w:rsidRDefault="00B717ED" w:rsidP="00AB3936">
      <w:pPr>
        <w:pStyle w:val="BodyTextkeepwithnext0"/>
        <w:rPr>
          <w:rFonts w:ascii="Calibri Light" w:hAnsi="Calibri Light"/>
          <w:color w:val="6D2077"/>
          <w:sz w:val="36"/>
          <w:szCs w:val="32"/>
        </w:rPr>
      </w:pPr>
      <w:r w:rsidRPr="009E2B03">
        <w:rPr>
          <w:rFonts w:ascii="Calibri Light" w:hAnsi="Calibri Light"/>
          <w:color w:val="6D2077"/>
          <w:sz w:val="24"/>
        </w:rPr>
        <w:t>A.2.1 Background</w:t>
      </w:r>
    </w:p>
    <w:p w14:paraId="073B2B68" w14:textId="77777777" w:rsidR="00B717ED" w:rsidRPr="009E2B03" w:rsidRDefault="00B717ED" w:rsidP="00B717ED">
      <w:pPr>
        <w:rPr>
          <w:rFonts w:ascii="Calibri Light" w:hAnsi="Calibri Light"/>
          <w:sz w:val="22"/>
        </w:rPr>
      </w:pPr>
      <w:r w:rsidRPr="009E2B03">
        <w:rPr>
          <w:rFonts w:ascii="Calibri Light" w:hAnsi="Calibri Light"/>
          <w:sz w:val="22"/>
        </w:rPr>
        <w:t>There is no single ‘source of truth’ to understand the nature and frequency of violence against women and their children in Australia. This is due to the scope and scale of the evidence base, and the nature of violence and its impacts. A significant number of women may not report their experience of violence to police or other authorities</w:t>
      </w:r>
      <w:r w:rsidR="00A07C31" w:rsidRPr="009E2B03">
        <w:rPr>
          <w:rFonts w:ascii="Calibri Light" w:hAnsi="Calibri Light"/>
          <w:sz w:val="22"/>
        </w:rPr>
        <w:t xml:space="preserve"> or</w:t>
      </w:r>
      <w:r w:rsidRPr="009E2B03">
        <w:rPr>
          <w:rFonts w:ascii="Calibri Light" w:hAnsi="Calibri Light"/>
          <w:sz w:val="22"/>
        </w:rPr>
        <w:t xml:space="preserve"> seek support. In addition, the understanding </w:t>
      </w:r>
      <w:r w:rsidRPr="009E2B03">
        <w:rPr>
          <w:rFonts w:ascii="Calibri Light" w:hAnsi="Calibri Light"/>
          <w:sz w:val="22"/>
        </w:rPr>
        <w:lastRenderedPageBreak/>
        <w:t xml:space="preserve">and definition of ‘violence’ – including its various forms and the different settings in which it can occur – have evolved with recent developments in policy and experiences within the community. </w:t>
      </w:r>
    </w:p>
    <w:p w14:paraId="03FCF8D2" w14:textId="77777777" w:rsidR="00B717ED" w:rsidRPr="009E2B03" w:rsidRDefault="00B717ED" w:rsidP="00B717ED">
      <w:pPr>
        <w:rPr>
          <w:rFonts w:ascii="Calibri Light" w:hAnsi="Calibri Light"/>
          <w:sz w:val="22"/>
        </w:rPr>
      </w:pPr>
      <w:r w:rsidRPr="009E2B03">
        <w:rPr>
          <w:rFonts w:ascii="Calibri Light" w:hAnsi="Calibri Light"/>
          <w:sz w:val="22"/>
        </w:rPr>
        <w:t xml:space="preserve">Given these factors, it is important to consider a range of different forms of evidence to understand current levels of prevalence and incidence of violence against women, and how they have changed over time. These include through large scale surveys, research publications, as well as primary data collection by relevant authorities and service providers. Together, this information enables critical insights into: </w:t>
      </w:r>
    </w:p>
    <w:p w14:paraId="1AE24112"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headline levels of prevalence and incidence of violence against women</w:t>
      </w:r>
    </w:p>
    <w:p w14:paraId="74E70C87"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the nature and extent of experiences of violence across different cohorts of women, and across different geographies.</w:t>
      </w:r>
    </w:p>
    <w:p w14:paraId="66975E3A" w14:textId="77777777" w:rsidR="00AB3936" w:rsidRDefault="00B717ED" w:rsidP="00AB3936">
      <w:pPr>
        <w:pStyle w:val="BodyBullet"/>
        <w:numPr>
          <w:ilvl w:val="0"/>
          <w:numId w:val="0"/>
        </w:numPr>
        <w:rPr>
          <w:rFonts w:ascii="Calibri Light" w:hAnsi="Calibri Light" w:cs="Arial"/>
          <w:sz w:val="22"/>
        </w:rPr>
      </w:pPr>
      <w:r w:rsidRPr="009E2B03">
        <w:rPr>
          <w:rFonts w:ascii="Calibri Light" w:hAnsi="Calibri Light" w:cs="Arial"/>
          <w:sz w:val="22"/>
        </w:rPr>
        <w:t xml:space="preserve">The following sub sections provide a snapshot of the available evidence base, and form part of the detailed methodology for cost estimation. </w:t>
      </w:r>
    </w:p>
    <w:p w14:paraId="198EA954" w14:textId="77777777" w:rsidR="00AB3936" w:rsidRDefault="00AB3936" w:rsidP="00AB3936">
      <w:pPr>
        <w:pStyle w:val="BodyBullet"/>
        <w:numPr>
          <w:ilvl w:val="0"/>
          <w:numId w:val="0"/>
        </w:numPr>
        <w:rPr>
          <w:rFonts w:ascii="Calibri Light" w:hAnsi="Calibri Light" w:cs="Arial"/>
          <w:sz w:val="22"/>
        </w:rPr>
      </w:pPr>
    </w:p>
    <w:p w14:paraId="355A6734" w14:textId="5806D7B9" w:rsidR="00B717ED" w:rsidRPr="00AB3936" w:rsidRDefault="00B717ED" w:rsidP="00AB3936">
      <w:pPr>
        <w:pStyle w:val="BodyBullet"/>
        <w:numPr>
          <w:ilvl w:val="0"/>
          <w:numId w:val="0"/>
        </w:numPr>
        <w:rPr>
          <w:rFonts w:ascii="Calibri Light" w:hAnsi="Calibri Light" w:cs="Arial"/>
          <w:sz w:val="22"/>
        </w:rPr>
      </w:pPr>
      <w:r w:rsidRPr="009E2B03">
        <w:rPr>
          <w:rFonts w:ascii="Calibri Light" w:hAnsi="Calibri Light"/>
          <w:color w:val="6D2077"/>
          <w:sz w:val="24"/>
        </w:rPr>
        <w:t>A.2.2 Overarching experience of prevalence and</w:t>
      </w:r>
      <w:r w:rsidRPr="009E2B03">
        <w:rPr>
          <w:rFonts w:ascii="Calibri Light" w:hAnsi="Calibri Light"/>
          <w:sz w:val="24"/>
        </w:rPr>
        <w:t xml:space="preserve"> </w:t>
      </w:r>
      <w:r w:rsidRPr="009E2B03">
        <w:rPr>
          <w:rFonts w:ascii="Calibri Light" w:hAnsi="Calibri Light"/>
          <w:color w:val="6D2077"/>
          <w:sz w:val="24"/>
        </w:rPr>
        <w:t>incidence</w:t>
      </w:r>
    </w:p>
    <w:p w14:paraId="6836144C" w14:textId="77777777" w:rsidR="00B717ED" w:rsidRPr="009E2B03" w:rsidRDefault="00B717ED" w:rsidP="00B717ED">
      <w:pPr>
        <w:pStyle w:val="BodyText"/>
        <w:rPr>
          <w:rFonts w:ascii="Calibri Light" w:hAnsi="Calibri Light"/>
          <w:sz w:val="22"/>
        </w:rPr>
      </w:pPr>
      <w:r w:rsidRPr="009E2B03">
        <w:rPr>
          <w:rFonts w:ascii="Calibri Light" w:hAnsi="Calibri Light"/>
          <w:sz w:val="22"/>
        </w:rPr>
        <w:t>To develop a stronger understanding of the nature and extent of violence against women and children across Australia, we need access to an evidence base incorporating:</w:t>
      </w:r>
    </w:p>
    <w:p w14:paraId="7DB5A2B7"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incidence and prevalence and how they change over time</w:t>
      </w:r>
    </w:p>
    <w:p w14:paraId="3C303107"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key socioeconomic drivers.</w:t>
      </w:r>
    </w:p>
    <w:p w14:paraId="1FD5BEC6"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The data and information to understand prevalence and incidence is itself emerging, with the </w:t>
      </w:r>
      <w:r w:rsidR="00A07C31" w:rsidRPr="009E2B03">
        <w:rPr>
          <w:rFonts w:ascii="Calibri Light" w:hAnsi="Calibri Light"/>
          <w:sz w:val="22"/>
        </w:rPr>
        <w:t xml:space="preserve">1996 </w:t>
      </w:r>
      <w:r w:rsidRPr="009E2B03">
        <w:rPr>
          <w:rFonts w:ascii="Calibri Light" w:hAnsi="Calibri Light"/>
          <w:sz w:val="22"/>
        </w:rPr>
        <w:t xml:space="preserve">ABS </w:t>
      </w:r>
      <w:r w:rsidRPr="009E2B03">
        <w:rPr>
          <w:rFonts w:ascii="Calibri Light" w:hAnsi="Calibri Light"/>
          <w:i/>
          <w:sz w:val="22"/>
        </w:rPr>
        <w:t>Women’s Safety Survey</w:t>
      </w:r>
      <w:r w:rsidRPr="009E2B03">
        <w:rPr>
          <w:rFonts w:ascii="Calibri Light" w:hAnsi="Calibri Light"/>
          <w:sz w:val="22"/>
        </w:rPr>
        <w:t xml:space="preserve"> (WSS) providing the first estimates of prevalence of violence against women in Australia.</w:t>
      </w:r>
    </w:p>
    <w:p w14:paraId="6604749D" w14:textId="77777777" w:rsidR="00B717ED" w:rsidRPr="009E2B03" w:rsidRDefault="00B717ED" w:rsidP="00B717ED">
      <w:pPr>
        <w:pStyle w:val="Caption"/>
        <w:rPr>
          <w:rFonts w:ascii="Calibri Light" w:hAnsi="Calibri Light" w:cs="Arial"/>
          <w:sz w:val="22"/>
        </w:rPr>
      </w:pPr>
      <w:r w:rsidRPr="009E2B03">
        <w:rPr>
          <w:rFonts w:ascii="Calibri Light" w:hAnsi="Calibri Light" w:cs="Arial"/>
          <w:sz w:val="22"/>
        </w:rPr>
        <w:lastRenderedPageBreak/>
        <w:t xml:space="preserve">Box </w:t>
      </w:r>
      <w:r w:rsidR="00E677E0" w:rsidRPr="009E2B03">
        <w:rPr>
          <w:rFonts w:ascii="Calibri Light" w:hAnsi="Calibri Light" w:cs="Arial"/>
          <w:sz w:val="22"/>
        </w:rPr>
        <w:t>A</w:t>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0</w:t>
      </w:r>
      <w:r w:rsidR="00CF0F96" w:rsidRPr="009E2B03">
        <w:rPr>
          <w:rFonts w:ascii="Calibri Light" w:hAnsi="Calibri Light" w:cs="Arial"/>
          <w:noProof/>
          <w:sz w:val="22"/>
        </w:rPr>
        <w:fldChar w:fldCharType="end"/>
      </w:r>
      <w:r w:rsidR="008D2E70"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Box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r w:rsidRPr="009E2B03">
        <w:rPr>
          <w:rFonts w:ascii="Calibri Light" w:hAnsi="Calibri Light" w:cs="Arial"/>
          <w:sz w:val="22"/>
        </w:rPr>
        <w:t>: Key developments in prevalence and incidence data</w:t>
      </w:r>
    </w:p>
    <w:tbl>
      <w:tblPr>
        <w:tblStyle w:val="TableGrid"/>
        <w:tblW w:w="0" w:type="auto"/>
        <w:tblLook w:val="04A0" w:firstRow="1" w:lastRow="0" w:firstColumn="1" w:lastColumn="0" w:noHBand="0" w:noVBand="1"/>
        <w:tblCaption w:val="Box of information on key developments in prevalence and incidence data"/>
      </w:tblPr>
      <w:tblGrid>
        <w:gridCol w:w="9016"/>
      </w:tblGrid>
      <w:tr w:rsidR="00B717ED" w:rsidRPr="009E2B03" w14:paraId="773083C9" w14:textId="77777777" w:rsidTr="00865FDB">
        <w:trPr>
          <w:tblHeader/>
        </w:trPr>
        <w:tc>
          <w:tcPr>
            <w:tcW w:w="9016" w:type="dxa"/>
            <w:shd w:val="clear" w:color="auto" w:fill="F3F0F4"/>
          </w:tcPr>
          <w:p w14:paraId="53FA9E33" w14:textId="77777777" w:rsidR="00B717ED" w:rsidRPr="009E2B03" w:rsidRDefault="00B717ED" w:rsidP="00ED6C12">
            <w:pPr>
              <w:rPr>
                <w:rFonts w:ascii="Calibri Light" w:hAnsi="Calibri Light"/>
                <w:sz w:val="22"/>
              </w:rPr>
            </w:pPr>
            <w:r w:rsidRPr="009E2B03">
              <w:rPr>
                <w:rFonts w:ascii="Calibri Light" w:hAnsi="Calibri Light"/>
                <w:sz w:val="22"/>
              </w:rPr>
              <w:t xml:space="preserve">Prior to the release of the ABS </w:t>
            </w:r>
            <w:r w:rsidR="0036451C" w:rsidRPr="009E2B03">
              <w:rPr>
                <w:rFonts w:ascii="Calibri Light" w:hAnsi="Calibri Light"/>
                <w:sz w:val="22"/>
              </w:rPr>
              <w:t>WSS</w:t>
            </w:r>
            <w:r w:rsidRPr="009E2B03">
              <w:rPr>
                <w:rFonts w:ascii="Calibri Light" w:hAnsi="Calibri Light"/>
                <w:sz w:val="22"/>
              </w:rPr>
              <w:t xml:space="preserve"> in 1996, there was no established methodology for estimating the prevalence of violence against women in Australia. The original WSS included the following.</w:t>
            </w:r>
          </w:p>
          <w:p w14:paraId="5093EB56" w14:textId="77777777" w:rsidR="00B717ED" w:rsidRPr="009E2B03" w:rsidRDefault="00B717ED" w:rsidP="009B29C7">
            <w:pPr>
              <w:pStyle w:val="BodyBullet"/>
              <w:numPr>
                <w:ilvl w:val="0"/>
                <w:numId w:val="0"/>
              </w:numPr>
              <w:rPr>
                <w:rFonts w:ascii="Calibri Light" w:hAnsi="Calibri Light" w:cs="Arial"/>
                <w:sz w:val="22"/>
              </w:rPr>
            </w:pPr>
            <w:r w:rsidRPr="009E2B03">
              <w:rPr>
                <w:rFonts w:ascii="Calibri Light" w:hAnsi="Calibri Light" w:cs="Arial"/>
                <w:b/>
                <w:color w:val="6D2077"/>
                <w:sz w:val="22"/>
              </w:rPr>
              <w:t>Women’s experiences of physical and sexual violence</w:t>
            </w:r>
            <w:r w:rsidRPr="009E2B03">
              <w:rPr>
                <w:rFonts w:ascii="Calibri Light" w:hAnsi="Calibri Light" w:cs="Arial"/>
                <w:sz w:val="22"/>
              </w:rPr>
              <w:t xml:space="preserve">: in the 12 month period prior to the survey, 7.1 per cent of women aged 18 and over reported an experience of physical violence, and 1.9 per cent had experienced sexual violence by a male perpetrator. It was estimated that 1.1 million women experienced violence by a previous partner. Of those who reported violence in a previous relationship, 74 per cent said that the violence occurred more than once. </w:t>
            </w:r>
          </w:p>
          <w:p w14:paraId="55B80FCB" w14:textId="77777777" w:rsidR="00B717ED" w:rsidRPr="009E2B03" w:rsidRDefault="00B717ED" w:rsidP="009B29C7">
            <w:pPr>
              <w:pStyle w:val="BodyBullet"/>
              <w:numPr>
                <w:ilvl w:val="0"/>
                <w:numId w:val="0"/>
              </w:numPr>
              <w:rPr>
                <w:rFonts w:ascii="Calibri Light" w:hAnsi="Calibri Light" w:cs="Arial"/>
                <w:sz w:val="22"/>
              </w:rPr>
            </w:pPr>
            <w:r w:rsidRPr="009E2B03">
              <w:rPr>
                <w:rFonts w:ascii="Calibri Light" w:hAnsi="Calibri Light" w:cs="Arial"/>
                <w:b/>
                <w:color w:val="6D2077"/>
                <w:sz w:val="22"/>
              </w:rPr>
              <w:t xml:space="preserve">The nature of the violence: </w:t>
            </w:r>
            <w:r w:rsidRPr="009E2B03">
              <w:rPr>
                <w:rFonts w:ascii="Calibri Light" w:hAnsi="Calibri Light" w:cs="Arial"/>
                <w:sz w:val="22"/>
              </w:rPr>
              <w:t xml:space="preserve">incidents of violence against women were most prevalent in the 18-24 age range, where 19 per cent of women had experienced violence in the last 12 months. Of women who were physically assaulted by a man in the 12 month period, 48 per cent sustained physical injuries in the last incident, most commonly cuts, bruises or scratches. These incidents were predominantly </w:t>
            </w:r>
            <w:r w:rsidR="00A07C31" w:rsidRPr="009E2B03">
              <w:rPr>
                <w:rFonts w:ascii="Calibri Light" w:hAnsi="Calibri Light" w:cs="Arial"/>
                <w:sz w:val="22"/>
              </w:rPr>
              <w:t>perpetrated by</w:t>
            </w:r>
            <w:r w:rsidRPr="009E2B03">
              <w:rPr>
                <w:rFonts w:ascii="Calibri Light" w:hAnsi="Calibri Light" w:cs="Arial"/>
                <w:sz w:val="22"/>
              </w:rPr>
              <w:t xml:space="preserve"> current or previous partner, rather than a stranger or another known man.</w:t>
            </w:r>
          </w:p>
          <w:p w14:paraId="1142B883" w14:textId="77777777" w:rsidR="00B717ED" w:rsidRPr="009E2B03" w:rsidRDefault="00B717ED" w:rsidP="009B29C7">
            <w:pPr>
              <w:pStyle w:val="BodyBullet"/>
              <w:numPr>
                <w:ilvl w:val="0"/>
                <w:numId w:val="0"/>
              </w:numPr>
              <w:rPr>
                <w:rFonts w:ascii="Calibri Light" w:hAnsi="Calibri Light" w:cs="Arial"/>
                <w:sz w:val="22"/>
              </w:rPr>
            </w:pPr>
            <w:r w:rsidRPr="009E2B03">
              <w:rPr>
                <w:rFonts w:ascii="Calibri Light" w:hAnsi="Calibri Light" w:cs="Arial"/>
                <w:b/>
                <w:color w:val="6D2077"/>
                <w:sz w:val="22"/>
              </w:rPr>
              <w:t>The actions women took after experiencing violence (or the level of reported and non-reported violence):</w:t>
            </w:r>
            <w:r w:rsidRPr="009E2B03">
              <w:rPr>
                <w:rFonts w:ascii="Calibri Light" w:hAnsi="Calibri Light" w:cs="Arial"/>
                <w:sz w:val="22"/>
              </w:rPr>
              <w:t xml:space="preserve"> 20 per cent of women who had ever experienced physical assault and 10 per cent of women who were sexually assaulted had reported the last incident to the police. Just over half of women who were physically or sexually assaulted discussed the experience with friends or neighbours. Of these, 53 per cent of physical violence victims and 32 per cent of sexual violence victims spoke to a family member whilst 4.5 per cent of physical assault victims, and 8.1 per cent of sexual assault victims contacted a crisis service organisation. </w:t>
            </w:r>
          </w:p>
          <w:p w14:paraId="47AD444B" w14:textId="77777777" w:rsidR="00B717ED" w:rsidRPr="009E2B03" w:rsidRDefault="00B717ED" w:rsidP="009B29C7">
            <w:pPr>
              <w:pStyle w:val="BodyBullet"/>
              <w:numPr>
                <w:ilvl w:val="0"/>
                <w:numId w:val="0"/>
              </w:numPr>
              <w:rPr>
                <w:rFonts w:ascii="Calibri Light" w:hAnsi="Calibri Light" w:cs="Arial"/>
                <w:sz w:val="22"/>
              </w:rPr>
            </w:pPr>
            <w:r w:rsidRPr="009E2B03">
              <w:rPr>
                <w:rFonts w:ascii="Calibri Light" w:hAnsi="Calibri Light" w:cs="Arial"/>
                <w:b/>
                <w:color w:val="6D2077"/>
                <w:sz w:val="22"/>
              </w:rPr>
              <w:t>The lifelong effects of violence:</w:t>
            </w:r>
            <w:r w:rsidRPr="009E2B03">
              <w:rPr>
                <w:rFonts w:ascii="Calibri Light" w:hAnsi="Calibri Light" w:cs="Arial"/>
                <w:sz w:val="22"/>
              </w:rPr>
              <w:t xml:space="preserve"> 60 per cent of women who had experienced violence in a previous relationship with a male partner said they lived in fear while in the relationship. The increasing incidence of violence in the relationship also increased the likelihood of women living in fear. Of women surveyed who were employed in the 12 months after the incident occurred, 18 per cent had taken time off as a consequence of the assault, and 12 per cent had taken time off due to sexual assault. 55 per cent of sexual assault victims were injured as a result of the assault. </w:t>
            </w:r>
          </w:p>
          <w:p w14:paraId="5D21CEC1" w14:textId="77777777" w:rsidR="00B717ED" w:rsidRPr="009E2B03" w:rsidRDefault="00B717ED" w:rsidP="00ED6C12">
            <w:pPr>
              <w:pStyle w:val="BodyText"/>
              <w:rPr>
                <w:rFonts w:ascii="Calibri Light" w:hAnsi="Calibri Light"/>
                <w:sz w:val="22"/>
                <w:szCs w:val="22"/>
              </w:rPr>
            </w:pPr>
            <w:r w:rsidRPr="009E2B03">
              <w:rPr>
                <w:rFonts w:ascii="Calibri Light" w:hAnsi="Calibri Light"/>
                <w:sz w:val="22"/>
                <w:szCs w:val="22"/>
              </w:rPr>
              <w:t xml:space="preserve">Since publication of the original WSS in 1996, the ABS has released an expanded </w:t>
            </w:r>
            <w:r w:rsidR="0036451C" w:rsidRPr="009E2B03">
              <w:rPr>
                <w:rFonts w:ascii="Calibri Light" w:hAnsi="Calibri Light"/>
                <w:sz w:val="22"/>
                <w:szCs w:val="22"/>
              </w:rPr>
              <w:t>PSS</w:t>
            </w:r>
            <w:r w:rsidRPr="009E2B03">
              <w:rPr>
                <w:rFonts w:ascii="Calibri Light" w:hAnsi="Calibri Light"/>
                <w:sz w:val="22"/>
                <w:szCs w:val="22"/>
              </w:rPr>
              <w:t>, both in 2005 and 2012. The PSS provides a broader and more expansive dataset around the experience of violence for men and women, as well as the characteristics of people experiencing violence, and greater information around the perpetrators of violence. It is noted that the ABS is currently finalising the 2015 PSS, and this is scheduled for publication in late 2016.</w:t>
            </w:r>
          </w:p>
          <w:p w14:paraId="7505B653" w14:textId="77777777" w:rsidR="00B717ED" w:rsidRPr="009E2B03" w:rsidRDefault="00B717ED">
            <w:pPr>
              <w:pStyle w:val="BodyText"/>
              <w:rPr>
                <w:rFonts w:ascii="Calibri Light" w:hAnsi="Calibri Light"/>
                <w:sz w:val="22"/>
              </w:rPr>
            </w:pPr>
            <w:r w:rsidRPr="009E2B03">
              <w:rPr>
                <w:rFonts w:ascii="Calibri Light" w:hAnsi="Calibri Light"/>
                <w:sz w:val="22"/>
              </w:rPr>
              <w:t xml:space="preserve">Importantly, over the period since the publication of the original WSS, the definition and understanding of ‘violence’ and its different forms has evolved, with changes in the inclusion and definition of threats of violence, emotional violence, stalking, and economic abuse. These developments have broadened the understanding and the acknowledgement of violence and its different forms, however, they </w:t>
            </w:r>
            <w:r w:rsidR="00A07C31" w:rsidRPr="009E2B03">
              <w:rPr>
                <w:rFonts w:ascii="Calibri Light" w:hAnsi="Calibri Light"/>
                <w:sz w:val="22"/>
              </w:rPr>
              <w:t xml:space="preserve">also </w:t>
            </w:r>
            <w:r w:rsidRPr="009E2B03">
              <w:rPr>
                <w:rFonts w:ascii="Calibri Light" w:hAnsi="Calibri Light"/>
                <w:sz w:val="22"/>
              </w:rPr>
              <w:t>create challenges for comparing and contrasting the trends and experience</w:t>
            </w:r>
            <w:r w:rsidR="00A07C31" w:rsidRPr="009E2B03">
              <w:rPr>
                <w:rFonts w:ascii="Calibri Light" w:hAnsi="Calibri Light"/>
                <w:sz w:val="22"/>
              </w:rPr>
              <w:t>s</w:t>
            </w:r>
            <w:r w:rsidRPr="009E2B03">
              <w:rPr>
                <w:rFonts w:ascii="Calibri Light" w:hAnsi="Calibri Light"/>
                <w:sz w:val="22"/>
              </w:rPr>
              <w:t xml:space="preserve"> of violence over time, particularly in relation to different cohorts and geographies.</w:t>
            </w:r>
          </w:p>
        </w:tc>
      </w:tr>
    </w:tbl>
    <w:p w14:paraId="1B3CBD1E"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The PSS provides broad estimates of prevalence for domestic violence, and is a valuable starting point for understanding the scope and scale of violence. These estimates relate to violence, threats of violence, emotional abuse, and stalking in the 12 months prior to the survey, as well as the experiences of: </w:t>
      </w:r>
    </w:p>
    <w:p w14:paraId="042FEE8F"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current and previous partner violence</w:t>
      </w:r>
    </w:p>
    <w:p w14:paraId="3DDFA271"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lifetime experience of stalking</w:t>
      </w:r>
    </w:p>
    <w:p w14:paraId="47678F42"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physical and sexual abuse after the age of 15</w:t>
      </w:r>
    </w:p>
    <w:p w14:paraId="6AEFB862"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 xml:space="preserve">general feelings of safety. </w:t>
      </w:r>
    </w:p>
    <w:p w14:paraId="0981668A" w14:textId="77777777" w:rsidR="00B717ED" w:rsidRPr="009E2B03" w:rsidRDefault="00B717ED" w:rsidP="00B717ED">
      <w:pPr>
        <w:pStyle w:val="BodyBullet"/>
        <w:numPr>
          <w:ilvl w:val="0"/>
          <w:numId w:val="0"/>
        </w:numPr>
        <w:rPr>
          <w:rFonts w:ascii="Calibri Light" w:hAnsi="Calibri Light" w:cs="Arial"/>
          <w:sz w:val="22"/>
        </w:rPr>
      </w:pPr>
      <w:r w:rsidRPr="009E2B03">
        <w:rPr>
          <w:rFonts w:ascii="Calibri Light" w:hAnsi="Calibri Light" w:cs="Arial"/>
          <w:sz w:val="22"/>
        </w:rPr>
        <w:lastRenderedPageBreak/>
        <w:t xml:space="preserve">The historical trends for domestic violence against women and their children in Australia show varying results. </w:t>
      </w:r>
      <w:r w:rsidRPr="009E2B03">
        <w:rPr>
          <w:rFonts w:ascii="Calibri Light" w:hAnsi="Calibri Light" w:cs="Arial"/>
          <w:sz w:val="22"/>
        </w:rPr>
        <w:fldChar w:fldCharType="begin"/>
      </w:r>
      <w:r w:rsidRPr="009E2B03">
        <w:rPr>
          <w:rFonts w:ascii="Calibri Light" w:hAnsi="Calibri Light" w:cs="Arial"/>
          <w:sz w:val="22"/>
        </w:rPr>
        <w:instrText xml:space="preserve"> REF _Ref447116960 \h </w:instrText>
      </w:r>
      <w:r w:rsidR="009B0258" w:rsidRPr="009E2B03">
        <w:rPr>
          <w:rFonts w:ascii="Calibri Light" w:hAnsi="Calibri Light" w:cs="Arial"/>
          <w:sz w:val="22"/>
        </w:rPr>
        <w:instrText xml:space="preserve"> \* MERGEFORMAT </w:instrText>
      </w:r>
      <w:r w:rsidRPr="009E2B03">
        <w:rPr>
          <w:rFonts w:ascii="Calibri Light" w:hAnsi="Calibri Light" w:cs="Arial"/>
          <w:sz w:val="22"/>
        </w:rPr>
      </w:r>
      <w:r w:rsidRPr="009E2B03">
        <w:rPr>
          <w:rFonts w:ascii="Calibri Light" w:hAnsi="Calibri Light" w:cs="Arial"/>
          <w:sz w:val="22"/>
        </w:rPr>
        <w:fldChar w:fldCharType="separate"/>
      </w:r>
      <w:r w:rsidR="00417237" w:rsidRPr="009E2B03">
        <w:rPr>
          <w:rFonts w:ascii="Calibri Light" w:hAnsi="Calibri Light" w:cs="Arial"/>
          <w:sz w:val="22"/>
        </w:rPr>
        <w:t>Table A</w:t>
      </w:r>
      <w:r w:rsidR="00417237" w:rsidRPr="009E2B03">
        <w:rPr>
          <w:rFonts w:ascii="Calibri Light" w:hAnsi="Calibri Light" w:cs="Arial"/>
          <w:sz w:val="22"/>
        </w:rPr>
        <w:noBreakHyphen/>
      </w:r>
      <w:r w:rsidR="00417237">
        <w:rPr>
          <w:rFonts w:ascii="Calibri Light" w:hAnsi="Calibri Light" w:cs="Arial"/>
          <w:sz w:val="22"/>
        </w:rPr>
        <w:t>0</w:t>
      </w:r>
      <w:r w:rsidR="00417237" w:rsidRPr="009E2B03">
        <w:rPr>
          <w:rFonts w:ascii="Calibri Light" w:hAnsi="Calibri Light" w:cs="Arial"/>
          <w:sz w:val="22"/>
        </w:rPr>
        <w:noBreakHyphen/>
      </w:r>
      <w:r w:rsidR="00417237">
        <w:rPr>
          <w:rFonts w:ascii="Calibri Light" w:hAnsi="Calibri Light" w:cs="Arial"/>
          <w:sz w:val="22"/>
        </w:rPr>
        <w:t>1</w:t>
      </w:r>
      <w:r w:rsidRPr="009E2B03">
        <w:rPr>
          <w:rFonts w:ascii="Calibri Light" w:hAnsi="Calibri Light" w:cs="Arial"/>
          <w:sz w:val="22"/>
        </w:rPr>
        <w:fldChar w:fldCharType="end"/>
      </w:r>
      <w:r w:rsidRPr="009E2B03">
        <w:rPr>
          <w:rFonts w:ascii="Calibri Light" w:hAnsi="Calibri Light" w:cs="Arial"/>
          <w:sz w:val="22"/>
        </w:rPr>
        <w:t xml:space="preserve"> below summarises the recent PSS estimates, which suggest that there has been a decrease in the prevalence of violence experienced by women between 1996 and 2012 (from 7.1 per cent to 5.3 per cent). </w:t>
      </w:r>
    </w:p>
    <w:p w14:paraId="44477501" w14:textId="77777777" w:rsidR="00B717ED" w:rsidRPr="009E2B03" w:rsidRDefault="00B717ED" w:rsidP="00B717ED">
      <w:pPr>
        <w:pStyle w:val="Caption"/>
        <w:rPr>
          <w:rFonts w:ascii="Calibri Light" w:hAnsi="Calibri Light" w:cs="Arial"/>
          <w:sz w:val="22"/>
        </w:rPr>
      </w:pPr>
      <w:bookmarkStart w:id="120" w:name="_Ref447116960"/>
      <w:bookmarkStart w:id="121" w:name="_Ref445371851"/>
      <w:r w:rsidRPr="009E2B03">
        <w:rPr>
          <w:rFonts w:ascii="Calibri Light" w:hAnsi="Calibri Light" w:cs="Arial"/>
          <w:sz w:val="22"/>
        </w:rPr>
        <w:t xml:space="preserve">Table </w:t>
      </w:r>
      <w:r w:rsidR="00E677E0" w:rsidRPr="009E2B03">
        <w:rPr>
          <w:rFonts w:ascii="Calibri Light" w:hAnsi="Calibri Light" w:cs="Arial"/>
          <w:sz w:val="22"/>
        </w:rPr>
        <w:t>A</w:t>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0</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120"/>
      <w:bookmarkEnd w:id="121"/>
      <w:r w:rsidRPr="009E2B03">
        <w:rPr>
          <w:rFonts w:ascii="Calibri Light" w:hAnsi="Calibri Light" w:cs="Arial"/>
          <w:noProof/>
          <w:sz w:val="22"/>
        </w:rPr>
        <w:t>:</w:t>
      </w:r>
      <w:r w:rsidRPr="009E2B03">
        <w:rPr>
          <w:rFonts w:ascii="Calibri Light" w:hAnsi="Calibri Light" w:cs="Arial"/>
          <w:sz w:val="22"/>
        </w:rPr>
        <w:t xml:space="preserve"> Estimates of the prevalence of physical and sexual assault and threats (1996, 2005, and 2012)</w:t>
      </w:r>
    </w:p>
    <w:tbl>
      <w:tblPr>
        <w:tblStyle w:val="KPMGtable1"/>
        <w:tblW w:w="8965" w:type="dxa"/>
        <w:tblLayout w:type="fixed"/>
        <w:tblLook w:val="04A0" w:firstRow="1" w:lastRow="0" w:firstColumn="1" w:lastColumn="0" w:noHBand="0" w:noVBand="1"/>
        <w:tblCaption w:val="Table of information on estimates of the prevalence of physical and sexual assault and threats (1996, 2005, and 2012)"/>
      </w:tblPr>
      <w:tblGrid>
        <w:gridCol w:w="1513"/>
        <w:gridCol w:w="1207"/>
        <w:gridCol w:w="1269"/>
        <w:gridCol w:w="1256"/>
        <w:gridCol w:w="1305"/>
        <w:gridCol w:w="1105"/>
        <w:gridCol w:w="1310"/>
      </w:tblGrid>
      <w:tr w:rsidR="00941A03" w:rsidRPr="00941A03" w14:paraId="30BB81A3" w14:textId="77777777" w:rsidTr="00E43146">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513" w:type="dxa"/>
            <w:shd w:val="clear" w:color="auto" w:fill="002060"/>
          </w:tcPr>
          <w:p w14:paraId="3A3F1574" w14:textId="77777777" w:rsidR="00941A03" w:rsidRPr="00941A03" w:rsidRDefault="00941A03" w:rsidP="00ED6C12">
            <w:pPr>
              <w:spacing w:before="40" w:after="40"/>
              <w:rPr>
                <w:rFonts w:ascii="Calibri Light" w:eastAsiaTheme="majorEastAsia" w:hAnsi="Calibri Light"/>
                <w:szCs w:val="18"/>
              </w:rPr>
            </w:pPr>
          </w:p>
        </w:tc>
        <w:tc>
          <w:tcPr>
            <w:tcW w:w="1207" w:type="dxa"/>
            <w:shd w:val="clear" w:color="auto" w:fill="002060"/>
            <w:vAlign w:val="center"/>
          </w:tcPr>
          <w:p w14:paraId="2126D796" w14:textId="24692089" w:rsidR="00941A03" w:rsidRPr="00941A03" w:rsidRDefault="00941A03" w:rsidP="00ED6C1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b/>
                <w:szCs w:val="18"/>
              </w:rPr>
            </w:pPr>
            <w:r w:rsidRPr="00941A03">
              <w:rPr>
                <w:rFonts w:ascii="Calibri Light" w:eastAsiaTheme="majorEastAsia" w:hAnsi="Calibri Light"/>
                <w:b/>
                <w:szCs w:val="18"/>
              </w:rPr>
              <w:t>1996</w:t>
            </w:r>
          </w:p>
        </w:tc>
        <w:tc>
          <w:tcPr>
            <w:tcW w:w="1269" w:type="dxa"/>
            <w:shd w:val="clear" w:color="auto" w:fill="002060"/>
            <w:vAlign w:val="center"/>
          </w:tcPr>
          <w:p w14:paraId="6A29642A" w14:textId="77777777" w:rsidR="00941A03" w:rsidRPr="00941A03" w:rsidRDefault="00941A03" w:rsidP="00ED6C1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b/>
                <w:szCs w:val="18"/>
              </w:rPr>
            </w:pPr>
          </w:p>
        </w:tc>
        <w:tc>
          <w:tcPr>
            <w:tcW w:w="1256" w:type="dxa"/>
            <w:shd w:val="clear" w:color="auto" w:fill="002060"/>
            <w:vAlign w:val="center"/>
          </w:tcPr>
          <w:p w14:paraId="50F494D2" w14:textId="7011E4D5" w:rsidR="00941A03" w:rsidRPr="00941A03" w:rsidRDefault="00941A03" w:rsidP="00ED6C1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b/>
                <w:szCs w:val="18"/>
              </w:rPr>
            </w:pPr>
            <w:r w:rsidRPr="00941A03">
              <w:rPr>
                <w:rFonts w:ascii="Calibri Light" w:eastAsiaTheme="majorEastAsia" w:hAnsi="Calibri Light"/>
                <w:b/>
                <w:szCs w:val="18"/>
              </w:rPr>
              <w:t>2005</w:t>
            </w:r>
          </w:p>
        </w:tc>
        <w:tc>
          <w:tcPr>
            <w:tcW w:w="1305" w:type="dxa"/>
            <w:shd w:val="clear" w:color="auto" w:fill="002060"/>
            <w:vAlign w:val="center"/>
          </w:tcPr>
          <w:p w14:paraId="51FE15E7" w14:textId="77777777" w:rsidR="00941A03" w:rsidRPr="00941A03" w:rsidRDefault="00941A03" w:rsidP="00ED6C1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b/>
                <w:szCs w:val="18"/>
              </w:rPr>
            </w:pPr>
          </w:p>
        </w:tc>
        <w:tc>
          <w:tcPr>
            <w:tcW w:w="1105" w:type="dxa"/>
            <w:shd w:val="clear" w:color="auto" w:fill="002060"/>
            <w:vAlign w:val="center"/>
          </w:tcPr>
          <w:p w14:paraId="1B9B220D" w14:textId="7984C100" w:rsidR="00941A03" w:rsidRPr="00941A03" w:rsidRDefault="00941A03" w:rsidP="00ED6C1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b/>
                <w:szCs w:val="18"/>
              </w:rPr>
            </w:pPr>
            <w:r w:rsidRPr="00941A03">
              <w:rPr>
                <w:rFonts w:ascii="Calibri Light" w:eastAsiaTheme="majorEastAsia" w:hAnsi="Calibri Light"/>
                <w:b/>
                <w:szCs w:val="18"/>
              </w:rPr>
              <w:t>2012</w:t>
            </w:r>
          </w:p>
        </w:tc>
        <w:tc>
          <w:tcPr>
            <w:tcW w:w="1310" w:type="dxa"/>
            <w:shd w:val="clear" w:color="auto" w:fill="002060"/>
            <w:vAlign w:val="center"/>
          </w:tcPr>
          <w:p w14:paraId="29760C1D" w14:textId="77777777" w:rsidR="00941A03" w:rsidRPr="00941A03" w:rsidRDefault="00941A03" w:rsidP="00ED6C12">
            <w:pPr>
              <w:spacing w:before="40" w:after="40"/>
              <w:jc w:val="right"/>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b/>
                <w:szCs w:val="18"/>
              </w:rPr>
            </w:pPr>
          </w:p>
        </w:tc>
      </w:tr>
      <w:tr w:rsidR="00941A03" w:rsidRPr="00941A03" w14:paraId="76FEB5E2" w14:textId="77777777" w:rsidTr="00E43146">
        <w:trPr>
          <w:trHeight w:val="293"/>
        </w:trPr>
        <w:tc>
          <w:tcPr>
            <w:cnfStyle w:val="001000000000" w:firstRow="0" w:lastRow="0" w:firstColumn="1" w:lastColumn="0" w:oddVBand="0" w:evenVBand="0" w:oddHBand="0" w:evenHBand="0" w:firstRowFirstColumn="0" w:firstRowLastColumn="0" w:lastRowFirstColumn="0" w:lastRowLastColumn="0"/>
            <w:tcW w:w="1513" w:type="dxa"/>
            <w:shd w:val="clear" w:color="auto" w:fill="002060"/>
          </w:tcPr>
          <w:p w14:paraId="7E0B929A" w14:textId="74ED2657" w:rsidR="00941A03" w:rsidRPr="00941A03" w:rsidRDefault="00941A03" w:rsidP="00ED6C12">
            <w:pPr>
              <w:spacing w:before="40" w:after="40"/>
              <w:rPr>
                <w:rFonts w:ascii="Calibri Light" w:eastAsiaTheme="majorEastAsia" w:hAnsi="Calibri Light"/>
                <w:color w:val="FFFFFF" w:themeColor="background1"/>
                <w:szCs w:val="18"/>
              </w:rPr>
            </w:pPr>
            <w:r w:rsidRPr="00941A03">
              <w:rPr>
                <w:rFonts w:ascii="Calibri Light" w:eastAsiaTheme="majorEastAsia" w:hAnsi="Calibri Light"/>
                <w:color w:val="FFFFFF" w:themeColor="background1"/>
                <w:szCs w:val="18"/>
              </w:rPr>
              <w:t>Type of Violence</w:t>
            </w:r>
          </w:p>
        </w:tc>
        <w:tc>
          <w:tcPr>
            <w:tcW w:w="1207" w:type="dxa"/>
            <w:shd w:val="clear" w:color="auto" w:fill="002060"/>
            <w:vAlign w:val="center"/>
          </w:tcPr>
          <w:p w14:paraId="1D042A4A" w14:textId="235E08B9" w:rsidR="00941A03" w:rsidRPr="00941A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olor w:val="FFFFFF" w:themeColor="background1"/>
                <w:szCs w:val="18"/>
              </w:rPr>
            </w:pPr>
            <w:r w:rsidRPr="00941A03">
              <w:rPr>
                <w:rFonts w:ascii="Calibri Light" w:eastAsiaTheme="majorEastAsia" w:hAnsi="Calibri Light" w:cs="Arial"/>
                <w:b/>
                <w:color w:val="FFFFFF" w:themeColor="background1"/>
                <w:szCs w:val="18"/>
              </w:rPr>
              <w:t>Total</w:t>
            </w:r>
          </w:p>
        </w:tc>
        <w:tc>
          <w:tcPr>
            <w:tcW w:w="1269" w:type="dxa"/>
            <w:shd w:val="clear" w:color="auto" w:fill="002060"/>
            <w:vAlign w:val="center"/>
          </w:tcPr>
          <w:p w14:paraId="43D7149A" w14:textId="69816FA8" w:rsidR="00941A03" w:rsidRPr="00941A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olor w:val="FFFFFF" w:themeColor="background1"/>
                <w:szCs w:val="18"/>
              </w:rPr>
            </w:pPr>
            <w:r w:rsidRPr="00941A03">
              <w:rPr>
                <w:rFonts w:ascii="Calibri Light" w:eastAsiaTheme="majorEastAsia" w:hAnsi="Calibri Light" w:cs="Arial"/>
                <w:b/>
                <w:color w:val="FFFFFF" w:themeColor="background1"/>
                <w:szCs w:val="18"/>
              </w:rPr>
              <w:t>Population %</w:t>
            </w:r>
          </w:p>
        </w:tc>
        <w:tc>
          <w:tcPr>
            <w:tcW w:w="1256" w:type="dxa"/>
            <w:shd w:val="clear" w:color="auto" w:fill="002060"/>
            <w:vAlign w:val="center"/>
          </w:tcPr>
          <w:p w14:paraId="2D3E28DF" w14:textId="25A560B1" w:rsidR="00941A03" w:rsidRPr="00941A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olor w:val="FFFFFF" w:themeColor="background1"/>
                <w:szCs w:val="18"/>
              </w:rPr>
            </w:pPr>
            <w:r w:rsidRPr="00941A03">
              <w:rPr>
                <w:rFonts w:ascii="Calibri Light" w:eastAsiaTheme="majorEastAsia" w:hAnsi="Calibri Light" w:cs="Arial"/>
                <w:b/>
                <w:color w:val="FFFFFF" w:themeColor="background1"/>
                <w:szCs w:val="18"/>
              </w:rPr>
              <w:t>Total</w:t>
            </w:r>
          </w:p>
        </w:tc>
        <w:tc>
          <w:tcPr>
            <w:tcW w:w="1305" w:type="dxa"/>
            <w:shd w:val="clear" w:color="auto" w:fill="002060"/>
            <w:vAlign w:val="center"/>
          </w:tcPr>
          <w:p w14:paraId="44B2AD15" w14:textId="547B25EA" w:rsidR="00941A03" w:rsidRPr="00941A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olor w:val="FFFFFF" w:themeColor="background1"/>
                <w:szCs w:val="18"/>
              </w:rPr>
            </w:pPr>
            <w:r w:rsidRPr="00941A03">
              <w:rPr>
                <w:rFonts w:ascii="Calibri Light" w:eastAsiaTheme="majorEastAsia" w:hAnsi="Calibri Light" w:cs="Arial"/>
                <w:b/>
                <w:color w:val="FFFFFF" w:themeColor="background1"/>
                <w:szCs w:val="18"/>
              </w:rPr>
              <w:t>Population %</w:t>
            </w:r>
          </w:p>
        </w:tc>
        <w:tc>
          <w:tcPr>
            <w:tcW w:w="1105" w:type="dxa"/>
            <w:shd w:val="clear" w:color="auto" w:fill="002060"/>
            <w:vAlign w:val="center"/>
          </w:tcPr>
          <w:p w14:paraId="15A6CFB4" w14:textId="136A6404" w:rsidR="00941A03" w:rsidRPr="00941A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olor w:val="FFFFFF" w:themeColor="background1"/>
                <w:szCs w:val="18"/>
              </w:rPr>
            </w:pPr>
            <w:r w:rsidRPr="00941A03">
              <w:rPr>
                <w:rFonts w:ascii="Calibri Light" w:eastAsiaTheme="majorEastAsia" w:hAnsi="Calibri Light" w:cs="Arial"/>
                <w:b/>
                <w:color w:val="FFFFFF" w:themeColor="background1"/>
                <w:szCs w:val="18"/>
              </w:rPr>
              <w:t>Total</w:t>
            </w:r>
          </w:p>
        </w:tc>
        <w:tc>
          <w:tcPr>
            <w:tcW w:w="1310" w:type="dxa"/>
            <w:shd w:val="clear" w:color="auto" w:fill="002060"/>
            <w:vAlign w:val="center"/>
          </w:tcPr>
          <w:p w14:paraId="3B7AF466" w14:textId="738BB768" w:rsidR="00941A03" w:rsidRPr="00941A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olor w:val="FFFFFF" w:themeColor="background1"/>
                <w:szCs w:val="18"/>
              </w:rPr>
            </w:pPr>
            <w:r w:rsidRPr="00941A03">
              <w:rPr>
                <w:rFonts w:ascii="Calibri Light" w:eastAsiaTheme="majorEastAsia" w:hAnsi="Calibri Light" w:cs="Arial"/>
                <w:b/>
                <w:color w:val="FFFFFF" w:themeColor="background1"/>
                <w:szCs w:val="18"/>
              </w:rPr>
              <w:t>Population %</w:t>
            </w:r>
          </w:p>
        </w:tc>
      </w:tr>
      <w:tr w:rsidR="00941A03" w:rsidRPr="009E2B03" w14:paraId="0EBA0722" w14:textId="77777777" w:rsidTr="00941A03">
        <w:trPr>
          <w:trHeight w:val="293"/>
        </w:trPr>
        <w:tc>
          <w:tcPr>
            <w:cnfStyle w:val="001000000000" w:firstRow="0" w:lastRow="0" w:firstColumn="1" w:lastColumn="0" w:oddVBand="0" w:evenVBand="0" w:oddHBand="0" w:evenHBand="0" w:firstRowFirstColumn="0" w:firstRowLastColumn="0" w:lastRowFirstColumn="0" w:lastRowLastColumn="0"/>
            <w:tcW w:w="1513" w:type="dxa"/>
            <w:shd w:val="clear" w:color="auto" w:fill="F3F0F4"/>
          </w:tcPr>
          <w:p w14:paraId="2FFBE333" w14:textId="77777777" w:rsidR="00941A03" w:rsidRPr="009E2B03" w:rsidRDefault="00941A03" w:rsidP="00ED6C12">
            <w:pPr>
              <w:spacing w:before="40" w:after="40"/>
              <w:rPr>
                <w:rFonts w:ascii="Calibri Light" w:eastAsiaTheme="majorEastAsia" w:hAnsi="Calibri Light" w:cs="Arial"/>
                <w:szCs w:val="18"/>
              </w:rPr>
            </w:pPr>
            <w:r w:rsidRPr="009E2B03">
              <w:rPr>
                <w:rFonts w:ascii="Calibri Light" w:eastAsiaTheme="majorEastAsia" w:hAnsi="Calibri Light" w:cs="Arial"/>
                <w:szCs w:val="18"/>
              </w:rPr>
              <w:t>Physical Assault</w:t>
            </w:r>
          </w:p>
        </w:tc>
        <w:tc>
          <w:tcPr>
            <w:tcW w:w="1207" w:type="dxa"/>
            <w:vAlign w:val="center"/>
          </w:tcPr>
          <w:p w14:paraId="6D47F60A"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346,900</w:t>
            </w:r>
          </w:p>
        </w:tc>
        <w:tc>
          <w:tcPr>
            <w:tcW w:w="1269" w:type="dxa"/>
            <w:vAlign w:val="center"/>
          </w:tcPr>
          <w:p w14:paraId="7CB6C7A7"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5.0</w:t>
            </w:r>
          </w:p>
        </w:tc>
        <w:tc>
          <w:tcPr>
            <w:tcW w:w="1256" w:type="dxa"/>
            <w:vAlign w:val="center"/>
          </w:tcPr>
          <w:p w14:paraId="0B1652C6"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242,000</w:t>
            </w:r>
          </w:p>
        </w:tc>
        <w:tc>
          <w:tcPr>
            <w:tcW w:w="1305" w:type="dxa"/>
            <w:vAlign w:val="center"/>
          </w:tcPr>
          <w:p w14:paraId="72722834"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3.1</w:t>
            </w:r>
          </w:p>
        </w:tc>
        <w:tc>
          <w:tcPr>
            <w:tcW w:w="1105" w:type="dxa"/>
            <w:vAlign w:val="center"/>
          </w:tcPr>
          <w:p w14:paraId="207D4E86"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263,500</w:t>
            </w:r>
          </w:p>
        </w:tc>
        <w:tc>
          <w:tcPr>
            <w:tcW w:w="1310" w:type="dxa"/>
            <w:vAlign w:val="center"/>
          </w:tcPr>
          <w:p w14:paraId="023A396F"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3.0</w:t>
            </w:r>
          </w:p>
        </w:tc>
      </w:tr>
      <w:tr w:rsidR="00941A03" w:rsidRPr="009E2B03" w14:paraId="2E87FAAD" w14:textId="77777777" w:rsidTr="00941A03">
        <w:trPr>
          <w:trHeight w:val="293"/>
        </w:trPr>
        <w:tc>
          <w:tcPr>
            <w:cnfStyle w:val="001000000000" w:firstRow="0" w:lastRow="0" w:firstColumn="1" w:lastColumn="0" w:oddVBand="0" w:evenVBand="0" w:oddHBand="0" w:evenHBand="0" w:firstRowFirstColumn="0" w:firstRowLastColumn="0" w:lastRowFirstColumn="0" w:lastRowLastColumn="0"/>
            <w:tcW w:w="1513" w:type="dxa"/>
            <w:shd w:val="clear" w:color="auto" w:fill="F3F0F4"/>
          </w:tcPr>
          <w:p w14:paraId="11B0527D" w14:textId="77777777" w:rsidR="00941A03" w:rsidRPr="009E2B03" w:rsidRDefault="00941A03" w:rsidP="00ED6C12">
            <w:pPr>
              <w:spacing w:before="40" w:after="40"/>
              <w:rPr>
                <w:rFonts w:ascii="Calibri Light" w:eastAsiaTheme="majorEastAsia" w:hAnsi="Calibri Light" w:cs="Arial"/>
                <w:szCs w:val="18"/>
              </w:rPr>
            </w:pPr>
            <w:r w:rsidRPr="009E2B03">
              <w:rPr>
                <w:rFonts w:ascii="Calibri Light" w:eastAsiaTheme="majorEastAsia" w:hAnsi="Calibri Light" w:cs="Arial"/>
                <w:szCs w:val="18"/>
              </w:rPr>
              <w:t>Physical Threat</w:t>
            </w:r>
          </w:p>
        </w:tc>
        <w:tc>
          <w:tcPr>
            <w:tcW w:w="1207" w:type="dxa"/>
            <w:vAlign w:val="center"/>
          </w:tcPr>
          <w:p w14:paraId="34593331"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284,000</w:t>
            </w:r>
          </w:p>
        </w:tc>
        <w:tc>
          <w:tcPr>
            <w:tcW w:w="1269" w:type="dxa"/>
            <w:vAlign w:val="center"/>
          </w:tcPr>
          <w:p w14:paraId="5D0DB7F7"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4.1</w:t>
            </w:r>
          </w:p>
        </w:tc>
        <w:tc>
          <w:tcPr>
            <w:tcW w:w="1256" w:type="dxa"/>
            <w:vAlign w:val="center"/>
          </w:tcPr>
          <w:p w14:paraId="72575E69"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162,400</w:t>
            </w:r>
          </w:p>
        </w:tc>
        <w:tc>
          <w:tcPr>
            <w:tcW w:w="1305" w:type="dxa"/>
            <w:vAlign w:val="center"/>
          </w:tcPr>
          <w:p w14:paraId="1CCDE0A0"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2.1</w:t>
            </w:r>
          </w:p>
        </w:tc>
        <w:tc>
          <w:tcPr>
            <w:tcW w:w="1105" w:type="dxa"/>
            <w:vAlign w:val="center"/>
          </w:tcPr>
          <w:p w14:paraId="212F24FB"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188,900</w:t>
            </w:r>
          </w:p>
        </w:tc>
        <w:tc>
          <w:tcPr>
            <w:tcW w:w="1310" w:type="dxa"/>
            <w:vAlign w:val="center"/>
          </w:tcPr>
          <w:p w14:paraId="28AA7645"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2.2</w:t>
            </w:r>
          </w:p>
        </w:tc>
      </w:tr>
      <w:tr w:rsidR="00941A03" w:rsidRPr="009E2B03" w14:paraId="12DD86EB" w14:textId="77777777" w:rsidTr="00941A03">
        <w:trPr>
          <w:trHeight w:val="283"/>
        </w:trPr>
        <w:tc>
          <w:tcPr>
            <w:cnfStyle w:val="001000000000" w:firstRow="0" w:lastRow="0" w:firstColumn="1" w:lastColumn="0" w:oddVBand="0" w:evenVBand="0" w:oddHBand="0" w:evenHBand="0" w:firstRowFirstColumn="0" w:firstRowLastColumn="0" w:lastRowFirstColumn="0" w:lastRowLastColumn="0"/>
            <w:tcW w:w="1513" w:type="dxa"/>
            <w:shd w:val="clear" w:color="auto" w:fill="F3F0F4"/>
          </w:tcPr>
          <w:p w14:paraId="31A88EDF" w14:textId="77777777" w:rsidR="00941A03" w:rsidRPr="009E2B03" w:rsidRDefault="00941A03" w:rsidP="00ED6C12">
            <w:pPr>
              <w:spacing w:before="40" w:after="40"/>
              <w:rPr>
                <w:rFonts w:ascii="Calibri Light" w:eastAsiaTheme="majorEastAsia" w:hAnsi="Calibri Light" w:cs="Arial"/>
                <w:szCs w:val="18"/>
              </w:rPr>
            </w:pPr>
            <w:r w:rsidRPr="009E2B03">
              <w:rPr>
                <w:rFonts w:ascii="Calibri Light" w:eastAsiaTheme="majorEastAsia" w:hAnsi="Calibri Light" w:cs="Arial"/>
                <w:szCs w:val="18"/>
              </w:rPr>
              <w:t>Sexual Assault</w:t>
            </w:r>
          </w:p>
        </w:tc>
        <w:tc>
          <w:tcPr>
            <w:tcW w:w="1207" w:type="dxa"/>
            <w:vAlign w:val="center"/>
          </w:tcPr>
          <w:p w14:paraId="2A7DDA8D"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100,000</w:t>
            </w:r>
          </w:p>
        </w:tc>
        <w:tc>
          <w:tcPr>
            <w:tcW w:w="1269" w:type="dxa"/>
            <w:vAlign w:val="center"/>
          </w:tcPr>
          <w:p w14:paraId="39362F63"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1.5</w:t>
            </w:r>
          </w:p>
        </w:tc>
        <w:tc>
          <w:tcPr>
            <w:tcW w:w="1256" w:type="dxa"/>
            <w:vAlign w:val="center"/>
          </w:tcPr>
          <w:p w14:paraId="6EC4AC79"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101,600</w:t>
            </w:r>
          </w:p>
        </w:tc>
        <w:tc>
          <w:tcPr>
            <w:tcW w:w="1305" w:type="dxa"/>
            <w:vAlign w:val="center"/>
          </w:tcPr>
          <w:p w14:paraId="0A19910D"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1.3</w:t>
            </w:r>
          </w:p>
        </w:tc>
        <w:tc>
          <w:tcPr>
            <w:tcW w:w="1105" w:type="dxa"/>
            <w:vAlign w:val="center"/>
          </w:tcPr>
          <w:p w14:paraId="11DE5334"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87,800</w:t>
            </w:r>
          </w:p>
        </w:tc>
        <w:tc>
          <w:tcPr>
            <w:tcW w:w="1310" w:type="dxa"/>
            <w:vAlign w:val="center"/>
          </w:tcPr>
          <w:p w14:paraId="192A9D34"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1.0</w:t>
            </w:r>
          </w:p>
        </w:tc>
      </w:tr>
      <w:tr w:rsidR="00941A03" w:rsidRPr="009E2B03" w14:paraId="7EE35645" w14:textId="77777777" w:rsidTr="00941A03">
        <w:trPr>
          <w:trHeight w:val="293"/>
        </w:trPr>
        <w:tc>
          <w:tcPr>
            <w:cnfStyle w:val="001000000000" w:firstRow="0" w:lastRow="0" w:firstColumn="1" w:lastColumn="0" w:oddVBand="0" w:evenVBand="0" w:oddHBand="0" w:evenHBand="0" w:firstRowFirstColumn="0" w:firstRowLastColumn="0" w:lastRowFirstColumn="0" w:lastRowLastColumn="0"/>
            <w:tcW w:w="1513" w:type="dxa"/>
            <w:shd w:val="clear" w:color="auto" w:fill="F3F0F4"/>
          </w:tcPr>
          <w:p w14:paraId="578DB398" w14:textId="77777777" w:rsidR="00941A03" w:rsidRPr="009E2B03" w:rsidRDefault="00941A03" w:rsidP="00ED6C12">
            <w:pPr>
              <w:spacing w:before="40" w:after="40"/>
              <w:rPr>
                <w:rFonts w:ascii="Calibri Light" w:eastAsiaTheme="majorEastAsia" w:hAnsi="Calibri Light" w:cs="Arial"/>
                <w:szCs w:val="18"/>
              </w:rPr>
            </w:pPr>
            <w:r w:rsidRPr="009E2B03">
              <w:rPr>
                <w:rFonts w:ascii="Calibri Light" w:eastAsiaTheme="majorEastAsia" w:hAnsi="Calibri Light" w:cs="Arial"/>
                <w:szCs w:val="18"/>
              </w:rPr>
              <w:t>Sexual Threat</w:t>
            </w:r>
          </w:p>
        </w:tc>
        <w:tc>
          <w:tcPr>
            <w:tcW w:w="1207" w:type="dxa"/>
            <w:vAlign w:val="center"/>
          </w:tcPr>
          <w:p w14:paraId="722FC055"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44,800</w:t>
            </w:r>
          </w:p>
        </w:tc>
        <w:tc>
          <w:tcPr>
            <w:tcW w:w="1269" w:type="dxa"/>
            <w:vAlign w:val="center"/>
          </w:tcPr>
          <w:p w14:paraId="2CF26F39"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0.7</w:t>
            </w:r>
          </w:p>
        </w:tc>
        <w:tc>
          <w:tcPr>
            <w:tcW w:w="1256" w:type="dxa"/>
            <w:vAlign w:val="center"/>
          </w:tcPr>
          <w:p w14:paraId="6BA19860"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34,900</w:t>
            </w:r>
          </w:p>
        </w:tc>
        <w:tc>
          <w:tcPr>
            <w:tcW w:w="1305" w:type="dxa"/>
            <w:vAlign w:val="center"/>
          </w:tcPr>
          <w:p w14:paraId="315F7D55"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0.5</w:t>
            </w:r>
          </w:p>
        </w:tc>
        <w:tc>
          <w:tcPr>
            <w:tcW w:w="1105" w:type="dxa"/>
            <w:vAlign w:val="center"/>
          </w:tcPr>
          <w:p w14:paraId="3757F36E"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17,600</w:t>
            </w:r>
          </w:p>
        </w:tc>
        <w:tc>
          <w:tcPr>
            <w:tcW w:w="1310" w:type="dxa"/>
            <w:vAlign w:val="center"/>
          </w:tcPr>
          <w:p w14:paraId="44229CBA"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szCs w:val="18"/>
              </w:rPr>
            </w:pPr>
            <w:r w:rsidRPr="009E2B03">
              <w:rPr>
                <w:rFonts w:ascii="Calibri Light" w:eastAsiaTheme="majorEastAsia" w:hAnsi="Calibri Light" w:cs="Arial"/>
                <w:color w:val="000000"/>
                <w:szCs w:val="18"/>
              </w:rPr>
              <w:t>0.2</w:t>
            </w:r>
          </w:p>
        </w:tc>
      </w:tr>
      <w:tr w:rsidR="00941A03" w:rsidRPr="009E2B03" w14:paraId="20381335" w14:textId="77777777" w:rsidTr="00941A03">
        <w:trPr>
          <w:trHeight w:val="293"/>
        </w:trPr>
        <w:tc>
          <w:tcPr>
            <w:cnfStyle w:val="001000000000" w:firstRow="0" w:lastRow="0" w:firstColumn="1" w:lastColumn="0" w:oddVBand="0" w:evenVBand="0" w:oddHBand="0" w:evenHBand="0" w:firstRowFirstColumn="0" w:firstRowLastColumn="0" w:lastRowFirstColumn="0" w:lastRowLastColumn="0"/>
            <w:tcW w:w="1513" w:type="dxa"/>
            <w:shd w:val="clear" w:color="auto" w:fill="F3F0F4"/>
          </w:tcPr>
          <w:p w14:paraId="727198F0" w14:textId="77777777" w:rsidR="00941A03" w:rsidRPr="009E2B03" w:rsidRDefault="00941A03" w:rsidP="00ED6C12">
            <w:pPr>
              <w:spacing w:before="40" w:after="40"/>
              <w:rPr>
                <w:rFonts w:ascii="Calibri Light" w:eastAsiaTheme="majorEastAsia" w:hAnsi="Calibri Light" w:cs="Arial"/>
                <w:b/>
                <w:szCs w:val="18"/>
              </w:rPr>
            </w:pPr>
            <w:r w:rsidRPr="009E2B03">
              <w:rPr>
                <w:rFonts w:ascii="Calibri Light" w:eastAsiaTheme="majorEastAsia" w:hAnsi="Calibri Light" w:cs="Arial"/>
                <w:b/>
                <w:color w:val="6D2077"/>
                <w:szCs w:val="18"/>
              </w:rPr>
              <w:t>Total</w:t>
            </w:r>
          </w:p>
        </w:tc>
        <w:tc>
          <w:tcPr>
            <w:tcW w:w="1207" w:type="dxa"/>
            <w:shd w:val="clear" w:color="auto" w:fill="F3F0F4"/>
            <w:vAlign w:val="center"/>
          </w:tcPr>
          <w:p w14:paraId="0B052368"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b/>
                <w:szCs w:val="18"/>
              </w:rPr>
            </w:pPr>
            <w:r w:rsidRPr="009E2B03">
              <w:rPr>
                <w:rFonts w:ascii="Calibri Light" w:eastAsiaTheme="majorEastAsia" w:hAnsi="Calibri Light" w:cs="Arial"/>
                <w:color w:val="000000"/>
                <w:szCs w:val="18"/>
              </w:rPr>
              <w:t>490,400</w:t>
            </w:r>
          </w:p>
        </w:tc>
        <w:tc>
          <w:tcPr>
            <w:tcW w:w="1269" w:type="dxa"/>
            <w:shd w:val="clear" w:color="auto" w:fill="F3F0F4"/>
            <w:vAlign w:val="center"/>
          </w:tcPr>
          <w:p w14:paraId="5F2BF5C4"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b/>
                <w:szCs w:val="18"/>
              </w:rPr>
            </w:pPr>
            <w:r w:rsidRPr="009E2B03">
              <w:rPr>
                <w:rFonts w:ascii="Calibri Light" w:eastAsiaTheme="majorEastAsia" w:hAnsi="Calibri Light" w:cs="Arial"/>
                <w:color w:val="000000"/>
                <w:szCs w:val="18"/>
              </w:rPr>
              <w:t>7.1</w:t>
            </w:r>
          </w:p>
        </w:tc>
        <w:tc>
          <w:tcPr>
            <w:tcW w:w="1256" w:type="dxa"/>
            <w:shd w:val="clear" w:color="auto" w:fill="F3F0F4"/>
            <w:vAlign w:val="center"/>
          </w:tcPr>
          <w:p w14:paraId="348047C1"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b/>
                <w:szCs w:val="18"/>
              </w:rPr>
            </w:pPr>
            <w:r w:rsidRPr="009E2B03">
              <w:rPr>
                <w:rFonts w:ascii="Calibri Light" w:eastAsiaTheme="majorEastAsia" w:hAnsi="Calibri Light" w:cs="Arial"/>
                <w:color w:val="000000"/>
                <w:szCs w:val="18"/>
              </w:rPr>
              <w:t>443,800</w:t>
            </w:r>
          </w:p>
        </w:tc>
        <w:tc>
          <w:tcPr>
            <w:tcW w:w="1305" w:type="dxa"/>
            <w:shd w:val="clear" w:color="auto" w:fill="F3F0F4"/>
            <w:vAlign w:val="center"/>
          </w:tcPr>
          <w:p w14:paraId="384D9201"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b/>
                <w:szCs w:val="18"/>
              </w:rPr>
            </w:pPr>
            <w:r w:rsidRPr="009E2B03">
              <w:rPr>
                <w:rFonts w:ascii="Calibri Light" w:eastAsiaTheme="majorEastAsia" w:hAnsi="Calibri Light" w:cs="Arial"/>
                <w:color w:val="000000"/>
                <w:szCs w:val="18"/>
              </w:rPr>
              <w:t>5.8</w:t>
            </w:r>
          </w:p>
        </w:tc>
        <w:tc>
          <w:tcPr>
            <w:tcW w:w="1105" w:type="dxa"/>
            <w:shd w:val="clear" w:color="auto" w:fill="F3F0F4"/>
            <w:vAlign w:val="center"/>
          </w:tcPr>
          <w:p w14:paraId="12E6F081"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b/>
                <w:szCs w:val="18"/>
              </w:rPr>
            </w:pPr>
            <w:r w:rsidRPr="009E2B03">
              <w:rPr>
                <w:rFonts w:ascii="Calibri Light" w:eastAsiaTheme="majorEastAsia" w:hAnsi="Calibri Light" w:cs="Arial"/>
                <w:color w:val="000000"/>
                <w:szCs w:val="18"/>
              </w:rPr>
              <w:t>467,300</w:t>
            </w:r>
          </w:p>
        </w:tc>
        <w:tc>
          <w:tcPr>
            <w:tcW w:w="1310" w:type="dxa"/>
            <w:shd w:val="clear" w:color="auto" w:fill="F3F0F4"/>
            <w:vAlign w:val="center"/>
          </w:tcPr>
          <w:p w14:paraId="40A54AEC" w14:textId="77777777" w:rsidR="00941A03" w:rsidRPr="009E2B03" w:rsidRDefault="00941A03"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Arial"/>
                <w:b/>
                <w:szCs w:val="18"/>
              </w:rPr>
            </w:pPr>
            <w:r w:rsidRPr="009E2B03">
              <w:rPr>
                <w:rFonts w:ascii="Calibri Light" w:eastAsiaTheme="majorEastAsia" w:hAnsi="Calibri Light" w:cs="Arial"/>
                <w:color w:val="000000"/>
                <w:szCs w:val="18"/>
              </w:rPr>
              <w:t>5.3</w:t>
            </w:r>
          </w:p>
        </w:tc>
      </w:tr>
    </w:tbl>
    <w:p w14:paraId="22459912" w14:textId="77777777" w:rsidR="00B717ED" w:rsidRPr="009E2B03" w:rsidRDefault="00B717ED" w:rsidP="00B717ED">
      <w:pPr>
        <w:rPr>
          <w:rFonts w:ascii="Calibri Light" w:hAnsi="Calibri Light"/>
        </w:rPr>
      </w:pPr>
      <w:r w:rsidRPr="009E2B03">
        <w:rPr>
          <w:rFonts w:ascii="Calibri Light" w:hAnsi="Calibri Light"/>
        </w:rPr>
        <w:t xml:space="preserve">Note: The scope, content, and data collection in the PSS 2012 survey is largely the same as the PSS 2005 survey, with minor differences in the sample design and weighting procedures. It is important to note that the experience of stalking is also included in the WSS and PSS, and emotional abuse is included in the PSS, but given definitional changes between the publications, prevalence data for these categories has not been included. For data on the experience of stalking from the PSS, there are also challenges to comparing prevalence numbers between 2005 and 2012 due changes in the stratification of data on the perpetrator. </w:t>
      </w:r>
    </w:p>
    <w:p w14:paraId="630DFF95" w14:textId="77777777" w:rsidR="00B717ED" w:rsidRPr="009E2B03" w:rsidRDefault="00B717ED" w:rsidP="00B717ED">
      <w:pPr>
        <w:rPr>
          <w:rFonts w:ascii="Calibri Light" w:hAnsi="Calibri Light"/>
        </w:rPr>
      </w:pPr>
      <w:r w:rsidRPr="009E2B03">
        <w:rPr>
          <w:rFonts w:ascii="Calibri Light" w:hAnsi="Calibri Light"/>
        </w:rPr>
        <w:t xml:space="preserve">Source: ABS Women’s Safety Survey 1996, and ABS Personal Safety Survey 2005 and 2012.  </w:t>
      </w:r>
    </w:p>
    <w:p w14:paraId="2B12F23D"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Importantly, the PSS is the only survey that provides estimates of the level of non-reported violence across the population. Most other data sources focus on reported violence, either through recorded incidents in police data, or in service use data for targeted programs and initiatives for women experiencing violence. However, there are limitations to the PSS data regarding prevalence amongst different cohorts and geographies, and these differences are critical inputs to the policy and reform process. </w:t>
      </w:r>
    </w:p>
    <w:p w14:paraId="10E3D259" w14:textId="77777777" w:rsidR="00B717ED" w:rsidRPr="009E2B03" w:rsidRDefault="00B717ED" w:rsidP="00B717ED">
      <w:pPr>
        <w:rPr>
          <w:rFonts w:ascii="Calibri Light" w:hAnsi="Calibri Light"/>
          <w:sz w:val="22"/>
        </w:rPr>
      </w:pPr>
      <w:r w:rsidRPr="009E2B03">
        <w:rPr>
          <w:rFonts w:ascii="Calibri Light" w:hAnsi="Calibri Light"/>
          <w:sz w:val="22"/>
        </w:rPr>
        <w:t xml:space="preserve">To develop a more comprehensive understanding of patterns of violence across cohorts and geographies, there is a need to draw on a broader range of data and information sources, including: </w:t>
      </w:r>
    </w:p>
    <w:p w14:paraId="0F095F0D" w14:textId="77777777" w:rsidR="00B717ED" w:rsidRPr="009E2B03" w:rsidRDefault="000F39E7" w:rsidP="00B717ED">
      <w:pPr>
        <w:pStyle w:val="BodyBullet"/>
        <w:rPr>
          <w:rFonts w:ascii="Calibri Light" w:hAnsi="Calibri Light" w:cs="Arial"/>
          <w:sz w:val="22"/>
        </w:rPr>
      </w:pPr>
      <w:r w:rsidRPr="009E2B03">
        <w:rPr>
          <w:rFonts w:ascii="Calibri Light" w:hAnsi="Calibri Light" w:cs="Arial"/>
          <w:sz w:val="22"/>
        </w:rPr>
        <w:t>crime data from state and t</w:t>
      </w:r>
      <w:r w:rsidR="00B717ED" w:rsidRPr="009E2B03">
        <w:rPr>
          <w:rFonts w:ascii="Calibri Light" w:hAnsi="Calibri Light" w:cs="Arial"/>
          <w:sz w:val="22"/>
        </w:rPr>
        <w:t>erritory police forces collected by agencies such as the NSW BOCSAR, Crime Statistics Agency Victoria, and the Office of Crime Statistics and Research for South Australia, which illustrates the changes in incidence rates of reported violence</w:t>
      </w:r>
    </w:p>
    <w:p w14:paraId="75902A78"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crime data from the Australian Institute of Criminology on homicide statistics, victims of crime, and violent crime</w:t>
      </w:r>
    </w:p>
    <w:p w14:paraId="36BA3900"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health and wellbeing data from the AIHW on families and children and housing and homelessness, which supports an understanding of the specific characteristics of cohorts identified to be of greater risk of experiencing violence, as well as overall health expenditure</w:t>
      </w:r>
    </w:p>
    <w:p w14:paraId="21299523"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statistical publications from the ABS, including the National Aboriginal and Torres Strait Islander Social Survey, the Recorded Crime publication, the Census of Population and Housing: Socio-Economic Indexes for Area (SEIFA) publication, and broader demographic data</w:t>
      </w:r>
    </w:p>
    <w:p w14:paraId="534B14EA"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 xml:space="preserve">broader academic and other research publications and reports that provide supplementary evidence into the contributing factors and impacts of violence against women across different cohorts and vulnerable groups. </w:t>
      </w:r>
    </w:p>
    <w:p w14:paraId="026E2D81" w14:textId="77777777" w:rsidR="00B717ED" w:rsidRPr="009E2B03" w:rsidRDefault="00B717ED" w:rsidP="00B717ED">
      <w:pPr>
        <w:rPr>
          <w:rFonts w:ascii="Calibri Light" w:hAnsi="Calibri Light"/>
          <w:sz w:val="22"/>
        </w:rPr>
      </w:pPr>
      <w:r w:rsidRPr="009E2B03">
        <w:rPr>
          <w:rFonts w:ascii="Calibri Light" w:hAnsi="Calibri Light"/>
          <w:sz w:val="22"/>
        </w:rPr>
        <w:t xml:space="preserve">Reported crime data for the jurisdictions has shown that, broadly speaking, the incidence rate of domestic violence </w:t>
      </w:r>
      <w:r w:rsidR="00EE05D0" w:rsidRPr="009E2B03">
        <w:rPr>
          <w:rFonts w:ascii="Calibri Light" w:hAnsi="Calibri Light"/>
          <w:sz w:val="22"/>
        </w:rPr>
        <w:t xml:space="preserve">reported to the police </w:t>
      </w:r>
      <w:r w:rsidRPr="009E2B03">
        <w:rPr>
          <w:rFonts w:ascii="Calibri Light" w:hAnsi="Calibri Light"/>
          <w:sz w:val="22"/>
        </w:rPr>
        <w:t>has increased in recent years, for example:</w:t>
      </w:r>
    </w:p>
    <w:p w14:paraId="57D44ED5" w14:textId="5B1520F2"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lastRenderedPageBreak/>
        <w:t xml:space="preserve">Victoria’s </w:t>
      </w:r>
      <w:r w:rsidR="00A62115" w:rsidRPr="009E2B03">
        <w:rPr>
          <w:rFonts w:ascii="Calibri Light" w:hAnsi="Calibri Light" w:cs="Arial"/>
          <w:sz w:val="22"/>
        </w:rPr>
        <w:t>recorded</w:t>
      </w:r>
      <w:r w:rsidRPr="009E2B03">
        <w:rPr>
          <w:rFonts w:ascii="Calibri Light" w:hAnsi="Calibri Light" w:cs="Arial"/>
          <w:sz w:val="22"/>
        </w:rPr>
        <w:t xml:space="preserve"> </w:t>
      </w:r>
      <w:r w:rsidR="00A62115" w:rsidRPr="009E2B03">
        <w:rPr>
          <w:rFonts w:ascii="Calibri Light" w:hAnsi="Calibri Light" w:cs="Arial"/>
          <w:sz w:val="22"/>
        </w:rPr>
        <w:t>family</w:t>
      </w:r>
      <w:r w:rsidRPr="009E2B03">
        <w:rPr>
          <w:rFonts w:ascii="Calibri Light" w:hAnsi="Calibri Light" w:cs="Arial"/>
          <w:sz w:val="22"/>
        </w:rPr>
        <w:t xml:space="preserve"> incidents of violence against women has increased from approximately 31,590 in 2010-11 to 54,380 in 2014-15, with a 9.2 per cent increase in the previous 12 months.</w:t>
      </w:r>
      <w:r w:rsidR="00A62115" w:rsidRPr="009E2B03">
        <w:rPr>
          <w:rFonts w:ascii="Calibri Light" w:hAnsi="Calibri Light" w:cs="Arial"/>
          <w:sz w:val="22"/>
        </w:rPr>
        <w:t xml:space="preserve"> It should be noted that this change does not necessarily reflect increasing numbers of violent</w:t>
      </w:r>
      <w:r w:rsidR="002A46EF" w:rsidRPr="009E2B03">
        <w:rPr>
          <w:rFonts w:ascii="Calibri Light" w:hAnsi="Calibri Light" w:cs="Arial"/>
          <w:sz w:val="22"/>
        </w:rPr>
        <w:t xml:space="preserve"> incidents</w:t>
      </w:r>
      <w:r w:rsidR="00A62115" w:rsidRPr="009E2B03">
        <w:rPr>
          <w:rFonts w:ascii="Calibri Light" w:hAnsi="Calibri Light" w:cs="Arial"/>
          <w:sz w:val="22"/>
        </w:rPr>
        <w:t>, but rather the increased r</w:t>
      </w:r>
      <w:r w:rsidR="00AB6EB5" w:rsidRPr="009E2B03">
        <w:rPr>
          <w:rFonts w:ascii="Calibri Light" w:hAnsi="Calibri Light" w:cs="Arial"/>
          <w:sz w:val="22"/>
        </w:rPr>
        <w:t>eporting of violence to police and the change in the Victoria Police’s business practices during this period.</w:t>
      </w:r>
      <w:r w:rsidR="00F8438D" w:rsidRPr="009E2B03">
        <w:rPr>
          <w:rStyle w:val="FootnoteReference"/>
          <w:rFonts w:ascii="Calibri Light" w:hAnsi="Calibri Light" w:cs="Arial"/>
          <w:sz w:val="22"/>
        </w:rPr>
        <w:footnoteReference w:id="135"/>
      </w:r>
    </w:p>
    <w:p w14:paraId="06E1183A"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NSW’s reported criminal incidents of domestic violence related assault has marginally increased from approximately 26,750 incidents in 2010-11 to 28,940 in 2014-</w:t>
      </w:r>
      <w:r w:rsidR="0000339D" w:rsidRPr="009E2B03">
        <w:rPr>
          <w:rFonts w:ascii="Calibri Light" w:hAnsi="Calibri Light" w:cs="Arial"/>
          <w:sz w:val="22"/>
        </w:rPr>
        <w:t>1</w:t>
      </w:r>
      <w:r w:rsidRPr="009E2B03">
        <w:rPr>
          <w:rFonts w:ascii="Calibri Light" w:hAnsi="Calibri Light" w:cs="Arial"/>
          <w:sz w:val="22"/>
        </w:rPr>
        <w:t>5. However, in the same time period, incidence of sexual assault have increased from 557 to 865 with an 11.6 per cent increase in the previous two years.</w:t>
      </w:r>
      <w:r w:rsidR="00F8438D" w:rsidRPr="009E2B03">
        <w:rPr>
          <w:rStyle w:val="FootnoteReference"/>
          <w:rFonts w:ascii="Calibri Light" w:hAnsi="Calibri Light" w:cs="Arial"/>
          <w:sz w:val="22"/>
        </w:rPr>
        <w:footnoteReference w:id="136"/>
      </w:r>
    </w:p>
    <w:p w14:paraId="046B2132"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Northern Territory’s reported criminal incidents of violence involving domestic violence increased from approximately 3,480 in 2010 to 3,970 in 2015, with a peak in 2013 of 4,840, with over half of all domestic violence involving alcohol.</w:t>
      </w:r>
      <w:r w:rsidR="00F8438D" w:rsidRPr="009E2B03">
        <w:rPr>
          <w:rStyle w:val="FootnoteReference"/>
          <w:rFonts w:ascii="Calibri Light" w:hAnsi="Calibri Light" w:cs="Arial"/>
          <w:sz w:val="22"/>
        </w:rPr>
        <w:footnoteReference w:id="137"/>
      </w:r>
    </w:p>
    <w:p w14:paraId="1CE53084" w14:textId="38E3DD39" w:rsidR="00B717ED" w:rsidRPr="009E2B03" w:rsidRDefault="00B717ED" w:rsidP="00B717ED">
      <w:pPr>
        <w:rPr>
          <w:rFonts w:ascii="Calibri Light" w:hAnsi="Calibri Light"/>
          <w:sz w:val="22"/>
        </w:rPr>
      </w:pPr>
      <w:r w:rsidRPr="009E2B03">
        <w:rPr>
          <w:rFonts w:ascii="Calibri Light" w:hAnsi="Calibri Light"/>
          <w:sz w:val="22"/>
        </w:rPr>
        <w:t xml:space="preserve">The increase in </w:t>
      </w:r>
      <w:r w:rsidR="00EE05D0" w:rsidRPr="009E2B03">
        <w:rPr>
          <w:rFonts w:ascii="Calibri Light" w:hAnsi="Calibri Light"/>
          <w:sz w:val="22"/>
        </w:rPr>
        <w:t xml:space="preserve">reported </w:t>
      </w:r>
      <w:r w:rsidRPr="009E2B03">
        <w:rPr>
          <w:rFonts w:ascii="Calibri Light" w:hAnsi="Calibri Light"/>
          <w:sz w:val="22"/>
        </w:rPr>
        <w:t>violence over this period highlights the complexities involved in analysing historical trends for domestic violence. While the PSS identifies that, overall, prevalence for women experiencing violence across Australia decreased between 2005 and 2012 (in terms of physical assault, sexual assault, and the threat of either of the two), the reporting of violence</w:t>
      </w:r>
      <w:r w:rsidR="00163BA6" w:rsidRPr="009E2B03">
        <w:rPr>
          <w:rFonts w:ascii="Calibri Light" w:hAnsi="Calibri Light"/>
          <w:sz w:val="22"/>
        </w:rPr>
        <w:t xml:space="preserve"> and recording by police</w:t>
      </w:r>
      <w:r w:rsidRPr="009E2B03">
        <w:rPr>
          <w:rFonts w:ascii="Calibri Light" w:hAnsi="Calibri Light"/>
          <w:sz w:val="22"/>
        </w:rPr>
        <w:t xml:space="preserve"> has increased over the past five years. This trend can be interpreted in a number of ways – a decrease in prevalence alongside an increase in</w:t>
      </w:r>
      <w:r w:rsidR="00163BA6" w:rsidRPr="009E2B03">
        <w:rPr>
          <w:rFonts w:ascii="Calibri Light" w:hAnsi="Calibri Light"/>
          <w:sz w:val="22"/>
        </w:rPr>
        <w:t xml:space="preserve"> reported</w:t>
      </w:r>
      <w:r w:rsidRPr="009E2B03">
        <w:rPr>
          <w:rFonts w:ascii="Calibri Light" w:hAnsi="Calibri Light"/>
          <w:sz w:val="22"/>
        </w:rPr>
        <w:t xml:space="preserve"> incidents may mean that while fewer women</w:t>
      </w:r>
      <w:r w:rsidR="00EA113A" w:rsidRPr="009E2B03">
        <w:rPr>
          <w:rFonts w:ascii="Calibri Light" w:hAnsi="Calibri Light"/>
          <w:sz w:val="22"/>
        </w:rPr>
        <w:t xml:space="preserve"> relative to population</w:t>
      </w:r>
      <w:r w:rsidR="00EF717E" w:rsidRPr="009E2B03">
        <w:rPr>
          <w:rFonts w:ascii="Calibri Light" w:hAnsi="Calibri Light"/>
          <w:sz w:val="22"/>
        </w:rPr>
        <w:t xml:space="preserve"> levels</w:t>
      </w:r>
      <w:r w:rsidRPr="009E2B03">
        <w:rPr>
          <w:rFonts w:ascii="Calibri Light" w:hAnsi="Calibri Light"/>
          <w:sz w:val="22"/>
        </w:rPr>
        <w:t xml:space="preserve"> are experiencing violence, reporting rates for incidents of violence has increased. Alternatively – and in line with broader research in this area – an increase in recorded crime may be attributable to changes in crime definitions, a rise in the number of police officers or frontline workers, or the implementation of public awareness campaigns intended to increase the reporting of some types of victimisation.</w:t>
      </w:r>
      <w:r w:rsidRPr="009E2B03">
        <w:rPr>
          <w:rStyle w:val="FootnoteReference"/>
          <w:rFonts w:ascii="Calibri Light" w:hAnsi="Calibri Light"/>
          <w:sz w:val="22"/>
        </w:rPr>
        <w:footnoteReference w:id="138"/>
      </w:r>
      <w:r w:rsidRPr="009E2B03">
        <w:rPr>
          <w:rFonts w:ascii="Calibri Light" w:hAnsi="Calibri Light"/>
          <w:sz w:val="22"/>
        </w:rPr>
        <w:t xml:space="preserve"> </w:t>
      </w:r>
    </w:p>
    <w:p w14:paraId="1F82F805" w14:textId="77777777" w:rsidR="00B717ED" w:rsidRPr="009E2B03" w:rsidRDefault="00B717ED" w:rsidP="00B717ED">
      <w:pPr>
        <w:rPr>
          <w:rFonts w:ascii="Calibri Light" w:hAnsi="Calibri Light"/>
          <w:sz w:val="22"/>
        </w:rPr>
      </w:pPr>
      <w:r w:rsidRPr="009E2B03">
        <w:rPr>
          <w:rFonts w:ascii="Calibri Light" w:hAnsi="Calibri Light"/>
          <w:sz w:val="22"/>
        </w:rPr>
        <w:t xml:space="preserve">Additionally, there are differences in the number of reported incidents across Australian jurisdictions, particularly with respect to the underlying population. </w:t>
      </w:r>
      <w:r w:rsidR="008B313B" w:rsidRPr="009E2B03">
        <w:rPr>
          <w:rFonts w:ascii="Calibri Light" w:hAnsi="Calibri Light"/>
          <w:sz w:val="22"/>
        </w:rPr>
        <w:t xml:space="preserve">The </w:t>
      </w:r>
      <w:r w:rsidRPr="009E2B03">
        <w:rPr>
          <w:rFonts w:ascii="Calibri Light" w:hAnsi="Calibri Light"/>
          <w:sz w:val="22"/>
        </w:rPr>
        <w:t xml:space="preserve">data from the experimental family and domestic violence statistics released by the ABS </w:t>
      </w:r>
      <w:r w:rsidR="008B313B" w:rsidRPr="009E2B03">
        <w:rPr>
          <w:rFonts w:ascii="Calibri Light" w:hAnsi="Calibri Light"/>
          <w:sz w:val="22"/>
        </w:rPr>
        <w:t>provides an overview of the levels of domestic and family violence reported to police in each jurisdiction</w:t>
      </w:r>
      <w:r w:rsidRPr="009E2B03">
        <w:rPr>
          <w:rFonts w:ascii="Calibri Light" w:hAnsi="Calibri Light"/>
          <w:sz w:val="22"/>
        </w:rPr>
        <w:t>. This data</w:t>
      </w:r>
      <w:r w:rsidR="00B80D35" w:rsidRPr="009E2B03">
        <w:rPr>
          <w:rFonts w:ascii="Calibri Light" w:hAnsi="Calibri Light"/>
          <w:sz w:val="22"/>
        </w:rPr>
        <w:t xml:space="preserve"> identifies the total number of </w:t>
      </w:r>
      <w:r w:rsidRPr="009E2B03">
        <w:rPr>
          <w:rFonts w:ascii="Calibri Light" w:hAnsi="Calibri Light"/>
          <w:sz w:val="22"/>
        </w:rPr>
        <w:t>physical and sexual violence</w:t>
      </w:r>
      <w:r w:rsidR="00B80D35" w:rsidRPr="009E2B03">
        <w:rPr>
          <w:rFonts w:ascii="Calibri Light" w:hAnsi="Calibri Light"/>
          <w:sz w:val="22"/>
        </w:rPr>
        <w:t xml:space="preserve"> incidence</w:t>
      </w:r>
      <w:r w:rsidRPr="009E2B03">
        <w:rPr>
          <w:rFonts w:ascii="Calibri Light" w:hAnsi="Calibri Light"/>
          <w:sz w:val="22"/>
        </w:rPr>
        <w:t xml:space="preserve"> in 2014</w:t>
      </w:r>
      <w:r w:rsidR="00B80D35" w:rsidRPr="009E2B03">
        <w:rPr>
          <w:rFonts w:ascii="Calibri Light" w:hAnsi="Calibri Light"/>
          <w:sz w:val="22"/>
        </w:rPr>
        <w:t xml:space="preserve"> that has been reported to police</w:t>
      </w:r>
      <w:r w:rsidRPr="009E2B03">
        <w:rPr>
          <w:rFonts w:ascii="Calibri Light" w:hAnsi="Calibri Light"/>
          <w:sz w:val="22"/>
        </w:rPr>
        <w:t>, as well as the rates of reported incidence on a jurisdictional level per 100,000 persons. It is important to note</w:t>
      </w:r>
      <w:r w:rsidR="008B313B" w:rsidRPr="009E2B03">
        <w:rPr>
          <w:rFonts w:ascii="Calibri Light" w:hAnsi="Calibri Light"/>
          <w:sz w:val="22"/>
        </w:rPr>
        <w:t>, however,</w:t>
      </w:r>
      <w:r w:rsidRPr="009E2B03">
        <w:rPr>
          <w:rFonts w:ascii="Calibri Light" w:hAnsi="Calibri Light"/>
          <w:sz w:val="22"/>
        </w:rPr>
        <w:t xml:space="preserve"> that the data is drawn for police crime reporting systems and are based on a Family and Domestic Violence (FDV) flag as recorded by police officers.</w:t>
      </w:r>
      <w:r w:rsidR="00B80D35" w:rsidRPr="009E2B03">
        <w:rPr>
          <w:rFonts w:ascii="Calibri Light" w:hAnsi="Calibri Light"/>
          <w:sz w:val="22"/>
        </w:rPr>
        <w:t xml:space="preserve"> Due to the inconsistent definitions of violence</w:t>
      </w:r>
      <w:r w:rsidR="00B50E80" w:rsidRPr="009E2B03">
        <w:rPr>
          <w:rFonts w:ascii="Calibri Light" w:hAnsi="Calibri Light"/>
          <w:sz w:val="22"/>
        </w:rPr>
        <w:t xml:space="preserve"> and recording methods</w:t>
      </w:r>
      <w:r w:rsidR="00B80D35" w:rsidRPr="009E2B03">
        <w:rPr>
          <w:rFonts w:ascii="Calibri Light" w:hAnsi="Calibri Light"/>
          <w:sz w:val="22"/>
        </w:rPr>
        <w:t xml:space="preserve"> used by each jurisdiction it is not possible to directly compare the results between states and territories.</w:t>
      </w:r>
      <w:r w:rsidR="00B50E80" w:rsidRPr="009E2B03">
        <w:rPr>
          <w:rFonts w:ascii="Calibri Light" w:hAnsi="Calibri Light"/>
          <w:sz w:val="22"/>
        </w:rPr>
        <w:t xml:space="preserve"> It should be emphasised that these statistics are experimental and subject to ongoing testing and improvement by ABS, which means they cannot be used to provide a definitive assessment of rates of violence and trends over time, but rather provide an illustrative overview of reported vi</w:t>
      </w:r>
      <w:r w:rsidR="008B313B" w:rsidRPr="009E2B03">
        <w:rPr>
          <w:rFonts w:ascii="Calibri Light" w:hAnsi="Calibri Light"/>
          <w:sz w:val="22"/>
        </w:rPr>
        <w:t>olence by jurisdiction.</w:t>
      </w:r>
    </w:p>
    <w:p w14:paraId="7E7196E7" w14:textId="77777777" w:rsidR="00B717ED" w:rsidRPr="009E2B03" w:rsidRDefault="00B86A87" w:rsidP="00B717ED">
      <w:pPr>
        <w:rPr>
          <w:rFonts w:ascii="Calibri Light" w:hAnsi="Calibri Light"/>
          <w:sz w:val="22"/>
        </w:rPr>
      </w:pPr>
      <w:r w:rsidRPr="009E2B03">
        <w:rPr>
          <w:rFonts w:ascii="Calibri Light" w:hAnsi="Calibri Light"/>
          <w:sz w:val="22"/>
        </w:rPr>
        <w:t>T</w:t>
      </w:r>
      <w:r w:rsidR="00B717ED" w:rsidRPr="009E2B03">
        <w:rPr>
          <w:rFonts w:ascii="Calibri Light" w:hAnsi="Calibri Light"/>
          <w:sz w:val="22"/>
        </w:rPr>
        <w:t>here are clear trends in service usage by women who have experienced domestic violence. For example, over the past four years the number of women in Australia accessing specialist homelessness services due to domestic violence rose by 16 per cent. This trend can be attributed to increased investments in services and supports, and greater accessibility of services for women, particularly those within vulnerable cohorts or in single parented households.</w:t>
      </w:r>
      <w:r w:rsidR="00B717ED" w:rsidRPr="009E2B03">
        <w:rPr>
          <w:rStyle w:val="FootnoteReference"/>
          <w:rFonts w:ascii="Calibri Light" w:hAnsi="Calibri Light"/>
          <w:sz w:val="22"/>
        </w:rPr>
        <w:footnoteReference w:id="139"/>
      </w:r>
      <w:r w:rsidR="00B717ED" w:rsidRPr="009E2B03">
        <w:rPr>
          <w:rFonts w:ascii="Calibri Light" w:hAnsi="Calibri Light"/>
          <w:sz w:val="22"/>
        </w:rPr>
        <w:t xml:space="preserve"> </w:t>
      </w:r>
    </w:p>
    <w:p w14:paraId="04DD0555" w14:textId="77777777" w:rsidR="00417237" w:rsidRDefault="00B717ED" w:rsidP="00417237">
      <w:pPr>
        <w:rPr>
          <w:rFonts w:ascii="Calibri Light" w:hAnsi="Calibri Light"/>
          <w:sz w:val="22"/>
        </w:rPr>
      </w:pPr>
      <w:r w:rsidRPr="009E2B03">
        <w:rPr>
          <w:rFonts w:ascii="Calibri Light" w:hAnsi="Calibri Light"/>
          <w:sz w:val="22"/>
        </w:rPr>
        <w:lastRenderedPageBreak/>
        <w:t xml:space="preserve">In addition, data on the number of clients receiving homelessness services in the 2016 Report on Government Services (RoGS) shows that a significant proportion of clients across all </w:t>
      </w:r>
      <w:r w:rsidR="0000339D" w:rsidRPr="009E2B03">
        <w:rPr>
          <w:rFonts w:ascii="Calibri Light" w:hAnsi="Calibri Light"/>
          <w:sz w:val="22"/>
        </w:rPr>
        <w:t>s</w:t>
      </w:r>
      <w:r w:rsidRPr="009E2B03">
        <w:rPr>
          <w:rFonts w:ascii="Calibri Light" w:hAnsi="Calibri Light"/>
          <w:sz w:val="22"/>
        </w:rPr>
        <w:t xml:space="preserve">tates and </w:t>
      </w:r>
      <w:r w:rsidR="0000339D" w:rsidRPr="009E2B03">
        <w:rPr>
          <w:rFonts w:ascii="Calibri Light" w:hAnsi="Calibri Light"/>
          <w:sz w:val="22"/>
        </w:rPr>
        <w:t>t</w:t>
      </w:r>
      <w:r w:rsidRPr="009E2B03">
        <w:rPr>
          <w:rFonts w:ascii="Calibri Light" w:hAnsi="Calibri Light"/>
          <w:sz w:val="22"/>
        </w:rPr>
        <w:t xml:space="preserve">erritories accessed domestic violence services. </w:t>
      </w:r>
      <w:r w:rsidRPr="009E2B03">
        <w:rPr>
          <w:rFonts w:ascii="Calibri Light" w:hAnsi="Calibri Light"/>
          <w:sz w:val="22"/>
        </w:rPr>
        <w:fldChar w:fldCharType="begin"/>
      </w:r>
      <w:r w:rsidRPr="009E2B03">
        <w:rPr>
          <w:rFonts w:ascii="Calibri Light" w:hAnsi="Calibri Light"/>
          <w:sz w:val="22"/>
        </w:rPr>
        <w:instrText xml:space="preserve"> REF _Ref445381659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Pr>
          <w:rFonts w:ascii="Calibri Light" w:hAnsi="Calibri Light"/>
          <w:sz w:val="22"/>
        </w:rPr>
        <w:br w:type="page"/>
      </w:r>
    </w:p>
    <w:p w14:paraId="66B719DF" w14:textId="77777777" w:rsidR="00B717ED" w:rsidRPr="009E2B03" w:rsidRDefault="00417237" w:rsidP="00B717ED">
      <w:pPr>
        <w:rPr>
          <w:rFonts w:ascii="Calibri Light" w:hAnsi="Calibri Light"/>
          <w:sz w:val="22"/>
        </w:rPr>
      </w:pPr>
      <w:r w:rsidRPr="009E2B03">
        <w:rPr>
          <w:rFonts w:ascii="Calibri Light" w:hAnsi="Calibri Light"/>
          <w:sz w:val="22"/>
        </w:rPr>
        <w:lastRenderedPageBreak/>
        <w:t>Table A</w:t>
      </w:r>
      <w:r w:rsidRPr="009E2B03">
        <w:rPr>
          <w:rFonts w:ascii="Calibri Light" w:hAnsi="Calibri Light"/>
          <w:sz w:val="22"/>
        </w:rPr>
        <w:noBreakHyphen/>
      </w:r>
      <w:r>
        <w:rPr>
          <w:rFonts w:ascii="Calibri Light" w:hAnsi="Calibri Light"/>
          <w:noProof/>
          <w:sz w:val="22"/>
        </w:rPr>
        <w:t>0</w:t>
      </w:r>
      <w:r w:rsidRPr="009E2B03">
        <w:rPr>
          <w:rFonts w:ascii="Calibri Light" w:hAnsi="Calibri Light"/>
          <w:sz w:val="22"/>
        </w:rPr>
        <w:noBreakHyphen/>
      </w:r>
      <w:r>
        <w:rPr>
          <w:rFonts w:ascii="Calibri Light" w:hAnsi="Calibri Light"/>
          <w:noProof/>
          <w:sz w:val="22"/>
        </w:rPr>
        <w:t>2</w:t>
      </w:r>
      <w:r w:rsidR="00B717ED" w:rsidRPr="009E2B03">
        <w:rPr>
          <w:rFonts w:ascii="Calibri Light" w:hAnsi="Calibri Light"/>
          <w:sz w:val="22"/>
        </w:rPr>
        <w:fldChar w:fldCharType="end"/>
      </w:r>
      <w:r w:rsidR="00B717ED" w:rsidRPr="009E2B03">
        <w:rPr>
          <w:rFonts w:ascii="Calibri Light" w:hAnsi="Calibri Light"/>
          <w:sz w:val="22"/>
        </w:rPr>
        <w:t xml:space="preserve"> below provides an overview of the composition of support provided based on percentage of clients. </w:t>
      </w:r>
    </w:p>
    <w:p w14:paraId="5E3FF32B" w14:textId="77777777" w:rsidR="00036345" w:rsidRDefault="00036345" w:rsidP="00B717ED">
      <w:pPr>
        <w:pStyle w:val="Caption"/>
        <w:rPr>
          <w:rFonts w:ascii="Calibri Light" w:hAnsi="Calibri Light" w:cs="Arial"/>
          <w:sz w:val="22"/>
        </w:rPr>
      </w:pPr>
      <w:bookmarkStart w:id="122" w:name="_Ref445381659"/>
      <w:r>
        <w:rPr>
          <w:rFonts w:ascii="Calibri Light" w:hAnsi="Calibri Light" w:cs="Arial"/>
          <w:sz w:val="22"/>
        </w:rPr>
        <w:br w:type="page"/>
      </w:r>
    </w:p>
    <w:p w14:paraId="196866E4" w14:textId="3A0EA0EA" w:rsidR="00B717ED" w:rsidRPr="009E2B03" w:rsidRDefault="00B717ED" w:rsidP="00B717ED">
      <w:pPr>
        <w:pStyle w:val="Caption"/>
        <w:rPr>
          <w:rFonts w:ascii="Calibri Light" w:hAnsi="Calibri Light" w:cs="Arial"/>
          <w:sz w:val="22"/>
        </w:rPr>
      </w:pPr>
      <w:r w:rsidRPr="009E2B03">
        <w:rPr>
          <w:rFonts w:ascii="Calibri Light" w:hAnsi="Calibri Light" w:cs="Arial"/>
          <w:sz w:val="22"/>
        </w:rPr>
        <w:lastRenderedPageBreak/>
        <w:t xml:space="preserve">Table </w:t>
      </w:r>
      <w:r w:rsidR="00E677E0" w:rsidRPr="009E2B03">
        <w:rPr>
          <w:rFonts w:ascii="Calibri Light" w:hAnsi="Calibri Light" w:cs="Arial"/>
          <w:sz w:val="22"/>
        </w:rPr>
        <w:t>A</w:t>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0</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bookmarkEnd w:id="122"/>
      <w:r w:rsidRPr="009E2B03">
        <w:rPr>
          <w:rFonts w:ascii="Calibri Light" w:hAnsi="Calibri Light" w:cs="Arial"/>
          <w:noProof/>
          <w:sz w:val="22"/>
        </w:rPr>
        <w:t>:</w:t>
      </w:r>
      <w:r w:rsidRPr="009E2B03">
        <w:rPr>
          <w:rFonts w:ascii="Calibri Light" w:hAnsi="Calibri Light" w:cs="Arial"/>
          <w:sz w:val="22"/>
        </w:rPr>
        <w:t xml:space="preserve"> Proportion of clients receiving homelessness services, by type of service 2014-15</w:t>
      </w:r>
    </w:p>
    <w:tbl>
      <w:tblPr>
        <w:tblStyle w:val="KPMGtable1"/>
        <w:tblpPr w:leftFromText="180" w:rightFromText="180" w:vertAnchor="text" w:tblpY="44"/>
        <w:tblW w:w="8931" w:type="dxa"/>
        <w:tblLayout w:type="fixed"/>
        <w:tblLook w:val="04A0" w:firstRow="1" w:lastRow="0" w:firstColumn="1" w:lastColumn="0" w:noHBand="0" w:noVBand="1"/>
        <w:tblCaption w:val="Table of information on the proportion of clients receiving homelessness services, by type of service 2014-15"/>
      </w:tblPr>
      <w:tblGrid>
        <w:gridCol w:w="1701"/>
        <w:gridCol w:w="851"/>
        <w:gridCol w:w="1063"/>
        <w:gridCol w:w="886"/>
        <w:gridCol w:w="886"/>
        <w:gridCol w:w="886"/>
        <w:gridCol w:w="886"/>
        <w:gridCol w:w="886"/>
        <w:gridCol w:w="886"/>
      </w:tblGrid>
      <w:tr w:rsidR="00B717ED" w:rsidRPr="009E2B03" w14:paraId="363C4638" w14:textId="77777777" w:rsidTr="00340CAF">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6D2077"/>
            <w:noWrap/>
            <w:vAlign w:val="center"/>
          </w:tcPr>
          <w:p w14:paraId="553FFB5D" w14:textId="77777777" w:rsidR="00B717ED" w:rsidRPr="009E2B03" w:rsidRDefault="00B717ED" w:rsidP="00ED6C12">
            <w:pPr>
              <w:spacing w:before="40" w:after="40"/>
              <w:rPr>
                <w:rFonts w:ascii="Calibri Light" w:hAnsi="Calibri Light" w:cs="Arial"/>
                <w:b/>
                <w:szCs w:val="18"/>
              </w:rPr>
            </w:pPr>
            <w:r w:rsidRPr="009E2B03">
              <w:rPr>
                <w:rFonts w:ascii="Calibri Light" w:hAnsi="Calibri Light" w:cs="Arial"/>
                <w:b/>
                <w:szCs w:val="18"/>
              </w:rPr>
              <w:t>Service type</w:t>
            </w:r>
          </w:p>
        </w:tc>
        <w:tc>
          <w:tcPr>
            <w:tcW w:w="851" w:type="dxa"/>
            <w:shd w:val="clear" w:color="auto" w:fill="6D2077"/>
            <w:noWrap/>
            <w:vAlign w:val="center"/>
          </w:tcPr>
          <w:p w14:paraId="129B0404"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NSW</w:t>
            </w:r>
          </w:p>
          <w:p w14:paraId="5FF5D023"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t>
            </w:r>
          </w:p>
        </w:tc>
        <w:tc>
          <w:tcPr>
            <w:tcW w:w="1063" w:type="dxa"/>
            <w:shd w:val="clear" w:color="auto" w:fill="6D2077"/>
            <w:noWrap/>
            <w:vAlign w:val="center"/>
          </w:tcPr>
          <w:p w14:paraId="743EC1E0"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Vic</w:t>
            </w:r>
            <w:r w:rsidR="0000339D" w:rsidRPr="009E2B03">
              <w:rPr>
                <w:rFonts w:ascii="Calibri Light" w:hAnsi="Calibri Light" w:cs="Arial"/>
                <w:b/>
                <w:szCs w:val="18"/>
              </w:rPr>
              <w:t>.</w:t>
            </w:r>
          </w:p>
          <w:p w14:paraId="26A0B58C"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t>
            </w:r>
          </w:p>
        </w:tc>
        <w:tc>
          <w:tcPr>
            <w:tcW w:w="886" w:type="dxa"/>
            <w:shd w:val="clear" w:color="auto" w:fill="6D2077"/>
            <w:noWrap/>
            <w:vAlign w:val="center"/>
          </w:tcPr>
          <w:p w14:paraId="7E618968"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Qld</w:t>
            </w:r>
          </w:p>
          <w:p w14:paraId="7EE15AE8"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t>
            </w:r>
          </w:p>
        </w:tc>
        <w:tc>
          <w:tcPr>
            <w:tcW w:w="886" w:type="dxa"/>
            <w:shd w:val="clear" w:color="auto" w:fill="6D2077"/>
            <w:noWrap/>
            <w:vAlign w:val="center"/>
          </w:tcPr>
          <w:p w14:paraId="26696780"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WA</w:t>
            </w:r>
          </w:p>
          <w:p w14:paraId="34B45EA9"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t>
            </w:r>
          </w:p>
        </w:tc>
        <w:tc>
          <w:tcPr>
            <w:tcW w:w="886" w:type="dxa"/>
            <w:shd w:val="clear" w:color="auto" w:fill="6D2077"/>
            <w:noWrap/>
            <w:vAlign w:val="center"/>
          </w:tcPr>
          <w:p w14:paraId="06A045FA"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SA</w:t>
            </w:r>
          </w:p>
          <w:p w14:paraId="4DA92D5C"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t>
            </w:r>
          </w:p>
        </w:tc>
        <w:tc>
          <w:tcPr>
            <w:tcW w:w="886" w:type="dxa"/>
            <w:shd w:val="clear" w:color="auto" w:fill="6D2077"/>
            <w:noWrap/>
            <w:vAlign w:val="center"/>
          </w:tcPr>
          <w:p w14:paraId="6E3DFC55" w14:textId="77777777" w:rsidR="00B717ED" w:rsidRPr="009E2B03" w:rsidRDefault="00B717ED" w:rsidP="0071191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T</w:t>
            </w:r>
            <w:r w:rsidR="0000339D" w:rsidRPr="009E2B03">
              <w:rPr>
                <w:rFonts w:ascii="Calibri Light" w:hAnsi="Calibri Light" w:cs="Arial"/>
                <w:b/>
                <w:szCs w:val="18"/>
              </w:rPr>
              <w:t>as.</w:t>
            </w:r>
            <w:r w:rsidR="0000339D" w:rsidRPr="009E2B03" w:rsidDel="0000339D">
              <w:rPr>
                <w:rFonts w:ascii="Calibri Light" w:hAnsi="Calibri Light" w:cs="Arial"/>
                <w:b/>
                <w:szCs w:val="18"/>
              </w:rPr>
              <w:t xml:space="preserve"> </w:t>
            </w:r>
            <w:r w:rsidR="0000339D" w:rsidRPr="009E2B03">
              <w:rPr>
                <w:rFonts w:ascii="Calibri Light" w:hAnsi="Calibri Light" w:cs="Arial"/>
                <w:b/>
                <w:szCs w:val="18"/>
              </w:rPr>
              <w:t>(%)</w:t>
            </w:r>
          </w:p>
        </w:tc>
        <w:tc>
          <w:tcPr>
            <w:tcW w:w="886" w:type="dxa"/>
            <w:shd w:val="clear" w:color="auto" w:fill="6D2077"/>
            <w:noWrap/>
            <w:vAlign w:val="center"/>
          </w:tcPr>
          <w:p w14:paraId="5B0647E2"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ACT</w:t>
            </w:r>
          </w:p>
          <w:p w14:paraId="1B007E73"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t>
            </w:r>
          </w:p>
        </w:tc>
        <w:tc>
          <w:tcPr>
            <w:tcW w:w="886" w:type="dxa"/>
            <w:shd w:val="clear" w:color="auto" w:fill="6D2077"/>
            <w:noWrap/>
            <w:vAlign w:val="center"/>
          </w:tcPr>
          <w:p w14:paraId="7CFFB0FB"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NT</w:t>
            </w:r>
          </w:p>
          <w:p w14:paraId="783577A7" w14:textId="77777777" w:rsidR="00B717ED" w:rsidRPr="009E2B03" w:rsidRDefault="00B717ED" w:rsidP="00ED6C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w:t>
            </w:r>
          </w:p>
        </w:tc>
      </w:tr>
      <w:tr w:rsidR="00B717ED" w:rsidRPr="009E2B03" w14:paraId="58C6F322"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415E9242"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 xml:space="preserve">Accommodation </w:t>
            </w:r>
          </w:p>
        </w:tc>
        <w:tc>
          <w:tcPr>
            <w:tcW w:w="851" w:type="dxa"/>
            <w:noWrap/>
            <w:vAlign w:val="center"/>
            <w:hideMark/>
          </w:tcPr>
          <w:p w14:paraId="641DC57E"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37.4</w:t>
            </w:r>
          </w:p>
        </w:tc>
        <w:tc>
          <w:tcPr>
            <w:tcW w:w="1063" w:type="dxa"/>
            <w:noWrap/>
            <w:vAlign w:val="center"/>
            <w:hideMark/>
          </w:tcPr>
          <w:p w14:paraId="652E529B"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23.8</w:t>
            </w:r>
          </w:p>
        </w:tc>
        <w:tc>
          <w:tcPr>
            <w:tcW w:w="886" w:type="dxa"/>
            <w:noWrap/>
            <w:vAlign w:val="center"/>
            <w:hideMark/>
          </w:tcPr>
          <w:p w14:paraId="3D23EA5D"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45.7</w:t>
            </w:r>
          </w:p>
        </w:tc>
        <w:tc>
          <w:tcPr>
            <w:tcW w:w="886" w:type="dxa"/>
            <w:noWrap/>
            <w:vAlign w:val="center"/>
            <w:hideMark/>
          </w:tcPr>
          <w:p w14:paraId="25E2B46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45.8</w:t>
            </w:r>
          </w:p>
        </w:tc>
        <w:tc>
          <w:tcPr>
            <w:tcW w:w="886" w:type="dxa"/>
            <w:noWrap/>
            <w:vAlign w:val="center"/>
            <w:hideMark/>
          </w:tcPr>
          <w:p w14:paraId="052F72E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27.5</w:t>
            </w:r>
          </w:p>
        </w:tc>
        <w:tc>
          <w:tcPr>
            <w:tcW w:w="886" w:type="dxa"/>
            <w:noWrap/>
            <w:vAlign w:val="center"/>
            <w:hideMark/>
          </w:tcPr>
          <w:p w14:paraId="0857536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36.0</w:t>
            </w:r>
          </w:p>
        </w:tc>
        <w:tc>
          <w:tcPr>
            <w:tcW w:w="886" w:type="dxa"/>
            <w:noWrap/>
            <w:vAlign w:val="center"/>
            <w:hideMark/>
          </w:tcPr>
          <w:p w14:paraId="192716D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38.3</w:t>
            </w:r>
          </w:p>
        </w:tc>
        <w:tc>
          <w:tcPr>
            <w:tcW w:w="886" w:type="dxa"/>
            <w:noWrap/>
            <w:vAlign w:val="center"/>
            <w:hideMark/>
          </w:tcPr>
          <w:p w14:paraId="0BA51FF0"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55.8</w:t>
            </w:r>
          </w:p>
        </w:tc>
      </w:tr>
      <w:tr w:rsidR="00B717ED" w:rsidRPr="009E2B03" w14:paraId="4849BD2D"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636A3AFD"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Assistance to sustain housing</w:t>
            </w:r>
          </w:p>
        </w:tc>
        <w:tc>
          <w:tcPr>
            <w:tcW w:w="851" w:type="dxa"/>
            <w:noWrap/>
            <w:vAlign w:val="center"/>
            <w:hideMark/>
          </w:tcPr>
          <w:p w14:paraId="7D65DB5E"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34.2</w:t>
            </w:r>
          </w:p>
        </w:tc>
        <w:tc>
          <w:tcPr>
            <w:tcW w:w="1063" w:type="dxa"/>
            <w:noWrap/>
            <w:vAlign w:val="center"/>
            <w:hideMark/>
          </w:tcPr>
          <w:p w14:paraId="479D8EB9"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29.0</w:t>
            </w:r>
          </w:p>
        </w:tc>
        <w:tc>
          <w:tcPr>
            <w:tcW w:w="886" w:type="dxa"/>
            <w:noWrap/>
            <w:vAlign w:val="center"/>
            <w:hideMark/>
          </w:tcPr>
          <w:p w14:paraId="02792681"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32.2</w:t>
            </w:r>
          </w:p>
        </w:tc>
        <w:tc>
          <w:tcPr>
            <w:tcW w:w="886" w:type="dxa"/>
            <w:noWrap/>
            <w:vAlign w:val="center"/>
            <w:hideMark/>
          </w:tcPr>
          <w:p w14:paraId="7CC6C76D"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16.5</w:t>
            </w:r>
          </w:p>
        </w:tc>
        <w:tc>
          <w:tcPr>
            <w:tcW w:w="886" w:type="dxa"/>
            <w:noWrap/>
            <w:vAlign w:val="center"/>
            <w:hideMark/>
          </w:tcPr>
          <w:p w14:paraId="70DD930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14.9</w:t>
            </w:r>
          </w:p>
        </w:tc>
        <w:tc>
          <w:tcPr>
            <w:tcW w:w="886" w:type="dxa"/>
            <w:noWrap/>
            <w:vAlign w:val="center"/>
            <w:hideMark/>
          </w:tcPr>
          <w:p w14:paraId="7F5DD8F1"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23.4</w:t>
            </w:r>
          </w:p>
        </w:tc>
        <w:tc>
          <w:tcPr>
            <w:tcW w:w="886" w:type="dxa"/>
            <w:noWrap/>
            <w:vAlign w:val="center"/>
            <w:hideMark/>
          </w:tcPr>
          <w:p w14:paraId="4E58835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40.7</w:t>
            </w:r>
          </w:p>
        </w:tc>
        <w:tc>
          <w:tcPr>
            <w:tcW w:w="886" w:type="dxa"/>
            <w:noWrap/>
            <w:vAlign w:val="center"/>
            <w:hideMark/>
          </w:tcPr>
          <w:p w14:paraId="34B2BEAD"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22.7</w:t>
            </w:r>
          </w:p>
        </w:tc>
      </w:tr>
      <w:tr w:rsidR="00B717ED" w:rsidRPr="009E2B03" w14:paraId="362E56D4"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4FEB4861"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Mental health services</w:t>
            </w:r>
          </w:p>
        </w:tc>
        <w:tc>
          <w:tcPr>
            <w:tcW w:w="851" w:type="dxa"/>
            <w:noWrap/>
            <w:vAlign w:val="center"/>
            <w:hideMark/>
          </w:tcPr>
          <w:p w14:paraId="104493B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7.1</w:t>
            </w:r>
          </w:p>
        </w:tc>
        <w:tc>
          <w:tcPr>
            <w:tcW w:w="1063" w:type="dxa"/>
            <w:noWrap/>
            <w:vAlign w:val="center"/>
            <w:hideMark/>
          </w:tcPr>
          <w:p w14:paraId="31E2E111"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4.2</w:t>
            </w:r>
          </w:p>
        </w:tc>
        <w:tc>
          <w:tcPr>
            <w:tcW w:w="886" w:type="dxa"/>
            <w:noWrap/>
            <w:vAlign w:val="center"/>
            <w:hideMark/>
          </w:tcPr>
          <w:p w14:paraId="67E11500"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4.2</w:t>
            </w:r>
          </w:p>
        </w:tc>
        <w:tc>
          <w:tcPr>
            <w:tcW w:w="886" w:type="dxa"/>
            <w:noWrap/>
            <w:vAlign w:val="center"/>
            <w:hideMark/>
          </w:tcPr>
          <w:p w14:paraId="40EF9A4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4.8</w:t>
            </w:r>
          </w:p>
        </w:tc>
        <w:tc>
          <w:tcPr>
            <w:tcW w:w="886" w:type="dxa"/>
            <w:noWrap/>
            <w:vAlign w:val="center"/>
            <w:hideMark/>
          </w:tcPr>
          <w:p w14:paraId="42FFA57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0.3</w:t>
            </w:r>
          </w:p>
        </w:tc>
        <w:tc>
          <w:tcPr>
            <w:tcW w:w="886" w:type="dxa"/>
            <w:noWrap/>
            <w:vAlign w:val="center"/>
            <w:hideMark/>
          </w:tcPr>
          <w:p w14:paraId="647B74C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3.3</w:t>
            </w:r>
          </w:p>
        </w:tc>
        <w:tc>
          <w:tcPr>
            <w:tcW w:w="886" w:type="dxa"/>
            <w:noWrap/>
            <w:vAlign w:val="center"/>
            <w:hideMark/>
          </w:tcPr>
          <w:p w14:paraId="6F3B2EF5"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7.2</w:t>
            </w:r>
          </w:p>
        </w:tc>
        <w:tc>
          <w:tcPr>
            <w:tcW w:w="886" w:type="dxa"/>
            <w:noWrap/>
            <w:vAlign w:val="center"/>
            <w:hideMark/>
          </w:tcPr>
          <w:p w14:paraId="4C85703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3.0</w:t>
            </w:r>
          </w:p>
        </w:tc>
      </w:tr>
      <w:tr w:rsidR="00B717ED" w:rsidRPr="009E2B03" w14:paraId="285984FD"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2AC5D7FC"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Family services</w:t>
            </w:r>
          </w:p>
        </w:tc>
        <w:tc>
          <w:tcPr>
            <w:tcW w:w="851" w:type="dxa"/>
            <w:noWrap/>
            <w:vAlign w:val="center"/>
            <w:hideMark/>
          </w:tcPr>
          <w:p w14:paraId="02FBB7A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8.9</w:t>
            </w:r>
          </w:p>
        </w:tc>
        <w:tc>
          <w:tcPr>
            <w:tcW w:w="1063" w:type="dxa"/>
            <w:noWrap/>
            <w:vAlign w:val="center"/>
            <w:hideMark/>
          </w:tcPr>
          <w:p w14:paraId="0DC0C0E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5.0</w:t>
            </w:r>
          </w:p>
        </w:tc>
        <w:tc>
          <w:tcPr>
            <w:tcW w:w="886" w:type="dxa"/>
            <w:noWrap/>
            <w:vAlign w:val="center"/>
            <w:hideMark/>
          </w:tcPr>
          <w:p w14:paraId="36B646B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5.7</w:t>
            </w:r>
          </w:p>
        </w:tc>
        <w:tc>
          <w:tcPr>
            <w:tcW w:w="886" w:type="dxa"/>
            <w:noWrap/>
            <w:vAlign w:val="center"/>
            <w:hideMark/>
          </w:tcPr>
          <w:p w14:paraId="09C3228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8.3</w:t>
            </w:r>
          </w:p>
        </w:tc>
        <w:tc>
          <w:tcPr>
            <w:tcW w:w="886" w:type="dxa"/>
            <w:noWrap/>
            <w:vAlign w:val="center"/>
            <w:hideMark/>
          </w:tcPr>
          <w:p w14:paraId="1E0FBB2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3.6</w:t>
            </w:r>
          </w:p>
        </w:tc>
        <w:tc>
          <w:tcPr>
            <w:tcW w:w="886" w:type="dxa"/>
            <w:noWrap/>
            <w:vAlign w:val="center"/>
            <w:hideMark/>
          </w:tcPr>
          <w:p w14:paraId="5C8ABC0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5.2</w:t>
            </w:r>
          </w:p>
        </w:tc>
        <w:tc>
          <w:tcPr>
            <w:tcW w:w="886" w:type="dxa"/>
            <w:noWrap/>
            <w:vAlign w:val="center"/>
            <w:hideMark/>
          </w:tcPr>
          <w:p w14:paraId="515C269E"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11.7</w:t>
            </w:r>
          </w:p>
        </w:tc>
        <w:tc>
          <w:tcPr>
            <w:tcW w:w="886" w:type="dxa"/>
            <w:noWrap/>
            <w:vAlign w:val="center"/>
            <w:hideMark/>
          </w:tcPr>
          <w:p w14:paraId="57425F9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6.4</w:t>
            </w:r>
          </w:p>
        </w:tc>
      </w:tr>
      <w:tr w:rsidR="00B717ED" w:rsidRPr="009E2B03" w14:paraId="04EB31F4"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0D4F97AF"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Disability services</w:t>
            </w:r>
          </w:p>
        </w:tc>
        <w:tc>
          <w:tcPr>
            <w:tcW w:w="851" w:type="dxa"/>
            <w:noWrap/>
            <w:vAlign w:val="center"/>
            <w:hideMark/>
          </w:tcPr>
          <w:p w14:paraId="417AC9C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0.7</w:t>
            </w:r>
          </w:p>
        </w:tc>
        <w:tc>
          <w:tcPr>
            <w:tcW w:w="1063" w:type="dxa"/>
            <w:noWrap/>
            <w:vAlign w:val="center"/>
            <w:hideMark/>
          </w:tcPr>
          <w:p w14:paraId="1E9B896C"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0.4</w:t>
            </w:r>
          </w:p>
        </w:tc>
        <w:tc>
          <w:tcPr>
            <w:tcW w:w="886" w:type="dxa"/>
            <w:noWrap/>
            <w:vAlign w:val="center"/>
            <w:hideMark/>
          </w:tcPr>
          <w:p w14:paraId="4FF3BB91"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0.5</w:t>
            </w:r>
          </w:p>
        </w:tc>
        <w:tc>
          <w:tcPr>
            <w:tcW w:w="886" w:type="dxa"/>
            <w:noWrap/>
            <w:vAlign w:val="center"/>
            <w:hideMark/>
          </w:tcPr>
          <w:p w14:paraId="546F808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0.3</w:t>
            </w:r>
          </w:p>
        </w:tc>
        <w:tc>
          <w:tcPr>
            <w:tcW w:w="886" w:type="dxa"/>
            <w:noWrap/>
            <w:vAlign w:val="center"/>
            <w:hideMark/>
          </w:tcPr>
          <w:p w14:paraId="54A235CC"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t>
            </w:r>
          </w:p>
        </w:tc>
        <w:tc>
          <w:tcPr>
            <w:tcW w:w="886" w:type="dxa"/>
            <w:noWrap/>
            <w:vAlign w:val="center"/>
            <w:hideMark/>
          </w:tcPr>
          <w:p w14:paraId="6DF6B7E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0.3</w:t>
            </w:r>
          </w:p>
        </w:tc>
        <w:tc>
          <w:tcPr>
            <w:tcW w:w="886" w:type="dxa"/>
            <w:noWrap/>
            <w:vAlign w:val="center"/>
            <w:hideMark/>
          </w:tcPr>
          <w:p w14:paraId="2CF9651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0.9</w:t>
            </w:r>
          </w:p>
        </w:tc>
        <w:tc>
          <w:tcPr>
            <w:tcW w:w="886" w:type="dxa"/>
            <w:noWrap/>
            <w:vAlign w:val="center"/>
            <w:hideMark/>
          </w:tcPr>
          <w:p w14:paraId="76A722B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0.5</w:t>
            </w:r>
          </w:p>
        </w:tc>
      </w:tr>
      <w:tr w:rsidR="00B717ED" w:rsidRPr="009E2B03" w14:paraId="126A5960"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4DE81A1B"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Drug/alcohol assistance</w:t>
            </w:r>
          </w:p>
        </w:tc>
        <w:tc>
          <w:tcPr>
            <w:tcW w:w="851" w:type="dxa"/>
            <w:noWrap/>
            <w:vAlign w:val="center"/>
            <w:hideMark/>
          </w:tcPr>
          <w:p w14:paraId="5C3E6E0D"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4.5</w:t>
            </w:r>
          </w:p>
        </w:tc>
        <w:tc>
          <w:tcPr>
            <w:tcW w:w="1063" w:type="dxa"/>
            <w:noWrap/>
            <w:vAlign w:val="center"/>
            <w:hideMark/>
          </w:tcPr>
          <w:p w14:paraId="6210C64E"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1.7</w:t>
            </w:r>
          </w:p>
        </w:tc>
        <w:tc>
          <w:tcPr>
            <w:tcW w:w="886" w:type="dxa"/>
            <w:noWrap/>
            <w:vAlign w:val="center"/>
            <w:hideMark/>
          </w:tcPr>
          <w:p w14:paraId="38949985"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1.8</w:t>
            </w:r>
          </w:p>
        </w:tc>
        <w:tc>
          <w:tcPr>
            <w:tcW w:w="886" w:type="dxa"/>
            <w:noWrap/>
            <w:vAlign w:val="center"/>
            <w:hideMark/>
          </w:tcPr>
          <w:p w14:paraId="37D24E78"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2.3</w:t>
            </w:r>
          </w:p>
        </w:tc>
        <w:tc>
          <w:tcPr>
            <w:tcW w:w="886" w:type="dxa"/>
            <w:noWrap/>
            <w:vAlign w:val="center"/>
            <w:hideMark/>
          </w:tcPr>
          <w:p w14:paraId="1A19328E"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0.2</w:t>
            </w:r>
          </w:p>
        </w:tc>
        <w:tc>
          <w:tcPr>
            <w:tcW w:w="886" w:type="dxa"/>
            <w:noWrap/>
            <w:vAlign w:val="center"/>
            <w:hideMark/>
          </w:tcPr>
          <w:p w14:paraId="53B526B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1.8</w:t>
            </w:r>
          </w:p>
        </w:tc>
        <w:tc>
          <w:tcPr>
            <w:tcW w:w="886" w:type="dxa"/>
            <w:noWrap/>
            <w:vAlign w:val="center"/>
            <w:hideMark/>
          </w:tcPr>
          <w:p w14:paraId="679AE5A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5.2</w:t>
            </w:r>
          </w:p>
        </w:tc>
        <w:tc>
          <w:tcPr>
            <w:tcW w:w="886" w:type="dxa"/>
            <w:noWrap/>
            <w:vAlign w:val="center"/>
            <w:hideMark/>
          </w:tcPr>
          <w:p w14:paraId="3C689008"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2.2</w:t>
            </w:r>
          </w:p>
        </w:tc>
      </w:tr>
      <w:tr w:rsidR="00B717ED" w:rsidRPr="009E2B03" w14:paraId="16B3BCA5"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14F382E2"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Legal/financial services</w:t>
            </w:r>
          </w:p>
        </w:tc>
        <w:tc>
          <w:tcPr>
            <w:tcW w:w="851" w:type="dxa"/>
            <w:noWrap/>
            <w:vAlign w:val="center"/>
            <w:hideMark/>
          </w:tcPr>
          <w:p w14:paraId="5CF0C4C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6.0</w:t>
            </w:r>
          </w:p>
        </w:tc>
        <w:tc>
          <w:tcPr>
            <w:tcW w:w="1063" w:type="dxa"/>
            <w:noWrap/>
            <w:vAlign w:val="center"/>
            <w:hideMark/>
          </w:tcPr>
          <w:p w14:paraId="1BB92A35"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4.5</w:t>
            </w:r>
          </w:p>
        </w:tc>
        <w:tc>
          <w:tcPr>
            <w:tcW w:w="886" w:type="dxa"/>
            <w:noWrap/>
            <w:vAlign w:val="center"/>
            <w:hideMark/>
          </w:tcPr>
          <w:p w14:paraId="29950407"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5.5</w:t>
            </w:r>
          </w:p>
        </w:tc>
        <w:tc>
          <w:tcPr>
            <w:tcW w:w="886" w:type="dxa"/>
            <w:noWrap/>
            <w:vAlign w:val="center"/>
            <w:hideMark/>
          </w:tcPr>
          <w:p w14:paraId="54C8530A"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4.2</w:t>
            </w:r>
          </w:p>
        </w:tc>
        <w:tc>
          <w:tcPr>
            <w:tcW w:w="886" w:type="dxa"/>
            <w:noWrap/>
            <w:vAlign w:val="center"/>
            <w:hideMark/>
          </w:tcPr>
          <w:p w14:paraId="24267FF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0.9</w:t>
            </w:r>
          </w:p>
        </w:tc>
        <w:tc>
          <w:tcPr>
            <w:tcW w:w="886" w:type="dxa"/>
            <w:noWrap/>
            <w:vAlign w:val="center"/>
            <w:hideMark/>
          </w:tcPr>
          <w:p w14:paraId="74075488"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2.4</w:t>
            </w:r>
          </w:p>
        </w:tc>
        <w:tc>
          <w:tcPr>
            <w:tcW w:w="886" w:type="dxa"/>
            <w:noWrap/>
            <w:vAlign w:val="center"/>
            <w:hideMark/>
          </w:tcPr>
          <w:p w14:paraId="5842DBA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8.9</w:t>
            </w:r>
          </w:p>
        </w:tc>
        <w:tc>
          <w:tcPr>
            <w:tcW w:w="886" w:type="dxa"/>
            <w:noWrap/>
            <w:vAlign w:val="center"/>
            <w:hideMark/>
          </w:tcPr>
          <w:p w14:paraId="17F114B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6.2</w:t>
            </w:r>
          </w:p>
        </w:tc>
      </w:tr>
      <w:tr w:rsidR="00B717ED" w:rsidRPr="009E2B03" w14:paraId="75167A9C"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0858C077"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Immigration/</w:t>
            </w:r>
            <w:r w:rsidR="0000339D" w:rsidRPr="009E2B03">
              <w:rPr>
                <w:rFonts w:ascii="Calibri Light" w:hAnsi="Calibri Light" w:cs="Arial"/>
                <w:szCs w:val="18"/>
              </w:rPr>
              <w:br/>
            </w:r>
            <w:r w:rsidRPr="009E2B03">
              <w:rPr>
                <w:rFonts w:ascii="Calibri Light" w:hAnsi="Calibri Light" w:cs="Arial"/>
                <w:szCs w:val="18"/>
              </w:rPr>
              <w:t>cultural services</w:t>
            </w:r>
          </w:p>
        </w:tc>
        <w:tc>
          <w:tcPr>
            <w:tcW w:w="851" w:type="dxa"/>
            <w:noWrap/>
            <w:vAlign w:val="center"/>
            <w:hideMark/>
          </w:tcPr>
          <w:p w14:paraId="4FDC436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6.7</w:t>
            </w:r>
          </w:p>
        </w:tc>
        <w:tc>
          <w:tcPr>
            <w:tcW w:w="1063" w:type="dxa"/>
            <w:noWrap/>
            <w:vAlign w:val="center"/>
            <w:hideMark/>
          </w:tcPr>
          <w:p w14:paraId="5012029B"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4.9</w:t>
            </w:r>
          </w:p>
        </w:tc>
        <w:tc>
          <w:tcPr>
            <w:tcW w:w="886" w:type="dxa"/>
            <w:noWrap/>
            <w:vAlign w:val="center"/>
            <w:hideMark/>
          </w:tcPr>
          <w:p w14:paraId="5DFAE5C0"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3.9</w:t>
            </w:r>
          </w:p>
        </w:tc>
        <w:tc>
          <w:tcPr>
            <w:tcW w:w="886" w:type="dxa"/>
            <w:noWrap/>
            <w:vAlign w:val="center"/>
            <w:hideMark/>
          </w:tcPr>
          <w:p w14:paraId="7D4CD0BC"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8.1</w:t>
            </w:r>
          </w:p>
        </w:tc>
        <w:tc>
          <w:tcPr>
            <w:tcW w:w="886" w:type="dxa"/>
            <w:noWrap/>
            <w:vAlign w:val="center"/>
            <w:hideMark/>
          </w:tcPr>
          <w:p w14:paraId="06F0C24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4.2</w:t>
            </w:r>
          </w:p>
        </w:tc>
        <w:tc>
          <w:tcPr>
            <w:tcW w:w="886" w:type="dxa"/>
            <w:noWrap/>
            <w:vAlign w:val="center"/>
            <w:hideMark/>
          </w:tcPr>
          <w:p w14:paraId="5D59A23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0.8</w:t>
            </w:r>
          </w:p>
        </w:tc>
        <w:tc>
          <w:tcPr>
            <w:tcW w:w="886" w:type="dxa"/>
            <w:noWrap/>
            <w:vAlign w:val="center"/>
            <w:hideMark/>
          </w:tcPr>
          <w:p w14:paraId="52B0E6F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8.7</w:t>
            </w:r>
          </w:p>
        </w:tc>
        <w:tc>
          <w:tcPr>
            <w:tcW w:w="886" w:type="dxa"/>
            <w:noWrap/>
            <w:vAlign w:val="center"/>
            <w:hideMark/>
          </w:tcPr>
          <w:p w14:paraId="679909B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19.2</w:t>
            </w:r>
          </w:p>
        </w:tc>
      </w:tr>
      <w:tr w:rsidR="00B717ED" w:rsidRPr="009E2B03" w14:paraId="4BC9B9DC"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7A6A974C"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Domestic violence services</w:t>
            </w:r>
          </w:p>
        </w:tc>
        <w:tc>
          <w:tcPr>
            <w:tcW w:w="851" w:type="dxa"/>
            <w:noWrap/>
            <w:vAlign w:val="center"/>
            <w:hideMark/>
          </w:tcPr>
          <w:p w14:paraId="663B3CB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20.5</w:t>
            </w:r>
          </w:p>
        </w:tc>
        <w:tc>
          <w:tcPr>
            <w:tcW w:w="1063" w:type="dxa"/>
            <w:noWrap/>
            <w:vAlign w:val="center"/>
            <w:hideMark/>
          </w:tcPr>
          <w:p w14:paraId="099506E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29.1</w:t>
            </w:r>
          </w:p>
        </w:tc>
        <w:tc>
          <w:tcPr>
            <w:tcW w:w="886" w:type="dxa"/>
            <w:noWrap/>
            <w:vAlign w:val="center"/>
            <w:hideMark/>
          </w:tcPr>
          <w:p w14:paraId="3537B91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15.4</w:t>
            </w:r>
          </w:p>
        </w:tc>
        <w:tc>
          <w:tcPr>
            <w:tcW w:w="886" w:type="dxa"/>
            <w:noWrap/>
            <w:vAlign w:val="center"/>
            <w:hideMark/>
          </w:tcPr>
          <w:p w14:paraId="35C599E0"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26.6</w:t>
            </w:r>
          </w:p>
        </w:tc>
        <w:tc>
          <w:tcPr>
            <w:tcW w:w="886" w:type="dxa"/>
            <w:noWrap/>
            <w:vAlign w:val="center"/>
            <w:hideMark/>
          </w:tcPr>
          <w:p w14:paraId="78AD0861"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19.1</w:t>
            </w:r>
          </w:p>
        </w:tc>
        <w:tc>
          <w:tcPr>
            <w:tcW w:w="886" w:type="dxa"/>
            <w:noWrap/>
            <w:vAlign w:val="center"/>
            <w:hideMark/>
          </w:tcPr>
          <w:p w14:paraId="2127618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8.8</w:t>
            </w:r>
          </w:p>
        </w:tc>
        <w:tc>
          <w:tcPr>
            <w:tcW w:w="886" w:type="dxa"/>
            <w:noWrap/>
            <w:vAlign w:val="center"/>
            <w:hideMark/>
          </w:tcPr>
          <w:p w14:paraId="7ED6693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13.9</w:t>
            </w:r>
          </w:p>
        </w:tc>
        <w:tc>
          <w:tcPr>
            <w:tcW w:w="886" w:type="dxa"/>
            <w:noWrap/>
            <w:vAlign w:val="center"/>
            <w:hideMark/>
          </w:tcPr>
          <w:p w14:paraId="028F3AA7"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27.9</w:t>
            </w:r>
          </w:p>
        </w:tc>
      </w:tr>
      <w:tr w:rsidR="00B717ED" w:rsidRPr="009E2B03" w14:paraId="029DE374"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14EC18AD"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Other specialist services</w:t>
            </w:r>
          </w:p>
        </w:tc>
        <w:tc>
          <w:tcPr>
            <w:tcW w:w="851" w:type="dxa"/>
            <w:noWrap/>
            <w:vAlign w:val="center"/>
            <w:hideMark/>
          </w:tcPr>
          <w:p w14:paraId="407B509B"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20.2</w:t>
            </w:r>
          </w:p>
        </w:tc>
        <w:tc>
          <w:tcPr>
            <w:tcW w:w="1063" w:type="dxa"/>
            <w:noWrap/>
            <w:vAlign w:val="center"/>
            <w:hideMark/>
          </w:tcPr>
          <w:p w14:paraId="55D02725"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10.1</w:t>
            </w:r>
          </w:p>
        </w:tc>
        <w:tc>
          <w:tcPr>
            <w:tcW w:w="886" w:type="dxa"/>
            <w:noWrap/>
            <w:vAlign w:val="center"/>
            <w:hideMark/>
          </w:tcPr>
          <w:p w14:paraId="2D7A924E"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15.8</w:t>
            </w:r>
          </w:p>
        </w:tc>
        <w:tc>
          <w:tcPr>
            <w:tcW w:w="886" w:type="dxa"/>
            <w:noWrap/>
            <w:vAlign w:val="center"/>
            <w:hideMark/>
          </w:tcPr>
          <w:p w14:paraId="524B885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14.5</w:t>
            </w:r>
          </w:p>
        </w:tc>
        <w:tc>
          <w:tcPr>
            <w:tcW w:w="886" w:type="dxa"/>
            <w:noWrap/>
            <w:vAlign w:val="center"/>
            <w:hideMark/>
          </w:tcPr>
          <w:p w14:paraId="36BA287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7.8</w:t>
            </w:r>
          </w:p>
        </w:tc>
        <w:tc>
          <w:tcPr>
            <w:tcW w:w="886" w:type="dxa"/>
            <w:noWrap/>
            <w:vAlign w:val="center"/>
            <w:hideMark/>
          </w:tcPr>
          <w:p w14:paraId="1EAEC27C"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8.0</w:t>
            </w:r>
          </w:p>
        </w:tc>
        <w:tc>
          <w:tcPr>
            <w:tcW w:w="886" w:type="dxa"/>
            <w:noWrap/>
            <w:vAlign w:val="center"/>
            <w:hideMark/>
          </w:tcPr>
          <w:p w14:paraId="3167C871"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22.3</w:t>
            </w:r>
          </w:p>
        </w:tc>
        <w:tc>
          <w:tcPr>
            <w:tcW w:w="886" w:type="dxa"/>
            <w:noWrap/>
            <w:vAlign w:val="center"/>
            <w:hideMark/>
          </w:tcPr>
          <w:p w14:paraId="7581762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27.4</w:t>
            </w:r>
          </w:p>
        </w:tc>
      </w:tr>
      <w:tr w:rsidR="00B717ED" w:rsidRPr="009E2B03" w14:paraId="1015393D"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7E2B783B" w14:textId="77777777" w:rsidR="00B717ED" w:rsidRPr="009E2B03" w:rsidRDefault="00B717ED" w:rsidP="00ED6C12">
            <w:pPr>
              <w:spacing w:before="40" w:after="40"/>
              <w:rPr>
                <w:rFonts w:ascii="Calibri Light" w:hAnsi="Calibri Light" w:cs="Arial"/>
                <w:szCs w:val="18"/>
              </w:rPr>
            </w:pPr>
            <w:r w:rsidRPr="009E2B03">
              <w:rPr>
                <w:rFonts w:ascii="Calibri Light" w:hAnsi="Calibri Light" w:cs="Arial"/>
                <w:szCs w:val="18"/>
              </w:rPr>
              <w:t>General services</w:t>
            </w:r>
          </w:p>
        </w:tc>
        <w:tc>
          <w:tcPr>
            <w:tcW w:w="851" w:type="dxa"/>
            <w:noWrap/>
            <w:vAlign w:val="center"/>
            <w:hideMark/>
          </w:tcPr>
          <w:p w14:paraId="64B07E3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92.7</w:t>
            </w:r>
          </w:p>
        </w:tc>
        <w:tc>
          <w:tcPr>
            <w:tcW w:w="1063" w:type="dxa"/>
            <w:noWrap/>
            <w:vAlign w:val="center"/>
            <w:hideMark/>
          </w:tcPr>
          <w:p w14:paraId="61E82FB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87.1</w:t>
            </w:r>
          </w:p>
        </w:tc>
        <w:tc>
          <w:tcPr>
            <w:tcW w:w="886" w:type="dxa"/>
            <w:noWrap/>
            <w:vAlign w:val="center"/>
            <w:hideMark/>
          </w:tcPr>
          <w:p w14:paraId="237C8BB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91.2</w:t>
            </w:r>
          </w:p>
        </w:tc>
        <w:tc>
          <w:tcPr>
            <w:tcW w:w="886" w:type="dxa"/>
            <w:noWrap/>
            <w:vAlign w:val="center"/>
            <w:hideMark/>
          </w:tcPr>
          <w:p w14:paraId="7C083FA5"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95.0</w:t>
            </w:r>
          </w:p>
        </w:tc>
        <w:tc>
          <w:tcPr>
            <w:tcW w:w="886" w:type="dxa"/>
            <w:noWrap/>
            <w:vAlign w:val="center"/>
            <w:hideMark/>
          </w:tcPr>
          <w:p w14:paraId="637E932D"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99.2</w:t>
            </w:r>
          </w:p>
        </w:tc>
        <w:tc>
          <w:tcPr>
            <w:tcW w:w="886" w:type="dxa"/>
            <w:noWrap/>
            <w:vAlign w:val="center"/>
            <w:hideMark/>
          </w:tcPr>
          <w:p w14:paraId="09E11778"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85.1</w:t>
            </w:r>
          </w:p>
        </w:tc>
        <w:tc>
          <w:tcPr>
            <w:tcW w:w="886" w:type="dxa"/>
            <w:noWrap/>
            <w:vAlign w:val="center"/>
            <w:hideMark/>
          </w:tcPr>
          <w:p w14:paraId="1B4DFC36"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92.0</w:t>
            </w:r>
          </w:p>
        </w:tc>
        <w:tc>
          <w:tcPr>
            <w:tcW w:w="886" w:type="dxa"/>
            <w:noWrap/>
            <w:vAlign w:val="center"/>
            <w:hideMark/>
          </w:tcPr>
          <w:p w14:paraId="19D15E24"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  95.6</w:t>
            </w:r>
          </w:p>
        </w:tc>
      </w:tr>
      <w:tr w:rsidR="00B717ED" w:rsidRPr="009E2B03" w14:paraId="6DE630CA" w14:textId="77777777" w:rsidTr="00340CAF">
        <w:trPr>
          <w:trHeight w:val="332"/>
        </w:trPr>
        <w:tc>
          <w:tcPr>
            <w:cnfStyle w:val="001000000000" w:firstRow="0" w:lastRow="0" w:firstColumn="1" w:lastColumn="0" w:oddVBand="0" w:evenVBand="0" w:oddHBand="0" w:evenHBand="0" w:firstRowFirstColumn="0" w:firstRowLastColumn="0" w:lastRowFirstColumn="0" w:lastRowLastColumn="0"/>
            <w:tcW w:w="1701" w:type="dxa"/>
            <w:shd w:val="clear" w:color="auto" w:fill="F3F0F4"/>
            <w:noWrap/>
            <w:vAlign w:val="center"/>
            <w:hideMark/>
          </w:tcPr>
          <w:p w14:paraId="19418871" w14:textId="77777777" w:rsidR="00B717ED" w:rsidRPr="009E2B03" w:rsidRDefault="00B717ED" w:rsidP="00ED6C12">
            <w:pPr>
              <w:spacing w:before="40" w:after="40"/>
              <w:rPr>
                <w:rFonts w:ascii="Calibri Light" w:hAnsi="Calibri Light" w:cs="Arial"/>
                <w:b/>
                <w:bCs/>
                <w:color w:val="6D2077"/>
                <w:szCs w:val="18"/>
              </w:rPr>
            </w:pPr>
            <w:r w:rsidRPr="009E2B03">
              <w:rPr>
                <w:rFonts w:ascii="Calibri Light" w:hAnsi="Calibri Light" w:cs="Arial"/>
                <w:b/>
                <w:bCs/>
                <w:color w:val="6D2077"/>
                <w:szCs w:val="18"/>
              </w:rPr>
              <w:t>Total number of clients</w:t>
            </w:r>
          </w:p>
        </w:tc>
        <w:tc>
          <w:tcPr>
            <w:tcW w:w="851" w:type="dxa"/>
            <w:noWrap/>
            <w:vAlign w:val="center"/>
            <w:hideMark/>
          </w:tcPr>
          <w:p w14:paraId="021C2222"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48,262</w:t>
            </w:r>
          </w:p>
        </w:tc>
        <w:tc>
          <w:tcPr>
            <w:tcW w:w="1063" w:type="dxa"/>
            <w:noWrap/>
            <w:vAlign w:val="center"/>
            <w:hideMark/>
          </w:tcPr>
          <w:p w14:paraId="0C5625FB"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102,793</w:t>
            </w:r>
          </w:p>
        </w:tc>
        <w:tc>
          <w:tcPr>
            <w:tcW w:w="886" w:type="dxa"/>
            <w:noWrap/>
            <w:vAlign w:val="center"/>
            <w:hideMark/>
          </w:tcPr>
          <w:p w14:paraId="5FFBC76E"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44,213</w:t>
            </w:r>
          </w:p>
        </w:tc>
        <w:tc>
          <w:tcPr>
            <w:tcW w:w="886" w:type="dxa"/>
            <w:noWrap/>
            <w:vAlign w:val="center"/>
            <w:hideMark/>
          </w:tcPr>
          <w:p w14:paraId="591EAF1A"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 xml:space="preserve"> 23,021</w:t>
            </w:r>
          </w:p>
        </w:tc>
        <w:tc>
          <w:tcPr>
            <w:tcW w:w="886" w:type="dxa"/>
            <w:noWrap/>
            <w:vAlign w:val="center"/>
            <w:hideMark/>
          </w:tcPr>
          <w:p w14:paraId="0930556F"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 xml:space="preserve"> 21,116</w:t>
            </w:r>
          </w:p>
        </w:tc>
        <w:tc>
          <w:tcPr>
            <w:tcW w:w="886" w:type="dxa"/>
            <w:noWrap/>
            <w:vAlign w:val="center"/>
            <w:hideMark/>
          </w:tcPr>
          <w:p w14:paraId="1E4A46C3"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 xml:space="preserve"> 7,328</w:t>
            </w:r>
          </w:p>
        </w:tc>
        <w:tc>
          <w:tcPr>
            <w:tcW w:w="886" w:type="dxa"/>
            <w:noWrap/>
            <w:vAlign w:val="center"/>
            <w:hideMark/>
          </w:tcPr>
          <w:p w14:paraId="22896C9A"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 xml:space="preserve"> 4,987</w:t>
            </w:r>
          </w:p>
        </w:tc>
        <w:tc>
          <w:tcPr>
            <w:tcW w:w="886" w:type="dxa"/>
            <w:noWrap/>
            <w:vAlign w:val="center"/>
            <w:hideMark/>
          </w:tcPr>
          <w:p w14:paraId="0D18078C" w14:textId="77777777" w:rsidR="00B717ED" w:rsidRPr="009E2B03" w:rsidRDefault="00B717ED" w:rsidP="00ED6C12">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b/>
                <w:bCs/>
                <w:color w:val="6D2077"/>
                <w:szCs w:val="18"/>
              </w:rPr>
            </w:pPr>
            <w:r w:rsidRPr="009E2B03">
              <w:rPr>
                <w:rFonts w:ascii="Calibri Light" w:hAnsi="Calibri Light" w:cs="Arial"/>
                <w:b/>
                <w:bCs/>
                <w:color w:val="6D2077"/>
                <w:szCs w:val="18"/>
              </w:rPr>
              <w:t xml:space="preserve"> 7,649</w:t>
            </w:r>
          </w:p>
        </w:tc>
      </w:tr>
    </w:tbl>
    <w:p w14:paraId="32EAB8A9" w14:textId="77777777" w:rsidR="00B717ED" w:rsidRPr="009E2B03" w:rsidRDefault="00B717ED" w:rsidP="00B717ED">
      <w:pPr>
        <w:rPr>
          <w:rFonts w:ascii="Calibri Light" w:hAnsi="Calibri Light"/>
        </w:rPr>
      </w:pPr>
      <w:r w:rsidRPr="009E2B03">
        <w:rPr>
          <w:rFonts w:ascii="Calibri Light" w:hAnsi="Calibri Light"/>
        </w:rPr>
        <w:t>Source: Report on Government Services, 2016.</w:t>
      </w:r>
    </w:p>
    <w:p w14:paraId="71BAE7DC" w14:textId="77777777" w:rsidR="00B717ED" w:rsidRPr="009E2B03" w:rsidRDefault="00B717ED" w:rsidP="00B717ED">
      <w:pPr>
        <w:rPr>
          <w:rFonts w:ascii="Calibri Light" w:hAnsi="Calibri Light"/>
          <w:sz w:val="22"/>
        </w:rPr>
      </w:pPr>
      <w:r w:rsidRPr="009E2B03">
        <w:rPr>
          <w:rFonts w:ascii="Calibri Light" w:hAnsi="Calibri Light"/>
          <w:sz w:val="22"/>
        </w:rPr>
        <w:t xml:space="preserve">These figures highlight the significance of domestic violence across Australia within the homelessness service system, and the variation in the rates of service delivery and receipt across different jurisdictions.  </w:t>
      </w:r>
    </w:p>
    <w:p w14:paraId="2A5DD32B" w14:textId="77777777" w:rsidR="00B717ED" w:rsidRPr="009E2B03" w:rsidRDefault="00B717ED" w:rsidP="00B717ED">
      <w:pPr>
        <w:rPr>
          <w:rFonts w:ascii="Calibri Light" w:hAnsi="Calibri Light"/>
          <w:sz w:val="22"/>
        </w:rPr>
      </w:pPr>
      <w:r w:rsidRPr="009E2B03">
        <w:rPr>
          <w:rFonts w:ascii="Calibri Light" w:hAnsi="Calibri Light"/>
          <w:sz w:val="22"/>
        </w:rPr>
        <w:t>Additional challenges to interpreting data on domestic violence are present. Population-level survey data such as the PSS may be subject to inherent limitations, given that survey participants must accurately self-identify experiences of violence</w:t>
      </w:r>
      <w:r w:rsidR="00860A62" w:rsidRPr="009E2B03">
        <w:rPr>
          <w:rFonts w:ascii="Calibri Light" w:hAnsi="Calibri Light"/>
          <w:sz w:val="22"/>
        </w:rPr>
        <w:t>. W</w:t>
      </w:r>
      <w:r w:rsidRPr="009E2B03">
        <w:rPr>
          <w:rFonts w:ascii="Calibri Light" w:hAnsi="Calibri Light"/>
          <w:sz w:val="22"/>
        </w:rPr>
        <w:t xml:space="preserve">here there are barriers to identifying such experiences, survey data is likely to understate actual prevalence rates of violence among women. Similarly, the incidence rates from police crime data provide only reported incidents of violence. Given that the majority of incidents of domestic, family and sexual violence are unreported, reported crime data does not provide a complete picture. </w:t>
      </w:r>
    </w:p>
    <w:p w14:paraId="7CD6EA7E" w14:textId="77777777" w:rsidR="00AB3936" w:rsidRDefault="00B717ED" w:rsidP="00AB3936">
      <w:pPr>
        <w:rPr>
          <w:rFonts w:ascii="Calibri Light" w:hAnsi="Calibri Light"/>
          <w:sz w:val="22"/>
        </w:rPr>
      </w:pPr>
      <w:r w:rsidRPr="009E2B03">
        <w:rPr>
          <w:rFonts w:ascii="Calibri Light" w:hAnsi="Calibri Light"/>
          <w:sz w:val="22"/>
        </w:rPr>
        <w:t>The dynamics around reported and unreported domestic violence are complex, as are the factors that lead to women not reporting experiences of violence. In the NSW context, BOCSAR undertook a study in 2012 to examine the underreporting of violence in greater detail. The research found that only half of the domestic violence victims interviewed had reported their most recent incident of violence to the police. The most common reasons for not reporting the incident were: fear of revenge or further violence from the perpetrator (14 per cent), feelings of shame or embarrassment (12 per cent) or a belief that the incident was too trivial or unimportant (12 per cent).</w:t>
      </w:r>
      <w:r w:rsidRPr="009E2B03">
        <w:rPr>
          <w:rStyle w:val="FootnoteReference"/>
          <w:rFonts w:ascii="Calibri Light" w:hAnsi="Calibri Light"/>
          <w:sz w:val="22"/>
        </w:rPr>
        <w:footnoteReference w:id="140"/>
      </w:r>
      <w:r w:rsidRPr="009E2B03">
        <w:rPr>
          <w:rFonts w:ascii="Calibri Light" w:hAnsi="Calibri Light"/>
          <w:sz w:val="22"/>
        </w:rPr>
        <w:t xml:space="preserve"> More broadly, this provides targeted insights into the social and cultural attitudes that may impact on the likelihood of women </w:t>
      </w:r>
      <w:r w:rsidRPr="009E2B03">
        <w:rPr>
          <w:rFonts w:ascii="Calibri Light" w:hAnsi="Calibri Light"/>
          <w:sz w:val="22"/>
        </w:rPr>
        <w:lastRenderedPageBreak/>
        <w:t>reporting violence, and the challenges that need to be overcome to protect and ensure the safety of women and their children across Australia.</w:t>
      </w:r>
    </w:p>
    <w:p w14:paraId="3140D312" w14:textId="5BEECF5E" w:rsidR="00AB3936" w:rsidRPr="00AB3936" w:rsidRDefault="00E677E0" w:rsidP="00AB3936">
      <w:pPr>
        <w:rPr>
          <w:rFonts w:ascii="Calibri Light" w:hAnsi="Calibri Light"/>
          <w:sz w:val="22"/>
        </w:rPr>
      </w:pPr>
      <w:r w:rsidRPr="009E2B03">
        <w:rPr>
          <w:rFonts w:ascii="Calibri Light" w:hAnsi="Calibri Light"/>
          <w:color w:val="6D2077"/>
          <w:sz w:val="24"/>
        </w:rPr>
        <w:t xml:space="preserve">A.2.3 </w:t>
      </w:r>
      <w:r w:rsidR="00B717ED" w:rsidRPr="009E2B03">
        <w:rPr>
          <w:rFonts w:ascii="Calibri Light" w:hAnsi="Calibri Light"/>
          <w:color w:val="6D2077"/>
          <w:sz w:val="24"/>
        </w:rPr>
        <w:t xml:space="preserve">Differences in the experience of violence across cohorts and geographies </w:t>
      </w:r>
    </w:p>
    <w:p w14:paraId="54E1C3F7" w14:textId="77777777" w:rsidR="00B717ED" w:rsidRPr="009E2B03" w:rsidRDefault="00B717ED" w:rsidP="00B717ED">
      <w:pPr>
        <w:spacing w:before="0" w:after="0"/>
        <w:rPr>
          <w:rFonts w:ascii="Calibri Light" w:hAnsi="Calibri Light"/>
          <w:sz w:val="22"/>
        </w:rPr>
      </w:pPr>
      <w:r w:rsidRPr="009E2B03">
        <w:rPr>
          <w:rFonts w:ascii="Calibri Light" w:hAnsi="Calibri Light"/>
          <w:sz w:val="22"/>
        </w:rPr>
        <w:fldChar w:fldCharType="begin"/>
      </w:r>
      <w:r w:rsidRPr="009E2B03">
        <w:rPr>
          <w:rFonts w:ascii="Calibri Light" w:hAnsi="Calibri Light"/>
          <w:sz w:val="22"/>
        </w:rPr>
        <w:instrText xml:space="preserve"> REF _Ref447117412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Map A</w:t>
      </w:r>
      <w:r w:rsidR="00417237" w:rsidRPr="009E2B03">
        <w:rPr>
          <w:rFonts w:ascii="Calibri Light" w:hAnsi="Calibri Light"/>
          <w:sz w:val="22"/>
        </w:rPr>
        <w:noBreakHyphen/>
      </w:r>
      <w:r w:rsidR="00417237">
        <w:rPr>
          <w:rFonts w:ascii="Calibri Light" w:hAnsi="Calibri Light"/>
          <w:sz w:val="22"/>
        </w:rPr>
        <w:t>1</w:t>
      </w:r>
      <w:r w:rsidRPr="009E2B03">
        <w:rPr>
          <w:rFonts w:ascii="Calibri Light" w:hAnsi="Calibri Light"/>
          <w:sz w:val="22"/>
        </w:rPr>
        <w:fldChar w:fldCharType="end"/>
      </w:r>
      <w:r w:rsidRPr="009E2B03">
        <w:rPr>
          <w:rFonts w:ascii="Calibri Light" w:hAnsi="Calibri Light"/>
          <w:sz w:val="22"/>
        </w:rPr>
        <w:t xml:space="preserve"> to </w:t>
      </w:r>
      <w:r w:rsidRPr="009E2B03">
        <w:rPr>
          <w:rFonts w:ascii="Calibri Light" w:hAnsi="Calibri Light"/>
          <w:sz w:val="22"/>
        </w:rPr>
        <w:fldChar w:fldCharType="begin"/>
      </w:r>
      <w:r w:rsidRPr="009E2B03">
        <w:rPr>
          <w:rFonts w:ascii="Calibri Light" w:hAnsi="Calibri Light"/>
          <w:sz w:val="22"/>
        </w:rPr>
        <w:instrText xml:space="preserve"> REF _Ref447117431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Map A</w:t>
      </w:r>
      <w:r w:rsidR="00417237" w:rsidRPr="009E2B03">
        <w:rPr>
          <w:rFonts w:ascii="Calibri Light" w:hAnsi="Calibri Light"/>
          <w:sz w:val="22"/>
        </w:rPr>
        <w:noBreakHyphen/>
      </w:r>
      <w:r w:rsidR="00417237">
        <w:rPr>
          <w:rFonts w:ascii="Calibri Light" w:hAnsi="Calibri Light"/>
          <w:sz w:val="22"/>
        </w:rPr>
        <w:t>3</w:t>
      </w:r>
      <w:r w:rsidRPr="009E2B03">
        <w:rPr>
          <w:rFonts w:ascii="Calibri Light" w:hAnsi="Calibri Light"/>
          <w:sz w:val="22"/>
        </w:rPr>
        <w:fldChar w:fldCharType="end"/>
      </w:r>
      <w:r w:rsidRPr="009E2B03">
        <w:rPr>
          <w:rFonts w:ascii="Calibri Light" w:hAnsi="Calibri Light"/>
          <w:sz w:val="22"/>
        </w:rPr>
        <w:t xml:space="preserve"> provide further detail on the prevalence and incidence of violence against women in NSW, Victoria, and South Australia. A number of data sources have been explored to determine the most accurate and appropriate data for the purposes of illustrating the differences in prevalence and incidence across different regional areas and across jurisdictions. The prevalence of violence for women is consistent across the jurisdictions, and sourced from the 2012 PSS. However, as previously described, there are a number of challenges around understanding and interpreting incidence data for violence. As a result, a number of caveats should be taken into account when interpreting the maps. These caveats include: </w:t>
      </w:r>
    </w:p>
    <w:p w14:paraId="7427CA5F" w14:textId="77777777" w:rsidR="00B717ED" w:rsidRPr="009E2B03" w:rsidRDefault="00860A62" w:rsidP="00B717ED">
      <w:pPr>
        <w:pStyle w:val="BodyBullet"/>
        <w:rPr>
          <w:rFonts w:ascii="Calibri Light" w:hAnsi="Calibri Light" w:cs="Arial"/>
          <w:sz w:val="22"/>
        </w:rPr>
      </w:pPr>
      <w:r w:rsidRPr="009E2B03">
        <w:rPr>
          <w:rFonts w:ascii="Calibri Light" w:hAnsi="Calibri Light" w:cs="Arial"/>
          <w:sz w:val="22"/>
        </w:rPr>
        <w:t>D</w:t>
      </w:r>
      <w:r w:rsidR="00B717ED" w:rsidRPr="009E2B03">
        <w:rPr>
          <w:rFonts w:ascii="Calibri Light" w:hAnsi="Calibri Light" w:cs="Arial"/>
          <w:sz w:val="22"/>
        </w:rPr>
        <w:t>irect comparisons between prevalence and incidence rates for each jurisdiction are not possible, as:</w:t>
      </w:r>
    </w:p>
    <w:p w14:paraId="358B9114" w14:textId="77777777" w:rsidR="00B717ED" w:rsidRPr="009E2B03" w:rsidRDefault="00B717ED" w:rsidP="00B717ED">
      <w:pPr>
        <w:pStyle w:val="ListBullet2"/>
        <w:tabs>
          <w:tab w:val="clear" w:pos="1664"/>
          <w:tab w:val="num" w:pos="709"/>
        </w:tabs>
        <w:ind w:left="709"/>
        <w:rPr>
          <w:rFonts w:ascii="Calibri Light" w:hAnsi="Calibri Light"/>
          <w:sz w:val="22"/>
        </w:rPr>
      </w:pPr>
      <w:r w:rsidRPr="009E2B03">
        <w:rPr>
          <w:rFonts w:ascii="Calibri Light" w:hAnsi="Calibri Light"/>
          <w:sz w:val="22"/>
        </w:rPr>
        <w:t>the prevalence rates are based on the rate of violence experienced by women for a particular jurisdiction, and do not account for different forms of violence</w:t>
      </w:r>
    </w:p>
    <w:p w14:paraId="46497BC4" w14:textId="77777777" w:rsidR="00B717ED" w:rsidRPr="009E2B03" w:rsidRDefault="00B717ED" w:rsidP="00B717ED">
      <w:pPr>
        <w:pStyle w:val="ListBullet2"/>
        <w:tabs>
          <w:tab w:val="clear" w:pos="1664"/>
          <w:tab w:val="num" w:pos="709"/>
        </w:tabs>
        <w:ind w:left="709"/>
        <w:rPr>
          <w:rFonts w:ascii="Calibri Light" w:hAnsi="Calibri Light"/>
          <w:sz w:val="22"/>
        </w:rPr>
      </w:pPr>
      <w:r w:rsidRPr="009E2B03">
        <w:rPr>
          <w:rFonts w:ascii="Calibri Light" w:hAnsi="Calibri Light"/>
          <w:sz w:val="22"/>
        </w:rPr>
        <w:t xml:space="preserve">the incidence rates are based on incidents of reported domestic violence or sexual assault, both of which form a subset of total violence against women. </w:t>
      </w:r>
    </w:p>
    <w:p w14:paraId="0C1DDD55" w14:textId="77777777" w:rsidR="00B717ED" w:rsidRPr="009E2B03" w:rsidRDefault="00860A62" w:rsidP="00B717ED">
      <w:pPr>
        <w:pStyle w:val="BodyBullet"/>
        <w:rPr>
          <w:rFonts w:ascii="Calibri Light" w:hAnsi="Calibri Light" w:cs="Arial"/>
          <w:sz w:val="22"/>
        </w:rPr>
      </w:pPr>
      <w:r w:rsidRPr="009E2B03">
        <w:rPr>
          <w:rFonts w:ascii="Calibri Light" w:hAnsi="Calibri Light" w:cs="Arial"/>
          <w:sz w:val="22"/>
        </w:rPr>
        <w:t>T</w:t>
      </w:r>
      <w:r w:rsidR="00B717ED" w:rsidRPr="009E2B03">
        <w:rPr>
          <w:rFonts w:ascii="Calibri Light" w:hAnsi="Calibri Light" w:cs="Arial"/>
          <w:sz w:val="22"/>
        </w:rPr>
        <w:t>he incidence data is not consistently measured and reported, with data from NSW BOCSAR providing recorded domestic violence related assault incidents, data from the Crime Statistics Agency Victoria providing the rate of family incidents, and data from the Office of Crime Statistics and Research (OCSAR) for South Australia providing the number of sexual offences</w:t>
      </w:r>
      <w:r w:rsidRPr="009E2B03">
        <w:rPr>
          <w:rFonts w:ascii="Calibri Light" w:hAnsi="Calibri Light" w:cs="Arial"/>
          <w:sz w:val="22"/>
        </w:rPr>
        <w:t>.</w:t>
      </w:r>
      <w:r w:rsidR="00B717ED" w:rsidRPr="009E2B03">
        <w:rPr>
          <w:rFonts w:ascii="Calibri Light" w:hAnsi="Calibri Light" w:cs="Arial"/>
          <w:sz w:val="22"/>
        </w:rPr>
        <w:t xml:space="preserve"> </w:t>
      </w:r>
    </w:p>
    <w:p w14:paraId="70C0B229" w14:textId="77777777" w:rsidR="00B717ED" w:rsidRPr="009E2B03" w:rsidRDefault="00860A62" w:rsidP="00B717ED">
      <w:pPr>
        <w:pStyle w:val="BodyBullet"/>
        <w:rPr>
          <w:rFonts w:ascii="Calibri Light" w:hAnsi="Calibri Light" w:cs="Arial"/>
          <w:color w:val="1F497D"/>
          <w:sz w:val="22"/>
        </w:rPr>
      </w:pPr>
      <w:r w:rsidRPr="009E2B03">
        <w:rPr>
          <w:rFonts w:ascii="Calibri Light" w:hAnsi="Calibri Light" w:cs="Arial"/>
          <w:sz w:val="22"/>
        </w:rPr>
        <w:t>T</w:t>
      </w:r>
      <w:r w:rsidR="00B717ED" w:rsidRPr="009E2B03">
        <w:rPr>
          <w:rFonts w:ascii="Calibri Light" w:hAnsi="Calibri Light" w:cs="Arial"/>
          <w:sz w:val="22"/>
        </w:rPr>
        <w:t>here are challenges to using incidence data to understand the extent of violence, given the high rate of unreported violence.</w:t>
      </w:r>
    </w:p>
    <w:p w14:paraId="2B7FB626" w14:textId="77777777" w:rsidR="00B717ED" w:rsidRPr="009E2B03" w:rsidRDefault="00B717ED" w:rsidP="00B717ED">
      <w:pPr>
        <w:spacing w:before="0" w:after="0"/>
        <w:rPr>
          <w:rFonts w:ascii="Calibri Light" w:hAnsi="Calibri Light"/>
          <w:sz w:val="22"/>
        </w:rPr>
      </w:pPr>
    </w:p>
    <w:p w14:paraId="5D7B8EF8" w14:textId="77777777" w:rsidR="00B717ED" w:rsidRPr="009E2B03" w:rsidRDefault="00B717ED" w:rsidP="00B717ED">
      <w:pPr>
        <w:spacing w:before="0" w:after="0"/>
        <w:rPr>
          <w:rFonts w:ascii="Calibri Light" w:hAnsi="Calibri Light"/>
          <w:sz w:val="22"/>
        </w:rPr>
        <w:sectPr w:rsidR="00B717ED" w:rsidRPr="009E2B03" w:rsidSect="00BC4D85">
          <w:headerReference w:type="even" r:id="rId26"/>
          <w:headerReference w:type="default" r:id="rId27"/>
          <w:headerReference w:type="first" r:id="rId28"/>
          <w:footerReference w:type="first" r:id="rId29"/>
          <w:pgSz w:w="11906" w:h="16838"/>
          <w:pgMar w:top="1440" w:right="1440" w:bottom="1440" w:left="1440" w:header="709" w:footer="495" w:gutter="0"/>
          <w:cols w:space="708"/>
          <w:docGrid w:linePitch="360"/>
        </w:sectPr>
      </w:pPr>
      <w:r w:rsidRPr="009E2B03">
        <w:rPr>
          <w:rFonts w:ascii="Calibri Light" w:hAnsi="Calibri Light"/>
          <w:sz w:val="22"/>
        </w:rPr>
        <w:t xml:space="preserve"> </w:t>
      </w:r>
    </w:p>
    <w:p w14:paraId="68289EA7" w14:textId="77777777" w:rsidR="00B717ED" w:rsidRPr="009E2B03" w:rsidRDefault="00B717ED" w:rsidP="00B717ED">
      <w:pPr>
        <w:pStyle w:val="Caption"/>
        <w:rPr>
          <w:rFonts w:ascii="Calibri Light" w:hAnsi="Calibri Light" w:cs="Arial"/>
          <w:sz w:val="22"/>
        </w:rPr>
      </w:pPr>
      <w:bookmarkStart w:id="123" w:name="_Ref447117412"/>
      <w:r w:rsidRPr="009E2B03">
        <w:rPr>
          <w:rFonts w:ascii="Calibri Light" w:hAnsi="Calibri Light" w:cs="Arial"/>
          <w:sz w:val="22"/>
        </w:rPr>
        <w:lastRenderedPageBreak/>
        <w:t xml:space="preserve">Map </w:t>
      </w:r>
      <w:r w:rsidR="00E127F4" w:rsidRPr="009E2B03">
        <w:rPr>
          <w:rFonts w:ascii="Calibri Light" w:hAnsi="Calibri Light" w:cs="Arial"/>
          <w:sz w:val="22"/>
        </w:rPr>
        <w:t>A</w:t>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Map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123"/>
      <w:r w:rsidRPr="009E2B03">
        <w:rPr>
          <w:rFonts w:ascii="Calibri Light" w:hAnsi="Calibri Light" w:cs="Arial"/>
          <w:noProof/>
          <w:sz w:val="22"/>
        </w:rPr>
        <w:t>:</w:t>
      </w:r>
      <w:r w:rsidRPr="009E2B03">
        <w:rPr>
          <w:rFonts w:ascii="Calibri Light" w:hAnsi="Calibri Light" w:cs="Arial"/>
          <w:sz w:val="22"/>
        </w:rPr>
        <w:t xml:space="preserve"> Recorded domestic violence related assault incidents, rate per 100,000 population - 2014-15, by LGA </w:t>
      </w:r>
    </w:p>
    <w:p w14:paraId="168E3689" w14:textId="79E8B223" w:rsidR="0088771D" w:rsidRDefault="00B717ED" w:rsidP="00B717ED">
      <w:pPr>
        <w:jc w:val="center"/>
        <w:rPr>
          <w:rFonts w:ascii="Calibri Light" w:hAnsi="Calibri Light"/>
          <w:noProof/>
          <w:color w:val="6D2077"/>
          <w:sz w:val="22"/>
          <w:lang w:eastAsia="en-AU"/>
        </w:rPr>
      </w:pPr>
      <w:r w:rsidRPr="009E2B03">
        <w:rPr>
          <w:rFonts w:ascii="Calibri Light" w:hAnsi="Calibri Light"/>
          <w:b/>
          <w:color w:val="6D2077"/>
          <w:sz w:val="22"/>
          <w:lang w:eastAsia="ko-KR"/>
        </w:rPr>
        <w:t>In NSW, the level of recorded domestic violence related assault incidents differs across regions, with the LGAs of Bourke, Walgett and Broken Hill recording the highest rate of incidents per 100,000 people in the underlying population. Prevalence rates from the ABS PSS in 2012 shows that 4.6 per cent of females in NSW have experienced violence in the last 12 months.</w:t>
      </w:r>
      <w:r w:rsidRPr="009E2B03">
        <w:rPr>
          <w:rFonts w:ascii="Calibri Light" w:hAnsi="Calibri Light"/>
          <w:b/>
          <w:noProof/>
          <w:color w:val="6D2077"/>
          <w:sz w:val="22"/>
          <w:lang w:eastAsia="en-AU"/>
        </w:rPr>
        <w:t xml:space="preserve"> </w:t>
      </w:r>
      <w:r w:rsidR="000E0F53" w:rsidRPr="009E2B03">
        <w:rPr>
          <w:rFonts w:ascii="Calibri Light" w:hAnsi="Calibri Light"/>
          <w:b/>
          <w:i/>
          <w:noProof/>
          <w:color w:val="6D2077"/>
          <w:sz w:val="22"/>
          <w:lang w:eastAsia="en-AU"/>
        </w:rPr>
        <mc:AlternateContent>
          <mc:Choice Requires="wps">
            <w:drawing>
              <wp:inline distT="0" distB="0" distL="0" distR="0" wp14:anchorId="6F06F427" wp14:editId="78D17DB7">
                <wp:extent cx="6319520" cy="228600"/>
                <wp:effectExtent l="0" t="0" r="0" b="0"/>
                <wp:docPr id="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28600"/>
                        </a:xfrm>
                        <a:prstGeom prst="rect">
                          <a:avLst/>
                        </a:prstGeom>
                        <a:noFill/>
                        <a:ln w="9525">
                          <a:noFill/>
                          <a:miter lim="800000"/>
                          <a:headEnd/>
                          <a:tailEnd/>
                        </a:ln>
                      </wps:spPr>
                      <wps:txbx>
                        <w:txbxContent>
                          <w:p w14:paraId="383C3C79" w14:textId="77777777" w:rsidR="00621BE2" w:rsidRPr="00CA206F" w:rsidRDefault="00621BE2" w:rsidP="000E0F53">
                            <w:pPr>
                              <w:spacing w:before="0" w:after="0"/>
                              <w:rPr>
                                <w:sz w:val="18"/>
                              </w:rPr>
                            </w:pPr>
                            <w:r w:rsidRPr="00CA206F">
                              <w:rPr>
                                <w:sz w:val="18"/>
                              </w:rPr>
                              <w:t>Source: NSW Bureau of Crime Statistics and Research</w:t>
                            </w:r>
                            <w:r>
                              <w:rPr>
                                <w:sz w:val="18"/>
                              </w:rPr>
                              <w:t>.</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497.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" filled="f" stroked="f">
                <v:textbox>
                  <w:txbxContent>
                    <w:p w14:paraId="383C3C79" w14:textId="77777777" w:rsidR="00621BE2" w:rsidRPr="00CA206F" w:rsidRDefault="00621BE2" w:rsidP="000E0F53">
                      <w:pPr>
                        <w:spacing w:before="0" w:after="0"/>
                        <w:rPr>
                          <w:sz w:val="18"/>
                        </w:rPr>
                      </w:pPr>
                      <w:r w:rsidRPr="00CA206F">
                        <w:rPr>
                          <w:sz w:val="18"/>
                        </w:rPr>
                        <w:t>Source: NSW Bureau of Crime Statistics and Research</w:t>
                      </w:r>
                      <w:r>
                        <w:rPr>
                          <w:sz w:val="18"/>
                        </w:rPr>
                        <w:t>.</w:t>
                      </w:r>
                    </w:p>
                  </w:txbxContent>
                </v:textbox>
                <w10:anchorlock/>
              </v:shape>
            </w:pict>
          </mc:Fallback>
        </mc:AlternateContent>
      </w:r>
    </w:p>
    <w:p w14:paraId="795B4F58" w14:textId="68CED3A0" w:rsidR="00B717ED" w:rsidRPr="009E2B03" w:rsidRDefault="0088771D" w:rsidP="00B717ED">
      <w:pPr>
        <w:jc w:val="center"/>
        <w:rPr>
          <w:rFonts w:ascii="Calibri Light" w:hAnsi="Calibri Light"/>
          <w:b/>
          <w:sz w:val="22"/>
          <w:lang w:eastAsia="ko-KR"/>
        </w:rPr>
      </w:pPr>
      <w:r w:rsidRPr="009E2B03">
        <w:rPr>
          <w:rFonts w:ascii="Calibri Light" w:hAnsi="Calibri Light"/>
          <w:noProof/>
          <w:color w:val="6D2077"/>
          <w:sz w:val="22"/>
          <w:lang w:eastAsia="en-AU"/>
        </w:rPr>
        <w:drawing>
          <wp:inline distT="0" distB="0" distL="0" distR="0" wp14:anchorId="3254455B" wp14:editId="5C2A42AB">
            <wp:extent cx="762000" cy="2202180"/>
            <wp:effectExtent l="0" t="0" r="0" b="7620"/>
            <wp:docPr id="1012" name="Picture 1012" descr="For further information please see the text above." title="Image showing the degree of domestic violence density and corresponding prevalenc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2202180"/>
                    </a:xfrm>
                    <a:prstGeom prst="rect">
                      <a:avLst/>
                    </a:prstGeom>
                    <a:noFill/>
                    <a:ln>
                      <a:noFill/>
                    </a:ln>
                  </pic:spPr>
                </pic:pic>
              </a:graphicData>
            </a:graphic>
          </wp:inline>
        </w:drawing>
      </w:r>
      <w:r w:rsidR="00B717ED" w:rsidRPr="009E2B03">
        <w:rPr>
          <w:rFonts w:ascii="Calibri Light" w:hAnsi="Calibri Light"/>
          <w:b/>
          <w:noProof/>
          <w:sz w:val="22"/>
          <w:lang w:eastAsia="en-AU"/>
        </w:rPr>
        <w:drawing>
          <wp:inline distT="0" distB="0" distL="0" distR="0" wp14:anchorId="401FF7ED" wp14:editId="5C4C7109">
            <wp:extent cx="6321649" cy="3667151"/>
            <wp:effectExtent l="38100" t="38100" r="79375" b="85725"/>
            <wp:docPr id="2" name="Picture 2" descr="For further information please see the text above." title="Map of Recorded domestic violence related assault incidents, rate per 100,000 population - 2014-15, by L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6124" cy="3669747"/>
                    </a:xfrm>
                    <a:prstGeom prst="rect">
                      <a:avLst/>
                    </a:prstGeom>
                    <a:noFill/>
                    <a:effectLst>
                      <a:outerShdw blurRad="50800" dist="38100" dir="2700000" algn="tl" rotWithShape="0">
                        <a:prstClr val="black">
                          <a:alpha val="40000"/>
                        </a:prstClr>
                      </a:outerShdw>
                    </a:effectLst>
                  </pic:spPr>
                </pic:pic>
              </a:graphicData>
            </a:graphic>
          </wp:inline>
        </w:drawing>
      </w:r>
    </w:p>
    <w:p w14:paraId="3EFFEBA3" w14:textId="77777777" w:rsidR="00B717ED" w:rsidRPr="009E2B03" w:rsidRDefault="00B717ED" w:rsidP="00B717ED">
      <w:pPr>
        <w:jc w:val="center"/>
        <w:rPr>
          <w:rFonts w:ascii="Calibri Light" w:hAnsi="Calibri Light"/>
          <w:b/>
          <w:sz w:val="22"/>
        </w:rPr>
      </w:pPr>
    </w:p>
    <w:p w14:paraId="7AFFB20A" w14:textId="72E485C0" w:rsidR="00B717ED" w:rsidRPr="009E2B03" w:rsidRDefault="00B717ED" w:rsidP="00B717ED">
      <w:pPr>
        <w:rPr>
          <w:rFonts w:ascii="Calibri Light" w:hAnsi="Calibri Light"/>
          <w:i/>
          <w:sz w:val="22"/>
        </w:rPr>
      </w:pPr>
      <w:r w:rsidRPr="009E2B03">
        <w:rPr>
          <w:rFonts w:ascii="Calibri Light" w:hAnsi="Calibri Light"/>
          <w:b/>
          <w:i/>
          <w:sz w:val="22"/>
        </w:rPr>
        <w:br w:type="page"/>
      </w:r>
      <w:r w:rsidRPr="009E2B03">
        <w:rPr>
          <w:rFonts w:ascii="Calibri Light" w:hAnsi="Calibri Light"/>
          <w:i/>
          <w:sz w:val="22"/>
        </w:rPr>
        <w:lastRenderedPageBreak/>
        <w:t xml:space="preserve">Map </w:t>
      </w:r>
      <w:r w:rsidR="00E127F4" w:rsidRPr="009E2B03">
        <w:rPr>
          <w:rFonts w:ascii="Calibri Light" w:hAnsi="Calibri Light"/>
          <w:i/>
          <w:sz w:val="22"/>
        </w:rPr>
        <w:t>A</w:t>
      </w:r>
      <w:r w:rsidRPr="009E2B03">
        <w:rPr>
          <w:rFonts w:ascii="Calibri Light" w:hAnsi="Calibri Light"/>
          <w:i/>
          <w:sz w:val="22"/>
        </w:rPr>
        <w:noBreakHyphen/>
      </w:r>
      <w:r w:rsidRPr="009E2B03">
        <w:rPr>
          <w:rFonts w:ascii="Calibri Light" w:hAnsi="Calibri Light"/>
          <w:i/>
          <w:sz w:val="22"/>
        </w:rPr>
        <w:fldChar w:fldCharType="begin"/>
      </w:r>
      <w:r w:rsidRPr="009E2B03">
        <w:rPr>
          <w:rFonts w:ascii="Calibri Light" w:hAnsi="Calibri Light"/>
          <w:i/>
          <w:sz w:val="22"/>
        </w:rPr>
        <w:instrText xml:space="preserve"> SEQ Map \* ARABIC \s 1 </w:instrText>
      </w:r>
      <w:r w:rsidRPr="009E2B03">
        <w:rPr>
          <w:rFonts w:ascii="Calibri Light" w:hAnsi="Calibri Light"/>
          <w:i/>
          <w:sz w:val="22"/>
        </w:rPr>
        <w:fldChar w:fldCharType="separate"/>
      </w:r>
      <w:r w:rsidR="00417237">
        <w:rPr>
          <w:rFonts w:ascii="Calibri Light" w:hAnsi="Calibri Light"/>
          <w:i/>
          <w:noProof/>
          <w:sz w:val="22"/>
        </w:rPr>
        <w:t>2</w:t>
      </w:r>
      <w:r w:rsidRPr="009E2B03">
        <w:rPr>
          <w:rFonts w:ascii="Calibri Light" w:hAnsi="Calibri Light"/>
          <w:i/>
          <w:sz w:val="22"/>
        </w:rPr>
        <w:fldChar w:fldCharType="end"/>
      </w:r>
      <w:r w:rsidRPr="009E2B03">
        <w:rPr>
          <w:rFonts w:ascii="Calibri Light" w:hAnsi="Calibri Light"/>
          <w:i/>
          <w:sz w:val="22"/>
        </w:rPr>
        <w:t xml:space="preserve">: Victoria </w:t>
      </w:r>
      <w:r w:rsidR="00860A62" w:rsidRPr="009E2B03">
        <w:rPr>
          <w:rFonts w:ascii="Calibri Light" w:hAnsi="Calibri Light"/>
          <w:i/>
          <w:sz w:val="22"/>
        </w:rPr>
        <w:t>f</w:t>
      </w:r>
      <w:r w:rsidRPr="009E2B03">
        <w:rPr>
          <w:rFonts w:ascii="Calibri Light" w:hAnsi="Calibri Light"/>
          <w:i/>
          <w:sz w:val="22"/>
        </w:rPr>
        <w:t xml:space="preserve">amily </w:t>
      </w:r>
      <w:r w:rsidR="00860A62" w:rsidRPr="009E2B03">
        <w:rPr>
          <w:rFonts w:ascii="Calibri Light" w:hAnsi="Calibri Light"/>
          <w:i/>
          <w:sz w:val="22"/>
        </w:rPr>
        <w:t>i</w:t>
      </w:r>
      <w:r w:rsidRPr="009E2B03">
        <w:rPr>
          <w:rFonts w:ascii="Calibri Light" w:hAnsi="Calibri Light"/>
          <w:i/>
          <w:sz w:val="22"/>
        </w:rPr>
        <w:t>ncident rate per 100,000 population - 2014-15, by LGA</w:t>
      </w:r>
    </w:p>
    <w:p w14:paraId="350B1AFE" w14:textId="77777777" w:rsidR="000E0F53" w:rsidRDefault="00B717ED" w:rsidP="00B717ED">
      <w:pPr>
        <w:jc w:val="center"/>
        <w:rPr>
          <w:rFonts w:ascii="Calibri Light" w:hAnsi="Calibri Light"/>
          <w:i/>
          <w:noProof/>
          <w:sz w:val="22"/>
          <w:lang w:eastAsia="en-AU"/>
        </w:rPr>
      </w:pPr>
      <w:r w:rsidRPr="009E2B03">
        <w:rPr>
          <w:rFonts w:ascii="Calibri Light" w:hAnsi="Calibri Light"/>
          <w:b/>
          <w:color w:val="6D2077"/>
          <w:sz w:val="22"/>
        </w:rPr>
        <w:t xml:space="preserve">In Victoria, the reported family incident rate differs significantly across the LGAs, with Mildura, Latrobe, and Horsham recording the highest levels of family incidents across the state. For many other LGAs, the incidence rate appears to be comparatively low. </w:t>
      </w:r>
      <w:r w:rsidRPr="009E2B03">
        <w:rPr>
          <w:rFonts w:ascii="Calibri Light" w:hAnsi="Calibri Light"/>
          <w:b/>
          <w:color w:val="6D2077"/>
          <w:sz w:val="22"/>
          <w:lang w:eastAsia="ko-KR"/>
        </w:rPr>
        <w:t>Prevalence rates from the ABS PSS in 2012 shows that 5.2 per cent of females in Victoria have experienced violence in the last 12 months.</w:t>
      </w:r>
      <w:r w:rsidR="000E0F53" w:rsidRPr="000E0F53">
        <w:rPr>
          <w:rFonts w:ascii="Calibri Light" w:hAnsi="Calibri Light"/>
          <w:i/>
          <w:noProof/>
          <w:sz w:val="22"/>
          <w:lang w:eastAsia="en-AU"/>
        </w:rPr>
        <w:t xml:space="preserve"> </w:t>
      </w:r>
    </w:p>
    <w:p w14:paraId="46A633B1" w14:textId="77777777" w:rsidR="000E0F53" w:rsidRDefault="000E0F53" w:rsidP="00B717ED">
      <w:pPr>
        <w:jc w:val="center"/>
        <w:rPr>
          <w:rFonts w:ascii="Calibri Light" w:hAnsi="Calibri Light"/>
          <w:i/>
          <w:noProof/>
          <w:sz w:val="22"/>
          <w:lang w:eastAsia="en-AU"/>
        </w:rPr>
      </w:pPr>
    </w:p>
    <w:p w14:paraId="3E5E2411" w14:textId="68F39C6C" w:rsidR="00B717ED" w:rsidRPr="009E2B03" w:rsidRDefault="000E0F53" w:rsidP="00B717ED">
      <w:pPr>
        <w:jc w:val="center"/>
        <w:rPr>
          <w:rFonts w:ascii="Calibri Light" w:hAnsi="Calibri Light"/>
          <w:b/>
          <w:color w:val="6D2077"/>
          <w:sz w:val="22"/>
          <w:lang w:eastAsia="ko-KR"/>
        </w:rPr>
      </w:pPr>
      <w:r w:rsidRPr="009E2B03">
        <w:rPr>
          <w:rFonts w:ascii="Calibri Light" w:hAnsi="Calibri Light"/>
          <w:b/>
          <w:noProof/>
          <w:sz w:val="22"/>
          <w:lang w:eastAsia="en-AU"/>
        </w:rPr>
        <w:drawing>
          <wp:inline distT="0" distB="0" distL="0" distR="0" wp14:anchorId="64C4CA20" wp14:editId="7B995B14">
            <wp:extent cx="6709205" cy="3423095"/>
            <wp:effectExtent l="38100" t="38100" r="73025" b="101600"/>
            <wp:docPr id="1015" name="Picture 1015" descr="For further information please see the text above." title="Map showing Victoria family incident rate per 100,000 population - 2014-15, by 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08434" cy="3422701"/>
                    </a:xfrm>
                    <a:prstGeom prst="rect">
                      <a:avLst/>
                    </a:prstGeom>
                    <a:noFill/>
                    <a:effectLst>
                      <a:outerShdw blurRad="50800" dist="38100" dir="2700000" algn="tl" rotWithShape="0">
                        <a:prstClr val="black">
                          <a:alpha val="40000"/>
                        </a:prstClr>
                      </a:outerShdw>
                    </a:effectLst>
                  </pic:spPr>
                </pic:pic>
              </a:graphicData>
            </a:graphic>
          </wp:inline>
        </w:drawing>
      </w:r>
      <w:r w:rsidRPr="009E2B03">
        <w:rPr>
          <w:rFonts w:ascii="Calibri Light" w:hAnsi="Calibri Light"/>
          <w:i/>
          <w:noProof/>
          <w:sz w:val="22"/>
          <w:lang w:eastAsia="en-AU"/>
        </w:rPr>
        <w:drawing>
          <wp:inline distT="0" distB="0" distL="0" distR="0" wp14:anchorId="51E34FB4" wp14:editId="45481549">
            <wp:extent cx="838200" cy="1287780"/>
            <wp:effectExtent l="0" t="0" r="0" b="7620"/>
            <wp:docPr id="1014" name="Picture 1014" descr="For further information please see the text above." title="Image showing the degree of domestic violence density and corresponding prevalenc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1287780"/>
                    </a:xfrm>
                    <a:prstGeom prst="rect">
                      <a:avLst/>
                    </a:prstGeom>
                    <a:noFill/>
                    <a:ln>
                      <a:noFill/>
                    </a:ln>
                  </pic:spPr>
                </pic:pic>
              </a:graphicData>
            </a:graphic>
          </wp:inline>
        </w:drawing>
      </w:r>
    </w:p>
    <w:p w14:paraId="3C9A7286" w14:textId="3E1CCE8B" w:rsidR="00B717ED" w:rsidRPr="009E2B03" w:rsidRDefault="00B717ED" w:rsidP="00B717ED">
      <w:pPr>
        <w:jc w:val="center"/>
        <w:rPr>
          <w:rFonts w:ascii="Calibri Light" w:hAnsi="Calibri Light"/>
          <w:b/>
          <w:sz w:val="22"/>
        </w:rPr>
      </w:pPr>
      <w:r w:rsidRPr="009E2B03">
        <w:rPr>
          <w:rFonts w:ascii="Calibri Light" w:hAnsi="Calibri Light"/>
          <w:b/>
          <w:i/>
          <w:noProof/>
          <w:sz w:val="22"/>
          <w:lang w:eastAsia="en-AU"/>
        </w:rPr>
        <mc:AlternateContent>
          <mc:Choice Requires="wps">
            <w:drawing>
              <wp:inline distT="0" distB="0" distL="0" distR="0" wp14:anchorId="548422F1" wp14:editId="2506E44D">
                <wp:extent cx="6319520" cy="228600"/>
                <wp:effectExtent l="0" t="0" r="0" b="0"/>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28600"/>
                        </a:xfrm>
                        <a:prstGeom prst="rect">
                          <a:avLst/>
                        </a:prstGeom>
                        <a:noFill/>
                        <a:ln w="9525">
                          <a:noFill/>
                          <a:miter lim="800000"/>
                          <a:headEnd/>
                          <a:tailEnd/>
                        </a:ln>
                      </wps:spPr>
                      <wps:txbx>
                        <w:txbxContent>
                          <w:p w14:paraId="789612C9" w14:textId="77777777" w:rsidR="00621BE2" w:rsidRPr="00CA206F" w:rsidRDefault="00621BE2" w:rsidP="00B717ED">
                            <w:pPr>
                              <w:spacing w:before="0" w:after="0"/>
                              <w:rPr>
                                <w:sz w:val="18"/>
                              </w:rPr>
                            </w:pPr>
                            <w:r w:rsidRPr="00CA206F">
                              <w:rPr>
                                <w:sz w:val="18"/>
                              </w:rPr>
                              <w:t>Source: Crime Statistics Agency Victoria</w:t>
                            </w:r>
                            <w:r>
                              <w:rPr>
                                <w:sz w:val="18"/>
                              </w:rPr>
                              <w:t>.</w:t>
                            </w:r>
                          </w:p>
                        </w:txbxContent>
                      </wps:txbx>
                      <wps:bodyPr rot="0" vert="horz" wrap="square" lIns="91440" tIns="45720" rIns="91440" bIns="45720" anchor="t" anchorCtr="0">
                        <a:noAutofit/>
                      </wps:bodyPr>
                    </wps:wsp>
                  </a:graphicData>
                </a:graphic>
              </wp:inline>
            </w:drawing>
          </mc:Choice>
          <mc:Fallback>
            <w:pict>
              <v:shape id="_x0000_s1028" type="#_x0000_t202" style="width:497.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" filled="f" stroked="f">
                <v:textbox>
                  <w:txbxContent>
                    <w:p w14:paraId="789612C9" w14:textId="77777777" w:rsidR="00621BE2" w:rsidRPr="00CA206F" w:rsidRDefault="00621BE2" w:rsidP="00B717ED">
                      <w:pPr>
                        <w:spacing w:before="0" w:after="0"/>
                        <w:rPr>
                          <w:sz w:val="18"/>
                        </w:rPr>
                      </w:pPr>
                      <w:r w:rsidRPr="00CA206F">
                        <w:rPr>
                          <w:sz w:val="18"/>
                        </w:rPr>
                        <w:t>Source: Crime Statistics Agency Victoria</w:t>
                      </w:r>
                      <w:r>
                        <w:rPr>
                          <w:sz w:val="18"/>
                        </w:rPr>
                        <w:t>.</w:t>
                      </w:r>
                    </w:p>
                  </w:txbxContent>
                </v:textbox>
                <w10:anchorlock/>
              </v:shape>
            </w:pict>
          </mc:Fallback>
        </mc:AlternateContent>
      </w:r>
    </w:p>
    <w:p w14:paraId="0C284A10" w14:textId="77777777" w:rsidR="00B717ED" w:rsidRPr="009E2B03" w:rsidRDefault="00B717ED" w:rsidP="00B717ED">
      <w:pPr>
        <w:pStyle w:val="Caption"/>
        <w:rPr>
          <w:rFonts w:ascii="Calibri Light" w:hAnsi="Calibri Light" w:cs="Arial"/>
          <w:sz w:val="22"/>
        </w:rPr>
        <w:sectPr w:rsidR="00B717ED" w:rsidRPr="009E2B03" w:rsidSect="00F8042D">
          <w:pgSz w:w="16838" w:h="11906" w:orient="landscape"/>
          <w:pgMar w:top="1440" w:right="1440" w:bottom="1440" w:left="1440" w:header="708" w:footer="708" w:gutter="0"/>
          <w:cols w:space="708"/>
          <w:docGrid w:linePitch="360"/>
        </w:sectPr>
      </w:pPr>
    </w:p>
    <w:p w14:paraId="00ADF0F4" w14:textId="77777777" w:rsidR="00B717ED" w:rsidRPr="009E2B03" w:rsidRDefault="00B717ED" w:rsidP="00B717ED">
      <w:pPr>
        <w:pStyle w:val="Caption"/>
        <w:rPr>
          <w:rFonts w:ascii="Calibri Light" w:hAnsi="Calibri Light" w:cs="Arial"/>
          <w:sz w:val="22"/>
        </w:rPr>
      </w:pPr>
      <w:bookmarkStart w:id="124" w:name="_Ref447117431"/>
      <w:r w:rsidRPr="009E2B03">
        <w:rPr>
          <w:rFonts w:ascii="Calibri Light" w:hAnsi="Calibri Light" w:cs="Arial"/>
          <w:sz w:val="22"/>
        </w:rPr>
        <w:lastRenderedPageBreak/>
        <w:t xml:space="preserve">Map </w:t>
      </w:r>
      <w:r w:rsidR="00E127F4" w:rsidRPr="009E2B03">
        <w:rPr>
          <w:rFonts w:ascii="Calibri Light" w:hAnsi="Calibri Light" w:cs="Arial"/>
          <w:sz w:val="22"/>
        </w:rPr>
        <w:t>A</w:t>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Map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3</w:t>
      </w:r>
      <w:r w:rsidR="00CF0F96" w:rsidRPr="009E2B03">
        <w:rPr>
          <w:rFonts w:ascii="Calibri Light" w:hAnsi="Calibri Light" w:cs="Arial"/>
          <w:noProof/>
          <w:sz w:val="22"/>
        </w:rPr>
        <w:fldChar w:fldCharType="end"/>
      </w:r>
      <w:bookmarkEnd w:id="124"/>
      <w:r w:rsidRPr="009E2B03">
        <w:rPr>
          <w:rFonts w:ascii="Calibri Light" w:hAnsi="Calibri Light" w:cs="Arial"/>
          <w:noProof/>
          <w:sz w:val="22"/>
        </w:rPr>
        <w:t>:</w:t>
      </w:r>
      <w:r w:rsidRPr="009E2B03">
        <w:rPr>
          <w:rFonts w:ascii="Calibri Light" w:hAnsi="Calibri Light" w:cs="Arial"/>
          <w:sz w:val="22"/>
        </w:rPr>
        <w:t xml:space="preserve"> South Australia </w:t>
      </w:r>
      <w:r w:rsidR="00860A62" w:rsidRPr="009E2B03">
        <w:rPr>
          <w:rFonts w:ascii="Calibri Light" w:hAnsi="Calibri Light" w:cs="Arial"/>
          <w:sz w:val="22"/>
        </w:rPr>
        <w:t>s</w:t>
      </w:r>
      <w:r w:rsidRPr="009E2B03">
        <w:rPr>
          <w:rFonts w:ascii="Calibri Light" w:hAnsi="Calibri Light" w:cs="Arial"/>
          <w:sz w:val="22"/>
        </w:rPr>
        <w:t xml:space="preserve">exual </w:t>
      </w:r>
      <w:r w:rsidR="00860A62" w:rsidRPr="009E2B03">
        <w:rPr>
          <w:rFonts w:ascii="Calibri Light" w:hAnsi="Calibri Light" w:cs="Arial"/>
          <w:sz w:val="22"/>
        </w:rPr>
        <w:t>o</w:t>
      </w:r>
      <w:r w:rsidRPr="009E2B03">
        <w:rPr>
          <w:rFonts w:ascii="Calibri Light" w:hAnsi="Calibri Light" w:cs="Arial"/>
          <w:sz w:val="22"/>
        </w:rPr>
        <w:t>ffences per 1,000 population - 2012, by LGA</w:t>
      </w:r>
    </w:p>
    <w:p w14:paraId="2EC723AF" w14:textId="77777777" w:rsidR="003375BC" w:rsidRDefault="00B717ED" w:rsidP="00B717ED">
      <w:pPr>
        <w:jc w:val="center"/>
        <w:rPr>
          <w:rFonts w:ascii="Calibri Light" w:hAnsi="Calibri Light"/>
          <w:b/>
          <w:color w:val="6D2077"/>
          <w:sz w:val="22"/>
          <w:lang w:eastAsia="ko-KR"/>
        </w:rPr>
      </w:pPr>
      <w:r w:rsidRPr="009E2B03">
        <w:rPr>
          <w:rFonts w:ascii="Calibri Light" w:hAnsi="Calibri Light"/>
          <w:b/>
          <w:color w:val="6D2077"/>
          <w:sz w:val="22"/>
        </w:rPr>
        <w:t xml:space="preserve">The rate of recorded sexual offences per 1,000 people differs across the LGAs in South Australia, with Anangu Pitjantjatjara (AC) recording the highest rate of sexual offences across the state. </w:t>
      </w:r>
      <w:r w:rsidRPr="009E2B03">
        <w:rPr>
          <w:rFonts w:ascii="Calibri Light" w:hAnsi="Calibri Light"/>
          <w:b/>
          <w:color w:val="6D2077"/>
          <w:sz w:val="22"/>
          <w:lang w:eastAsia="ko-KR"/>
        </w:rPr>
        <w:t>Prevalence rates from the ABS PSS in 2012 shows 5.5 per cent of females in South Australia have experienced violence in the last 12 months.</w:t>
      </w:r>
    </w:p>
    <w:p w14:paraId="4A33039B" w14:textId="28B0CFE2" w:rsidR="000E0F53" w:rsidRDefault="00B717ED" w:rsidP="00B717ED">
      <w:pPr>
        <w:jc w:val="center"/>
        <w:rPr>
          <w:rFonts w:ascii="Calibri Light" w:hAnsi="Calibri Light"/>
          <w:noProof/>
          <w:color w:val="6D2077"/>
          <w:sz w:val="22"/>
          <w:lang w:eastAsia="en-AU"/>
        </w:rPr>
      </w:pPr>
      <w:r w:rsidRPr="009E2B03">
        <w:rPr>
          <w:rFonts w:ascii="Calibri Light" w:hAnsi="Calibri Light"/>
          <w:b/>
          <w:sz w:val="22"/>
          <w:lang w:eastAsia="ko-KR"/>
        </w:rPr>
        <w:t xml:space="preserve"> </w:t>
      </w:r>
      <w:r w:rsidR="003375BC" w:rsidRPr="009E2B03">
        <w:rPr>
          <w:rFonts w:ascii="Calibri Light" w:hAnsi="Calibri Light"/>
          <w:b/>
          <w:i/>
          <w:noProof/>
          <w:color w:val="6D2077"/>
          <w:sz w:val="22"/>
          <w:lang w:eastAsia="en-AU"/>
        </w:rPr>
        <mc:AlternateContent>
          <mc:Choice Requires="wps">
            <w:drawing>
              <wp:inline distT="0" distB="0" distL="0" distR="0" wp14:anchorId="56ADEC5B" wp14:editId="6DD52C25">
                <wp:extent cx="6319520" cy="228600"/>
                <wp:effectExtent l="0" t="0" r="0" b="0"/>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28600"/>
                        </a:xfrm>
                        <a:prstGeom prst="rect">
                          <a:avLst/>
                        </a:prstGeom>
                        <a:noFill/>
                        <a:ln w="9525">
                          <a:noFill/>
                          <a:miter lim="800000"/>
                          <a:headEnd/>
                          <a:tailEnd/>
                        </a:ln>
                      </wps:spPr>
                      <wps:txbx>
                        <w:txbxContent>
                          <w:p w14:paraId="65EB3E01" w14:textId="77777777" w:rsidR="00621BE2" w:rsidRPr="00CA206F" w:rsidRDefault="00621BE2" w:rsidP="003375BC">
                            <w:pPr>
                              <w:spacing w:before="0" w:after="0"/>
                              <w:rPr>
                                <w:sz w:val="18"/>
                              </w:rPr>
                            </w:pPr>
                            <w:r w:rsidRPr="00CA206F">
                              <w:rPr>
                                <w:sz w:val="18"/>
                              </w:rPr>
                              <w:t>Source: Office of Crime Statistics and Research (OCSAR) for South Australia</w:t>
                            </w:r>
                            <w:r>
                              <w:rPr>
                                <w:sz w:val="18"/>
                              </w:rPr>
                              <w:t>.</w:t>
                            </w:r>
                          </w:p>
                        </w:txbxContent>
                      </wps:txbx>
                      <wps:bodyPr rot="0" vert="horz" wrap="square" lIns="91440" tIns="45720" rIns="91440" bIns="45720" anchor="t" anchorCtr="0">
                        <a:noAutofit/>
                      </wps:bodyPr>
                    </wps:wsp>
                  </a:graphicData>
                </a:graphic>
              </wp:inline>
            </w:drawing>
          </mc:Choice>
          <mc:Fallback>
            <w:pict>
              <v:shape id="_x0000_s1029" type="#_x0000_t202" style="width:497.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" filled="f" stroked="f">
                <v:textbox>
                  <w:txbxContent>
                    <w:p w14:paraId="65EB3E01" w14:textId="77777777" w:rsidR="00621BE2" w:rsidRPr="00CA206F" w:rsidRDefault="00621BE2" w:rsidP="003375BC">
                      <w:pPr>
                        <w:spacing w:before="0" w:after="0"/>
                        <w:rPr>
                          <w:sz w:val="18"/>
                        </w:rPr>
                      </w:pPr>
                      <w:r w:rsidRPr="00CA206F">
                        <w:rPr>
                          <w:sz w:val="18"/>
                        </w:rPr>
                        <w:t>Source: Office of Crime Statistics and Research (OCSAR) for South Australia</w:t>
                      </w:r>
                      <w:r>
                        <w:rPr>
                          <w:sz w:val="18"/>
                        </w:rPr>
                        <w:t>.</w:t>
                      </w:r>
                    </w:p>
                  </w:txbxContent>
                </v:textbox>
                <w10:anchorlock/>
              </v:shape>
            </w:pict>
          </mc:Fallback>
        </mc:AlternateContent>
      </w:r>
    </w:p>
    <w:p w14:paraId="2C016967" w14:textId="28A4E289" w:rsidR="00B717ED" w:rsidRPr="009E2B03" w:rsidRDefault="000E0F53" w:rsidP="000E0F53">
      <w:pPr>
        <w:ind w:left="1440" w:firstLine="720"/>
        <w:rPr>
          <w:rFonts w:ascii="Calibri Light" w:hAnsi="Calibri Light"/>
          <w:b/>
          <w:sz w:val="22"/>
          <w:lang w:eastAsia="ko-KR"/>
        </w:rPr>
      </w:pPr>
      <w:r w:rsidRPr="009E2B03">
        <w:rPr>
          <w:rFonts w:ascii="Calibri Light" w:hAnsi="Calibri Light"/>
          <w:b/>
          <w:noProof/>
          <w:sz w:val="22"/>
          <w:lang w:eastAsia="en-AU"/>
        </w:rPr>
        <w:drawing>
          <wp:inline distT="0" distB="0" distL="0" distR="0" wp14:anchorId="58936069" wp14:editId="7965777E">
            <wp:extent cx="5868384" cy="3614468"/>
            <wp:effectExtent l="38100" t="38100" r="75565" b="100330"/>
            <wp:docPr id="1017" name="Picture 1017" descr="For further information please see the text above." title="Map showing South Australia sexual offences per 1,000 population - 2012, by 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7653" cy="3620177"/>
                    </a:xfrm>
                    <a:prstGeom prst="rect">
                      <a:avLst/>
                    </a:prstGeom>
                    <a:noFill/>
                    <a:effectLst>
                      <a:outerShdw blurRad="50800" dist="38100" dir="2700000" algn="tl" rotWithShape="0">
                        <a:prstClr val="black">
                          <a:alpha val="40000"/>
                        </a:prstClr>
                      </a:outerShdw>
                    </a:effectLst>
                  </pic:spPr>
                </pic:pic>
              </a:graphicData>
            </a:graphic>
          </wp:inline>
        </w:drawing>
      </w:r>
      <w:r w:rsidRPr="009E2B03">
        <w:rPr>
          <w:rFonts w:ascii="Calibri Light" w:hAnsi="Calibri Light"/>
          <w:noProof/>
          <w:color w:val="6D2077"/>
          <w:sz w:val="22"/>
          <w:lang w:eastAsia="en-AU"/>
        </w:rPr>
        <w:drawing>
          <wp:inline distT="0" distB="0" distL="0" distR="0" wp14:anchorId="53260D27" wp14:editId="44A62525">
            <wp:extent cx="723900" cy="1653540"/>
            <wp:effectExtent l="0" t="0" r="0" b="3810"/>
            <wp:docPr id="1016" name="Picture 1016" descr="For further information please see the text above." title="Image showing the degree of domestic violence density and corresponding prevalenc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900" cy="1653540"/>
                    </a:xfrm>
                    <a:prstGeom prst="rect">
                      <a:avLst/>
                    </a:prstGeom>
                    <a:noFill/>
                    <a:ln>
                      <a:noFill/>
                    </a:ln>
                  </pic:spPr>
                </pic:pic>
              </a:graphicData>
            </a:graphic>
          </wp:inline>
        </w:drawing>
      </w:r>
    </w:p>
    <w:p w14:paraId="4D356711" w14:textId="365ADABC" w:rsidR="00B717ED" w:rsidRPr="009E2B03" w:rsidRDefault="00B717ED" w:rsidP="00B717ED">
      <w:pPr>
        <w:jc w:val="center"/>
        <w:rPr>
          <w:rFonts w:ascii="Calibri Light" w:hAnsi="Calibri Light"/>
          <w:b/>
          <w:sz w:val="22"/>
          <w:lang w:eastAsia="ko-KR"/>
        </w:rPr>
      </w:pPr>
    </w:p>
    <w:p w14:paraId="14BFC391" w14:textId="77777777" w:rsidR="00B717ED" w:rsidRPr="009E2B03" w:rsidRDefault="00B717ED" w:rsidP="00B717ED">
      <w:pPr>
        <w:rPr>
          <w:rFonts w:ascii="Calibri Light" w:hAnsi="Calibri Light"/>
          <w:b/>
          <w:sz w:val="22"/>
        </w:rPr>
        <w:sectPr w:rsidR="00B717ED" w:rsidRPr="009E2B03" w:rsidSect="00F8042D">
          <w:pgSz w:w="16838" w:h="11906" w:orient="landscape"/>
          <w:pgMar w:top="1440" w:right="1440" w:bottom="1440" w:left="1440" w:header="708" w:footer="708" w:gutter="0"/>
          <w:cols w:space="708"/>
          <w:titlePg/>
          <w:docGrid w:linePitch="360"/>
        </w:sectPr>
      </w:pPr>
    </w:p>
    <w:p w14:paraId="1BBE5F4E" w14:textId="77777777" w:rsidR="00B717ED" w:rsidRPr="009E2B03" w:rsidRDefault="00E677E0" w:rsidP="005E4E54">
      <w:pPr>
        <w:pStyle w:val="BodyTextkeepwithnext0"/>
        <w:rPr>
          <w:rFonts w:ascii="Calibri Light" w:hAnsi="Calibri Light"/>
          <w:color w:val="6D2077"/>
          <w:sz w:val="36"/>
          <w:szCs w:val="32"/>
        </w:rPr>
      </w:pPr>
      <w:bookmarkStart w:id="125" w:name="_Toc447384513"/>
      <w:bookmarkStart w:id="126" w:name="_Toc447390101"/>
      <w:r w:rsidRPr="009E2B03">
        <w:rPr>
          <w:rFonts w:ascii="Calibri Light" w:hAnsi="Calibri Light"/>
          <w:color w:val="6D2077"/>
          <w:sz w:val="36"/>
          <w:szCs w:val="32"/>
        </w:rPr>
        <w:lastRenderedPageBreak/>
        <w:t xml:space="preserve">A.3 </w:t>
      </w:r>
      <w:r w:rsidR="00B717ED" w:rsidRPr="009E2B03">
        <w:rPr>
          <w:rFonts w:ascii="Calibri Light" w:hAnsi="Calibri Light"/>
          <w:color w:val="6D2077"/>
          <w:sz w:val="36"/>
          <w:szCs w:val="32"/>
        </w:rPr>
        <w:t>Social and economic impacts of violence</w:t>
      </w:r>
      <w:bookmarkEnd w:id="125"/>
      <w:bookmarkEnd w:id="126"/>
      <w:r w:rsidR="00B717ED" w:rsidRPr="009E2B03">
        <w:rPr>
          <w:rFonts w:ascii="Calibri Light" w:hAnsi="Calibri Light"/>
          <w:color w:val="6D2077"/>
          <w:sz w:val="36"/>
          <w:szCs w:val="32"/>
        </w:rPr>
        <w:t xml:space="preserve"> </w:t>
      </w:r>
    </w:p>
    <w:p w14:paraId="715AEDB4" w14:textId="77777777" w:rsidR="00B717ED" w:rsidRPr="009E2B03" w:rsidRDefault="00E677E0" w:rsidP="005E4E54">
      <w:pPr>
        <w:pStyle w:val="BodyText"/>
        <w:rPr>
          <w:rFonts w:ascii="Calibri Light" w:hAnsi="Calibri Light"/>
          <w:b/>
          <w:color w:val="6D2077"/>
          <w:sz w:val="24"/>
        </w:rPr>
      </w:pPr>
      <w:bookmarkStart w:id="127" w:name="_Toc445473555"/>
      <w:bookmarkStart w:id="128" w:name="_Toc445981186"/>
      <w:bookmarkStart w:id="129" w:name="_Toc446605316"/>
      <w:bookmarkStart w:id="130" w:name="_Toc447262493"/>
      <w:bookmarkStart w:id="131" w:name="_Toc447262601"/>
      <w:bookmarkStart w:id="132" w:name="_Toc447280465"/>
      <w:bookmarkStart w:id="133" w:name="_Toc447384474"/>
      <w:bookmarkStart w:id="134" w:name="_Toc447384514"/>
      <w:bookmarkStart w:id="135" w:name="_Toc447390102"/>
      <w:bookmarkStart w:id="136" w:name="_Toc447448427"/>
      <w:bookmarkStart w:id="137" w:name="_Toc447450114"/>
      <w:bookmarkStart w:id="138" w:name="_Toc447450199"/>
      <w:bookmarkStart w:id="139" w:name="_Toc447450241"/>
      <w:bookmarkStart w:id="140" w:name="_Toc447556019"/>
      <w:bookmarkStart w:id="141" w:name="_Toc447557143"/>
      <w:bookmarkStart w:id="142" w:name="_Toc445473556"/>
      <w:bookmarkStart w:id="143" w:name="_Toc446605317"/>
      <w:bookmarkStart w:id="144" w:name="_Toc447384515"/>
      <w:bookmarkStart w:id="145" w:name="_Toc447390103"/>
      <w:bookmarkStart w:id="146" w:name="_Toc447556020"/>
      <w:bookmarkStart w:id="147" w:name="_Toc447557144"/>
      <w:bookmarkStart w:id="148" w:name="_Toc445473557"/>
      <w:bookmarkStart w:id="149" w:name="_Toc445981188"/>
      <w:bookmarkStart w:id="150" w:name="_Toc446605318"/>
      <w:bookmarkStart w:id="151" w:name="_Toc447384516"/>
      <w:bookmarkStart w:id="152" w:name="_Toc447390104"/>
      <w:bookmarkStart w:id="153" w:name="_Toc447556021"/>
      <w:bookmarkStart w:id="154" w:name="_Toc447557145"/>
      <w:bookmarkStart w:id="155" w:name="_Toc445473558"/>
      <w:bookmarkStart w:id="156" w:name="_Toc445981189"/>
      <w:bookmarkStart w:id="157" w:name="_Toc446605319"/>
      <w:bookmarkStart w:id="158" w:name="_Toc447384517"/>
      <w:bookmarkStart w:id="159" w:name="_Toc447390105"/>
      <w:bookmarkStart w:id="160" w:name="_Toc447556022"/>
      <w:bookmarkStart w:id="161" w:name="_Toc44755714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9E2B03">
        <w:rPr>
          <w:rFonts w:ascii="Calibri Light" w:hAnsi="Calibri Light"/>
          <w:b/>
          <w:color w:val="6D2077"/>
          <w:sz w:val="24"/>
        </w:rPr>
        <w:t>A.3.1</w:t>
      </w:r>
      <w:r w:rsidR="0015237E" w:rsidRPr="009E2B03">
        <w:rPr>
          <w:rFonts w:ascii="Calibri Light" w:hAnsi="Calibri Light"/>
          <w:b/>
          <w:color w:val="6D2077"/>
          <w:sz w:val="24"/>
        </w:rPr>
        <w:t xml:space="preserve">.1 </w:t>
      </w:r>
      <w:r w:rsidR="00B717ED" w:rsidRPr="009E2B03">
        <w:rPr>
          <w:rFonts w:ascii="Calibri Light" w:hAnsi="Calibri Light"/>
          <w:b/>
          <w:color w:val="6D2077"/>
          <w:sz w:val="24"/>
        </w:rPr>
        <w:t>Nature and extent of the impacts of violence</w:t>
      </w:r>
    </w:p>
    <w:p w14:paraId="485DFF56"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Violence against women has broad ramifications. Those </w:t>
      </w:r>
      <w:r w:rsidR="00C5616D" w:rsidRPr="009E2B03">
        <w:rPr>
          <w:rFonts w:ascii="Calibri Light" w:hAnsi="Calibri Light"/>
          <w:sz w:val="22"/>
        </w:rPr>
        <w:t xml:space="preserve">affected </w:t>
      </w:r>
      <w:r w:rsidRPr="009E2B03">
        <w:rPr>
          <w:rFonts w:ascii="Calibri Light" w:hAnsi="Calibri Light"/>
          <w:sz w:val="22"/>
        </w:rPr>
        <w:t xml:space="preserve">include victims and their children, the broader community, governments (at all levels), the perpetrator of violence, the </w:t>
      </w:r>
      <w:r w:rsidR="00CF3C75" w:rsidRPr="009E2B03">
        <w:rPr>
          <w:rFonts w:ascii="Calibri Light" w:hAnsi="Calibri Light"/>
          <w:sz w:val="22"/>
        </w:rPr>
        <w:t>employer</w:t>
      </w:r>
      <w:r w:rsidRPr="009E2B03">
        <w:rPr>
          <w:rFonts w:ascii="Calibri Light" w:hAnsi="Calibri Light"/>
          <w:sz w:val="22"/>
        </w:rPr>
        <w:t xml:space="preserve">s of the victim, and the friends and family of the victim. For victims and their children, violence has a clear physical and psychological impact that affects their ability to lead fulfilling lives. There may also be compounding effects on a victim’s limited ability to leave an abusive relationship or access the appropriate services to support the process of recovery. </w:t>
      </w:r>
    </w:p>
    <w:p w14:paraId="59196447"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The evidence previously described demonstrates that there is significant variation in the nature and extent of violence against women across Australia. As a result, to gain a comprehensive understanding of the subject, evidence should be considered from a variety of perspectives. Violence can take a number of different forms, and can occur in various settings, including in the family environment, in private, and in public and the community. Given the multiple forms and settings of violence, it is not unexpected to find that violence also has a range of potential contributing factors and flow-on impacts for women, their children, perpetrators, and the community. </w:t>
      </w:r>
    </w:p>
    <w:p w14:paraId="3E28D00F" w14:textId="77777777" w:rsidR="00B717ED" w:rsidRPr="009E2B03" w:rsidRDefault="00B717ED" w:rsidP="00B717ED">
      <w:pPr>
        <w:pStyle w:val="BodyText"/>
        <w:rPr>
          <w:rFonts w:ascii="Calibri Light" w:hAnsi="Calibri Light"/>
          <w:sz w:val="22"/>
        </w:rPr>
      </w:pPr>
      <w:r w:rsidRPr="009E2B03">
        <w:rPr>
          <w:rFonts w:ascii="Calibri Light" w:hAnsi="Calibri Light"/>
          <w:sz w:val="22"/>
        </w:rPr>
        <w:t>In a number of studies of the impacts of violence against women, a close interconnection between the social and economic impacts of violence ha</w:t>
      </w:r>
      <w:r w:rsidR="00C5616D" w:rsidRPr="009E2B03">
        <w:rPr>
          <w:rFonts w:ascii="Calibri Light" w:hAnsi="Calibri Light"/>
          <w:sz w:val="22"/>
        </w:rPr>
        <w:t>s</w:t>
      </w:r>
      <w:r w:rsidRPr="009E2B03">
        <w:rPr>
          <w:rFonts w:ascii="Calibri Light" w:hAnsi="Calibri Light"/>
          <w:sz w:val="22"/>
        </w:rPr>
        <w:t xml:space="preserve"> been identified. Social impacts of violence include pain, suffering and premature mortality, as well as the second generation impacts of violence that are experienced by the children of victims. The emotional trauma and potential anxiety and depression following an incidence of violence may also have critical implications on the wellbeing of the victim and their family.</w:t>
      </w:r>
      <w:r w:rsidRPr="009E2B03">
        <w:rPr>
          <w:rStyle w:val="FootnoteReference"/>
          <w:rFonts w:ascii="Calibri Light" w:hAnsi="Calibri Light"/>
          <w:sz w:val="22"/>
        </w:rPr>
        <w:footnoteReference w:id="141"/>
      </w:r>
      <w:r w:rsidRPr="009E2B03">
        <w:rPr>
          <w:rFonts w:ascii="Calibri Light" w:hAnsi="Calibri Light"/>
          <w:sz w:val="22"/>
        </w:rPr>
        <w:t xml:space="preserve"> Research has shown that women who have experienced violence are more likely to access homelessness services, and are more likely to experience mental health issues.</w:t>
      </w:r>
      <w:r w:rsidRPr="009E2B03">
        <w:rPr>
          <w:rStyle w:val="FootnoteReference"/>
          <w:rFonts w:ascii="Calibri Light" w:hAnsi="Calibri Light"/>
          <w:sz w:val="22"/>
        </w:rPr>
        <w:footnoteReference w:id="142"/>
      </w:r>
    </w:p>
    <w:p w14:paraId="3EC2A83D"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Violence against women also has significant economic impacts. The impact of violence extends to sectors and institutions, including the health service system, the justice service system, and the broader economy. These impacts include, but are not limited to: </w:t>
      </w:r>
    </w:p>
    <w:p w14:paraId="4CBD0F5D"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increased demand for medical attention in emergency departments in hospitals, representing an increased cost to the health system</w:t>
      </w:r>
    </w:p>
    <w:p w14:paraId="0C034F82"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increased demand for service funding, particularly for homelessness and refuge services that support women to escape violent relationships through the provision of temporary accommodation and other forms of crisis support</w:t>
      </w:r>
    </w:p>
    <w:p w14:paraId="760DF734"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increased demand for policing services and increased administration costs as a result of court and incarceration costs for the perpetrators of violence</w:t>
      </w:r>
    </w:p>
    <w:p w14:paraId="10D182F3"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 xml:space="preserve">increased levels of absenteeism and presenteeism that impact workforce productivity and potential economic output.  </w:t>
      </w:r>
    </w:p>
    <w:p w14:paraId="50995DE6" w14:textId="7FAE2DC6" w:rsidR="00B717ED" w:rsidRPr="009E2B03" w:rsidRDefault="00B717ED" w:rsidP="00B717ED">
      <w:pPr>
        <w:pStyle w:val="BodyText"/>
        <w:rPr>
          <w:rFonts w:ascii="Calibri Light" w:hAnsi="Calibri Light"/>
          <w:sz w:val="22"/>
        </w:rPr>
      </w:pPr>
      <w:r w:rsidRPr="009E2B03">
        <w:rPr>
          <w:rFonts w:ascii="Calibri Light" w:hAnsi="Calibri Light"/>
          <w:sz w:val="22"/>
        </w:rPr>
        <w:t xml:space="preserve">The significant impact and cost of violence against women on both the victims and their families, and the broader Australian society, has provided the impetus for targeted studies to better understand the nature and extent of violence, as well as the challenges and potential interventions to reduce the incidence of violence. These studies have </w:t>
      </w:r>
      <w:r w:rsidR="00C5616D" w:rsidRPr="009E2B03">
        <w:rPr>
          <w:rFonts w:ascii="Calibri Light" w:hAnsi="Calibri Light"/>
          <w:sz w:val="22"/>
        </w:rPr>
        <w:t>been carried out at a</w:t>
      </w:r>
      <w:r w:rsidRPr="009E2B03">
        <w:rPr>
          <w:rFonts w:ascii="Calibri Light" w:hAnsi="Calibri Light"/>
          <w:sz w:val="22"/>
        </w:rPr>
        <w:t xml:space="preserve"> population-level</w:t>
      </w:r>
      <w:r w:rsidR="00C5616D" w:rsidRPr="009E2B03">
        <w:rPr>
          <w:rFonts w:ascii="Calibri Light" w:hAnsi="Calibri Light"/>
          <w:sz w:val="22"/>
        </w:rPr>
        <w:t>. There have also been studies of specific</w:t>
      </w:r>
      <w:r w:rsidRPr="009E2B03">
        <w:rPr>
          <w:rFonts w:ascii="Calibri Light" w:hAnsi="Calibri Light"/>
          <w:sz w:val="22"/>
        </w:rPr>
        <w:t xml:space="preserve"> cohorts and geographies, including women across different age groups, Aboriginal and Torres Strait Islander women, women from CALD backgrounds, pregnant women, women identifying as LGBTIQ, children exposed to domestic violence, and women with disability. For these </w:t>
      </w:r>
      <w:r w:rsidRPr="009E2B03">
        <w:rPr>
          <w:rFonts w:ascii="Calibri Light" w:hAnsi="Calibri Light"/>
          <w:sz w:val="22"/>
        </w:rPr>
        <w:lastRenderedPageBreak/>
        <w:t xml:space="preserve">cohorts in particular, the research has shown that there are risk factors that contribute to increased risk and vulnerability of experiencing violence. </w:t>
      </w:r>
    </w:p>
    <w:p w14:paraId="26B40E2F"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Key insights from the domestic and international literature scan </w:t>
      </w:r>
      <w:r w:rsidR="00C5616D" w:rsidRPr="009E2B03">
        <w:rPr>
          <w:rFonts w:ascii="Calibri Light" w:hAnsi="Calibri Light"/>
          <w:sz w:val="22"/>
        </w:rPr>
        <w:t>are</w:t>
      </w:r>
      <w:r w:rsidRPr="009E2B03">
        <w:rPr>
          <w:rFonts w:ascii="Calibri Light" w:hAnsi="Calibri Light"/>
          <w:sz w:val="22"/>
        </w:rPr>
        <w:t xml:space="preserve"> summarised below</w:t>
      </w:r>
      <w:r w:rsidR="00C5616D" w:rsidRPr="009E2B03">
        <w:rPr>
          <w:rFonts w:ascii="Calibri Light" w:hAnsi="Calibri Light"/>
          <w:sz w:val="22"/>
        </w:rPr>
        <w:t>.</w:t>
      </w:r>
    </w:p>
    <w:p w14:paraId="6490DB71" w14:textId="77777777" w:rsidR="00B717ED" w:rsidRPr="009E2B03" w:rsidRDefault="00B717ED" w:rsidP="00917FF4">
      <w:pPr>
        <w:pStyle w:val="BodyBullet"/>
        <w:numPr>
          <w:ilvl w:val="0"/>
          <w:numId w:val="0"/>
        </w:numPr>
        <w:rPr>
          <w:rFonts w:ascii="Calibri Light" w:hAnsi="Calibri Light" w:cs="Arial"/>
          <w:sz w:val="22"/>
        </w:rPr>
      </w:pPr>
      <w:r w:rsidRPr="009E2B03">
        <w:rPr>
          <w:rFonts w:ascii="Calibri Light" w:hAnsi="Calibri Light" w:cs="Arial"/>
          <w:b/>
          <w:color w:val="6D2077"/>
          <w:sz w:val="22"/>
        </w:rPr>
        <w:t>There are significant variations in the prevalence of violence across different demographic and geographic cohorts</w:t>
      </w:r>
      <w:r w:rsidR="00C5616D" w:rsidRPr="009E2B03">
        <w:rPr>
          <w:rFonts w:ascii="Calibri Light" w:hAnsi="Calibri Light" w:cs="Arial"/>
          <w:color w:val="6D2077"/>
          <w:sz w:val="22"/>
        </w:rPr>
        <w:t>.</w:t>
      </w:r>
      <w:r w:rsidRPr="009E2B03">
        <w:rPr>
          <w:rFonts w:ascii="Calibri Light" w:hAnsi="Calibri Light" w:cs="Arial"/>
          <w:color w:val="6D2077"/>
          <w:sz w:val="22"/>
        </w:rPr>
        <w:t xml:space="preserve"> </w:t>
      </w:r>
      <w:r w:rsidRPr="009E2B03">
        <w:rPr>
          <w:rFonts w:ascii="Calibri Light" w:hAnsi="Calibri Light" w:cs="Arial"/>
          <w:sz w:val="22"/>
        </w:rPr>
        <w:t>The prevalence of violence is overrepresented among certain cohorts, including women living in regional and remote areas, Aboriginal and Torres Strait Islander women, and women who have a disability. The 2012 PSS found that an estimated 21 per cent of women living outside of capital cities had experienced violence from an intimate partner since the age of 15, compared to 15 per cent for those living in capital cities.</w:t>
      </w:r>
      <w:r w:rsidRPr="009E2B03">
        <w:rPr>
          <w:rStyle w:val="FootnoteReference"/>
          <w:rFonts w:ascii="Calibri Light" w:hAnsi="Calibri Light" w:cs="Arial"/>
          <w:sz w:val="22"/>
        </w:rPr>
        <w:footnoteReference w:id="143"/>
      </w:r>
      <w:r w:rsidRPr="009E2B03">
        <w:rPr>
          <w:rFonts w:ascii="Calibri Light" w:hAnsi="Calibri Light" w:cs="Arial"/>
          <w:sz w:val="22"/>
        </w:rPr>
        <w:t xml:space="preserve"> Similarly, the 2008 ABS National Aboriginal and Torres Strait Islander Social survey found that Aboriginal and Torres Strait Islander women are at least four times more likely to experience violence compared to the rest of the population.</w:t>
      </w:r>
      <w:r w:rsidRPr="009E2B03">
        <w:rPr>
          <w:rStyle w:val="FootnoteReference"/>
          <w:rFonts w:ascii="Calibri Light" w:hAnsi="Calibri Light" w:cs="Arial"/>
          <w:sz w:val="22"/>
        </w:rPr>
        <w:footnoteReference w:id="144"/>
      </w:r>
      <w:r w:rsidRPr="009E2B03">
        <w:rPr>
          <w:rFonts w:ascii="Calibri Light" w:hAnsi="Calibri Light" w:cs="Arial"/>
          <w:sz w:val="22"/>
        </w:rPr>
        <w:t xml:space="preserve"> The differences in the prevalence of experiencing violence among women with</w:t>
      </w:r>
      <w:r w:rsidR="00C5616D" w:rsidRPr="009E2B03">
        <w:rPr>
          <w:rFonts w:ascii="Calibri Light" w:hAnsi="Calibri Light" w:cs="Arial"/>
          <w:sz w:val="22"/>
        </w:rPr>
        <w:t>in</w:t>
      </w:r>
      <w:r w:rsidRPr="009E2B03">
        <w:rPr>
          <w:rFonts w:ascii="Calibri Light" w:hAnsi="Calibri Light" w:cs="Arial"/>
          <w:sz w:val="22"/>
        </w:rPr>
        <w:t xml:space="preserve"> these cohorts and the broader population shows that there may be underlying risk factors that may contribute to a higher risk of experiencing violence over the course of their lives. </w:t>
      </w:r>
    </w:p>
    <w:p w14:paraId="243F6B00" w14:textId="4CDE1A92" w:rsidR="00B717ED" w:rsidRPr="009E2B03" w:rsidRDefault="00B717ED" w:rsidP="00917FF4">
      <w:pPr>
        <w:pStyle w:val="BodyBullet"/>
        <w:numPr>
          <w:ilvl w:val="0"/>
          <w:numId w:val="0"/>
        </w:numPr>
        <w:rPr>
          <w:rFonts w:ascii="Calibri Light" w:hAnsi="Calibri Light" w:cs="Arial"/>
          <w:sz w:val="22"/>
        </w:rPr>
      </w:pPr>
      <w:r w:rsidRPr="009E2B03">
        <w:rPr>
          <w:rFonts w:ascii="Calibri Light" w:hAnsi="Calibri Light" w:cs="Arial"/>
          <w:b/>
          <w:color w:val="6D2077"/>
          <w:sz w:val="22"/>
        </w:rPr>
        <w:t>Contributing risk factors to higher prevalence rates may also impact on the vulnerability of experiencing violence for some cohorts</w:t>
      </w:r>
      <w:r w:rsidR="00C74B77" w:rsidRPr="009E2B03">
        <w:rPr>
          <w:rFonts w:ascii="Calibri Light" w:hAnsi="Calibri Light" w:cs="Arial"/>
          <w:b/>
          <w:color w:val="6D2077"/>
          <w:sz w:val="22"/>
        </w:rPr>
        <w:t>.</w:t>
      </w:r>
      <w:r w:rsidR="00C74B77" w:rsidRPr="009E2B03">
        <w:rPr>
          <w:rFonts w:ascii="Calibri Light" w:hAnsi="Calibri Light" w:cs="Arial"/>
          <w:sz w:val="22"/>
        </w:rPr>
        <w:t xml:space="preserve"> </w:t>
      </w:r>
      <w:r w:rsidRPr="009E2B03">
        <w:rPr>
          <w:rFonts w:ascii="Calibri Light" w:hAnsi="Calibri Light" w:cs="Arial"/>
          <w:sz w:val="22"/>
        </w:rPr>
        <w:t>For some cohorts, including women from a CALD background and women identifying as LGBTIQ,</w:t>
      </w:r>
      <w:r w:rsidR="00C74B77" w:rsidRPr="009E2B03">
        <w:rPr>
          <w:rFonts w:ascii="Calibri Light" w:hAnsi="Calibri Light" w:cs="Arial"/>
          <w:sz w:val="22"/>
        </w:rPr>
        <w:t xml:space="preserve"> the data</w:t>
      </w:r>
      <w:r w:rsidRPr="009E2B03">
        <w:rPr>
          <w:rFonts w:ascii="Calibri Light" w:hAnsi="Calibri Light" w:cs="Arial"/>
          <w:sz w:val="22"/>
        </w:rPr>
        <w:t xml:space="preserve"> is unclear as to whether there is a significant difference in the prevalence of violence. However, it is widely understood that for these cohorts, and for other at-risk cohorts including pregnant women, women with disability, and elderly women, there may be certain barriers that prevent women from reporting violence, or seeking support. These barriers include limited access or availability of support services, emotional or financial dependence, and limited participation in decision making. </w:t>
      </w:r>
    </w:p>
    <w:p w14:paraId="2FF89686" w14:textId="765242EB" w:rsidR="00B717ED" w:rsidRPr="009E2B03" w:rsidRDefault="00B717ED" w:rsidP="00917FF4">
      <w:pPr>
        <w:pStyle w:val="BodyBullet"/>
        <w:numPr>
          <w:ilvl w:val="0"/>
          <w:numId w:val="0"/>
        </w:numPr>
        <w:rPr>
          <w:rFonts w:ascii="Calibri Light" w:hAnsi="Calibri Light" w:cs="Arial"/>
          <w:sz w:val="22"/>
        </w:rPr>
      </w:pPr>
      <w:r w:rsidRPr="009E2B03">
        <w:rPr>
          <w:rFonts w:ascii="Calibri Light" w:hAnsi="Calibri Light" w:cs="Arial"/>
          <w:b/>
          <w:color w:val="6D2077"/>
          <w:sz w:val="22"/>
        </w:rPr>
        <w:t>The evidence on the relationship between indicators of socioeconomic advantage or disadvantage and the prevalence of violence is mixed</w:t>
      </w:r>
      <w:r w:rsidR="00C74B77" w:rsidRPr="009E2B03">
        <w:rPr>
          <w:rFonts w:ascii="Calibri Light" w:hAnsi="Calibri Light" w:cs="Arial"/>
          <w:b/>
          <w:color w:val="6D2077"/>
          <w:sz w:val="22"/>
        </w:rPr>
        <w:t xml:space="preserve">. </w:t>
      </w:r>
      <w:r w:rsidRPr="009E2B03">
        <w:rPr>
          <w:rFonts w:ascii="Calibri Light" w:hAnsi="Calibri Light" w:cs="Arial"/>
          <w:sz w:val="22"/>
        </w:rPr>
        <w:t xml:space="preserve">Preliminary data analysis has shown there is a high degree of correlation between socioeconomic indices for areas and the incidence of domestic assaults, but the data is not consistent across cohorts and geographies. Importantly, violence affects both women who have experienced socioeconomic advantage and socioeconomic disadvantage. </w:t>
      </w:r>
      <w:r w:rsidR="00C74B77" w:rsidRPr="009E2B03">
        <w:rPr>
          <w:rFonts w:ascii="Calibri Light" w:hAnsi="Calibri Light" w:cs="Arial"/>
          <w:sz w:val="22"/>
        </w:rPr>
        <w:t xml:space="preserve">Given </w:t>
      </w:r>
      <w:r w:rsidRPr="009E2B03">
        <w:rPr>
          <w:rFonts w:ascii="Calibri Light" w:hAnsi="Calibri Light" w:cs="Arial"/>
          <w:sz w:val="22"/>
        </w:rPr>
        <w:t xml:space="preserve">the data available, there are a number of challenges to determining the extent and impact of violence at a sufficiently granular level to draw detailed insights around the relationship between the different socioeconomic indicators, including the level of household income and the level of educational attainment. </w:t>
      </w:r>
    </w:p>
    <w:p w14:paraId="6EB35D02" w14:textId="77777777" w:rsidR="00B717ED" w:rsidRPr="009E2B03" w:rsidRDefault="00B717ED" w:rsidP="00917FF4">
      <w:pPr>
        <w:pStyle w:val="BodyBullet"/>
        <w:numPr>
          <w:ilvl w:val="0"/>
          <w:numId w:val="0"/>
        </w:numPr>
        <w:rPr>
          <w:rFonts w:ascii="Calibri Light" w:hAnsi="Calibri Light" w:cs="Arial"/>
          <w:sz w:val="22"/>
        </w:rPr>
      </w:pPr>
      <w:r w:rsidRPr="009E2B03">
        <w:rPr>
          <w:rFonts w:ascii="Calibri Light" w:hAnsi="Calibri Light" w:cs="Arial"/>
          <w:b/>
          <w:color w:val="6D2077"/>
          <w:sz w:val="22"/>
        </w:rPr>
        <w:t>The high level of unreported violence has implications on the interpretation of data</w:t>
      </w:r>
      <w:r w:rsidR="00C74B77" w:rsidRPr="009E2B03">
        <w:rPr>
          <w:rFonts w:ascii="Calibri Light" w:hAnsi="Calibri Light" w:cs="Arial"/>
          <w:color w:val="6D2077"/>
          <w:sz w:val="22"/>
        </w:rPr>
        <w:t>.</w:t>
      </w:r>
      <w:r w:rsidRPr="009E2B03">
        <w:rPr>
          <w:rFonts w:ascii="Calibri Light" w:hAnsi="Calibri Light" w:cs="Arial"/>
          <w:color w:val="6D2077"/>
          <w:sz w:val="22"/>
        </w:rPr>
        <w:t xml:space="preserve"> </w:t>
      </w:r>
      <w:r w:rsidRPr="009E2B03">
        <w:rPr>
          <w:rFonts w:ascii="Calibri Light" w:hAnsi="Calibri Light" w:cs="Arial"/>
          <w:sz w:val="22"/>
        </w:rPr>
        <w:t>While the prevalence data on violence against women takes into account reported and unreported violence, the incidence data collated through reported crime statistics for each jurisdiction focuses only on reported violence. The 2012 PSS showed that 83 per cent of women who experienced sexual assault and 72 per cent of women who experienced physical assault by a male over the last 12 months did not contact the police about the most recent incident.</w:t>
      </w:r>
      <w:r w:rsidRPr="009E2B03">
        <w:rPr>
          <w:rStyle w:val="FootnoteReference"/>
          <w:rFonts w:ascii="Calibri Light" w:eastAsia="Batang" w:hAnsi="Calibri Light" w:cs="Arial"/>
          <w:sz w:val="22"/>
          <w:szCs w:val="20"/>
        </w:rPr>
        <w:footnoteReference w:id="145"/>
      </w:r>
      <w:r w:rsidRPr="009E2B03">
        <w:rPr>
          <w:rFonts w:ascii="Calibri Light" w:hAnsi="Calibri Light" w:cs="Arial"/>
          <w:sz w:val="22"/>
        </w:rPr>
        <w:t xml:space="preserve"> The high level of unreported violence has significant implications on the way incidence data is interpreted</w:t>
      </w:r>
      <w:r w:rsidR="00C74B77" w:rsidRPr="009E2B03">
        <w:rPr>
          <w:rFonts w:ascii="Calibri Light" w:hAnsi="Calibri Light" w:cs="Arial"/>
          <w:sz w:val="22"/>
        </w:rPr>
        <w:t>. W</w:t>
      </w:r>
      <w:r w:rsidRPr="009E2B03">
        <w:rPr>
          <w:rFonts w:ascii="Calibri Light" w:hAnsi="Calibri Light" w:cs="Arial"/>
          <w:sz w:val="22"/>
        </w:rPr>
        <w:t xml:space="preserve">ithout a comprehensive understanding of the cohorts of women who experience violence, there may be challenges to attributing the costs in a systematic method.  </w:t>
      </w:r>
    </w:p>
    <w:p w14:paraId="7203F6C2" w14:textId="77777777" w:rsidR="00B717ED" w:rsidRPr="009E2B03" w:rsidRDefault="00B717ED" w:rsidP="00917FF4">
      <w:pPr>
        <w:pStyle w:val="BodyBullet"/>
        <w:numPr>
          <w:ilvl w:val="0"/>
          <w:numId w:val="0"/>
        </w:numPr>
        <w:rPr>
          <w:rFonts w:ascii="Calibri Light" w:hAnsi="Calibri Light" w:cs="Arial"/>
          <w:sz w:val="22"/>
        </w:rPr>
      </w:pPr>
      <w:r w:rsidRPr="009E2B03">
        <w:rPr>
          <w:rFonts w:ascii="Calibri Light" w:hAnsi="Calibri Light" w:cs="Arial"/>
          <w:b/>
          <w:color w:val="6D2077"/>
          <w:sz w:val="22"/>
        </w:rPr>
        <w:t>A</w:t>
      </w:r>
      <w:r w:rsidR="00C74B77" w:rsidRPr="009E2B03">
        <w:rPr>
          <w:rFonts w:ascii="Calibri Light" w:hAnsi="Calibri Light" w:cs="Arial"/>
          <w:b/>
          <w:color w:val="6D2077"/>
          <w:sz w:val="22"/>
        </w:rPr>
        <w:t xml:space="preserve">n important </w:t>
      </w:r>
      <w:r w:rsidRPr="009E2B03">
        <w:rPr>
          <w:rFonts w:ascii="Calibri Light" w:hAnsi="Calibri Light" w:cs="Arial"/>
          <w:b/>
          <w:color w:val="6D2077"/>
          <w:sz w:val="22"/>
        </w:rPr>
        <w:t>enabler of violence against women is the presence of forms of power or control, including control over economic resources</w:t>
      </w:r>
      <w:r w:rsidR="00C74B77" w:rsidRPr="009E2B03">
        <w:rPr>
          <w:rFonts w:ascii="Calibri Light" w:hAnsi="Calibri Light" w:cs="Arial"/>
          <w:color w:val="6D2077"/>
          <w:sz w:val="22"/>
        </w:rPr>
        <w:t>.</w:t>
      </w:r>
      <w:r w:rsidRPr="009E2B03">
        <w:rPr>
          <w:rFonts w:ascii="Calibri Light" w:hAnsi="Calibri Light" w:cs="Arial"/>
          <w:b/>
          <w:color w:val="6D2077"/>
          <w:sz w:val="22"/>
        </w:rPr>
        <w:t xml:space="preserve"> </w:t>
      </w:r>
      <w:r w:rsidRPr="009E2B03">
        <w:rPr>
          <w:rFonts w:ascii="Calibri Light" w:hAnsi="Calibri Light" w:cs="Arial"/>
          <w:sz w:val="22"/>
        </w:rPr>
        <w:t xml:space="preserve">There is strong consensus in the international research on the role of social attitudes and norms in shaping gender inequality, and in contributing to factors that may </w:t>
      </w:r>
      <w:r w:rsidRPr="009E2B03">
        <w:rPr>
          <w:rFonts w:ascii="Calibri Light" w:hAnsi="Calibri Light" w:cs="Arial"/>
          <w:sz w:val="22"/>
        </w:rPr>
        <w:lastRenderedPageBreak/>
        <w:t>drive higher levels of violence against women.</w:t>
      </w:r>
      <w:r w:rsidRPr="009E2B03">
        <w:rPr>
          <w:rStyle w:val="FootnoteReference"/>
          <w:rFonts w:ascii="Calibri Light" w:hAnsi="Calibri Light" w:cs="Arial"/>
          <w:sz w:val="22"/>
        </w:rPr>
        <w:footnoteReference w:id="146"/>
      </w:r>
      <w:r w:rsidRPr="009E2B03">
        <w:rPr>
          <w:rFonts w:ascii="Calibri Light" w:hAnsi="Calibri Light" w:cs="Arial"/>
          <w:sz w:val="22"/>
        </w:rPr>
        <w:t xml:space="preserve"> Violence against women has been shown to be significantly and consistently lower in countries where women’s economic, social, and political rights are better protected, and where power and resources are more equally distributed between men and women.</w:t>
      </w:r>
      <w:r w:rsidRPr="009E2B03">
        <w:rPr>
          <w:rStyle w:val="FootnoteReference"/>
          <w:rFonts w:ascii="Calibri Light" w:hAnsi="Calibri Light" w:cs="Arial"/>
          <w:sz w:val="22"/>
        </w:rPr>
        <w:footnoteReference w:id="147"/>
      </w:r>
      <w:r w:rsidRPr="009E2B03">
        <w:rPr>
          <w:rFonts w:ascii="Calibri Light" w:hAnsi="Calibri Light" w:cs="Arial"/>
          <w:sz w:val="22"/>
        </w:rPr>
        <w:t xml:space="preserve"> In line with this, the role of economic abuse as an enabler of violence in relationships needs to be considered carefully and within the context of physical and sexual violence. Further, violence is often compounded by the presence of risk factors such as drug and alcohol abuse, or mental health issues. </w:t>
      </w:r>
    </w:p>
    <w:p w14:paraId="1D1E5302" w14:textId="3D295943" w:rsidR="00B717ED" w:rsidRPr="009E2B03" w:rsidRDefault="00B717ED" w:rsidP="00B717ED">
      <w:pPr>
        <w:spacing w:after="0"/>
        <w:rPr>
          <w:rFonts w:ascii="Calibri Light" w:hAnsi="Calibri Light"/>
          <w:sz w:val="22"/>
        </w:rPr>
      </w:pPr>
      <w:r w:rsidRPr="009E2B03">
        <w:rPr>
          <w:rFonts w:ascii="Calibri Light" w:hAnsi="Calibri Light"/>
          <w:sz w:val="22"/>
        </w:rPr>
        <w:t xml:space="preserve">The prominence of economic abuse within the public discussion around abusive behaviours and contributing factors to domestic violence has increased significantly in recent years. This reflects the shift towards developing a more holistic view of abuse and its impacts on the health and wellbeing of women, and the significant changes in the way abuse is defined and understood today. </w:t>
      </w:r>
      <w:r w:rsidRPr="009E2B03">
        <w:rPr>
          <w:rFonts w:ascii="Calibri Light" w:hAnsi="Calibri Light"/>
          <w:sz w:val="22"/>
        </w:rPr>
        <w:fldChar w:fldCharType="begin"/>
      </w:r>
      <w:r w:rsidRPr="009E2B03">
        <w:rPr>
          <w:rFonts w:ascii="Calibri Light" w:hAnsi="Calibri Light"/>
          <w:sz w:val="22"/>
        </w:rPr>
        <w:instrText xml:space="preserve"> REF _Ref447190809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Box A</w:t>
      </w:r>
      <w:r w:rsidR="00417237" w:rsidRPr="009E2B03">
        <w:rPr>
          <w:rFonts w:ascii="Calibri Light" w:hAnsi="Calibri Light"/>
          <w:sz w:val="22"/>
        </w:rPr>
        <w:noBreakHyphen/>
      </w:r>
      <w:r w:rsidR="00417237">
        <w:rPr>
          <w:rFonts w:ascii="Calibri Light" w:hAnsi="Calibri Light"/>
          <w:sz w:val="22"/>
        </w:rPr>
        <w:t>0</w:t>
      </w:r>
      <w:r w:rsidR="00417237" w:rsidRPr="009E2B03">
        <w:rPr>
          <w:rFonts w:ascii="Calibri Light" w:hAnsi="Calibri Light"/>
          <w:sz w:val="22"/>
        </w:rPr>
        <w:noBreakHyphen/>
      </w:r>
      <w:r w:rsidR="00417237">
        <w:rPr>
          <w:rFonts w:ascii="Calibri Light" w:hAnsi="Calibri Light"/>
          <w:sz w:val="22"/>
        </w:rPr>
        <w:t>2</w:t>
      </w:r>
      <w:r w:rsidRPr="009E2B03">
        <w:rPr>
          <w:rFonts w:ascii="Calibri Light" w:hAnsi="Calibri Light"/>
          <w:sz w:val="22"/>
        </w:rPr>
        <w:fldChar w:fldCharType="end"/>
      </w:r>
      <w:r w:rsidRPr="009E2B03">
        <w:rPr>
          <w:rFonts w:ascii="Calibri Light" w:hAnsi="Calibri Light"/>
          <w:sz w:val="22"/>
        </w:rPr>
        <w:t xml:space="preserve"> provides greater detail into the impact of economic abuse and its interdependencies with other forms of violence within the home. </w:t>
      </w:r>
    </w:p>
    <w:p w14:paraId="2F63482C" w14:textId="77777777" w:rsidR="00B717ED" w:rsidRPr="009E2B03" w:rsidRDefault="00B717ED" w:rsidP="00B717ED">
      <w:pPr>
        <w:pStyle w:val="Caption"/>
        <w:rPr>
          <w:rFonts w:ascii="Calibri Light" w:hAnsi="Calibri Light" w:cs="Arial"/>
          <w:sz w:val="22"/>
        </w:rPr>
      </w:pPr>
      <w:bookmarkStart w:id="162" w:name="_Ref447190809"/>
      <w:bookmarkStart w:id="163" w:name="_Ref445382833"/>
      <w:r w:rsidRPr="009E2B03">
        <w:rPr>
          <w:rFonts w:ascii="Calibri Light" w:hAnsi="Calibri Light" w:cs="Arial"/>
          <w:sz w:val="22"/>
        </w:rPr>
        <w:t xml:space="preserve">Box </w:t>
      </w:r>
      <w:r w:rsidR="00E127F4" w:rsidRPr="009E2B03">
        <w:rPr>
          <w:rFonts w:ascii="Calibri Light" w:hAnsi="Calibri Light" w:cs="Arial"/>
          <w:sz w:val="22"/>
        </w:rPr>
        <w:t>A</w:t>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0</w:t>
      </w:r>
      <w:r w:rsidR="00CF0F96" w:rsidRPr="009E2B03">
        <w:rPr>
          <w:rFonts w:ascii="Calibri Light" w:hAnsi="Calibri Light" w:cs="Arial"/>
          <w:noProof/>
          <w:sz w:val="22"/>
        </w:rPr>
        <w:fldChar w:fldCharType="end"/>
      </w:r>
      <w:r w:rsidR="008D2E70"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Box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2</w:t>
      </w:r>
      <w:r w:rsidR="00CF0F96" w:rsidRPr="009E2B03">
        <w:rPr>
          <w:rFonts w:ascii="Calibri Light" w:hAnsi="Calibri Light" w:cs="Arial"/>
          <w:noProof/>
          <w:sz w:val="22"/>
        </w:rPr>
        <w:fldChar w:fldCharType="end"/>
      </w:r>
      <w:bookmarkEnd w:id="162"/>
      <w:r w:rsidRPr="009E2B03">
        <w:rPr>
          <w:rFonts w:ascii="Calibri Light" w:hAnsi="Calibri Light" w:cs="Arial"/>
          <w:sz w:val="22"/>
        </w:rPr>
        <w:t>: The impact of economic abuse</w:t>
      </w:r>
    </w:p>
    <w:p w14:paraId="0ED48EAA" w14:textId="77777777" w:rsidR="00B717ED" w:rsidRPr="009E2B03" w:rsidRDefault="00B717ED" w:rsidP="00C95D8A">
      <w:pPr>
        <w:pStyle w:val="BodyText"/>
        <w:pBdr>
          <w:top w:val="single" w:sz="4" w:space="1" w:color="auto"/>
          <w:left w:val="single" w:sz="4" w:space="4" w:color="auto"/>
          <w:bottom w:val="single" w:sz="4" w:space="0" w:color="auto"/>
          <w:right w:val="single" w:sz="4" w:space="4" w:color="auto"/>
        </w:pBdr>
        <w:shd w:val="clear" w:color="auto" w:fill="F3F0F4"/>
        <w:ind w:left="142"/>
        <w:rPr>
          <w:rFonts w:ascii="Calibri Light" w:hAnsi="Calibri Light"/>
          <w:b/>
          <w:color w:val="6D2077"/>
          <w:sz w:val="22"/>
        </w:rPr>
      </w:pPr>
      <w:r w:rsidRPr="009E2B03">
        <w:rPr>
          <w:rFonts w:ascii="Calibri Light" w:hAnsi="Calibri Light"/>
          <w:b/>
          <w:color w:val="6D2077"/>
          <w:sz w:val="22"/>
        </w:rPr>
        <w:t>The impact of economic abuse</w:t>
      </w:r>
    </w:p>
    <w:p w14:paraId="0B71B899" w14:textId="77777777" w:rsidR="00B717ED" w:rsidRPr="009E2B03" w:rsidRDefault="00B717ED" w:rsidP="00C95D8A">
      <w:pPr>
        <w:pStyle w:val="BodyText"/>
        <w:pBdr>
          <w:top w:val="single" w:sz="4" w:space="1" w:color="auto"/>
          <w:left w:val="single" w:sz="4" w:space="4" w:color="auto"/>
          <w:bottom w:val="single" w:sz="4" w:space="0" w:color="auto"/>
          <w:right w:val="single" w:sz="4" w:space="4" w:color="auto"/>
        </w:pBdr>
        <w:shd w:val="clear" w:color="auto" w:fill="F3F0F4"/>
        <w:ind w:left="142"/>
        <w:rPr>
          <w:rFonts w:ascii="Calibri Light" w:hAnsi="Calibri Light"/>
          <w:sz w:val="22"/>
        </w:rPr>
      </w:pPr>
      <w:r w:rsidRPr="009E2B03">
        <w:rPr>
          <w:rFonts w:ascii="Calibri Light" w:hAnsi="Calibri Light"/>
          <w:sz w:val="22"/>
        </w:rPr>
        <w:t xml:space="preserve">New research into the category of economic abuse illustrates one of the interdependent impacts of violence. Financial inequality in partner relationships can mean a female victim </w:t>
      </w:r>
      <w:r w:rsidR="00C74B77" w:rsidRPr="009E2B03">
        <w:rPr>
          <w:rFonts w:ascii="Calibri Light" w:hAnsi="Calibri Light"/>
          <w:sz w:val="22"/>
        </w:rPr>
        <w:t>has difficulty</w:t>
      </w:r>
      <w:r w:rsidRPr="009E2B03">
        <w:rPr>
          <w:rFonts w:ascii="Calibri Light" w:hAnsi="Calibri Light"/>
          <w:sz w:val="22"/>
        </w:rPr>
        <w:t xml:space="preserve"> escaping the perpetrator. This in turn may enable or prolong other forms of violence. As a key component of gender inequality, financial dependency can influence a woman’s decision to remain in a violent relationship, and contributes to around 10 per cent of women returning to abusive partners.  </w:t>
      </w:r>
    </w:p>
    <w:p w14:paraId="24C378D6" w14:textId="77777777" w:rsidR="00B717ED" w:rsidRPr="009E2B03" w:rsidRDefault="00B717ED" w:rsidP="00C95D8A">
      <w:pPr>
        <w:pStyle w:val="BodyText"/>
        <w:numPr>
          <w:ilvl w:val="0"/>
          <w:numId w:val="15"/>
        </w:numPr>
        <w:pBdr>
          <w:top w:val="single" w:sz="4" w:space="1" w:color="auto"/>
          <w:left w:val="single" w:sz="4" w:space="4" w:color="auto"/>
          <w:bottom w:val="single" w:sz="4" w:space="0" w:color="auto"/>
          <w:right w:val="single" w:sz="4" w:space="4" w:color="auto"/>
        </w:pBdr>
        <w:shd w:val="clear" w:color="auto" w:fill="F3F0F4"/>
        <w:tabs>
          <w:tab w:val="clear" w:pos="340"/>
          <w:tab w:val="num" w:pos="482"/>
        </w:tabs>
        <w:ind w:left="482"/>
        <w:rPr>
          <w:rFonts w:ascii="Calibri Light" w:hAnsi="Calibri Light"/>
          <w:sz w:val="22"/>
        </w:rPr>
      </w:pPr>
      <w:r w:rsidRPr="009E2B03">
        <w:rPr>
          <w:rFonts w:ascii="Calibri Light" w:hAnsi="Calibri Light"/>
          <w:sz w:val="22"/>
        </w:rPr>
        <w:t xml:space="preserve">Economic abuse may impact engagement in paid employment, education participation, work absenteeism, credit records and debt concerns, and reliance on social security. Economic insecurity, and the limitation it places on a woman’s ability to fulfil basic needs, contributes to why women may return to abusive relationships or continue to endure abuse. </w:t>
      </w:r>
    </w:p>
    <w:p w14:paraId="79FF6681" w14:textId="77777777" w:rsidR="00B717ED" w:rsidRPr="009E2B03" w:rsidRDefault="00B717ED" w:rsidP="00C95D8A">
      <w:pPr>
        <w:pStyle w:val="BodyText"/>
        <w:numPr>
          <w:ilvl w:val="0"/>
          <w:numId w:val="16"/>
        </w:numPr>
        <w:pBdr>
          <w:top w:val="single" w:sz="4" w:space="1" w:color="auto"/>
          <w:left w:val="single" w:sz="4" w:space="4" w:color="auto"/>
          <w:bottom w:val="single" w:sz="4" w:space="0" w:color="auto"/>
          <w:right w:val="single" w:sz="4" w:space="4" w:color="auto"/>
        </w:pBdr>
        <w:shd w:val="clear" w:color="auto" w:fill="F3F0F4"/>
        <w:tabs>
          <w:tab w:val="clear" w:pos="340"/>
          <w:tab w:val="num" w:pos="482"/>
        </w:tabs>
        <w:ind w:left="482"/>
        <w:rPr>
          <w:rFonts w:ascii="Calibri Light" w:hAnsi="Calibri Light"/>
          <w:sz w:val="22"/>
        </w:rPr>
      </w:pPr>
      <w:r w:rsidRPr="009E2B03">
        <w:rPr>
          <w:rFonts w:ascii="Calibri Light" w:hAnsi="Calibri Light"/>
          <w:sz w:val="22"/>
        </w:rPr>
        <w:t>Economic abuse is significantly linked with other forms of domestic abuse. A 2014 WIRE report estimates that 80 to 90 per cent of women who seek support from domestic violence services have experienced financial abuse.</w:t>
      </w:r>
      <w:r w:rsidRPr="009E2B03">
        <w:rPr>
          <w:rStyle w:val="FootnoteReference"/>
          <w:rFonts w:ascii="Calibri Light" w:hAnsi="Calibri Light"/>
          <w:sz w:val="22"/>
        </w:rPr>
        <w:footnoteReference w:id="148"/>
      </w:r>
      <w:r w:rsidRPr="009E2B03">
        <w:rPr>
          <w:rFonts w:ascii="Calibri Light" w:hAnsi="Calibri Light"/>
          <w:sz w:val="22"/>
        </w:rPr>
        <w:t xml:space="preserve"> </w:t>
      </w:r>
    </w:p>
    <w:p w14:paraId="560C6EFA" w14:textId="77777777" w:rsidR="00B717ED" w:rsidRPr="009E2B03" w:rsidRDefault="00B717ED" w:rsidP="0050577D">
      <w:pPr>
        <w:pStyle w:val="BodyText"/>
        <w:numPr>
          <w:ilvl w:val="0"/>
          <w:numId w:val="17"/>
        </w:numPr>
        <w:pBdr>
          <w:top w:val="single" w:sz="4" w:space="1" w:color="auto"/>
          <w:left w:val="single" w:sz="4" w:space="4" w:color="auto"/>
          <w:bottom w:val="single" w:sz="4" w:space="0" w:color="auto"/>
          <w:right w:val="single" w:sz="4" w:space="4" w:color="auto"/>
        </w:pBdr>
        <w:shd w:val="clear" w:color="auto" w:fill="F3F0F4"/>
        <w:tabs>
          <w:tab w:val="clear" w:pos="340"/>
          <w:tab w:val="num" w:pos="482"/>
        </w:tabs>
        <w:ind w:left="482"/>
        <w:rPr>
          <w:rFonts w:ascii="Calibri Light" w:hAnsi="Calibri Light"/>
          <w:sz w:val="22"/>
        </w:rPr>
      </w:pPr>
      <w:r w:rsidRPr="009E2B03">
        <w:rPr>
          <w:rFonts w:ascii="Calibri Light" w:hAnsi="Calibri Light"/>
          <w:sz w:val="22"/>
        </w:rPr>
        <w:t>The attitudes of Australians may contribute to under-reporting instances of economic abuse. Compared to physical violence, Australians are less likely to recognise economic abuse. The 2013 National Community Attitudes towards Violence against Women Survey identified that 26 per cent of Australians do not view the control of economic resources as a serious form of abuse.</w:t>
      </w:r>
      <w:r w:rsidRPr="009E2B03">
        <w:rPr>
          <w:rFonts w:ascii="Calibri Light" w:hAnsi="Calibri Light"/>
          <w:sz w:val="22"/>
          <w:vertAlign w:val="superscript"/>
        </w:rPr>
        <w:footnoteReference w:id="149"/>
      </w:r>
      <w:r w:rsidRPr="009E2B03">
        <w:rPr>
          <w:rFonts w:ascii="Calibri Light" w:hAnsi="Calibri Light"/>
          <w:sz w:val="22"/>
          <w:vertAlign w:val="superscript"/>
        </w:rPr>
        <w:t xml:space="preserve"> </w:t>
      </w:r>
    </w:p>
    <w:p w14:paraId="360A6070" w14:textId="77777777" w:rsidR="00B717ED" w:rsidRPr="009E2B03" w:rsidRDefault="00B717ED" w:rsidP="0050577D">
      <w:pPr>
        <w:pStyle w:val="BodyText"/>
        <w:pBdr>
          <w:top w:val="single" w:sz="4" w:space="1" w:color="auto"/>
          <w:left w:val="single" w:sz="4" w:space="4" w:color="auto"/>
          <w:bottom w:val="single" w:sz="4" w:space="0" w:color="auto"/>
          <w:right w:val="single" w:sz="4" w:space="4" w:color="auto"/>
        </w:pBdr>
        <w:shd w:val="clear" w:color="auto" w:fill="F3F0F4"/>
        <w:ind w:left="142"/>
        <w:rPr>
          <w:rFonts w:ascii="Calibri Light" w:hAnsi="Calibri Light"/>
          <w:sz w:val="22"/>
        </w:rPr>
      </w:pPr>
      <w:r w:rsidRPr="009E2B03">
        <w:rPr>
          <w:rFonts w:ascii="Calibri Light" w:hAnsi="Calibri Light"/>
          <w:sz w:val="22"/>
        </w:rPr>
        <w:t xml:space="preserve">Crisis support payments provided by government, which may help alleviate economic abuse, have limited availability and publicity. The impacts of economic abuse can continue after partners have separated, as there is limited legislation to support the splitting of household and utilities debts. </w:t>
      </w:r>
      <w:r w:rsidRPr="009E2B03">
        <w:rPr>
          <w:rFonts w:ascii="Calibri Light" w:hAnsi="Calibri Light"/>
          <w:sz w:val="22"/>
        </w:rPr>
        <w:lastRenderedPageBreak/>
        <w:t xml:space="preserve">Research by the Women’s Legal Service Victoria has identified that perpetrators of abuse may often generate debts they do not intend to pay off, leaving victims to bear the financial burden.  </w:t>
      </w:r>
    </w:p>
    <w:bookmarkEnd w:id="163"/>
    <w:p w14:paraId="47226694"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The complex and interdependent impacts of economic abuse helps to illustrate the compounding effect of some forms of violence. This is evident in research on vulnerable groups of women who often experience violence at a higher rate than the national average, such as Aboriginal and Torres Strait Islander women and women with a disability. In different contexts, the consequences of gender inequality, intellectual or physical limitations, isolation or lack of access to (and knowledge of) services, and the use of drugs and alcohol can be </w:t>
      </w:r>
      <w:r w:rsidR="00C74B77" w:rsidRPr="009E2B03">
        <w:rPr>
          <w:rFonts w:ascii="Calibri Light" w:hAnsi="Calibri Light"/>
          <w:sz w:val="22"/>
        </w:rPr>
        <w:t xml:space="preserve">critical </w:t>
      </w:r>
      <w:r w:rsidR="007D46BE" w:rsidRPr="009E2B03">
        <w:rPr>
          <w:rFonts w:ascii="Calibri Light" w:hAnsi="Calibri Light"/>
          <w:sz w:val="22"/>
        </w:rPr>
        <w:t>drivers</w:t>
      </w:r>
      <w:r w:rsidRPr="009E2B03">
        <w:rPr>
          <w:rFonts w:ascii="Calibri Light" w:hAnsi="Calibri Light"/>
          <w:sz w:val="22"/>
        </w:rPr>
        <w:t xml:space="preserve"> of violence. These factors may also have a compounding impact in enabling varying forms of violence to continue without intervention.</w:t>
      </w:r>
    </w:p>
    <w:p w14:paraId="0DC616F5" w14:textId="77777777" w:rsidR="00B717ED" w:rsidRPr="009E2B03" w:rsidRDefault="00E677E0" w:rsidP="005E4E54">
      <w:pPr>
        <w:pStyle w:val="BodyText"/>
        <w:rPr>
          <w:rFonts w:ascii="Calibri Light" w:hAnsi="Calibri Light"/>
          <w:b/>
          <w:color w:val="6D2077"/>
          <w:sz w:val="24"/>
        </w:rPr>
      </w:pPr>
      <w:r w:rsidRPr="009E2B03">
        <w:rPr>
          <w:rFonts w:ascii="Calibri Light" w:hAnsi="Calibri Light"/>
          <w:b/>
          <w:color w:val="6D2077"/>
          <w:sz w:val="24"/>
        </w:rPr>
        <w:t>A.3.2</w:t>
      </w:r>
      <w:r w:rsidR="0015237E" w:rsidRPr="009E2B03">
        <w:rPr>
          <w:rFonts w:ascii="Calibri Light" w:hAnsi="Calibri Light"/>
          <w:b/>
          <w:color w:val="6D2077"/>
          <w:sz w:val="24"/>
        </w:rPr>
        <w:t>.1</w:t>
      </w:r>
      <w:r w:rsidRPr="009E2B03">
        <w:rPr>
          <w:rFonts w:ascii="Calibri Light" w:hAnsi="Calibri Light"/>
          <w:b/>
          <w:color w:val="6D2077"/>
          <w:sz w:val="24"/>
        </w:rPr>
        <w:t xml:space="preserve"> </w:t>
      </w:r>
      <w:r w:rsidR="00B717ED" w:rsidRPr="009E2B03">
        <w:rPr>
          <w:rFonts w:ascii="Calibri Light" w:hAnsi="Calibri Light"/>
          <w:b/>
          <w:color w:val="6D2077"/>
          <w:sz w:val="24"/>
        </w:rPr>
        <w:t>Contributing factors and interdependencies</w:t>
      </w:r>
    </w:p>
    <w:p w14:paraId="036B6AA8"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The nature of the contributing factors and flow-on implications from violence against women and children are highly complex and interdependent – they are context-specific, often self-reinforcing, and there is limited evidence to quantify and attribute these relationships. As a result, </w:t>
      </w:r>
      <w:r w:rsidR="00C74B77" w:rsidRPr="009E2B03">
        <w:rPr>
          <w:rFonts w:ascii="Calibri Light" w:hAnsi="Calibri Light"/>
          <w:sz w:val="22"/>
        </w:rPr>
        <w:t>it is difficult to</w:t>
      </w:r>
      <w:r w:rsidRPr="009E2B03">
        <w:rPr>
          <w:rFonts w:ascii="Calibri Light" w:hAnsi="Calibri Light"/>
          <w:sz w:val="22"/>
        </w:rPr>
        <w:t xml:space="preserve"> develop a comprehensive and holistic understanding of the risk factors that contribute to higher vulnerability of experiencing violence among some cohorts. </w:t>
      </w:r>
    </w:p>
    <w:p w14:paraId="4AE7649B" w14:textId="77777777" w:rsidR="00B717ED" w:rsidRPr="009E2B03" w:rsidRDefault="00C74B77" w:rsidP="00B717ED">
      <w:pPr>
        <w:pStyle w:val="BodyText"/>
        <w:rPr>
          <w:rFonts w:ascii="Calibri Light" w:hAnsi="Calibri Light"/>
          <w:sz w:val="22"/>
        </w:rPr>
      </w:pPr>
      <w:r w:rsidRPr="009E2B03">
        <w:rPr>
          <w:rFonts w:ascii="Calibri Light" w:hAnsi="Calibri Light"/>
          <w:sz w:val="22"/>
        </w:rPr>
        <w:t>B</w:t>
      </w:r>
      <w:r w:rsidR="00B717ED" w:rsidRPr="009E2B03">
        <w:rPr>
          <w:rFonts w:ascii="Calibri Light" w:hAnsi="Calibri Light"/>
          <w:sz w:val="22"/>
        </w:rPr>
        <w:t>ox</w:t>
      </w:r>
      <w:r w:rsidRPr="009E2B03">
        <w:rPr>
          <w:rFonts w:ascii="Calibri Light" w:hAnsi="Calibri Light"/>
          <w:sz w:val="22"/>
        </w:rPr>
        <w:t xml:space="preserve"> A-0-3 below</w:t>
      </w:r>
      <w:r w:rsidR="00B717ED" w:rsidRPr="009E2B03">
        <w:rPr>
          <w:rFonts w:ascii="Calibri Light" w:hAnsi="Calibri Light"/>
          <w:sz w:val="22"/>
        </w:rPr>
        <w:t xml:space="preserve"> provides an example of the nature of these contributing factors and their interdependencies as they relate to women and children experiencing violence in domestic and family environments in NSW.  </w:t>
      </w:r>
    </w:p>
    <w:p w14:paraId="3CD0AD17" w14:textId="77777777" w:rsidR="00F06ABF" w:rsidRPr="007D175F" w:rsidRDefault="00F06ABF" w:rsidP="00F06ABF">
      <w:pPr>
        <w:pStyle w:val="BodyText"/>
        <w:rPr>
          <w:rFonts w:ascii="Calibri Light" w:hAnsi="Calibri Light"/>
          <w:b/>
          <w:sz w:val="22"/>
        </w:rPr>
      </w:pPr>
      <w:bookmarkStart w:id="164" w:name="_Toc447384518"/>
      <w:bookmarkStart w:id="165" w:name="_Toc447390106"/>
      <w:r w:rsidRPr="007D175F">
        <w:rPr>
          <w:rFonts w:ascii="Calibri Light" w:hAnsi="Calibri Light"/>
          <w:b/>
          <w:sz w:val="22"/>
        </w:rPr>
        <w:t>Box A</w:t>
      </w:r>
      <w:r w:rsidRPr="007D175F">
        <w:rPr>
          <w:rFonts w:ascii="Calibri Light" w:hAnsi="Calibri Light"/>
          <w:b/>
          <w:sz w:val="22"/>
        </w:rPr>
        <w:noBreakHyphen/>
      </w:r>
      <w:r w:rsidRPr="007D175F">
        <w:rPr>
          <w:rFonts w:ascii="Calibri Light" w:hAnsi="Calibri Light"/>
          <w:b/>
          <w:sz w:val="22"/>
        </w:rPr>
        <w:fldChar w:fldCharType="begin"/>
      </w:r>
      <w:r w:rsidRPr="007D175F">
        <w:rPr>
          <w:rFonts w:ascii="Calibri Light" w:hAnsi="Calibri Light"/>
          <w:b/>
          <w:sz w:val="22"/>
        </w:rPr>
        <w:instrText xml:space="preserve"> STYLEREF 1 \s </w:instrText>
      </w:r>
      <w:r w:rsidRPr="007D175F">
        <w:rPr>
          <w:rFonts w:ascii="Calibri Light" w:hAnsi="Calibri Light"/>
          <w:b/>
          <w:sz w:val="22"/>
        </w:rPr>
        <w:fldChar w:fldCharType="separate"/>
      </w:r>
      <w:r w:rsidR="00417237">
        <w:rPr>
          <w:rFonts w:ascii="Calibri Light" w:hAnsi="Calibri Light"/>
          <w:b/>
          <w:noProof/>
          <w:sz w:val="22"/>
        </w:rPr>
        <w:t>0</w:t>
      </w:r>
      <w:r w:rsidRPr="007D175F">
        <w:rPr>
          <w:rFonts w:ascii="Calibri Light" w:hAnsi="Calibri Light"/>
          <w:b/>
          <w:noProof/>
          <w:sz w:val="22"/>
        </w:rPr>
        <w:fldChar w:fldCharType="end"/>
      </w:r>
      <w:r w:rsidRPr="007D175F">
        <w:rPr>
          <w:rFonts w:ascii="Calibri Light" w:hAnsi="Calibri Light"/>
          <w:b/>
          <w:sz w:val="22"/>
        </w:rPr>
        <w:noBreakHyphen/>
      </w:r>
      <w:r w:rsidRPr="007D175F">
        <w:rPr>
          <w:rFonts w:ascii="Calibri Light" w:hAnsi="Calibri Light"/>
          <w:b/>
          <w:sz w:val="22"/>
        </w:rPr>
        <w:fldChar w:fldCharType="begin"/>
      </w:r>
      <w:r w:rsidRPr="007D175F">
        <w:rPr>
          <w:rFonts w:ascii="Calibri Light" w:hAnsi="Calibri Light"/>
          <w:b/>
          <w:sz w:val="22"/>
        </w:rPr>
        <w:instrText xml:space="preserve"> SEQ Box \* ARABIC \s 1 </w:instrText>
      </w:r>
      <w:r w:rsidRPr="007D175F">
        <w:rPr>
          <w:rFonts w:ascii="Calibri Light" w:hAnsi="Calibri Light"/>
          <w:b/>
          <w:sz w:val="22"/>
        </w:rPr>
        <w:fldChar w:fldCharType="separate"/>
      </w:r>
      <w:r w:rsidR="00417237">
        <w:rPr>
          <w:rFonts w:ascii="Calibri Light" w:hAnsi="Calibri Light"/>
          <w:b/>
          <w:noProof/>
          <w:sz w:val="22"/>
        </w:rPr>
        <w:t>3</w:t>
      </w:r>
      <w:r w:rsidRPr="007D175F">
        <w:rPr>
          <w:rFonts w:ascii="Calibri Light" w:hAnsi="Calibri Light"/>
          <w:b/>
          <w:noProof/>
          <w:sz w:val="22"/>
        </w:rPr>
        <w:fldChar w:fldCharType="end"/>
      </w:r>
      <w:r w:rsidRPr="007D175F">
        <w:rPr>
          <w:rFonts w:ascii="Calibri Light" w:hAnsi="Calibri Light"/>
          <w:b/>
          <w:sz w:val="22"/>
        </w:rPr>
        <w:t>: Drivers, impacts, and interdependencies – domestic and family violence</w:t>
      </w:r>
    </w:p>
    <w:p w14:paraId="2C8D1E74" w14:textId="77777777" w:rsidR="00F06ABF" w:rsidRPr="009E2B03" w:rsidRDefault="00F06ABF" w:rsidP="00F06ABF">
      <w:pPr>
        <w:pStyle w:val="BodyText"/>
        <w:rPr>
          <w:rFonts w:ascii="Calibri Light" w:hAnsi="Calibri Light"/>
          <w:b/>
          <w:color w:val="6D2077"/>
          <w:sz w:val="22"/>
        </w:rPr>
      </w:pPr>
      <w:r w:rsidRPr="009E2B03">
        <w:rPr>
          <w:rFonts w:ascii="Calibri Light" w:hAnsi="Calibri Light"/>
          <w:b/>
          <w:color w:val="6D2077"/>
          <w:sz w:val="22"/>
        </w:rPr>
        <w:t>Overview</w:t>
      </w:r>
    </w:p>
    <w:p w14:paraId="3CD60C7A" w14:textId="77777777" w:rsidR="00F06ABF" w:rsidRPr="009E2B03" w:rsidRDefault="00F06ABF" w:rsidP="00F06ABF">
      <w:pPr>
        <w:pStyle w:val="BodyText"/>
        <w:rPr>
          <w:rFonts w:ascii="Calibri Light" w:hAnsi="Calibri Light"/>
          <w:color w:val="111111"/>
          <w:sz w:val="22"/>
        </w:rPr>
      </w:pPr>
      <w:r w:rsidRPr="009E2B03">
        <w:rPr>
          <w:rFonts w:ascii="Calibri Light" w:hAnsi="Calibri Light"/>
          <w:color w:val="111111"/>
          <w:sz w:val="22"/>
        </w:rPr>
        <w:t>Violence against women in the home increases the likelihood of families experiencing homelessness, and often contributes to the abuse and neglect of children and young people (CYP). Over time, the risk to the safety of children can contribute to the need for out-of-home care (OOHC) for a period of time. Research has also shown that the absence of a safe and supportive environment for a child’s development can have long-lasting intergenerational impacts on the wellbeing of children as they grow up.</w:t>
      </w:r>
      <w:r w:rsidRPr="009E2B03">
        <w:rPr>
          <w:rStyle w:val="FootnoteReference"/>
          <w:rFonts w:ascii="Calibri Light" w:hAnsi="Calibri Light"/>
          <w:color w:val="111111"/>
          <w:sz w:val="22"/>
        </w:rPr>
        <w:footnoteReference w:id="150"/>
      </w:r>
      <w:r w:rsidRPr="009E2B03">
        <w:rPr>
          <w:rFonts w:ascii="Calibri Light" w:hAnsi="Calibri Light"/>
          <w:color w:val="111111"/>
          <w:sz w:val="22"/>
        </w:rPr>
        <w:t xml:space="preserve"> As a result, there is a strong demand for greater funding and emergency support services to better protect women and children experiencing violence.</w:t>
      </w:r>
    </w:p>
    <w:p w14:paraId="7AA970F8" w14:textId="77777777" w:rsidR="00F06ABF" w:rsidRPr="009E2B03" w:rsidRDefault="00F06ABF" w:rsidP="00F06ABF">
      <w:pPr>
        <w:pStyle w:val="BodyText"/>
        <w:rPr>
          <w:rFonts w:ascii="Calibri Light" w:hAnsi="Calibri Light"/>
          <w:sz w:val="22"/>
        </w:rPr>
      </w:pPr>
      <w:r w:rsidRPr="009E2B03">
        <w:rPr>
          <w:rFonts w:ascii="Calibri Light" w:hAnsi="Calibri Light"/>
          <w:sz w:val="22"/>
        </w:rPr>
        <w:t xml:space="preserve">There is evidence to suggest that in many cases of domestic violence, there are a broad range of contributing factors that may drive greater exclusion and disadvantage. These factors include: housing instability, poverty, lower levels of educational attainment, social isolation and neighbourhood disadvantage. Together, these factors have the potential to increase the risk of women experiencing violence. </w:t>
      </w:r>
    </w:p>
    <w:p w14:paraId="515FD354" w14:textId="77777777" w:rsidR="00F06ABF" w:rsidRPr="009E2B03" w:rsidRDefault="00F06ABF" w:rsidP="00F06ABF">
      <w:pPr>
        <w:rPr>
          <w:rFonts w:ascii="Calibri Light" w:hAnsi="Calibri Light"/>
          <w:sz w:val="22"/>
        </w:rPr>
      </w:pPr>
      <w:r w:rsidRPr="009E2B03">
        <w:rPr>
          <w:rFonts w:ascii="Calibri Light" w:hAnsi="Calibri Light"/>
          <w:sz w:val="22"/>
        </w:rPr>
        <w:t>Understanding the potential drivers of domestic and family violence also suggests that there may be significant scope for social and human services such as intensive family support services and other health and justice services to provide support and help to maintain safe and healthy environments for families. The regional differences in the maps suggest there may be additional disparities in terms of funding and the nature, scope and quality of social and human services available in regional and metropolitan areas, including:</w:t>
      </w:r>
    </w:p>
    <w:p w14:paraId="643B134E" w14:textId="77777777" w:rsidR="00F06ABF" w:rsidRPr="009E2B03" w:rsidRDefault="00F06ABF" w:rsidP="00F06ABF">
      <w:pPr>
        <w:pStyle w:val="BodyBullet"/>
        <w:shd w:val="clear" w:color="auto" w:fill="F3F0F4"/>
        <w:rPr>
          <w:rFonts w:ascii="Calibri Light" w:hAnsi="Calibri Light" w:cs="Arial"/>
          <w:sz w:val="22"/>
        </w:rPr>
      </w:pPr>
      <w:r w:rsidRPr="009E2B03">
        <w:rPr>
          <w:rFonts w:ascii="Calibri Light" w:hAnsi="Calibri Light" w:cs="Arial"/>
          <w:sz w:val="22"/>
        </w:rPr>
        <w:t>governmental support</w:t>
      </w:r>
    </w:p>
    <w:p w14:paraId="496096B7" w14:textId="77777777" w:rsidR="00F06ABF" w:rsidRPr="009E2B03" w:rsidRDefault="00F06ABF" w:rsidP="00F06ABF">
      <w:pPr>
        <w:pStyle w:val="BodyBullet"/>
        <w:shd w:val="clear" w:color="auto" w:fill="F3F0F4"/>
        <w:rPr>
          <w:rFonts w:ascii="Calibri Light" w:hAnsi="Calibri Light" w:cs="Arial"/>
          <w:sz w:val="22"/>
        </w:rPr>
      </w:pPr>
      <w:r w:rsidRPr="009E2B03">
        <w:rPr>
          <w:rFonts w:ascii="Calibri Light" w:hAnsi="Calibri Light" w:cs="Arial"/>
          <w:sz w:val="22"/>
        </w:rPr>
        <w:t>financial assistance</w:t>
      </w:r>
    </w:p>
    <w:p w14:paraId="1982BC3B" w14:textId="77777777" w:rsidR="00F06ABF" w:rsidRPr="009E2B03" w:rsidRDefault="00F06ABF" w:rsidP="00F06ABF">
      <w:pPr>
        <w:pStyle w:val="BodyBullet"/>
        <w:shd w:val="clear" w:color="auto" w:fill="F3F0F4"/>
        <w:rPr>
          <w:rFonts w:ascii="Calibri Light" w:hAnsi="Calibri Light" w:cs="Arial"/>
          <w:sz w:val="22"/>
        </w:rPr>
      </w:pPr>
      <w:r w:rsidRPr="009E2B03">
        <w:rPr>
          <w:rFonts w:ascii="Calibri Light" w:hAnsi="Calibri Light" w:cs="Arial"/>
          <w:sz w:val="22"/>
        </w:rPr>
        <w:t>accessibility to medical services</w:t>
      </w:r>
    </w:p>
    <w:p w14:paraId="477BDD6E" w14:textId="77777777" w:rsidR="00F06ABF" w:rsidRPr="009E2B03" w:rsidRDefault="00F06ABF" w:rsidP="00F06ABF">
      <w:pPr>
        <w:pStyle w:val="BodyBullet"/>
        <w:shd w:val="clear" w:color="auto" w:fill="F3F0F4"/>
        <w:rPr>
          <w:rFonts w:ascii="Calibri Light" w:hAnsi="Calibri Light" w:cs="Arial"/>
          <w:sz w:val="22"/>
        </w:rPr>
      </w:pPr>
      <w:r w:rsidRPr="009E2B03">
        <w:rPr>
          <w:rFonts w:ascii="Calibri Light" w:hAnsi="Calibri Light" w:cs="Arial"/>
          <w:sz w:val="22"/>
        </w:rPr>
        <w:lastRenderedPageBreak/>
        <w:t>law enforcement</w:t>
      </w:r>
    </w:p>
    <w:p w14:paraId="75EA8F10" w14:textId="77777777" w:rsidR="00F06ABF" w:rsidRPr="009E2B03" w:rsidRDefault="00F06ABF" w:rsidP="00F06ABF">
      <w:pPr>
        <w:pStyle w:val="BodyBullet"/>
        <w:shd w:val="clear" w:color="auto" w:fill="F3F0F4"/>
        <w:rPr>
          <w:rFonts w:ascii="Calibri Light" w:hAnsi="Calibri Light" w:cs="Arial"/>
          <w:sz w:val="22"/>
        </w:rPr>
      </w:pPr>
      <w:r w:rsidRPr="009E2B03">
        <w:rPr>
          <w:rFonts w:ascii="Calibri Light" w:hAnsi="Calibri Light" w:cs="Arial"/>
          <w:sz w:val="22"/>
        </w:rPr>
        <w:t>education.</w:t>
      </w:r>
    </w:p>
    <w:p w14:paraId="427F4B4E" w14:textId="77777777" w:rsidR="00F06ABF" w:rsidRPr="009E2B03" w:rsidRDefault="00F06ABF" w:rsidP="00F06ABF">
      <w:pPr>
        <w:pStyle w:val="BodyBullet"/>
        <w:numPr>
          <w:ilvl w:val="0"/>
          <w:numId w:val="0"/>
        </w:numPr>
        <w:shd w:val="clear" w:color="auto" w:fill="F3F0F4"/>
        <w:rPr>
          <w:rFonts w:ascii="Calibri Light" w:hAnsi="Calibri Light" w:cs="Arial"/>
          <w:sz w:val="22"/>
        </w:rPr>
      </w:pPr>
      <w:r w:rsidRPr="009E2B03">
        <w:rPr>
          <w:rFonts w:ascii="Calibri Light" w:hAnsi="Calibri Light" w:cs="Arial"/>
          <w:sz w:val="22"/>
        </w:rPr>
        <w:t xml:space="preserve">The drivers, interdependencies, and impacts associated with domestic violence are discussed in greater detail below, with data from NSW used for illustrative purposes.  </w:t>
      </w:r>
    </w:p>
    <w:p w14:paraId="2878B7CB" w14:textId="77777777" w:rsidR="00F06ABF" w:rsidRPr="009E2B03" w:rsidRDefault="00F06ABF" w:rsidP="00F06ABF">
      <w:pPr>
        <w:pStyle w:val="BodyBullet"/>
        <w:numPr>
          <w:ilvl w:val="0"/>
          <w:numId w:val="0"/>
        </w:numPr>
        <w:ind w:left="360" w:hanging="360"/>
        <w:rPr>
          <w:rFonts w:ascii="Calibri Light" w:hAnsi="Calibri Light" w:cs="Arial"/>
          <w:b/>
          <w:color w:val="6D2077"/>
          <w:sz w:val="22"/>
        </w:rPr>
      </w:pPr>
      <w:r w:rsidRPr="009E2B03">
        <w:rPr>
          <w:rFonts w:ascii="Calibri Light" w:hAnsi="Calibri Light" w:cs="Arial"/>
          <w:b/>
          <w:color w:val="6D2077"/>
          <w:sz w:val="22"/>
        </w:rPr>
        <w:t xml:space="preserve">Drivers and interdependencies </w:t>
      </w:r>
    </w:p>
    <w:p w14:paraId="3A2FB306" w14:textId="77777777" w:rsidR="00F06ABF" w:rsidRPr="009E2B03" w:rsidRDefault="00F06ABF" w:rsidP="00F06ABF">
      <w:pPr>
        <w:pStyle w:val="Bodytextkeepwithnext"/>
        <w:rPr>
          <w:rFonts w:ascii="Calibri Light" w:hAnsi="Calibri Light"/>
          <w:i/>
          <w:sz w:val="22"/>
          <w:u w:val="single"/>
        </w:rPr>
      </w:pPr>
      <w:r w:rsidRPr="009E2B03">
        <w:rPr>
          <w:rFonts w:ascii="Calibri Light" w:hAnsi="Calibri Light"/>
          <w:i/>
          <w:sz w:val="22"/>
          <w:u w:val="single"/>
        </w:rPr>
        <w:t>Mental illness</w:t>
      </w:r>
    </w:p>
    <w:p w14:paraId="52F3C392" w14:textId="77777777" w:rsidR="00F06ABF" w:rsidRPr="009E2B03" w:rsidRDefault="00F06ABF" w:rsidP="00F06ABF">
      <w:pPr>
        <w:pStyle w:val="BodyTextkeepwithnext0"/>
        <w:rPr>
          <w:rFonts w:ascii="Calibri Light" w:hAnsi="Calibri Light"/>
          <w:sz w:val="22"/>
        </w:rPr>
      </w:pPr>
      <w:r w:rsidRPr="009E2B03">
        <w:rPr>
          <w:rFonts w:ascii="Calibri Light" w:hAnsi="Calibri Light"/>
          <w:sz w:val="22"/>
        </w:rPr>
        <w:t>According to the Australian Institute of Family Studies, the main mental health problems that are likely to affect family environments and relationships are depression, bipolar disorder, schizophrenia, borderline personality disorder, post-traumatic stress disorder, and antisocial personality disorder.</w:t>
      </w:r>
      <w:r w:rsidRPr="009E2B03">
        <w:rPr>
          <w:rFonts w:ascii="Calibri Light" w:hAnsi="Calibri Light"/>
          <w:sz w:val="22"/>
          <w:vertAlign w:val="superscript"/>
        </w:rPr>
        <w:footnoteReference w:id="151"/>
      </w:r>
      <w:r w:rsidRPr="009E2B03">
        <w:rPr>
          <w:rFonts w:ascii="Calibri Light" w:hAnsi="Calibri Light"/>
          <w:sz w:val="22"/>
        </w:rPr>
        <w:t xml:space="preserve"> Children of parents who suffer an uncontrolled mental illness face a high risk of physical neglect and additionally a heightened risk of physical and psychological abuse by parents.</w:t>
      </w:r>
      <w:r w:rsidRPr="009E2B03">
        <w:rPr>
          <w:rStyle w:val="FootnoteReference"/>
          <w:rFonts w:ascii="Calibri Light" w:hAnsi="Calibri Light"/>
          <w:sz w:val="22"/>
        </w:rPr>
        <w:footnoteReference w:id="152"/>
      </w:r>
    </w:p>
    <w:p w14:paraId="52802ABA" w14:textId="73299BA5" w:rsidR="007D175F" w:rsidRPr="009E2B03" w:rsidRDefault="00F06ABF" w:rsidP="007D175F">
      <w:pPr>
        <w:pStyle w:val="BodyTextkeepwithnext0"/>
        <w:rPr>
          <w:rFonts w:ascii="Calibri Light" w:hAnsi="Calibri Light"/>
          <w:sz w:val="22"/>
        </w:rPr>
      </w:pPr>
      <w:r w:rsidRPr="009E2B03">
        <w:rPr>
          <w:rFonts w:ascii="Calibri Light" w:hAnsi="Calibri Light"/>
          <w:sz w:val="22"/>
        </w:rPr>
        <w:t xml:space="preserve">Further, under the </w:t>
      </w:r>
      <w:r w:rsidRPr="009E2B03">
        <w:rPr>
          <w:rFonts w:ascii="Calibri Light" w:hAnsi="Calibri Light"/>
          <w:i/>
          <w:sz w:val="22"/>
        </w:rPr>
        <w:t>National Framework for Protecting Australia’s Children</w:t>
      </w:r>
      <w:r w:rsidRPr="009E2B03">
        <w:rPr>
          <w:rFonts w:ascii="Calibri Light" w:hAnsi="Calibri Light"/>
          <w:sz w:val="22"/>
        </w:rPr>
        <w:t>, mental health (along with domestic and family violence and drug and alcohol abuse) is considered one of the three most important risk factors associated with families that are involved with potential incidents of violence, child protection services and have children who experience abuse and neglect.</w:t>
      </w:r>
      <w:r w:rsidRPr="009E2B03">
        <w:rPr>
          <w:rFonts w:ascii="Calibri Light" w:hAnsi="Calibri Light"/>
          <w:sz w:val="22"/>
          <w:vertAlign w:val="superscript"/>
        </w:rPr>
        <w:footnoteReference w:id="153"/>
      </w:r>
      <w:r w:rsidRPr="009E2B03">
        <w:rPr>
          <w:rFonts w:ascii="Calibri Light" w:hAnsi="Calibri Light"/>
          <w:sz w:val="22"/>
        </w:rPr>
        <w:t xml:space="preserve"> Health data for the Far West and Western NSW Local Health Districts (LHDs) shows that the estimate of the number of adults with high or very high psychological distress is higher than the average across NSW. It was estimated in 2013 that 18 per cent of the adult population in the Far West LHD and 10</w:t>
      </w:r>
      <w:r w:rsidR="007D175F" w:rsidRPr="007D175F">
        <w:rPr>
          <w:rFonts w:ascii="Calibri Light" w:hAnsi="Calibri Light"/>
          <w:sz w:val="22"/>
        </w:rPr>
        <w:t xml:space="preserve"> </w:t>
      </w:r>
      <w:r w:rsidR="007D175F" w:rsidRPr="009E2B03">
        <w:rPr>
          <w:rFonts w:ascii="Calibri Light" w:hAnsi="Calibri Light"/>
          <w:sz w:val="22"/>
        </w:rPr>
        <w:t>per cent of the adult population in the Western NSW LHD experienced high or very high psychological distress, compared to 10 per cent across NSW.</w:t>
      </w:r>
      <w:r w:rsidR="007D175F" w:rsidRPr="009E2B03">
        <w:rPr>
          <w:rFonts w:ascii="Calibri Light" w:hAnsi="Calibri Light"/>
          <w:sz w:val="22"/>
          <w:vertAlign w:val="superscript"/>
        </w:rPr>
        <w:footnoteReference w:id="154"/>
      </w:r>
      <w:r w:rsidR="007D175F" w:rsidRPr="009E2B03">
        <w:rPr>
          <w:rFonts w:ascii="Calibri Light" w:hAnsi="Calibri Light"/>
          <w:sz w:val="22"/>
        </w:rPr>
        <w:t xml:space="preserve"> The higher rate of psychological distress among the adult population in the two LHDs may have critical implications on the capacity of some adults to provide a safe environment for themselves, their partners, and their families. </w:t>
      </w:r>
    </w:p>
    <w:p w14:paraId="19F41650" w14:textId="77777777" w:rsidR="007D175F" w:rsidRPr="009E2B03" w:rsidRDefault="007D175F" w:rsidP="007D175F">
      <w:pPr>
        <w:pStyle w:val="Bodytextkeepwithnext"/>
        <w:rPr>
          <w:rFonts w:ascii="Calibri Light" w:hAnsi="Calibri Light"/>
          <w:i/>
          <w:sz w:val="22"/>
          <w:u w:val="single"/>
        </w:rPr>
      </w:pPr>
      <w:r w:rsidRPr="009E2B03">
        <w:rPr>
          <w:rFonts w:ascii="Calibri Light" w:hAnsi="Calibri Light"/>
          <w:i/>
          <w:sz w:val="22"/>
          <w:u w:val="single"/>
        </w:rPr>
        <w:t>Remoteness</w:t>
      </w:r>
    </w:p>
    <w:p w14:paraId="4408AE63" w14:textId="77777777" w:rsidR="007D175F" w:rsidRPr="009E2B03" w:rsidRDefault="007D175F" w:rsidP="007D175F">
      <w:pPr>
        <w:pStyle w:val="BodyTextkeepwithnext0"/>
        <w:rPr>
          <w:rFonts w:ascii="Calibri Light" w:hAnsi="Calibri Light"/>
          <w:sz w:val="22"/>
        </w:rPr>
      </w:pPr>
      <w:r w:rsidRPr="009E2B03">
        <w:rPr>
          <w:rFonts w:ascii="Calibri Light" w:hAnsi="Calibri Light"/>
          <w:sz w:val="22"/>
        </w:rPr>
        <w:t xml:space="preserve">Geographic isolation, which creates difficulties in accessing social infrastructure and health and human services has the potential to compound the effects of violence within rural communities. Often, geographical isolation intensifies the experience of domestic and family violence and can be explicitly exploited </w:t>
      </w:r>
      <w:r w:rsidRPr="009E2B03">
        <w:rPr>
          <w:rFonts w:ascii="Calibri Light" w:hAnsi="Calibri Light"/>
          <w:sz w:val="22"/>
          <w:lang w:val="en"/>
        </w:rPr>
        <w:t>by perpetrators as a form of control, with victims having limited options for safety or help.</w:t>
      </w:r>
      <w:r w:rsidRPr="009E2B03">
        <w:rPr>
          <w:rFonts w:ascii="Calibri Light" w:hAnsi="Calibri Light"/>
          <w:sz w:val="22"/>
          <w:vertAlign w:val="superscript"/>
        </w:rPr>
        <w:footnoteReference w:id="155"/>
      </w:r>
      <w:r w:rsidRPr="009E2B03">
        <w:rPr>
          <w:rFonts w:ascii="Calibri Light" w:hAnsi="Calibri Light"/>
          <w:sz w:val="22"/>
          <w:lang w:val="en"/>
        </w:rPr>
        <w:t xml:space="preserve"> Geographic isolation may also be a barrier to accessing support or disclosing violence. In these circumstances, police and emergency responses are significantly longer, and the necessary services and supports may be at a significant distance away. </w:t>
      </w:r>
      <w:r w:rsidRPr="009E2B03">
        <w:rPr>
          <w:rFonts w:ascii="Calibri Light" w:hAnsi="Calibri Light"/>
          <w:sz w:val="22"/>
        </w:rPr>
        <w:t>Further compounding issues can also include:</w:t>
      </w:r>
    </w:p>
    <w:p w14:paraId="1C16F611" w14:textId="77777777" w:rsidR="007D175F" w:rsidRPr="009E2B03" w:rsidRDefault="007D175F" w:rsidP="007D175F">
      <w:pPr>
        <w:pStyle w:val="BodyBullet"/>
        <w:shd w:val="clear" w:color="auto" w:fill="F3F0F4"/>
        <w:rPr>
          <w:rFonts w:ascii="Calibri Light" w:hAnsi="Calibri Light" w:cs="Arial"/>
          <w:sz w:val="22"/>
        </w:rPr>
      </w:pPr>
      <w:r w:rsidRPr="009E2B03">
        <w:rPr>
          <w:rFonts w:ascii="Calibri Light" w:hAnsi="Calibri Light" w:cs="Arial"/>
          <w:sz w:val="22"/>
        </w:rPr>
        <w:t>reduced availability of, and access to, specialised or culturally appropriate services (for example, for people with disability, people of a culturally and linguistically diverse (CALD) background)</w:t>
      </w:r>
    </w:p>
    <w:p w14:paraId="37EAA572" w14:textId="77777777" w:rsidR="007D175F" w:rsidRPr="009E2B03" w:rsidRDefault="007D175F" w:rsidP="007D175F">
      <w:pPr>
        <w:pStyle w:val="BodyBullet"/>
        <w:shd w:val="clear" w:color="auto" w:fill="F3F0F4"/>
        <w:rPr>
          <w:rFonts w:ascii="Calibri Light" w:hAnsi="Calibri Light" w:cs="Arial"/>
          <w:sz w:val="22"/>
        </w:rPr>
      </w:pPr>
      <w:r w:rsidRPr="009E2B03">
        <w:rPr>
          <w:rFonts w:ascii="Calibri Light" w:hAnsi="Calibri Light" w:cs="Arial"/>
          <w:sz w:val="22"/>
        </w:rPr>
        <w:t>higher cost of service provision due to geographical remoteness and population dispersion.</w:t>
      </w:r>
      <w:r w:rsidRPr="009E2B03">
        <w:rPr>
          <w:rFonts w:ascii="Calibri Light" w:hAnsi="Calibri Light" w:cs="Arial"/>
          <w:sz w:val="22"/>
          <w:vertAlign w:val="superscript"/>
        </w:rPr>
        <w:footnoteReference w:id="156"/>
      </w:r>
    </w:p>
    <w:p w14:paraId="3FD9D3E4" w14:textId="77777777" w:rsidR="007D175F" w:rsidRPr="009E2B03" w:rsidRDefault="007D175F" w:rsidP="007D175F">
      <w:pPr>
        <w:pStyle w:val="BodyTextkeepwithnext0"/>
        <w:rPr>
          <w:rFonts w:ascii="Calibri Light" w:hAnsi="Calibri Light"/>
          <w:sz w:val="22"/>
        </w:rPr>
      </w:pPr>
      <w:r w:rsidRPr="009E2B03">
        <w:rPr>
          <w:rFonts w:ascii="Calibri Light" w:hAnsi="Calibri Light"/>
          <w:sz w:val="22"/>
        </w:rPr>
        <w:t xml:space="preserve">For the Far West and Western NSW LGAs, the geographical isolation and low population density creates significant difficulties for people with mental health illnesses, drug and alcohol abuse </w:t>
      </w:r>
      <w:r w:rsidRPr="009E2B03">
        <w:rPr>
          <w:rFonts w:ascii="Calibri Light" w:hAnsi="Calibri Light"/>
          <w:sz w:val="22"/>
        </w:rPr>
        <w:lastRenderedPageBreak/>
        <w:t xml:space="preserve">problems, or people who have experienced domestic violence in accessing the necessary services. In the absence of the necessary services and supports, there is a greater likelihood of these risk factors escalating and impacting on the health and wellbeing of women and their children.  </w:t>
      </w:r>
    </w:p>
    <w:p w14:paraId="22A2A4A0" w14:textId="77777777" w:rsidR="007D175F" w:rsidRPr="009E2B03" w:rsidRDefault="007D175F" w:rsidP="007D175F">
      <w:pPr>
        <w:pStyle w:val="Bodytextkeepwithnext"/>
        <w:rPr>
          <w:rFonts w:ascii="Calibri Light" w:hAnsi="Calibri Light"/>
          <w:i/>
          <w:sz w:val="22"/>
          <w:u w:val="single"/>
        </w:rPr>
      </w:pPr>
      <w:r w:rsidRPr="009E2B03">
        <w:rPr>
          <w:rFonts w:ascii="Calibri Light" w:hAnsi="Calibri Light"/>
          <w:i/>
          <w:sz w:val="22"/>
          <w:u w:val="single"/>
        </w:rPr>
        <w:t>Drug and alcohol abuse</w:t>
      </w:r>
    </w:p>
    <w:p w14:paraId="54925CF3" w14:textId="77777777" w:rsidR="007D175F" w:rsidRPr="009E2B03" w:rsidRDefault="007D175F" w:rsidP="007D175F">
      <w:pPr>
        <w:pStyle w:val="BodyTextkeepwithnext0"/>
        <w:rPr>
          <w:rFonts w:ascii="Calibri Light" w:hAnsi="Calibri Light"/>
          <w:sz w:val="22"/>
        </w:rPr>
      </w:pPr>
      <w:r w:rsidRPr="009E2B03">
        <w:rPr>
          <w:rFonts w:ascii="Calibri Light" w:hAnsi="Calibri Light"/>
          <w:sz w:val="22"/>
        </w:rPr>
        <w:t>An individual’s engagement with alcohol and substance abuse has flow-on effects on their health, social network, family, workplace, environmental, neighbourhood and community.</w:t>
      </w:r>
      <w:r w:rsidRPr="009E2B03">
        <w:rPr>
          <w:rStyle w:val="FootnoteReference"/>
          <w:rFonts w:ascii="Calibri Light" w:hAnsi="Calibri Light"/>
          <w:sz w:val="22"/>
        </w:rPr>
        <w:footnoteReference w:id="157"/>
      </w:r>
      <w:r w:rsidRPr="009E2B03">
        <w:rPr>
          <w:rFonts w:ascii="Calibri Light" w:hAnsi="Calibri Light"/>
          <w:sz w:val="22"/>
        </w:rPr>
        <w:t xml:space="preserve"> In regional and rural areas such as the Far West and Western NSW LHDs, alcohol consumption at risky levels for lifetime risk are at 32 per cent and 42 per cent respectively.</w:t>
      </w:r>
      <w:r w:rsidRPr="009E2B03">
        <w:rPr>
          <w:rStyle w:val="FootnoteReference"/>
          <w:rFonts w:ascii="Calibri Light" w:hAnsi="Calibri Light"/>
          <w:sz w:val="22"/>
        </w:rPr>
        <w:footnoteReference w:id="158"/>
      </w:r>
      <w:r w:rsidRPr="009E2B03">
        <w:rPr>
          <w:rFonts w:ascii="Calibri Light" w:hAnsi="Calibri Light"/>
          <w:sz w:val="22"/>
        </w:rPr>
        <w:t xml:space="preserve"> Similarly, illicit drug use is higher in regional communities, due to a range of factors including distance and isolation, lack of public transport, lack of employment opportunities, and lack of leisure activities.</w:t>
      </w:r>
      <w:r w:rsidRPr="009E2B03">
        <w:rPr>
          <w:rStyle w:val="FootnoteReference"/>
          <w:rFonts w:ascii="Calibri Light" w:hAnsi="Calibri Light"/>
          <w:sz w:val="22"/>
        </w:rPr>
        <w:footnoteReference w:id="159"/>
      </w:r>
    </w:p>
    <w:p w14:paraId="0E04B36B" w14:textId="77777777" w:rsidR="007D175F" w:rsidRPr="009E2B03" w:rsidRDefault="007D175F" w:rsidP="007D175F">
      <w:pPr>
        <w:pStyle w:val="BodyTextkeepwithnext0"/>
        <w:rPr>
          <w:rFonts w:ascii="Calibri Light" w:hAnsi="Calibri Light"/>
          <w:sz w:val="22"/>
        </w:rPr>
      </w:pPr>
      <w:r w:rsidRPr="009E2B03">
        <w:rPr>
          <w:rFonts w:ascii="Calibri Light" w:hAnsi="Calibri Light"/>
          <w:sz w:val="22"/>
        </w:rPr>
        <w:t>According to recent trends, 13 to 17 year olds in remote or very remote areas are proportionately four times more likely to have used drugs than those within inner regional and major cities.</w:t>
      </w:r>
      <w:r w:rsidRPr="009E2B03">
        <w:rPr>
          <w:rStyle w:val="FootnoteReference"/>
          <w:rFonts w:ascii="Calibri Light" w:hAnsi="Calibri Light"/>
          <w:sz w:val="22"/>
        </w:rPr>
        <w:footnoteReference w:id="160"/>
      </w:r>
      <w:r w:rsidRPr="009E2B03">
        <w:rPr>
          <w:rFonts w:ascii="Calibri Light" w:hAnsi="Calibri Light"/>
          <w:sz w:val="22"/>
        </w:rPr>
        <w:t xml:space="preserve"> Over the last two years, there has been a five-fold increase in the Far West LHD (23.9 to 103.2 people per 100,000 people in the underlying population) and a three-fold increase in Western NSW Local Health District (12.7 to 27.5 people per 100,000 in the underlying population) in the use of crystal methamphetamine.</w:t>
      </w:r>
      <w:r w:rsidRPr="009E2B03">
        <w:rPr>
          <w:rStyle w:val="FootnoteReference"/>
          <w:rFonts w:ascii="Calibri Light" w:hAnsi="Calibri Light"/>
          <w:sz w:val="22"/>
        </w:rPr>
        <w:footnoteReference w:id="161"/>
      </w:r>
      <w:r w:rsidRPr="009E2B03">
        <w:rPr>
          <w:rFonts w:ascii="Calibri Light" w:hAnsi="Calibri Light"/>
          <w:sz w:val="22"/>
        </w:rPr>
        <w:t xml:space="preserve"> The association between alcohol and substance abuse may lead to heightened vulnerabilities including the incidence of family and domestic violence, and greater marginalisation and disadvantage.</w:t>
      </w:r>
    </w:p>
    <w:p w14:paraId="6563BAE1" w14:textId="77777777" w:rsidR="007D175F" w:rsidRDefault="007D175F" w:rsidP="007D175F">
      <w:pPr>
        <w:pStyle w:val="BodyTextkeepwithnext0"/>
        <w:rPr>
          <w:rFonts w:ascii="Calibri Light" w:hAnsi="Calibri Light"/>
          <w:sz w:val="22"/>
        </w:rPr>
      </w:pPr>
      <w:r w:rsidRPr="009E2B03">
        <w:rPr>
          <w:rFonts w:ascii="Calibri Light" w:hAnsi="Calibri Light"/>
          <w:sz w:val="22"/>
        </w:rPr>
        <w:t>Drug and substance abuse is increasing in a number of regional communities, including in the Illawarra Shoalhaven and Hunter New England LHD. In the five years to 2013-14, the rate of methamphetamine-related hospitalisations increased from 14.1 people to 81.2 people for every 100,000 people in the underlying population in Illawarra Shoalhaven, and from 8.6 to 48.8 people for every 100,000 people in the underlying population for Hunter New England.</w:t>
      </w:r>
      <w:r w:rsidRPr="009E2B03">
        <w:rPr>
          <w:rStyle w:val="FootnoteReference"/>
          <w:rFonts w:ascii="Calibri Light" w:hAnsi="Calibri Light"/>
          <w:sz w:val="22"/>
        </w:rPr>
        <w:footnoteReference w:id="162"/>
      </w:r>
      <w:r w:rsidRPr="009E2B03">
        <w:rPr>
          <w:rFonts w:ascii="Calibri Light" w:hAnsi="Calibri Light"/>
          <w:sz w:val="22"/>
        </w:rPr>
        <w:t xml:space="preserve"> </w:t>
      </w:r>
    </w:p>
    <w:p w14:paraId="45EC4F81" w14:textId="77777777" w:rsidR="007D175F" w:rsidRPr="009E2B03" w:rsidRDefault="007D175F" w:rsidP="007D175F">
      <w:pPr>
        <w:pStyle w:val="BodyTextkeepwithnext0"/>
        <w:rPr>
          <w:rFonts w:ascii="Calibri Light" w:hAnsi="Calibri Light"/>
          <w:color w:val="111111"/>
          <w:sz w:val="22"/>
        </w:rPr>
      </w:pPr>
      <w:r w:rsidRPr="009E2B03">
        <w:rPr>
          <w:rFonts w:ascii="Calibri Light" w:hAnsi="Calibri Light"/>
          <w:color w:val="111111"/>
          <w:sz w:val="22"/>
        </w:rPr>
        <w:t xml:space="preserve">In particular, the use of crystal methamphetamine is increasing in the Illawarra Shoalhaven LHD, with local support agencies such as Triple Care Farm, Oolong House, Salvation Army Nowra Bridge Program, Watershed and Family Drug Support experiencing supply constraints in management and rehabilitation services. This has a number of potential implications, for example people who are in need of rehabilitation services may not be able to receive these services, which may have flow-on impacts on the family environment of these individuals. </w:t>
      </w:r>
    </w:p>
    <w:p w14:paraId="326E20C7" w14:textId="15B2E035" w:rsidR="007D175F" w:rsidRPr="009E2B03" w:rsidRDefault="007D175F" w:rsidP="007D175F">
      <w:pPr>
        <w:pStyle w:val="BodyTextkeepwithnext0"/>
        <w:rPr>
          <w:rFonts w:ascii="Calibri Light" w:hAnsi="Calibri Light"/>
          <w:sz w:val="22"/>
        </w:rPr>
      </w:pPr>
      <w:r w:rsidRPr="009E2B03">
        <w:rPr>
          <w:rFonts w:ascii="Calibri Light" w:hAnsi="Calibri Light"/>
          <w:sz w:val="22"/>
        </w:rPr>
        <w:t>Recovery from drug dependence is a long-term process in which individuals need support and empowerment to achieve independence, a healthy self-esteem and build a meaningful life in the community. Support for recovery is most effective when the individual’s needs are placed at the centre of their care and treatment. Treatment service providers can help individuals recover from drug dependence, help the individual access the internal resources they need (such as resilience, coping skills and physical health) and ensure referral and links to a range of external services and support (such as stable accommodation, education, vocational and employment support and social connections).</w:t>
      </w:r>
      <w:r w:rsidRPr="009E2B03">
        <w:rPr>
          <w:rStyle w:val="FootnoteReference"/>
          <w:rFonts w:ascii="Calibri Light" w:hAnsi="Calibri Light"/>
          <w:sz w:val="22"/>
        </w:rPr>
        <w:footnoteReference w:id="163"/>
      </w:r>
    </w:p>
    <w:p w14:paraId="3C1D2B46" w14:textId="77777777" w:rsidR="007D175F" w:rsidRPr="009E2B03" w:rsidRDefault="007D175F" w:rsidP="007D175F">
      <w:pPr>
        <w:pStyle w:val="BodyText"/>
        <w:rPr>
          <w:rFonts w:ascii="Calibri Light" w:hAnsi="Calibri Light"/>
        </w:rPr>
      </w:pPr>
      <w:r w:rsidRPr="009E2B03">
        <w:rPr>
          <w:rFonts w:ascii="Calibri Light" w:hAnsi="Calibri Light"/>
        </w:rPr>
        <w:t>Source: KPMG.</w:t>
      </w:r>
    </w:p>
    <w:p w14:paraId="0F59C91F" w14:textId="77777777" w:rsidR="00B717ED" w:rsidRPr="009E2B03" w:rsidRDefault="00E677E0" w:rsidP="005E4E54">
      <w:pPr>
        <w:pStyle w:val="BodyTextkeepwithnext0"/>
        <w:rPr>
          <w:rFonts w:ascii="Calibri Light" w:hAnsi="Calibri Light"/>
          <w:color w:val="6D2077"/>
          <w:sz w:val="36"/>
          <w:szCs w:val="32"/>
        </w:rPr>
      </w:pPr>
      <w:r w:rsidRPr="009E2B03">
        <w:rPr>
          <w:rFonts w:ascii="Calibri Light" w:hAnsi="Calibri Light"/>
          <w:color w:val="6D2077"/>
          <w:sz w:val="36"/>
          <w:szCs w:val="32"/>
        </w:rPr>
        <w:lastRenderedPageBreak/>
        <w:t xml:space="preserve">A.4 </w:t>
      </w:r>
      <w:r w:rsidR="00B717ED" w:rsidRPr="009E2B03">
        <w:rPr>
          <w:rFonts w:ascii="Calibri Light" w:hAnsi="Calibri Light"/>
          <w:color w:val="6D2077"/>
          <w:sz w:val="36"/>
          <w:szCs w:val="32"/>
        </w:rPr>
        <w:t>The need to strengthen the evidence base over time</w:t>
      </w:r>
      <w:bookmarkEnd w:id="164"/>
      <w:bookmarkEnd w:id="165"/>
    </w:p>
    <w:p w14:paraId="02856310" w14:textId="155A1D79" w:rsidR="00B717ED" w:rsidRPr="009E2B03" w:rsidRDefault="00B717ED" w:rsidP="00B717ED">
      <w:pPr>
        <w:pStyle w:val="BodyText"/>
        <w:rPr>
          <w:rFonts w:ascii="Calibri Light" w:hAnsi="Calibri Light"/>
          <w:sz w:val="22"/>
        </w:rPr>
      </w:pPr>
      <w:r w:rsidRPr="009E2B03">
        <w:rPr>
          <w:rFonts w:ascii="Calibri Light" w:hAnsi="Calibri Light"/>
          <w:sz w:val="22"/>
        </w:rPr>
        <w:t xml:space="preserve">To develop an understanding of violence against women and their children in the Australian context, </w:t>
      </w:r>
      <w:r w:rsidR="0096616D" w:rsidRPr="009E2B03">
        <w:rPr>
          <w:rFonts w:ascii="Calibri Light" w:hAnsi="Calibri Light"/>
          <w:sz w:val="22"/>
        </w:rPr>
        <w:t xml:space="preserve">KPMG undertook </w:t>
      </w:r>
      <w:r w:rsidRPr="009E2B03">
        <w:rPr>
          <w:rFonts w:ascii="Calibri Light" w:hAnsi="Calibri Light"/>
          <w:sz w:val="22"/>
        </w:rPr>
        <w:t xml:space="preserve">a significant body of research and analysis. This has included consideration of a </w:t>
      </w:r>
      <w:r w:rsidR="0096616D" w:rsidRPr="009E2B03">
        <w:rPr>
          <w:rFonts w:ascii="Calibri Light" w:hAnsi="Calibri Light"/>
          <w:sz w:val="22"/>
        </w:rPr>
        <w:t xml:space="preserve">variety </w:t>
      </w:r>
      <w:r w:rsidRPr="009E2B03">
        <w:rPr>
          <w:rFonts w:ascii="Calibri Light" w:hAnsi="Calibri Light"/>
          <w:sz w:val="22"/>
        </w:rPr>
        <w:t xml:space="preserve">of data and information, including publicly available data from a number of sources including but not limited to the ABS, AIHW, the Australian Institute of Criminology, and the various jurisdiction-level agencies holding crime data such as BOCSAR in NSW. </w:t>
      </w:r>
      <w:r w:rsidR="0096616D" w:rsidRPr="009E2B03">
        <w:rPr>
          <w:rFonts w:ascii="Calibri Light" w:hAnsi="Calibri Light"/>
          <w:sz w:val="22"/>
        </w:rPr>
        <w:t>KPMG also completed a</w:t>
      </w:r>
      <w:r w:rsidRPr="009E2B03">
        <w:rPr>
          <w:rFonts w:ascii="Calibri Light" w:hAnsi="Calibri Light"/>
          <w:sz w:val="22"/>
        </w:rPr>
        <w:t xml:space="preserve"> comprehensive literature review of domestic and international studies of the nature, extent, and impacts of violence against women and their children </w:t>
      </w:r>
      <w:r w:rsidR="0096616D" w:rsidRPr="009E2B03">
        <w:rPr>
          <w:rFonts w:ascii="Calibri Light" w:hAnsi="Calibri Light"/>
          <w:sz w:val="22"/>
        </w:rPr>
        <w:t xml:space="preserve">in order </w:t>
      </w:r>
      <w:r w:rsidRPr="009E2B03">
        <w:rPr>
          <w:rFonts w:ascii="Calibri Light" w:hAnsi="Calibri Light"/>
          <w:sz w:val="22"/>
        </w:rPr>
        <w:t>to better understand the significance of violence as a social issue, as well as the</w:t>
      </w:r>
      <w:r w:rsidR="0096616D" w:rsidRPr="009E2B03">
        <w:rPr>
          <w:rFonts w:ascii="Calibri Light" w:hAnsi="Calibri Light"/>
          <w:sz w:val="22"/>
        </w:rPr>
        <w:t xml:space="preserve"> primary</w:t>
      </w:r>
      <w:r w:rsidRPr="009E2B03">
        <w:rPr>
          <w:rFonts w:ascii="Calibri Light" w:hAnsi="Calibri Light"/>
          <w:sz w:val="22"/>
        </w:rPr>
        <w:t xml:space="preserve"> contributing and risk factors that may drive higher prevalence and incidence in violence within the Australian context. </w:t>
      </w:r>
    </w:p>
    <w:p w14:paraId="52360426" w14:textId="77777777" w:rsidR="00B717ED" w:rsidRPr="009E2B03" w:rsidRDefault="00B717ED" w:rsidP="00B717ED">
      <w:pPr>
        <w:pStyle w:val="BodyText"/>
        <w:rPr>
          <w:rFonts w:ascii="Calibri Light" w:hAnsi="Calibri Light"/>
          <w:sz w:val="22"/>
        </w:rPr>
      </w:pPr>
      <w:r w:rsidRPr="009E2B03">
        <w:rPr>
          <w:rFonts w:ascii="Calibri Light" w:hAnsi="Calibri Light"/>
          <w:sz w:val="22"/>
        </w:rPr>
        <w:t>The research and analysis shows that a significant evidence base exists around violence against women and their children. However, with greater granularity and detail around the experience of violence among women and their children, the evidence base could be used to better understand historical trends and inform more targeted policy responses. In particular, there is significant value in deepening the understanding of violence across demographic cohorts and geographies, particularly for vulnerable groups where women face heightened risk of experiencing violence. A stronger and more robust evidence base will help enable key stakeholders and government policy makers to:</w:t>
      </w:r>
    </w:p>
    <w:p w14:paraId="7D4A0D81"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better articulate and communicate the significance of violence against women as a social issue</w:t>
      </w:r>
    </w:p>
    <w:p w14:paraId="1CF50DB2" w14:textId="77777777" w:rsidR="00B717ED" w:rsidRPr="009E2B03" w:rsidRDefault="00B717ED" w:rsidP="00B717ED">
      <w:pPr>
        <w:pStyle w:val="BodyBullet"/>
        <w:rPr>
          <w:rFonts w:ascii="Calibri Light" w:hAnsi="Calibri Light" w:cs="Arial"/>
          <w:sz w:val="22"/>
        </w:rPr>
      </w:pPr>
      <w:r w:rsidRPr="009E2B03">
        <w:rPr>
          <w:rFonts w:ascii="Calibri Light" w:hAnsi="Calibri Light" w:cs="Arial"/>
          <w:sz w:val="22"/>
        </w:rPr>
        <w:t>highlight</w:t>
      </w:r>
      <w:r w:rsidR="0096616D" w:rsidRPr="009E2B03">
        <w:rPr>
          <w:rFonts w:ascii="Calibri Light" w:hAnsi="Calibri Light" w:cs="Arial"/>
          <w:sz w:val="22"/>
        </w:rPr>
        <w:t xml:space="preserve"> important</w:t>
      </w:r>
      <w:r w:rsidRPr="009E2B03">
        <w:rPr>
          <w:rFonts w:ascii="Calibri Light" w:hAnsi="Calibri Light" w:cs="Arial"/>
          <w:sz w:val="22"/>
        </w:rPr>
        <w:t xml:space="preserve"> trends and areas of greatest need in terms of targeted investment in services and supports. </w:t>
      </w:r>
    </w:p>
    <w:p w14:paraId="001B14A6" w14:textId="77777777" w:rsidR="00B717ED" w:rsidRPr="009E2B03" w:rsidRDefault="00B717ED" w:rsidP="00B717ED">
      <w:pPr>
        <w:pStyle w:val="BodyText"/>
        <w:rPr>
          <w:rFonts w:ascii="Calibri Light" w:hAnsi="Calibri Light"/>
          <w:sz w:val="22"/>
        </w:rPr>
      </w:pPr>
      <w:r w:rsidRPr="009E2B03">
        <w:rPr>
          <w:rFonts w:ascii="Calibri Light" w:hAnsi="Calibri Light"/>
          <w:sz w:val="22"/>
        </w:rPr>
        <w:t xml:space="preserve">With access to better data, governments – at the Commonwealth and </w:t>
      </w:r>
      <w:r w:rsidR="0096616D" w:rsidRPr="009E2B03">
        <w:rPr>
          <w:rFonts w:ascii="Calibri Light" w:hAnsi="Calibri Light"/>
          <w:sz w:val="22"/>
        </w:rPr>
        <w:t>s</w:t>
      </w:r>
      <w:r w:rsidRPr="009E2B03">
        <w:rPr>
          <w:rFonts w:ascii="Calibri Light" w:hAnsi="Calibri Light"/>
          <w:sz w:val="22"/>
        </w:rPr>
        <w:t xml:space="preserve">tate and </w:t>
      </w:r>
      <w:r w:rsidR="0096616D" w:rsidRPr="009E2B03">
        <w:rPr>
          <w:rFonts w:ascii="Calibri Light" w:hAnsi="Calibri Light"/>
          <w:sz w:val="22"/>
        </w:rPr>
        <w:t>t</w:t>
      </w:r>
      <w:r w:rsidRPr="009E2B03">
        <w:rPr>
          <w:rFonts w:ascii="Calibri Light" w:hAnsi="Calibri Light"/>
          <w:sz w:val="22"/>
        </w:rPr>
        <w:t>erritory level – can target polices and reforms to improve long term outcomes for women, their children, and the broader Australian society.</w:t>
      </w:r>
    </w:p>
    <w:p w14:paraId="29F3D383" w14:textId="77777777" w:rsidR="0086037E" w:rsidRPr="009E2B03" w:rsidRDefault="00D547F7" w:rsidP="00C250C5">
      <w:pPr>
        <w:pStyle w:val="Heading1"/>
        <w:numPr>
          <w:ilvl w:val="0"/>
          <w:numId w:val="0"/>
        </w:numPr>
        <w:rPr>
          <w:rFonts w:ascii="Calibri Light" w:hAnsi="Calibri Light"/>
          <w:sz w:val="48"/>
        </w:rPr>
      </w:pPr>
      <w:bookmarkStart w:id="166" w:name="_Toc449553532"/>
      <w:r w:rsidRPr="009E2B03">
        <w:rPr>
          <w:rFonts w:ascii="Calibri Light" w:eastAsiaTheme="minorHAnsi" w:hAnsi="Calibri Light"/>
          <w:b w:val="0"/>
          <w:noProof/>
          <w:color w:val="6D2077"/>
          <w:sz w:val="76"/>
          <w:szCs w:val="76"/>
          <w:lang w:eastAsia="en-AU"/>
        </w:rPr>
        <w:lastRenderedPageBreak/>
        <w:t>Appendix</w:t>
      </w:r>
      <w:r w:rsidRPr="009E2B03">
        <w:rPr>
          <w:rFonts w:ascii="Calibri Light" w:hAnsi="Calibri Light"/>
          <w:sz w:val="48"/>
        </w:rPr>
        <w:t xml:space="preserve"> </w:t>
      </w:r>
      <w:r w:rsidR="00E677E0" w:rsidRPr="009E2B03">
        <w:rPr>
          <w:rFonts w:ascii="Calibri Light" w:eastAsiaTheme="minorHAnsi" w:hAnsi="Calibri Light"/>
          <w:b w:val="0"/>
          <w:noProof/>
          <w:color w:val="6D2077"/>
          <w:sz w:val="76"/>
          <w:szCs w:val="76"/>
          <w:lang w:eastAsia="en-AU"/>
        </w:rPr>
        <w:t>B</w:t>
      </w:r>
      <w:r w:rsidRPr="009E2B03">
        <w:rPr>
          <w:rFonts w:ascii="Calibri Light" w:eastAsiaTheme="minorHAnsi" w:hAnsi="Calibri Light"/>
          <w:b w:val="0"/>
          <w:noProof/>
          <w:color w:val="6D2077"/>
          <w:sz w:val="76"/>
          <w:szCs w:val="76"/>
          <w:lang w:eastAsia="en-AU"/>
        </w:rPr>
        <w:t xml:space="preserve">: </w:t>
      </w:r>
      <w:r w:rsidR="0086037E" w:rsidRPr="009E2B03">
        <w:rPr>
          <w:rFonts w:ascii="Calibri Light" w:eastAsiaTheme="minorHAnsi" w:hAnsi="Calibri Light"/>
          <w:b w:val="0"/>
          <w:noProof/>
          <w:color w:val="6D2077"/>
          <w:sz w:val="76"/>
          <w:szCs w:val="76"/>
          <w:lang w:eastAsia="en-AU"/>
        </w:rPr>
        <w:t xml:space="preserve">Costing </w:t>
      </w:r>
      <w:r w:rsidR="00E2217A" w:rsidRPr="009E2B03">
        <w:rPr>
          <w:rFonts w:ascii="Calibri Light" w:eastAsiaTheme="minorHAnsi" w:hAnsi="Calibri Light"/>
          <w:b w:val="0"/>
          <w:noProof/>
          <w:color w:val="6D2077"/>
          <w:sz w:val="76"/>
          <w:szCs w:val="76"/>
          <w:lang w:eastAsia="en-AU"/>
        </w:rPr>
        <w:t>m</w:t>
      </w:r>
      <w:r w:rsidR="0086037E" w:rsidRPr="009E2B03">
        <w:rPr>
          <w:rFonts w:ascii="Calibri Light" w:eastAsiaTheme="minorHAnsi" w:hAnsi="Calibri Light"/>
          <w:b w:val="0"/>
          <w:noProof/>
          <w:color w:val="6D2077"/>
          <w:sz w:val="76"/>
          <w:szCs w:val="76"/>
          <w:lang w:eastAsia="en-AU"/>
        </w:rPr>
        <w:t>ethodology</w:t>
      </w:r>
      <w:bookmarkEnd w:id="166"/>
    </w:p>
    <w:p w14:paraId="0A060CB4" w14:textId="77777777" w:rsidR="0086037E" w:rsidRPr="009E2B03" w:rsidRDefault="0086037E" w:rsidP="0086037E">
      <w:pPr>
        <w:rPr>
          <w:rFonts w:ascii="Calibri Light" w:hAnsi="Calibri Light"/>
          <w:sz w:val="22"/>
        </w:rPr>
      </w:pPr>
      <w:r w:rsidRPr="009E2B03">
        <w:rPr>
          <w:rFonts w:ascii="Calibri Light" w:hAnsi="Calibri Light"/>
          <w:sz w:val="22"/>
        </w:rPr>
        <w:fldChar w:fldCharType="begin"/>
      </w:r>
      <w:r w:rsidRPr="009E2B03">
        <w:rPr>
          <w:rFonts w:ascii="Calibri Light" w:hAnsi="Calibri Light"/>
          <w:sz w:val="22"/>
        </w:rPr>
        <w:instrText xml:space="preserve"> REF _Ref445299809 \h </w:instrText>
      </w:r>
      <w:r w:rsidR="009B0258"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Table B-</w:t>
      </w:r>
      <w:r w:rsidR="00417237">
        <w:rPr>
          <w:rFonts w:ascii="Calibri Light" w:hAnsi="Calibri Light"/>
          <w:sz w:val="22"/>
        </w:rPr>
        <w:t>0</w:t>
      </w:r>
      <w:r w:rsidR="00417237" w:rsidRPr="009E2B03">
        <w:rPr>
          <w:rFonts w:ascii="Calibri Light" w:hAnsi="Calibri Light"/>
          <w:sz w:val="22"/>
        </w:rPr>
        <w:noBreakHyphen/>
      </w:r>
      <w:r w:rsidR="00417237">
        <w:rPr>
          <w:rFonts w:ascii="Calibri Light" w:hAnsi="Calibri Light"/>
          <w:sz w:val="22"/>
        </w:rPr>
        <w:t>1</w:t>
      </w:r>
      <w:r w:rsidRPr="009E2B03">
        <w:rPr>
          <w:rFonts w:ascii="Calibri Light" w:hAnsi="Calibri Light"/>
          <w:sz w:val="22"/>
        </w:rPr>
        <w:fldChar w:fldCharType="end"/>
      </w:r>
      <w:r w:rsidRPr="009E2B03">
        <w:rPr>
          <w:rFonts w:ascii="Calibri Light" w:hAnsi="Calibri Light"/>
          <w:sz w:val="22"/>
        </w:rPr>
        <w:t xml:space="preserve"> below provides a detailed breakdown of the cost categories included in the estimation, as well as the </w:t>
      </w:r>
      <w:r w:rsidR="0096616D" w:rsidRPr="009E2B03">
        <w:rPr>
          <w:rFonts w:ascii="Calibri Light" w:hAnsi="Calibri Light"/>
          <w:sz w:val="22"/>
        </w:rPr>
        <w:t>primary</w:t>
      </w:r>
      <w:r w:rsidRPr="009E2B03">
        <w:rPr>
          <w:rFonts w:ascii="Calibri Light" w:hAnsi="Calibri Light"/>
          <w:sz w:val="22"/>
        </w:rPr>
        <w:t xml:space="preserve"> sources and assumptions for each. </w:t>
      </w:r>
    </w:p>
    <w:p w14:paraId="25221B87" w14:textId="77777777" w:rsidR="0086037E" w:rsidRPr="009E2B03" w:rsidRDefault="0086037E" w:rsidP="0086037E">
      <w:pPr>
        <w:rPr>
          <w:rFonts w:ascii="Calibri Light" w:hAnsi="Calibri Light"/>
          <w:sz w:val="22"/>
        </w:rPr>
        <w:sectPr w:rsidR="0086037E" w:rsidRPr="009E2B03" w:rsidSect="00F8042D">
          <w:headerReference w:type="even" r:id="rId36"/>
          <w:headerReference w:type="default" r:id="rId37"/>
          <w:footerReference w:type="default" r:id="rId38"/>
          <w:headerReference w:type="first" r:id="rId39"/>
          <w:pgSz w:w="11906" w:h="16838"/>
          <w:pgMar w:top="1440" w:right="1440" w:bottom="1440" w:left="1440" w:header="708" w:footer="708" w:gutter="0"/>
          <w:cols w:space="708"/>
          <w:docGrid w:linePitch="360"/>
        </w:sectPr>
      </w:pPr>
    </w:p>
    <w:p w14:paraId="2886BE1F" w14:textId="77777777" w:rsidR="0086037E" w:rsidRPr="009E2B03" w:rsidRDefault="0086037E" w:rsidP="0086037E">
      <w:pPr>
        <w:pStyle w:val="Caption"/>
        <w:rPr>
          <w:rFonts w:ascii="Calibri Light" w:hAnsi="Calibri Light" w:cs="Arial"/>
          <w:sz w:val="22"/>
        </w:rPr>
      </w:pPr>
      <w:bookmarkStart w:id="167" w:name="_Ref445299809"/>
      <w:r w:rsidRPr="009E2B03">
        <w:rPr>
          <w:rFonts w:ascii="Calibri Light" w:hAnsi="Calibri Light" w:cs="Arial"/>
          <w:sz w:val="22"/>
        </w:rPr>
        <w:lastRenderedPageBreak/>
        <w:t xml:space="preserve">Table </w:t>
      </w:r>
      <w:r w:rsidR="00C35935" w:rsidRPr="009E2B03">
        <w:rPr>
          <w:rFonts w:ascii="Calibri Light" w:hAnsi="Calibri Light" w:cs="Arial"/>
          <w:sz w:val="22"/>
        </w:rPr>
        <w:t>B-</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0</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167"/>
      <w:r w:rsidRPr="009E2B03">
        <w:rPr>
          <w:rFonts w:ascii="Calibri Light" w:hAnsi="Calibri Light" w:cs="Arial"/>
          <w:sz w:val="22"/>
        </w:rPr>
        <w:t>: Cost categories utilised in KPMG's 2009 report</w:t>
      </w:r>
    </w:p>
    <w:tbl>
      <w:tblPr>
        <w:tblStyle w:val="KPMGtable11"/>
        <w:tblW w:w="13892" w:type="dxa"/>
        <w:tblLook w:val="04A0" w:firstRow="1" w:lastRow="0" w:firstColumn="1" w:lastColumn="0" w:noHBand="0" w:noVBand="1"/>
        <w:tblCaption w:val="Table of information showing cost categories utilised in KPMG's 2009 report"/>
      </w:tblPr>
      <w:tblGrid>
        <w:gridCol w:w="1418"/>
        <w:gridCol w:w="1984"/>
        <w:gridCol w:w="2127"/>
        <w:gridCol w:w="3401"/>
        <w:gridCol w:w="4962"/>
      </w:tblGrid>
      <w:tr w:rsidR="00D547F7" w:rsidRPr="009E2B03" w14:paraId="65B97B57" w14:textId="77777777" w:rsidTr="00B21B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6D2077"/>
          </w:tcPr>
          <w:p w14:paraId="543867F4" w14:textId="77777777" w:rsidR="00D547F7" w:rsidRPr="009E2B03" w:rsidRDefault="00D547F7" w:rsidP="006E2EC9">
            <w:pPr>
              <w:autoSpaceDE w:val="0"/>
              <w:autoSpaceDN w:val="0"/>
              <w:adjustRightInd w:val="0"/>
              <w:spacing w:before="40" w:after="40" w:line="191" w:lineRule="atLeast"/>
              <w:rPr>
                <w:rFonts w:ascii="Calibri Light" w:hAnsi="Calibri Light" w:cs="Arial"/>
                <w:b/>
                <w:szCs w:val="18"/>
              </w:rPr>
            </w:pPr>
            <w:r w:rsidRPr="009E2B03">
              <w:rPr>
                <w:rFonts w:ascii="Calibri Light" w:hAnsi="Calibri Light" w:cs="Arial"/>
                <w:b/>
                <w:szCs w:val="18"/>
              </w:rPr>
              <w:t>Cost category</w:t>
            </w:r>
          </w:p>
        </w:tc>
        <w:tc>
          <w:tcPr>
            <w:tcW w:w="1984" w:type="dxa"/>
            <w:shd w:val="clear" w:color="auto" w:fill="6D2077"/>
          </w:tcPr>
          <w:p w14:paraId="12F8DA6E" w14:textId="77777777" w:rsidR="00D547F7" w:rsidRPr="009E2B03" w:rsidRDefault="00D547F7" w:rsidP="006E2EC9">
            <w:pPr>
              <w:autoSpaceDE w:val="0"/>
              <w:autoSpaceDN w:val="0"/>
              <w:adjustRightInd w:val="0"/>
              <w:spacing w:before="40" w:after="40" w:line="191" w:lineRule="atLeas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Types of costs included</w:t>
            </w:r>
          </w:p>
        </w:tc>
        <w:tc>
          <w:tcPr>
            <w:tcW w:w="2127" w:type="dxa"/>
            <w:shd w:val="clear" w:color="auto" w:fill="6D2077"/>
          </w:tcPr>
          <w:p w14:paraId="6FE058D1" w14:textId="77777777" w:rsidR="00D547F7" w:rsidRPr="009E2B03" w:rsidRDefault="00D547F7" w:rsidP="006E2EC9">
            <w:pPr>
              <w:autoSpaceDE w:val="0"/>
              <w:autoSpaceDN w:val="0"/>
              <w:adjustRightInd w:val="0"/>
              <w:spacing w:before="40" w:after="40" w:line="191" w:lineRule="atLeas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 xml:space="preserve">Calculation </w:t>
            </w:r>
            <w:r w:rsidR="00F3717C" w:rsidRPr="009E2B03">
              <w:rPr>
                <w:rFonts w:ascii="Calibri Light" w:hAnsi="Calibri Light" w:cs="Arial"/>
                <w:b/>
                <w:szCs w:val="18"/>
              </w:rPr>
              <w:t>s</w:t>
            </w:r>
            <w:r w:rsidRPr="009E2B03">
              <w:rPr>
                <w:rFonts w:ascii="Calibri Light" w:hAnsi="Calibri Light" w:cs="Arial"/>
                <w:b/>
                <w:szCs w:val="18"/>
              </w:rPr>
              <w:t xml:space="preserve">ources </w:t>
            </w:r>
          </w:p>
        </w:tc>
        <w:tc>
          <w:tcPr>
            <w:tcW w:w="3401" w:type="dxa"/>
            <w:shd w:val="clear" w:color="auto" w:fill="6D2077"/>
          </w:tcPr>
          <w:p w14:paraId="0CBC463C" w14:textId="77777777" w:rsidR="00D547F7" w:rsidRPr="009E2B03" w:rsidRDefault="00D547F7" w:rsidP="006E2EC9">
            <w:pPr>
              <w:autoSpaceDE w:val="0"/>
              <w:autoSpaceDN w:val="0"/>
              <w:adjustRightInd w:val="0"/>
              <w:spacing w:before="40" w:after="40" w:line="191" w:lineRule="atLeas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 xml:space="preserve">Calculation </w:t>
            </w:r>
            <w:r w:rsidR="00F3717C" w:rsidRPr="009E2B03">
              <w:rPr>
                <w:rFonts w:ascii="Calibri Light" w:hAnsi="Calibri Light" w:cs="Arial"/>
                <w:b/>
                <w:szCs w:val="18"/>
              </w:rPr>
              <w:t>a</w:t>
            </w:r>
            <w:r w:rsidRPr="009E2B03">
              <w:rPr>
                <w:rFonts w:ascii="Calibri Light" w:hAnsi="Calibri Light" w:cs="Arial"/>
                <w:b/>
                <w:szCs w:val="18"/>
              </w:rPr>
              <w:t>ssumptions</w:t>
            </w:r>
          </w:p>
        </w:tc>
        <w:tc>
          <w:tcPr>
            <w:tcW w:w="4962" w:type="dxa"/>
            <w:shd w:val="clear" w:color="auto" w:fill="6D2077"/>
          </w:tcPr>
          <w:p w14:paraId="2DDF2C76" w14:textId="77777777" w:rsidR="00D547F7" w:rsidRPr="009E2B03" w:rsidRDefault="00D547F7" w:rsidP="006E2EC9">
            <w:pPr>
              <w:autoSpaceDE w:val="0"/>
              <w:autoSpaceDN w:val="0"/>
              <w:adjustRightInd w:val="0"/>
              <w:spacing w:before="40" w:after="40" w:line="191" w:lineRule="atLeast"/>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rPr>
            </w:pPr>
            <w:r w:rsidRPr="009E2B03">
              <w:rPr>
                <w:rFonts w:ascii="Calibri Light" w:hAnsi="Calibri Light" w:cs="Arial"/>
                <w:b/>
                <w:szCs w:val="18"/>
              </w:rPr>
              <w:t>Updates from previous approaches</w:t>
            </w:r>
          </w:p>
        </w:tc>
      </w:tr>
      <w:tr w:rsidR="00D547F7" w:rsidRPr="009E2B03" w14:paraId="0A0011D6" w14:textId="77777777" w:rsidTr="00B21B09">
        <w:tc>
          <w:tcPr>
            <w:cnfStyle w:val="001000000000" w:firstRow="0" w:lastRow="0" w:firstColumn="1" w:lastColumn="0" w:oddVBand="0" w:evenVBand="0" w:oddHBand="0" w:evenHBand="0" w:firstRowFirstColumn="0" w:firstRowLastColumn="0" w:lastRowFirstColumn="0" w:lastRowLastColumn="0"/>
            <w:tcW w:w="1418" w:type="dxa"/>
            <w:shd w:val="clear" w:color="auto" w:fill="F3F0F4"/>
          </w:tcPr>
          <w:p w14:paraId="17BD9598" w14:textId="77777777" w:rsidR="00D547F7" w:rsidRPr="009E2B03" w:rsidRDefault="00D547F7" w:rsidP="006E2EC9">
            <w:pPr>
              <w:autoSpaceDE w:val="0"/>
              <w:autoSpaceDN w:val="0"/>
              <w:adjustRightInd w:val="0"/>
              <w:spacing w:before="40" w:after="40" w:line="191" w:lineRule="atLeast"/>
              <w:rPr>
                <w:rFonts w:ascii="Calibri Light" w:hAnsi="Calibri Light" w:cs="Arial"/>
                <w:szCs w:val="18"/>
              </w:rPr>
            </w:pPr>
            <w:r w:rsidRPr="009E2B03">
              <w:rPr>
                <w:rFonts w:ascii="Calibri Light" w:hAnsi="Calibri Light" w:cs="Arial"/>
                <w:szCs w:val="18"/>
              </w:rPr>
              <w:t>Pain, suffering and premature mortality</w:t>
            </w:r>
          </w:p>
        </w:tc>
        <w:tc>
          <w:tcPr>
            <w:tcW w:w="1984" w:type="dxa"/>
          </w:tcPr>
          <w:p w14:paraId="5F20ABA7"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Costs of pain and suffering attributable to violence. Costs of premature mortality measured by attributing a statistical value to years of life lost.</w:t>
            </w:r>
          </w:p>
        </w:tc>
        <w:tc>
          <w:tcPr>
            <w:tcW w:w="2127" w:type="dxa"/>
          </w:tcPr>
          <w:p w14:paraId="036611CB"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Health burdens of women experiencing violence measured using </w:t>
            </w:r>
            <w:r w:rsidR="00F3717C" w:rsidRPr="009E2B03">
              <w:rPr>
                <w:rFonts w:ascii="Calibri Light" w:hAnsi="Calibri Light" w:cs="Arial"/>
                <w:szCs w:val="18"/>
              </w:rPr>
              <w:t>the WHO’s Disability Adjusted Life years (</w:t>
            </w:r>
            <w:r w:rsidRPr="009E2B03">
              <w:rPr>
                <w:rFonts w:ascii="Calibri Light" w:hAnsi="Calibri Light" w:cs="Arial"/>
                <w:szCs w:val="18"/>
              </w:rPr>
              <w:t>DALYs</w:t>
            </w:r>
            <w:r w:rsidR="00F3717C" w:rsidRPr="009E2B03">
              <w:rPr>
                <w:rFonts w:ascii="Calibri Light" w:hAnsi="Calibri Light" w:cs="Arial"/>
                <w:szCs w:val="18"/>
              </w:rPr>
              <w:t>)</w:t>
            </w:r>
            <w:r w:rsidRPr="009E2B03">
              <w:rPr>
                <w:rFonts w:ascii="Calibri Light" w:hAnsi="Calibri Light" w:cs="Arial"/>
                <w:szCs w:val="18"/>
              </w:rPr>
              <w:t xml:space="preserve"> and the value of the statistical life year from Department of Prime Minister and Cabinet, updated for inflation.</w:t>
            </w:r>
          </w:p>
        </w:tc>
        <w:tc>
          <w:tcPr>
            <w:tcW w:w="3401" w:type="dxa"/>
          </w:tcPr>
          <w:p w14:paraId="7DC55057"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Assumptions in this category are generated in conjunction with a number of factors, including:</w:t>
            </w:r>
          </w:p>
          <w:p w14:paraId="15A81145"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DALYs</w:t>
            </w:r>
            <w:r w:rsidR="00F3717C" w:rsidRPr="009E2B03">
              <w:rPr>
                <w:rFonts w:ascii="Calibri Light" w:hAnsi="Calibri Light" w:cs="Arial"/>
                <w:szCs w:val="18"/>
              </w:rPr>
              <w:t xml:space="preserve"> </w:t>
            </w:r>
            <w:r w:rsidRPr="009E2B03">
              <w:rPr>
                <w:rFonts w:ascii="Calibri Light" w:hAnsi="Calibri Light" w:cs="Arial"/>
                <w:szCs w:val="18"/>
              </w:rPr>
              <w:t>and attributable fractions</w:t>
            </w:r>
          </w:p>
          <w:p w14:paraId="6BAB3AB0"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an estimated discount rate of 3.3</w:t>
            </w:r>
            <w:r w:rsidR="00F3717C" w:rsidRPr="009E2B03">
              <w:rPr>
                <w:rFonts w:ascii="Calibri Light" w:hAnsi="Calibri Light" w:cs="Arial"/>
                <w:szCs w:val="18"/>
              </w:rPr>
              <w:t xml:space="preserve"> per cent</w:t>
            </w:r>
            <w:r w:rsidRPr="009E2B03">
              <w:rPr>
                <w:rFonts w:ascii="Calibri Light" w:hAnsi="Calibri Light" w:cs="Arial"/>
                <w:szCs w:val="18"/>
              </w:rPr>
              <w:t>, with a unit cost of different disease</w:t>
            </w:r>
          </w:p>
          <w:p w14:paraId="22F75BBD"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an AIHW per unit cost of different disease types</w:t>
            </w:r>
            <w:r w:rsidR="00F3717C" w:rsidRPr="009E2B03">
              <w:rPr>
                <w:rFonts w:ascii="Calibri Light" w:hAnsi="Calibri Light" w:cs="Arial"/>
                <w:szCs w:val="18"/>
              </w:rPr>
              <w:t>.</w:t>
            </w:r>
          </w:p>
        </w:tc>
        <w:tc>
          <w:tcPr>
            <w:tcW w:w="4962" w:type="dxa"/>
          </w:tcPr>
          <w:p w14:paraId="0687276C"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This approach is consistent with the approaches taken in the previous reports by Access Economics, KPMG and PwC, with an updated figure for the prevalence of violence against women in Australia. </w:t>
            </w:r>
          </w:p>
        </w:tc>
      </w:tr>
      <w:tr w:rsidR="00D547F7" w:rsidRPr="009E2B03" w14:paraId="49FB8784" w14:textId="77777777" w:rsidTr="00B21B09">
        <w:tc>
          <w:tcPr>
            <w:cnfStyle w:val="001000000000" w:firstRow="0" w:lastRow="0" w:firstColumn="1" w:lastColumn="0" w:oddVBand="0" w:evenVBand="0" w:oddHBand="0" w:evenHBand="0" w:firstRowFirstColumn="0" w:firstRowLastColumn="0" w:lastRowFirstColumn="0" w:lastRowLastColumn="0"/>
            <w:tcW w:w="1418" w:type="dxa"/>
            <w:shd w:val="clear" w:color="auto" w:fill="F3F0F4"/>
          </w:tcPr>
          <w:p w14:paraId="3FB8E9AD" w14:textId="77777777" w:rsidR="00D547F7" w:rsidRPr="009E2B03" w:rsidRDefault="00D547F7" w:rsidP="006E2EC9">
            <w:pPr>
              <w:autoSpaceDE w:val="0"/>
              <w:autoSpaceDN w:val="0"/>
              <w:adjustRightInd w:val="0"/>
              <w:spacing w:before="40" w:after="40" w:line="191" w:lineRule="atLeast"/>
              <w:rPr>
                <w:rFonts w:ascii="Calibri Light" w:hAnsi="Calibri Light" w:cs="Arial"/>
                <w:szCs w:val="18"/>
              </w:rPr>
            </w:pPr>
            <w:r w:rsidRPr="009E2B03">
              <w:rPr>
                <w:rFonts w:ascii="Calibri Light" w:hAnsi="Calibri Light" w:cs="Arial"/>
                <w:szCs w:val="18"/>
              </w:rPr>
              <w:t>Health costs</w:t>
            </w:r>
          </w:p>
        </w:tc>
        <w:tc>
          <w:tcPr>
            <w:tcW w:w="1984" w:type="dxa"/>
          </w:tcPr>
          <w:p w14:paraId="33E96EC3"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Includes private and public health costs associated with treating the effects of violence on the victim, perpetrator and children.</w:t>
            </w:r>
          </w:p>
        </w:tc>
        <w:tc>
          <w:tcPr>
            <w:tcW w:w="2127" w:type="dxa"/>
          </w:tcPr>
          <w:p w14:paraId="1D4AEB4F"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Prevalence of women experiencing violence applied to AIHW’s extensive top down analysis of health related costs, and applied to AIHW’s Total Health Price Index.</w:t>
            </w:r>
          </w:p>
        </w:tc>
        <w:tc>
          <w:tcPr>
            <w:tcW w:w="3401" w:type="dxa"/>
          </w:tcPr>
          <w:p w14:paraId="5E31FF94" w14:textId="77777777" w:rsidR="00D547F7" w:rsidRPr="009E2B03" w:rsidRDefault="00D547F7" w:rsidP="001113E3">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Assumptions in this category are unit costs generated by </w:t>
            </w:r>
            <w:r w:rsidR="00F3717C" w:rsidRPr="009E2B03">
              <w:rPr>
                <w:rFonts w:ascii="Calibri Light" w:hAnsi="Calibri Light" w:cs="Arial"/>
                <w:szCs w:val="18"/>
              </w:rPr>
              <w:t xml:space="preserve">calculating </w:t>
            </w:r>
            <w:r w:rsidRPr="009E2B03">
              <w:rPr>
                <w:rFonts w:ascii="Calibri Light" w:hAnsi="Calibri Light" w:cs="Arial"/>
                <w:szCs w:val="18"/>
              </w:rPr>
              <w:t xml:space="preserve">an average cost of an administrative function across the entire population and then applying that figure to prevalence. </w:t>
            </w:r>
          </w:p>
        </w:tc>
        <w:tc>
          <w:tcPr>
            <w:tcW w:w="4962" w:type="dxa"/>
          </w:tcPr>
          <w:p w14:paraId="3F26AE5A"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This approach is consistent with the approaches taken in the previous reports by Access Economics, KPMG and PwC, with an updated Total Health Price Index and an updated figure for the prevalence of violence against women in Australia.</w:t>
            </w:r>
          </w:p>
        </w:tc>
      </w:tr>
      <w:tr w:rsidR="00D547F7" w:rsidRPr="009E2B03" w14:paraId="6938FD5D" w14:textId="77777777" w:rsidTr="00B21B09">
        <w:tc>
          <w:tcPr>
            <w:cnfStyle w:val="001000000000" w:firstRow="0" w:lastRow="0" w:firstColumn="1" w:lastColumn="0" w:oddVBand="0" w:evenVBand="0" w:oddHBand="0" w:evenHBand="0" w:firstRowFirstColumn="0" w:firstRowLastColumn="0" w:lastRowFirstColumn="0" w:lastRowLastColumn="0"/>
            <w:tcW w:w="1418" w:type="dxa"/>
            <w:shd w:val="clear" w:color="auto" w:fill="F3F0F4"/>
          </w:tcPr>
          <w:p w14:paraId="518A9E1B" w14:textId="77777777" w:rsidR="00D547F7" w:rsidRPr="009E2B03" w:rsidRDefault="00D547F7" w:rsidP="006E2EC9">
            <w:pPr>
              <w:autoSpaceDE w:val="0"/>
              <w:autoSpaceDN w:val="0"/>
              <w:adjustRightInd w:val="0"/>
              <w:spacing w:before="40" w:after="40" w:line="191" w:lineRule="atLeast"/>
              <w:rPr>
                <w:rFonts w:ascii="Calibri Light" w:hAnsi="Calibri Light" w:cs="Arial"/>
                <w:szCs w:val="18"/>
              </w:rPr>
            </w:pPr>
            <w:r w:rsidRPr="009E2B03">
              <w:rPr>
                <w:rFonts w:ascii="Calibri Light" w:hAnsi="Calibri Light" w:cs="Arial"/>
                <w:szCs w:val="18"/>
              </w:rPr>
              <w:t>Production-related costs</w:t>
            </w:r>
          </w:p>
        </w:tc>
        <w:tc>
          <w:tcPr>
            <w:tcW w:w="1984" w:type="dxa"/>
          </w:tcPr>
          <w:p w14:paraId="4DE052C4" w14:textId="77777777" w:rsidR="00D547F7" w:rsidRPr="009E2B03" w:rsidRDefault="00D547F7" w:rsidP="00FF01E3">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rPr>
              <w:t>Includes costs associated with</w:t>
            </w:r>
            <w:r w:rsidR="00F3717C" w:rsidRPr="009E2B03">
              <w:rPr>
                <w:rFonts w:ascii="Calibri Light" w:hAnsi="Calibri Light" w:cs="Arial"/>
                <w:szCs w:val="18"/>
              </w:rPr>
              <w:t xml:space="preserve"> </w:t>
            </w:r>
            <w:r w:rsidRPr="009E2B03">
              <w:rPr>
                <w:rFonts w:ascii="Calibri Light" w:hAnsi="Calibri Light" w:cs="Arial"/>
              </w:rPr>
              <w:t>lost production (wages plus profit) from</w:t>
            </w:r>
            <w:r w:rsidR="00F3717C" w:rsidRPr="009E2B03">
              <w:rPr>
                <w:rFonts w:ascii="Calibri Light" w:hAnsi="Calibri Light" w:cs="Arial"/>
              </w:rPr>
              <w:t>:</w:t>
            </w:r>
          </w:p>
          <w:p w14:paraId="31D404B1"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absenteeism</w:t>
            </w:r>
          </w:p>
          <w:p w14:paraId="2DC4CBD3"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search and hiring costs</w:t>
            </w:r>
          </w:p>
          <w:p w14:paraId="71CC291A"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lost productivity of victim</w:t>
            </w:r>
            <w:r w:rsidR="00F3717C" w:rsidRPr="009E2B03">
              <w:rPr>
                <w:rFonts w:ascii="Calibri Light" w:hAnsi="Calibri Light" w:cs="Arial"/>
                <w:szCs w:val="18"/>
              </w:rPr>
              <w:t xml:space="preserve">, </w:t>
            </w:r>
            <w:r w:rsidRPr="009E2B03">
              <w:rPr>
                <w:rFonts w:ascii="Calibri Light" w:hAnsi="Calibri Light" w:cs="Arial"/>
                <w:szCs w:val="18"/>
              </w:rPr>
              <w:t xml:space="preserve">perpetrator, </w:t>
            </w:r>
            <w:r w:rsidRPr="009E2B03">
              <w:rPr>
                <w:rFonts w:ascii="Calibri Light" w:hAnsi="Calibri Light" w:cs="Arial"/>
                <w:szCs w:val="18"/>
              </w:rPr>
              <w:lastRenderedPageBreak/>
              <w:t>management, co-worker, friends and family</w:t>
            </w:r>
          </w:p>
          <w:p w14:paraId="4051C747"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lost unpaid work</w:t>
            </w:r>
          </w:p>
          <w:p w14:paraId="1C56B9F3"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retraining costs</w:t>
            </w:r>
          </w:p>
          <w:p w14:paraId="462859DF"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permanent loss of labour capacity. </w:t>
            </w:r>
          </w:p>
        </w:tc>
        <w:tc>
          <w:tcPr>
            <w:tcW w:w="2127" w:type="dxa"/>
          </w:tcPr>
          <w:p w14:paraId="150C9B81"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 xml:space="preserve">Components of these costs include the labour participation rates, average income, managerial average income, criminal court appearances and incarceration rates, family court attendances, average time spent on house </w:t>
            </w:r>
            <w:r w:rsidRPr="009E2B03">
              <w:rPr>
                <w:rFonts w:ascii="Calibri Light" w:hAnsi="Calibri Light" w:cs="Arial"/>
                <w:szCs w:val="18"/>
              </w:rPr>
              <w:lastRenderedPageBreak/>
              <w:t xml:space="preserve">work, the wage price index and the consumer price index. </w:t>
            </w:r>
          </w:p>
        </w:tc>
        <w:tc>
          <w:tcPr>
            <w:tcW w:w="3401" w:type="dxa"/>
          </w:tcPr>
          <w:p w14:paraId="1FB64F06"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Assumptions in this category enable production related cost sources to be applied to prevalence. These assumptions include for example:</w:t>
            </w:r>
          </w:p>
          <w:p w14:paraId="300264A2" w14:textId="77777777" w:rsidR="00D547F7" w:rsidRPr="009E2B03" w:rsidRDefault="00F3717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in </w:t>
            </w:r>
            <w:r w:rsidR="00D547F7" w:rsidRPr="009E2B03">
              <w:rPr>
                <w:rFonts w:ascii="Calibri Light" w:hAnsi="Calibri Light" w:cs="Arial"/>
                <w:szCs w:val="18"/>
              </w:rPr>
              <w:t xml:space="preserve">35 per cent </w:t>
            </w:r>
            <w:r w:rsidRPr="009E2B03">
              <w:rPr>
                <w:rFonts w:ascii="Calibri Light" w:hAnsi="Calibri Light" w:cs="Arial"/>
                <w:szCs w:val="18"/>
              </w:rPr>
              <w:t>of cases,</w:t>
            </w:r>
            <w:r w:rsidR="00D547F7" w:rsidRPr="009E2B03">
              <w:rPr>
                <w:rFonts w:ascii="Calibri Light" w:hAnsi="Calibri Light" w:cs="Arial"/>
                <w:szCs w:val="18"/>
              </w:rPr>
              <w:t xml:space="preserve"> victims were late to work or left early due to violence and left </w:t>
            </w:r>
            <w:r w:rsidRPr="009E2B03">
              <w:rPr>
                <w:rFonts w:ascii="Calibri Light" w:hAnsi="Calibri Light" w:cs="Arial"/>
                <w:szCs w:val="18"/>
              </w:rPr>
              <w:t>nine</w:t>
            </w:r>
            <w:r w:rsidR="00D547F7" w:rsidRPr="009E2B03">
              <w:rPr>
                <w:rFonts w:ascii="Calibri Light" w:hAnsi="Calibri Light" w:cs="Arial"/>
                <w:szCs w:val="18"/>
              </w:rPr>
              <w:t xml:space="preserve"> times per year</w:t>
            </w:r>
          </w:p>
          <w:p w14:paraId="66DB7151"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average time late or leaving early is 38 minutes</w:t>
            </w:r>
          </w:p>
          <w:p w14:paraId="0B9721CC"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the number of days an employee is absent by violence type – physical violence 7.2 days; sexual violence 8.1 days; stalking 10.1 days</w:t>
            </w:r>
          </w:p>
          <w:p w14:paraId="3FF83BC4"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of perpetrators who harass or watch the victim, </w:t>
            </w:r>
            <w:r w:rsidR="00F3717C" w:rsidRPr="009E2B03">
              <w:rPr>
                <w:rFonts w:ascii="Calibri Light" w:hAnsi="Calibri Light" w:cs="Arial"/>
                <w:szCs w:val="18"/>
              </w:rPr>
              <w:t xml:space="preserve">20 percent take time off </w:t>
            </w:r>
            <w:r w:rsidRPr="009E2B03">
              <w:rPr>
                <w:rFonts w:ascii="Calibri Light" w:hAnsi="Calibri Light" w:cs="Arial"/>
                <w:szCs w:val="18"/>
              </w:rPr>
              <w:t>with 1.5 days of perpetrator time lost</w:t>
            </w:r>
          </w:p>
          <w:p w14:paraId="3119B1EF" w14:textId="77777777" w:rsidR="00D547F7" w:rsidRPr="009E2B03" w:rsidRDefault="00F3717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half</w:t>
            </w:r>
            <w:r w:rsidR="00D547F7" w:rsidRPr="009E2B03">
              <w:rPr>
                <w:rFonts w:ascii="Calibri Light" w:hAnsi="Calibri Light" w:cs="Arial"/>
                <w:szCs w:val="18"/>
              </w:rPr>
              <w:t xml:space="preserve"> of cases result in </w:t>
            </w:r>
            <w:r w:rsidRPr="009E2B03">
              <w:rPr>
                <w:rFonts w:ascii="Calibri Light" w:hAnsi="Calibri Light" w:cs="Arial"/>
                <w:szCs w:val="18"/>
              </w:rPr>
              <w:t xml:space="preserve">the </w:t>
            </w:r>
            <w:r w:rsidR="00D547F7" w:rsidRPr="009E2B03">
              <w:rPr>
                <w:rFonts w:ascii="Calibri Light" w:hAnsi="Calibri Light" w:cs="Arial"/>
                <w:szCs w:val="18"/>
              </w:rPr>
              <w:t>perpetrator attending court</w:t>
            </w:r>
          </w:p>
          <w:p w14:paraId="41CBEE99"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average time spent per perpetrator who attends court with justice procedures is </w:t>
            </w:r>
            <w:r w:rsidR="00F3717C" w:rsidRPr="009E2B03">
              <w:rPr>
                <w:rFonts w:ascii="Calibri Light" w:hAnsi="Calibri Light" w:cs="Arial"/>
                <w:szCs w:val="18"/>
              </w:rPr>
              <w:t>one</w:t>
            </w:r>
            <w:r w:rsidRPr="009E2B03">
              <w:rPr>
                <w:rFonts w:ascii="Calibri Light" w:hAnsi="Calibri Light" w:cs="Arial"/>
                <w:szCs w:val="18"/>
              </w:rPr>
              <w:t xml:space="preserve"> day</w:t>
            </w:r>
            <w:r w:rsidR="00F3717C" w:rsidRPr="009E2B03">
              <w:rPr>
                <w:rFonts w:ascii="Calibri Light" w:hAnsi="Calibri Light" w:cs="Arial"/>
                <w:szCs w:val="18"/>
              </w:rPr>
              <w:t>.</w:t>
            </w:r>
          </w:p>
        </w:tc>
        <w:tc>
          <w:tcPr>
            <w:tcW w:w="4962" w:type="dxa"/>
          </w:tcPr>
          <w:p w14:paraId="478D3614"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 xml:space="preserve">The overall approach for this cost category is consistent with the approaches taken in the previous reports by Access Economics, KPMG and PwC with an updated figure for the prevalence of violence against women in Australia. However, in an effort to calculate the most accurate estimate of costs possible, </w:t>
            </w:r>
            <w:r w:rsidR="00677EDC" w:rsidRPr="009E2B03">
              <w:rPr>
                <w:rFonts w:ascii="Calibri Light" w:hAnsi="Calibri Light" w:cs="Arial"/>
                <w:szCs w:val="18"/>
              </w:rPr>
              <w:t>we have used recent data releases to</w:t>
            </w:r>
            <w:r w:rsidRPr="009E2B03">
              <w:rPr>
                <w:rFonts w:ascii="Calibri Light" w:hAnsi="Calibri Light" w:cs="Arial"/>
                <w:szCs w:val="18"/>
              </w:rPr>
              <w:t xml:space="preserve"> update costs and cost assumptions. </w:t>
            </w:r>
          </w:p>
          <w:p w14:paraId="0F607695"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Relating to victim and perpetrator related costs of lost production in paid and unpaid work:</w:t>
            </w:r>
          </w:p>
          <w:p w14:paraId="02B1F964"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We used t</w:t>
            </w:r>
            <w:r w:rsidR="00D547F7" w:rsidRPr="009E2B03">
              <w:rPr>
                <w:rFonts w:ascii="Calibri Light" w:hAnsi="Calibri Light" w:cs="Arial"/>
                <w:szCs w:val="18"/>
              </w:rPr>
              <w:t xml:space="preserve">he most recent release of ABS 6302.0 to </w:t>
            </w:r>
            <w:r w:rsidR="00D547F7" w:rsidRPr="009E2B03">
              <w:rPr>
                <w:rFonts w:ascii="Calibri Light" w:hAnsi="Calibri Light" w:cs="Arial"/>
                <w:szCs w:val="18"/>
              </w:rPr>
              <w:lastRenderedPageBreak/>
              <w:t xml:space="preserve">derive the average victim wage. In a change from the previous KPMG and PwC approaches, the average female wage was taken to be the average wage for a victim, as this better reflects the actual cost incurred by victims and employers for violence against women. </w:t>
            </w:r>
          </w:p>
          <w:p w14:paraId="00B91AD8"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 xml:space="preserve">the most recent release of ABS 6302.0 to derive the average wage for a perpetrator. In a change from the previous KPMG and PwC approaches, the average male and female wages were taken, weighted in line with prevalence of sexes of perpetrators of violence. </w:t>
            </w:r>
          </w:p>
          <w:p w14:paraId="584775B6"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When updated for inflation, a</w:t>
            </w:r>
            <w:r w:rsidR="00D547F7" w:rsidRPr="009E2B03">
              <w:rPr>
                <w:rFonts w:ascii="Calibri Light" w:hAnsi="Calibri Light" w:cs="Arial"/>
                <w:szCs w:val="18"/>
              </w:rPr>
              <w:t>ssumptions relating to the on-costs of employment remained consistent from the 2010-2011 ABS 6346.0 release.</w:t>
            </w:r>
          </w:p>
          <w:p w14:paraId="487B9C28"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We updated a</w:t>
            </w:r>
            <w:r w:rsidR="00D547F7" w:rsidRPr="009E2B03">
              <w:rPr>
                <w:rFonts w:ascii="Calibri Light" w:hAnsi="Calibri Light" w:cs="Arial"/>
                <w:szCs w:val="18"/>
              </w:rPr>
              <w:t xml:space="preserve">ssumptions relating to the percentage of days females are paid when off work </w:t>
            </w:r>
            <w:r w:rsidRPr="009E2B03">
              <w:rPr>
                <w:rFonts w:ascii="Calibri Light" w:hAnsi="Calibri Light" w:cs="Arial"/>
                <w:szCs w:val="18"/>
              </w:rPr>
              <w:t>using</w:t>
            </w:r>
            <w:r w:rsidR="00D547F7" w:rsidRPr="009E2B03">
              <w:rPr>
                <w:rFonts w:ascii="Calibri Light" w:hAnsi="Calibri Light" w:cs="Arial"/>
                <w:szCs w:val="18"/>
              </w:rPr>
              <w:t xml:space="preserve"> the most recent ABS 6342.0 release</w:t>
            </w:r>
            <w:r w:rsidRPr="009E2B03">
              <w:rPr>
                <w:rFonts w:ascii="Calibri Light" w:hAnsi="Calibri Light" w:cs="Arial"/>
                <w:szCs w:val="18"/>
              </w:rPr>
              <w:t>.</w:t>
            </w:r>
          </w:p>
          <w:p w14:paraId="4922777B"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updated </w:t>
            </w:r>
            <w:r w:rsidR="00D547F7" w:rsidRPr="009E2B03">
              <w:rPr>
                <w:rFonts w:ascii="Calibri Light" w:hAnsi="Calibri Light" w:cs="Arial"/>
                <w:szCs w:val="18"/>
              </w:rPr>
              <w:t xml:space="preserve">assumptions relating to the percentage of days males are paid when off work </w:t>
            </w:r>
            <w:r w:rsidRPr="009E2B03">
              <w:rPr>
                <w:rFonts w:ascii="Calibri Light" w:hAnsi="Calibri Light" w:cs="Arial"/>
                <w:szCs w:val="18"/>
              </w:rPr>
              <w:t xml:space="preserve">using </w:t>
            </w:r>
            <w:r w:rsidR="00D547F7" w:rsidRPr="009E2B03">
              <w:rPr>
                <w:rFonts w:ascii="Calibri Light" w:hAnsi="Calibri Light" w:cs="Arial"/>
                <w:szCs w:val="18"/>
              </w:rPr>
              <w:t>the most recent ABS 6342.0 release</w:t>
            </w:r>
          </w:p>
          <w:p w14:paraId="4A4E986D"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updated the </w:t>
            </w:r>
            <w:r w:rsidR="00D547F7" w:rsidRPr="009E2B03">
              <w:rPr>
                <w:rFonts w:ascii="Calibri Light" w:hAnsi="Calibri Light" w:cs="Arial"/>
                <w:szCs w:val="18"/>
              </w:rPr>
              <w:t xml:space="preserve">assumptions relating to the average time spent doing housework and volunteer work </w:t>
            </w:r>
            <w:r w:rsidRPr="009E2B03">
              <w:rPr>
                <w:rFonts w:ascii="Calibri Light" w:hAnsi="Calibri Light" w:cs="Arial"/>
                <w:szCs w:val="18"/>
              </w:rPr>
              <w:t>using</w:t>
            </w:r>
            <w:r w:rsidR="00D547F7" w:rsidRPr="009E2B03">
              <w:rPr>
                <w:rFonts w:ascii="Calibri Light" w:hAnsi="Calibri Light" w:cs="Arial"/>
                <w:szCs w:val="18"/>
              </w:rPr>
              <w:t xml:space="preserve"> the most recent ABS 4153.0 release.</w:t>
            </w:r>
          </w:p>
          <w:p w14:paraId="443A7945"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derived the </w:t>
            </w:r>
            <w:r w:rsidR="00D547F7" w:rsidRPr="009E2B03">
              <w:rPr>
                <w:rFonts w:ascii="Calibri Light" w:hAnsi="Calibri Light" w:cs="Arial"/>
                <w:szCs w:val="18"/>
              </w:rPr>
              <w:t xml:space="preserve">number of justice related procedures causing perpetrator absenteeism from the most recent statistics from NSW BOCSAR and applied across the population to create a national figure. </w:t>
            </w:r>
          </w:p>
          <w:p w14:paraId="124B2695"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w:t>
            </w:r>
            <w:r w:rsidR="00D547F7" w:rsidRPr="009E2B03">
              <w:rPr>
                <w:rFonts w:ascii="Calibri Light" w:hAnsi="Calibri Light" w:cs="Arial"/>
                <w:szCs w:val="18"/>
              </w:rPr>
              <w:t xml:space="preserve">he most recent reports from the Federal Circuit Court, Family Court of Australia and Western Australia, were used to determine the number of </w:t>
            </w:r>
            <w:r w:rsidR="00D547F7" w:rsidRPr="009E2B03">
              <w:rPr>
                <w:rFonts w:ascii="Calibri Light" w:hAnsi="Calibri Light" w:cs="Arial"/>
                <w:szCs w:val="18"/>
              </w:rPr>
              <w:lastRenderedPageBreak/>
              <w:t>divorces and child related orders made, which were then applied to an assumption consistent with the previous reports of Access Economics, KPMG and PwC to determine the number of procedures due to violence against women</w:t>
            </w:r>
            <w:r w:rsidRPr="009E2B03">
              <w:rPr>
                <w:rFonts w:ascii="Calibri Light" w:hAnsi="Calibri Light" w:cs="Arial"/>
                <w:szCs w:val="18"/>
              </w:rPr>
              <w:t>.</w:t>
            </w:r>
          </w:p>
          <w:p w14:paraId="6813E5C9" w14:textId="77777777" w:rsidR="00D547F7" w:rsidRPr="009E2B03" w:rsidRDefault="00D547F7" w:rsidP="006E2EC9">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Relating to management costs of lost production:</w:t>
            </w:r>
          </w:p>
          <w:p w14:paraId="5E63510B"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the most recent release of ABS 6302.0 to derive the average victim wage for employee turnover and costs incurred for training new employees. In a change from the previous KPMG and PwC approaches, the average female wage was taken to be the average wage for a victim, as this better reflects the actual cost incurred by victims and employers for violence against women</w:t>
            </w:r>
            <w:r w:rsidRPr="009E2B03">
              <w:rPr>
                <w:rFonts w:ascii="Calibri Light" w:hAnsi="Calibri Light" w:cs="Arial"/>
                <w:szCs w:val="18"/>
              </w:rPr>
              <w:t>.</w:t>
            </w:r>
          </w:p>
          <w:p w14:paraId="23290AF5"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w:t>
            </w:r>
            <w:r w:rsidR="00D547F7" w:rsidRPr="009E2B03">
              <w:rPr>
                <w:rFonts w:ascii="Calibri Light" w:hAnsi="Calibri Light" w:cs="Arial"/>
                <w:szCs w:val="18"/>
              </w:rPr>
              <w:t>ssumptions relating to the on-costs of employment remained consistent from the 2010-2011 ABS 6346.0 release, updated for inflation.</w:t>
            </w:r>
          </w:p>
          <w:p w14:paraId="78962B6C" w14:textId="77777777" w:rsidR="00D547F7" w:rsidRPr="009E2B03" w:rsidRDefault="00677EDC"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the most recent release of ABS 6310.0 to derive the average management wage for lost management time, updated for wage inflation.</w:t>
            </w:r>
          </w:p>
          <w:p w14:paraId="340CC6F2" w14:textId="77777777" w:rsidR="00D547F7" w:rsidRPr="009E2B03" w:rsidRDefault="00677EDC" w:rsidP="00FF01E3">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the most recent release of ABS 6302.0 to derive the average victim wage for long term reduction in capacity due to deaths resulting from violence against women. In a change from the previous KPMG and PwC approaches, the average female wage was taken to be the average wage for a victim, as this better reflects the actual cost incurred by victims and employers for violence against women</w:t>
            </w:r>
          </w:p>
        </w:tc>
      </w:tr>
      <w:tr w:rsidR="00D547F7" w:rsidRPr="009E2B03" w14:paraId="4E471032" w14:textId="77777777" w:rsidTr="00B21B09">
        <w:tc>
          <w:tcPr>
            <w:cnfStyle w:val="001000000000" w:firstRow="0" w:lastRow="0" w:firstColumn="1" w:lastColumn="0" w:oddVBand="0" w:evenVBand="0" w:oddHBand="0" w:evenHBand="0" w:firstRowFirstColumn="0" w:firstRowLastColumn="0" w:lastRowFirstColumn="0" w:lastRowLastColumn="0"/>
            <w:tcW w:w="1418" w:type="dxa"/>
            <w:shd w:val="clear" w:color="auto" w:fill="F3F0F4"/>
          </w:tcPr>
          <w:p w14:paraId="4A5CD59E" w14:textId="77777777" w:rsidR="00D547F7" w:rsidRPr="009E2B03" w:rsidRDefault="00D547F7" w:rsidP="006E2EC9">
            <w:pPr>
              <w:autoSpaceDE w:val="0"/>
              <w:autoSpaceDN w:val="0"/>
              <w:adjustRightInd w:val="0"/>
              <w:spacing w:before="40" w:after="40" w:line="191" w:lineRule="atLeast"/>
              <w:rPr>
                <w:rFonts w:ascii="Calibri Light" w:hAnsi="Calibri Light" w:cs="Arial"/>
                <w:szCs w:val="18"/>
              </w:rPr>
            </w:pPr>
            <w:r w:rsidRPr="009E2B03">
              <w:rPr>
                <w:rFonts w:ascii="Calibri Light" w:hAnsi="Calibri Light" w:cs="Arial"/>
                <w:szCs w:val="18"/>
              </w:rPr>
              <w:lastRenderedPageBreak/>
              <w:t>Consumption-related costs</w:t>
            </w:r>
          </w:p>
        </w:tc>
        <w:tc>
          <w:tcPr>
            <w:tcW w:w="1984" w:type="dxa"/>
          </w:tcPr>
          <w:p w14:paraId="667BD966"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Includes costs associated with:</w:t>
            </w:r>
          </w:p>
          <w:p w14:paraId="38501770"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property replacement</w:t>
            </w:r>
          </w:p>
          <w:p w14:paraId="73A0076A"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lost economies of scale</w:t>
            </w:r>
            <w:r w:rsidR="003D7433" w:rsidRPr="009E2B03">
              <w:rPr>
                <w:rFonts w:ascii="Calibri Light" w:hAnsi="Calibri Light" w:cs="Arial"/>
                <w:szCs w:val="18"/>
              </w:rPr>
              <w:t>.</w:t>
            </w:r>
          </w:p>
        </w:tc>
        <w:tc>
          <w:tcPr>
            <w:tcW w:w="2127" w:type="dxa"/>
          </w:tcPr>
          <w:p w14:paraId="5D4964A4"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 xml:space="preserve">Prevalence of women experiencing violence, </w:t>
            </w:r>
            <w:r w:rsidRPr="009E2B03">
              <w:rPr>
                <w:rFonts w:ascii="Calibri Light" w:hAnsi="Calibri Light" w:cs="Arial"/>
                <w:szCs w:val="18"/>
              </w:rPr>
              <w:lastRenderedPageBreak/>
              <w:t>the consumer price index, and number of women in multi person homes</w:t>
            </w:r>
            <w:r w:rsidR="003D7433" w:rsidRPr="009E2B03">
              <w:rPr>
                <w:rFonts w:ascii="Calibri Light" w:hAnsi="Calibri Light" w:cs="Arial"/>
                <w:szCs w:val="18"/>
              </w:rPr>
              <w:t>.</w:t>
            </w:r>
          </w:p>
        </w:tc>
        <w:tc>
          <w:tcPr>
            <w:tcW w:w="3401" w:type="dxa"/>
          </w:tcPr>
          <w:p w14:paraId="63A6E096"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 xml:space="preserve">Consumption related cost assumptions use for example: </w:t>
            </w:r>
          </w:p>
          <w:p w14:paraId="1402C1BF"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ABS release 6523.0 to estimate the median household disposable income</w:t>
            </w:r>
          </w:p>
          <w:p w14:paraId="48CF7B67"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an average per victim cost of property damage of $1646.90</w:t>
            </w:r>
          </w:p>
          <w:p w14:paraId="5ABDEF0A"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probability of the woman who experienced violence being in a further relationship</w:t>
            </w:r>
            <w:r w:rsidR="003D7433" w:rsidRPr="009E2B03">
              <w:rPr>
                <w:rFonts w:ascii="Calibri Light" w:hAnsi="Calibri Light" w:cs="Arial"/>
                <w:szCs w:val="18"/>
              </w:rPr>
              <w:t>.</w:t>
            </w:r>
          </w:p>
        </w:tc>
        <w:tc>
          <w:tcPr>
            <w:tcW w:w="4962" w:type="dxa"/>
          </w:tcPr>
          <w:p w14:paraId="43883D8E"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 xml:space="preserve">This approach is consistent with the approaches taken in the previous reports by Access Economics, KPMG and PwC </w:t>
            </w:r>
            <w:r w:rsidRPr="009E2B03">
              <w:rPr>
                <w:rFonts w:ascii="Calibri Light" w:hAnsi="Calibri Light" w:cs="Arial"/>
                <w:szCs w:val="18"/>
              </w:rPr>
              <w:lastRenderedPageBreak/>
              <w:t>with an updated figure for the prevalence of violence against women in Australia. In addition:</w:t>
            </w:r>
          </w:p>
          <w:p w14:paraId="5CAE5224" w14:textId="77777777" w:rsidR="00D547F7" w:rsidRPr="009E2B03" w:rsidRDefault="003D7433"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 xml:space="preserve">the most recent release of ABS 6523.0 to estimate the median household disposable income. </w:t>
            </w:r>
          </w:p>
          <w:p w14:paraId="26921BF3" w14:textId="77777777" w:rsidR="00D547F7" w:rsidRPr="009E2B03" w:rsidRDefault="003D7433" w:rsidP="001113E3">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escalated </w:t>
            </w:r>
            <w:r w:rsidR="00D547F7" w:rsidRPr="009E2B03">
              <w:rPr>
                <w:rFonts w:ascii="Calibri Light" w:hAnsi="Calibri Light" w:cs="Arial"/>
                <w:szCs w:val="18"/>
              </w:rPr>
              <w:t xml:space="preserve">the average per victim cost of property damage </w:t>
            </w:r>
            <w:r w:rsidRPr="009E2B03">
              <w:rPr>
                <w:rFonts w:ascii="Calibri Light" w:hAnsi="Calibri Light" w:cs="Arial"/>
                <w:szCs w:val="18"/>
              </w:rPr>
              <w:t xml:space="preserve">in line </w:t>
            </w:r>
            <w:r w:rsidR="00D547F7" w:rsidRPr="009E2B03">
              <w:rPr>
                <w:rFonts w:ascii="Calibri Light" w:hAnsi="Calibri Light" w:cs="Arial"/>
                <w:szCs w:val="18"/>
              </w:rPr>
              <w:t xml:space="preserve">with inflation. </w:t>
            </w:r>
          </w:p>
        </w:tc>
      </w:tr>
      <w:tr w:rsidR="00D547F7" w:rsidRPr="009E2B03" w14:paraId="29C63A6B" w14:textId="77777777" w:rsidTr="00B21B09">
        <w:tc>
          <w:tcPr>
            <w:cnfStyle w:val="001000000000" w:firstRow="0" w:lastRow="0" w:firstColumn="1" w:lastColumn="0" w:oddVBand="0" w:evenVBand="0" w:oddHBand="0" w:evenHBand="0" w:firstRowFirstColumn="0" w:firstRowLastColumn="0" w:lastRowFirstColumn="0" w:lastRowLastColumn="0"/>
            <w:tcW w:w="1418" w:type="dxa"/>
            <w:shd w:val="clear" w:color="auto" w:fill="F3F0F4"/>
          </w:tcPr>
          <w:p w14:paraId="17451C9E" w14:textId="77777777" w:rsidR="00D547F7" w:rsidRPr="009E2B03" w:rsidRDefault="00D547F7" w:rsidP="006E2EC9">
            <w:pPr>
              <w:autoSpaceDE w:val="0"/>
              <w:autoSpaceDN w:val="0"/>
              <w:adjustRightInd w:val="0"/>
              <w:spacing w:before="40" w:after="40" w:line="191" w:lineRule="atLeast"/>
              <w:rPr>
                <w:rFonts w:ascii="Calibri Light" w:hAnsi="Calibri Light" w:cs="Arial"/>
                <w:szCs w:val="18"/>
              </w:rPr>
            </w:pPr>
            <w:r w:rsidRPr="009E2B03">
              <w:rPr>
                <w:rFonts w:ascii="Calibri Light" w:hAnsi="Calibri Light" w:cs="Arial"/>
                <w:szCs w:val="18"/>
              </w:rPr>
              <w:lastRenderedPageBreak/>
              <w:t>Second generation costs</w:t>
            </w:r>
          </w:p>
        </w:tc>
        <w:tc>
          <w:tcPr>
            <w:tcW w:w="1984" w:type="dxa"/>
          </w:tcPr>
          <w:p w14:paraId="516793B1"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Includes private and public health costs associated with:</w:t>
            </w:r>
          </w:p>
          <w:p w14:paraId="0D99D348"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childcare</w:t>
            </w:r>
          </w:p>
          <w:p w14:paraId="614B2CCC"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changing schools</w:t>
            </w:r>
          </w:p>
          <w:p w14:paraId="1C027E6E"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counselling</w:t>
            </w:r>
          </w:p>
          <w:p w14:paraId="26B90027"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child protection services</w:t>
            </w:r>
          </w:p>
          <w:p w14:paraId="2247A8DE"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remedial</w:t>
            </w:r>
            <w:r w:rsidR="003D7433" w:rsidRPr="009E2B03">
              <w:rPr>
                <w:rFonts w:ascii="Calibri Light" w:hAnsi="Calibri Light" w:cs="Arial"/>
                <w:szCs w:val="18"/>
              </w:rPr>
              <w:t xml:space="preserve"> and </w:t>
            </w:r>
            <w:r w:rsidRPr="009E2B03">
              <w:rPr>
                <w:rFonts w:ascii="Calibri Light" w:hAnsi="Calibri Light" w:cs="Arial"/>
                <w:szCs w:val="18"/>
              </w:rPr>
              <w:t>special education</w:t>
            </w:r>
          </w:p>
          <w:p w14:paraId="3226182D"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increased future use of government services</w:t>
            </w:r>
          </w:p>
          <w:p w14:paraId="7A7A53C8"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increased juvenile and adult crime. </w:t>
            </w:r>
          </w:p>
        </w:tc>
        <w:tc>
          <w:tcPr>
            <w:tcW w:w="2127" w:type="dxa"/>
          </w:tcPr>
          <w:p w14:paraId="41ED0CE7"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Proportion of children who witness violence, the cost of child protection services, the cost of children in out of home care and the consumer price index, costs of childcare and lost economies of scale.</w:t>
            </w:r>
          </w:p>
        </w:tc>
        <w:tc>
          <w:tcPr>
            <w:tcW w:w="3401" w:type="dxa"/>
          </w:tcPr>
          <w:p w14:paraId="3E14CD77"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Assumptions in this category enable second generation cost sources to be applied to prevalence. These assumptions include for example:</w:t>
            </w:r>
          </w:p>
          <w:p w14:paraId="3F1B1603"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average additional cost of childcare per victim per year is $159.15</w:t>
            </w:r>
          </w:p>
          <w:p w14:paraId="0D284B62"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average estimated cost per victim incurred in changing schools is $27.89</w:t>
            </w:r>
          </w:p>
          <w:p w14:paraId="5DE09D5B" w14:textId="77777777" w:rsidR="00D547F7" w:rsidRPr="009E2B03" w:rsidRDefault="003D7433"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o</w:t>
            </w:r>
            <w:r w:rsidR="00D547F7" w:rsidRPr="009E2B03">
              <w:rPr>
                <w:rFonts w:ascii="Calibri Light" w:hAnsi="Calibri Light" w:cs="Arial"/>
                <w:szCs w:val="18"/>
              </w:rPr>
              <w:t>f children who witness domestic violence</w:t>
            </w:r>
            <w:r w:rsidRPr="009E2B03">
              <w:rPr>
                <w:rFonts w:ascii="Calibri Light" w:hAnsi="Calibri Light" w:cs="Arial"/>
                <w:szCs w:val="18"/>
              </w:rPr>
              <w:t>, 0.5 per cent</w:t>
            </w:r>
            <w:r w:rsidR="00D547F7" w:rsidRPr="009E2B03">
              <w:rPr>
                <w:rFonts w:ascii="Calibri Light" w:hAnsi="Calibri Light" w:cs="Arial"/>
                <w:szCs w:val="18"/>
              </w:rPr>
              <w:t xml:space="preserve"> will be placed in out-of-home care</w:t>
            </w:r>
            <w:r w:rsidRPr="009E2B03">
              <w:rPr>
                <w:rFonts w:ascii="Calibri Light" w:hAnsi="Calibri Light" w:cs="Arial"/>
                <w:szCs w:val="18"/>
              </w:rPr>
              <w:t>.</w:t>
            </w:r>
          </w:p>
        </w:tc>
        <w:tc>
          <w:tcPr>
            <w:tcW w:w="4962" w:type="dxa"/>
          </w:tcPr>
          <w:p w14:paraId="0D019317"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This approach is entirely consistent with the approaches taken in the previous reports by Access Economics, KPMG and PwC, with an updated figure for the prevalence of violence against women affecting children in Australia. In addition:</w:t>
            </w:r>
          </w:p>
          <w:p w14:paraId="10748378" w14:textId="77777777" w:rsidR="00D547F7" w:rsidRPr="009E2B03" w:rsidRDefault="003D7433"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the most recent expenditure data from the Productivity Commission’s Review of Government Spending to calculate the additional costs to child protection and out of home care services due to violence against women</w:t>
            </w:r>
            <w:r w:rsidRPr="009E2B03">
              <w:rPr>
                <w:rFonts w:ascii="Calibri Light" w:hAnsi="Calibri Light" w:cs="Arial"/>
                <w:szCs w:val="18"/>
              </w:rPr>
              <w:t>.</w:t>
            </w:r>
          </w:p>
          <w:p w14:paraId="60E44937" w14:textId="77777777" w:rsidR="00D547F7" w:rsidRPr="009E2B03" w:rsidRDefault="003D7433"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updated </w:t>
            </w:r>
            <w:r w:rsidR="00D547F7" w:rsidRPr="009E2B03">
              <w:rPr>
                <w:rFonts w:ascii="Calibri Light" w:hAnsi="Calibri Light" w:cs="Arial"/>
                <w:szCs w:val="18"/>
              </w:rPr>
              <w:t xml:space="preserve">per child costs of additional childcare, remedial education and changing schools due to violence </w:t>
            </w:r>
            <w:r w:rsidRPr="009E2B03">
              <w:rPr>
                <w:rFonts w:ascii="Calibri Light" w:hAnsi="Calibri Light" w:cs="Arial"/>
                <w:szCs w:val="18"/>
              </w:rPr>
              <w:t>in line with</w:t>
            </w:r>
            <w:r w:rsidR="00D547F7" w:rsidRPr="009E2B03">
              <w:rPr>
                <w:rFonts w:ascii="Calibri Light" w:hAnsi="Calibri Light" w:cs="Arial"/>
                <w:szCs w:val="18"/>
              </w:rPr>
              <w:t xml:space="preserve"> inflation</w:t>
            </w:r>
            <w:r w:rsidRPr="009E2B03">
              <w:rPr>
                <w:rFonts w:ascii="Calibri Light" w:hAnsi="Calibri Light" w:cs="Arial"/>
                <w:szCs w:val="18"/>
              </w:rPr>
              <w:t>.</w:t>
            </w:r>
          </w:p>
          <w:p w14:paraId="30D9ACC8" w14:textId="77777777" w:rsidR="00D547F7" w:rsidRPr="009E2B03" w:rsidRDefault="0058488D"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w:t>
            </w:r>
            <w:r w:rsidR="00D547F7" w:rsidRPr="009E2B03">
              <w:rPr>
                <w:rFonts w:ascii="Calibri Light" w:hAnsi="Calibri Light" w:cs="Arial"/>
                <w:szCs w:val="18"/>
              </w:rPr>
              <w:t>he approach used to calculate the cost additional future crime outside of the home for adults and children is consistent with the approaches taken in the previous reports by Access Economics, KPMG and PwC, with elements updated for inflation</w:t>
            </w:r>
            <w:r w:rsidRPr="009E2B03">
              <w:rPr>
                <w:rFonts w:ascii="Calibri Light" w:hAnsi="Calibri Light" w:cs="Arial"/>
                <w:szCs w:val="18"/>
              </w:rPr>
              <w:t>.</w:t>
            </w:r>
          </w:p>
        </w:tc>
      </w:tr>
      <w:tr w:rsidR="00D547F7" w:rsidRPr="009E2B03" w14:paraId="559D6753" w14:textId="77777777" w:rsidTr="00B21B09">
        <w:tc>
          <w:tcPr>
            <w:cnfStyle w:val="001000000000" w:firstRow="0" w:lastRow="0" w:firstColumn="1" w:lastColumn="0" w:oddVBand="0" w:evenVBand="0" w:oddHBand="0" w:evenHBand="0" w:firstRowFirstColumn="0" w:firstRowLastColumn="0" w:lastRowFirstColumn="0" w:lastRowLastColumn="0"/>
            <w:tcW w:w="1418" w:type="dxa"/>
            <w:shd w:val="clear" w:color="auto" w:fill="F3F0F4"/>
          </w:tcPr>
          <w:p w14:paraId="34BBD278" w14:textId="77777777" w:rsidR="00D547F7" w:rsidRPr="009E2B03" w:rsidRDefault="00D547F7" w:rsidP="006E2EC9">
            <w:pPr>
              <w:autoSpaceDE w:val="0"/>
              <w:autoSpaceDN w:val="0"/>
              <w:adjustRightInd w:val="0"/>
              <w:spacing w:before="40" w:after="40" w:line="191" w:lineRule="atLeast"/>
              <w:rPr>
                <w:rFonts w:ascii="Calibri Light" w:hAnsi="Calibri Light" w:cs="Arial"/>
                <w:szCs w:val="18"/>
              </w:rPr>
            </w:pPr>
            <w:r w:rsidRPr="009E2B03">
              <w:rPr>
                <w:rFonts w:ascii="Calibri Light" w:hAnsi="Calibri Light" w:cs="Arial"/>
                <w:szCs w:val="18"/>
              </w:rPr>
              <w:t>Administrative and other costs</w:t>
            </w:r>
          </w:p>
        </w:tc>
        <w:tc>
          <w:tcPr>
            <w:tcW w:w="1984" w:type="dxa"/>
          </w:tcPr>
          <w:p w14:paraId="248616E5"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Includes private and public health costs associated with:</w:t>
            </w:r>
          </w:p>
          <w:p w14:paraId="472905BD" w14:textId="77777777" w:rsidR="00D547F7" w:rsidRPr="009E2B03" w:rsidRDefault="0058488D"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l</w:t>
            </w:r>
            <w:r w:rsidR="00D547F7" w:rsidRPr="009E2B03">
              <w:rPr>
                <w:rFonts w:ascii="Calibri Light" w:hAnsi="Calibri Light" w:cs="Arial"/>
                <w:szCs w:val="18"/>
              </w:rPr>
              <w:t>egal</w:t>
            </w:r>
            <w:r w:rsidRPr="009E2B03">
              <w:rPr>
                <w:rFonts w:ascii="Calibri Light" w:hAnsi="Calibri Light" w:cs="Arial"/>
                <w:szCs w:val="18"/>
              </w:rPr>
              <w:t xml:space="preserve"> and </w:t>
            </w:r>
            <w:r w:rsidR="00D547F7" w:rsidRPr="009E2B03">
              <w:rPr>
                <w:rFonts w:ascii="Calibri Light" w:hAnsi="Calibri Light" w:cs="Arial"/>
                <w:szCs w:val="18"/>
              </w:rPr>
              <w:t>forensic services</w:t>
            </w:r>
          </w:p>
          <w:p w14:paraId="0BCE067E"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temporary accommodation</w:t>
            </w:r>
          </w:p>
          <w:p w14:paraId="79DBD9A6"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paid care</w:t>
            </w:r>
          </w:p>
          <w:p w14:paraId="0239B942"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counselling</w:t>
            </w:r>
          </w:p>
          <w:p w14:paraId="7B84C781"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perpetrator programs</w:t>
            </w:r>
          </w:p>
          <w:p w14:paraId="2FE6985A"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interpreter services</w:t>
            </w:r>
          </w:p>
          <w:p w14:paraId="3C6F823F"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funerals</w:t>
            </w:r>
            <w:r w:rsidR="0058488D" w:rsidRPr="009E2B03">
              <w:rPr>
                <w:rFonts w:ascii="Calibri Light" w:hAnsi="Calibri Light" w:cs="Arial"/>
                <w:szCs w:val="18"/>
              </w:rPr>
              <w:t>.</w:t>
            </w:r>
          </w:p>
        </w:tc>
        <w:tc>
          <w:tcPr>
            <w:tcW w:w="2127" w:type="dxa"/>
          </w:tcPr>
          <w:p w14:paraId="1CE484A7"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 xml:space="preserve">Costs of incarceration, costs of government services, legal costs, </w:t>
            </w:r>
            <w:r w:rsidRPr="009E2B03">
              <w:rPr>
                <w:rFonts w:ascii="Calibri Light" w:hAnsi="Calibri Light" w:cs="Arial"/>
                <w:szCs w:val="18"/>
              </w:rPr>
              <w:lastRenderedPageBreak/>
              <w:t>the wage price index, consumer price index and costs of interpreter services.</w:t>
            </w:r>
          </w:p>
        </w:tc>
        <w:tc>
          <w:tcPr>
            <w:tcW w:w="3401" w:type="dxa"/>
          </w:tcPr>
          <w:p w14:paraId="05C1C560"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Assumptions in this category are unit costs generated by</w:t>
            </w:r>
            <w:r w:rsidR="0058488D" w:rsidRPr="009E2B03">
              <w:rPr>
                <w:rFonts w:ascii="Calibri Light" w:hAnsi="Calibri Light" w:cs="Arial"/>
                <w:szCs w:val="18"/>
              </w:rPr>
              <w:t xml:space="preserve"> calculating</w:t>
            </w:r>
            <w:r w:rsidRPr="009E2B03">
              <w:rPr>
                <w:rFonts w:ascii="Calibri Light" w:hAnsi="Calibri Light" w:cs="Arial"/>
                <w:szCs w:val="18"/>
              </w:rPr>
              <w:t xml:space="preserve"> an average cost of an administrative </w:t>
            </w:r>
            <w:r w:rsidRPr="009E2B03">
              <w:rPr>
                <w:rFonts w:ascii="Calibri Light" w:hAnsi="Calibri Light" w:cs="Arial"/>
                <w:szCs w:val="18"/>
              </w:rPr>
              <w:lastRenderedPageBreak/>
              <w:t>function across the entire population and then applying that figure to prevalence. These assumptions include for example:</w:t>
            </w:r>
          </w:p>
          <w:p w14:paraId="75BDAB05"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per day cost of incarceration of $300.88</w:t>
            </w:r>
          </w:p>
          <w:p w14:paraId="0856D309"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per unit cost of policing of $430.00</w:t>
            </w:r>
          </w:p>
          <w:p w14:paraId="05EAA942"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per unit cost of finalisation in criminal matters of $930.00</w:t>
            </w:r>
            <w:r w:rsidR="0058488D" w:rsidRPr="009E2B03">
              <w:rPr>
                <w:rFonts w:ascii="Calibri Light" w:hAnsi="Calibri Light" w:cs="Arial"/>
                <w:szCs w:val="18"/>
              </w:rPr>
              <w:t>.</w:t>
            </w:r>
          </w:p>
        </w:tc>
        <w:tc>
          <w:tcPr>
            <w:tcW w:w="4962" w:type="dxa"/>
          </w:tcPr>
          <w:p w14:paraId="166C0A2B"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lastRenderedPageBreak/>
              <w:t xml:space="preserve">This approach is consistent with the approaches taken in the previous reports by Access Economics, KPMG and PwC with an updated figure for the prevalence of violence </w:t>
            </w:r>
            <w:r w:rsidRPr="009E2B03">
              <w:rPr>
                <w:rFonts w:ascii="Calibri Light" w:hAnsi="Calibri Light" w:cs="Arial"/>
                <w:szCs w:val="18"/>
              </w:rPr>
              <w:lastRenderedPageBreak/>
              <w:t>against women in Australia. In addition:</w:t>
            </w:r>
          </w:p>
          <w:p w14:paraId="49CEC825"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We used t</w:t>
            </w:r>
            <w:r w:rsidR="00D547F7" w:rsidRPr="009E2B03">
              <w:rPr>
                <w:rFonts w:ascii="Calibri Light" w:hAnsi="Calibri Light" w:cs="Arial"/>
                <w:szCs w:val="18"/>
              </w:rPr>
              <w:t>he most recent expenditure data from the Productivity Commission’s Review of Government Spending to calculate:</w:t>
            </w:r>
          </w:p>
          <w:p w14:paraId="1CE119F2" w14:textId="77777777" w:rsidR="00D547F7" w:rsidRPr="009E2B03" w:rsidRDefault="00D547F7" w:rsidP="006E2EC9">
            <w:pPr>
              <w:pStyle w:val="BodyBullet"/>
              <w:ind w:left="885"/>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unit cost of incarceration</w:t>
            </w:r>
          </w:p>
          <w:p w14:paraId="02AD1EFA" w14:textId="77777777" w:rsidR="00D547F7" w:rsidRPr="009E2B03" w:rsidRDefault="00D547F7" w:rsidP="006E2EC9">
            <w:pPr>
              <w:pStyle w:val="BodyBullet"/>
              <w:ind w:left="885"/>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unit cost of policing</w:t>
            </w:r>
          </w:p>
          <w:p w14:paraId="468A09ED" w14:textId="77777777" w:rsidR="00D547F7" w:rsidRPr="009E2B03" w:rsidRDefault="00D547F7" w:rsidP="006E2EC9">
            <w:pPr>
              <w:pStyle w:val="BodyBullet"/>
              <w:ind w:left="885"/>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unit cost of finalisation of criminal matters</w:t>
            </w:r>
          </w:p>
          <w:p w14:paraId="38ABB047" w14:textId="77777777" w:rsidR="00D547F7" w:rsidRPr="009E2B03" w:rsidRDefault="00D547F7" w:rsidP="006E2EC9">
            <w:pPr>
              <w:pStyle w:val="BodyBullet"/>
              <w:ind w:left="885"/>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unit cost of homelessness services</w:t>
            </w:r>
          </w:p>
          <w:p w14:paraId="2D9662D8" w14:textId="77777777" w:rsidR="00D547F7" w:rsidRPr="009E2B03" w:rsidRDefault="00D547F7" w:rsidP="006E2EC9">
            <w:pPr>
              <w:pStyle w:val="BodyBullet"/>
              <w:ind w:left="885"/>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the unit cost of coronial enquiries</w:t>
            </w:r>
            <w:r w:rsidR="000C1635" w:rsidRPr="009E2B03">
              <w:rPr>
                <w:rFonts w:ascii="Calibri Light" w:hAnsi="Calibri Light" w:cs="Arial"/>
                <w:szCs w:val="18"/>
              </w:rPr>
              <w:t>.</w:t>
            </w:r>
          </w:p>
          <w:p w14:paraId="7D5AC425"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We used t</w:t>
            </w:r>
            <w:r w:rsidR="00D547F7" w:rsidRPr="009E2B03">
              <w:rPr>
                <w:rFonts w:ascii="Calibri Light" w:hAnsi="Calibri Light" w:cs="Arial"/>
                <w:szCs w:val="18"/>
              </w:rPr>
              <w:t>he most recent release from Special Homelessness Services to determine the number of women and children who accessed homelessness services due to being victims of violence</w:t>
            </w:r>
            <w:r w:rsidRPr="009E2B03">
              <w:rPr>
                <w:rFonts w:ascii="Calibri Light" w:hAnsi="Calibri Light" w:cs="Arial"/>
                <w:szCs w:val="18"/>
              </w:rPr>
              <w:t>.</w:t>
            </w:r>
          </w:p>
          <w:p w14:paraId="1E23AAD1"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calculated </w:t>
            </w:r>
            <w:r w:rsidR="00D547F7" w:rsidRPr="009E2B03">
              <w:rPr>
                <w:rFonts w:ascii="Calibri Light" w:hAnsi="Calibri Light" w:cs="Arial"/>
                <w:szCs w:val="18"/>
              </w:rPr>
              <w:t>the number of domestic violence related incidents and police responses by applying the most recent NSW crime statistics from BOCSAR and then applying a weighting from prevalence of violence and entire population</w:t>
            </w:r>
            <w:r w:rsidRPr="009E2B03">
              <w:rPr>
                <w:rFonts w:ascii="Calibri Light" w:hAnsi="Calibri Light" w:cs="Arial"/>
                <w:szCs w:val="18"/>
              </w:rPr>
              <w:t>.</w:t>
            </w:r>
          </w:p>
          <w:p w14:paraId="595CD2A4"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We used t</w:t>
            </w:r>
            <w:r w:rsidR="00D547F7" w:rsidRPr="009E2B03">
              <w:rPr>
                <w:rFonts w:ascii="Calibri Light" w:hAnsi="Calibri Light" w:cs="Arial"/>
                <w:szCs w:val="18"/>
              </w:rPr>
              <w:t>he most recent reports from the Federal Circuit Court, Family Court of Australia and Western Australia, to determine the number of divorces and child related orders made</w:t>
            </w:r>
            <w:r w:rsidRPr="009E2B03">
              <w:rPr>
                <w:rFonts w:ascii="Calibri Light" w:hAnsi="Calibri Light" w:cs="Arial"/>
                <w:szCs w:val="18"/>
              </w:rPr>
              <w:t>. We then applied that number</w:t>
            </w:r>
            <w:r w:rsidR="00D547F7" w:rsidRPr="009E2B03">
              <w:rPr>
                <w:rFonts w:ascii="Calibri Light" w:hAnsi="Calibri Light" w:cs="Arial"/>
                <w:szCs w:val="18"/>
              </w:rPr>
              <w:t xml:space="preserve"> to an assumption consistent with the previous reports of Access Economics, KPMG and PwC to determine the number of procedures due to violence against women</w:t>
            </w:r>
            <w:r w:rsidRPr="009E2B03">
              <w:rPr>
                <w:rFonts w:ascii="Calibri Light" w:hAnsi="Calibri Light" w:cs="Arial"/>
                <w:szCs w:val="18"/>
              </w:rPr>
              <w:t>.</w:t>
            </w:r>
          </w:p>
          <w:p w14:paraId="5909B8B1"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 xml:space="preserve">the most recent release from NSW BOSCAR to determine the number of Apprehended Violence Orders, then extrapolated across Australia using </w:t>
            </w:r>
            <w:r w:rsidR="00D547F7" w:rsidRPr="009E2B03">
              <w:rPr>
                <w:rFonts w:ascii="Calibri Light" w:hAnsi="Calibri Light" w:cs="Arial"/>
                <w:szCs w:val="18"/>
              </w:rPr>
              <w:lastRenderedPageBreak/>
              <w:t>population data</w:t>
            </w:r>
            <w:r w:rsidRPr="009E2B03">
              <w:rPr>
                <w:rFonts w:ascii="Calibri Light" w:hAnsi="Calibri Light" w:cs="Arial"/>
                <w:szCs w:val="18"/>
              </w:rPr>
              <w:t>.</w:t>
            </w:r>
          </w:p>
          <w:p w14:paraId="64FF3358"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determined </w:t>
            </w:r>
            <w:r w:rsidR="00D547F7" w:rsidRPr="009E2B03">
              <w:rPr>
                <w:rFonts w:ascii="Calibri Light" w:hAnsi="Calibri Light" w:cs="Arial"/>
                <w:szCs w:val="18"/>
              </w:rPr>
              <w:t>the cost of private solicitors and counsel by updating cost assumptions consistent with the previous reports of Access Economics, KPMG and PwC for wage inflation</w:t>
            </w:r>
            <w:r w:rsidRPr="009E2B03">
              <w:rPr>
                <w:rFonts w:ascii="Calibri Light" w:hAnsi="Calibri Light" w:cs="Arial"/>
                <w:szCs w:val="18"/>
              </w:rPr>
              <w:t>.</w:t>
            </w:r>
          </w:p>
          <w:p w14:paraId="2D619707"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determined </w:t>
            </w:r>
            <w:r w:rsidR="00D547F7" w:rsidRPr="009E2B03">
              <w:rPr>
                <w:rFonts w:ascii="Calibri Light" w:hAnsi="Calibri Light" w:cs="Arial"/>
                <w:szCs w:val="18"/>
              </w:rPr>
              <w:t>the cost of Legal Aid funded solicitors and counsel from the most recent fee scales from Legal Aid</w:t>
            </w:r>
            <w:r w:rsidRPr="009E2B03">
              <w:rPr>
                <w:rFonts w:ascii="Calibri Light" w:hAnsi="Calibri Light" w:cs="Arial"/>
                <w:szCs w:val="18"/>
              </w:rPr>
              <w:t>.</w:t>
            </w:r>
          </w:p>
          <w:p w14:paraId="13EBBC24" w14:textId="77777777" w:rsidR="00D547F7" w:rsidRPr="009E2B03" w:rsidRDefault="000C1635" w:rsidP="001113E3">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We used </w:t>
            </w:r>
            <w:r w:rsidR="00D547F7" w:rsidRPr="009E2B03">
              <w:rPr>
                <w:rFonts w:ascii="Calibri Light" w:hAnsi="Calibri Light" w:cs="Arial"/>
                <w:szCs w:val="18"/>
              </w:rPr>
              <w:t xml:space="preserve">the most recent NSW criminal court statistics from BOCSAR, in conjunction with the Productivity Commission’s Review of Government Services and applied to population weighting, to estimate the number of incarceration days due to violence against women. </w:t>
            </w:r>
          </w:p>
        </w:tc>
      </w:tr>
      <w:tr w:rsidR="00D547F7" w:rsidRPr="009E2B03" w14:paraId="38013C41" w14:textId="77777777" w:rsidTr="00B21B09">
        <w:tc>
          <w:tcPr>
            <w:cnfStyle w:val="001000000000" w:firstRow="0" w:lastRow="0" w:firstColumn="1" w:lastColumn="0" w:oddVBand="0" w:evenVBand="0" w:oddHBand="0" w:evenHBand="0" w:firstRowFirstColumn="0" w:firstRowLastColumn="0" w:lastRowFirstColumn="0" w:lastRowLastColumn="0"/>
            <w:tcW w:w="1418" w:type="dxa"/>
            <w:shd w:val="clear" w:color="auto" w:fill="F3F0F4"/>
          </w:tcPr>
          <w:p w14:paraId="1291C87A" w14:textId="77777777" w:rsidR="00D547F7" w:rsidRPr="009E2B03" w:rsidRDefault="00D547F7" w:rsidP="006E2EC9">
            <w:pPr>
              <w:autoSpaceDE w:val="0"/>
              <w:autoSpaceDN w:val="0"/>
              <w:adjustRightInd w:val="0"/>
              <w:spacing w:before="40" w:after="40" w:line="191" w:lineRule="atLeast"/>
              <w:rPr>
                <w:rFonts w:ascii="Calibri Light" w:hAnsi="Calibri Light" w:cs="Arial"/>
                <w:szCs w:val="18"/>
              </w:rPr>
            </w:pPr>
            <w:r w:rsidRPr="009E2B03">
              <w:rPr>
                <w:rFonts w:ascii="Calibri Light" w:hAnsi="Calibri Light" w:cs="Arial"/>
                <w:szCs w:val="18"/>
              </w:rPr>
              <w:lastRenderedPageBreak/>
              <w:t>Transfer Costs</w:t>
            </w:r>
          </w:p>
        </w:tc>
        <w:tc>
          <w:tcPr>
            <w:tcW w:w="1984" w:type="dxa"/>
          </w:tcPr>
          <w:p w14:paraId="7DC4A451" w14:textId="77777777" w:rsidR="00D547F7" w:rsidRPr="009E2B03" w:rsidRDefault="00D547F7" w:rsidP="006E2EC9">
            <w:pPr>
              <w:pStyle w:val="Pa13"/>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18"/>
              </w:rPr>
            </w:pPr>
            <w:r w:rsidRPr="009E2B03">
              <w:rPr>
                <w:rFonts w:ascii="Calibri Light" w:hAnsi="Calibri Light" w:cs="Arial"/>
                <w:sz w:val="20"/>
                <w:szCs w:val="18"/>
              </w:rPr>
              <w:t>Includes ‘deadweight loss’ to the economy associated with:</w:t>
            </w:r>
          </w:p>
          <w:p w14:paraId="7BE0B9DF"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government payments and services</w:t>
            </w:r>
          </w:p>
          <w:p w14:paraId="7747A95A"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victim compensation</w:t>
            </w:r>
          </w:p>
          <w:p w14:paraId="1338DFF4"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lost taxes</w:t>
            </w:r>
            <w:r w:rsidR="000C1635" w:rsidRPr="009E2B03">
              <w:rPr>
                <w:rFonts w:ascii="Calibri Light" w:hAnsi="Calibri Light" w:cs="Arial"/>
                <w:szCs w:val="18"/>
              </w:rPr>
              <w:t>.</w:t>
            </w:r>
          </w:p>
        </w:tc>
        <w:tc>
          <w:tcPr>
            <w:tcW w:w="2127" w:type="dxa"/>
          </w:tcPr>
          <w:p w14:paraId="07F449AB" w14:textId="77777777" w:rsidR="00D547F7" w:rsidRPr="009E2B03" w:rsidRDefault="00D547F7" w:rsidP="006E2EC9">
            <w:pPr>
              <w:pStyle w:val="Pa13"/>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18"/>
              </w:rPr>
            </w:pPr>
            <w:r w:rsidRPr="009E2B03">
              <w:rPr>
                <w:rFonts w:ascii="Calibri Light" w:hAnsi="Calibri Light" w:cs="Arial"/>
                <w:sz w:val="20"/>
                <w:szCs w:val="18"/>
              </w:rPr>
              <w:t>Individual tax rates, company tax rates, consumer price index and victim’s compensation costs</w:t>
            </w:r>
            <w:r w:rsidR="000C1635" w:rsidRPr="009E2B03">
              <w:rPr>
                <w:rFonts w:ascii="Calibri Light" w:hAnsi="Calibri Light" w:cs="Arial"/>
                <w:sz w:val="20"/>
                <w:szCs w:val="18"/>
              </w:rPr>
              <w:t>.</w:t>
            </w:r>
          </w:p>
        </w:tc>
        <w:tc>
          <w:tcPr>
            <w:tcW w:w="3401" w:type="dxa"/>
          </w:tcPr>
          <w:p w14:paraId="41BAD72C" w14:textId="77777777" w:rsidR="00D547F7" w:rsidRPr="009E2B03" w:rsidRDefault="00D547F7" w:rsidP="006E2EC9">
            <w:pPr>
              <w:pStyle w:val="Pa13"/>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18"/>
              </w:rPr>
            </w:pPr>
            <w:r w:rsidRPr="009E2B03">
              <w:rPr>
                <w:rFonts w:ascii="Calibri Light" w:hAnsi="Calibri Light" w:cs="Arial"/>
                <w:sz w:val="20"/>
                <w:szCs w:val="18"/>
              </w:rPr>
              <w:t>Assumptions in this category enable transfer cost sources to be applied to prevalence. These assumptions include for example:</w:t>
            </w:r>
          </w:p>
          <w:p w14:paraId="37DD99B6"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average amount of financial support provided by family and friends per victim of $17.81</w:t>
            </w:r>
          </w:p>
          <w:p w14:paraId="4B5EB614" w14:textId="77777777" w:rsidR="00D547F7" w:rsidRPr="009E2B03" w:rsidRDefault="00D547F7"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additional levels of government income support across the various types of income support</w:t>
            </w:r>
            <w:r w:rsidR="000C1635" w:rsidRPr="009E2B03">
              <w:rPr>
                <w:rFonts w:ascii="Calibri Light" w:hAnsi="Calibri Light" w:cs="Arial"/>
                <w:szCs w:val="18"/>
              </w:rPr>
              <w:t>.</w:t>
            </w:r>
          </w:p>
        </w:tc>
        <w:tc>
          <w:tcPr>
            <w:tcW w:w="4962" w:type="dxa"/>
          </w:tcPr>
          <w:p w14:paraId="0B7C0ABD" w14:textId="77777777" w:rsidR="00D547F7" w:rsidRPr="009E2B03" w:rsidRDefault="00D547F7" w:rsidP="006E2EC9">
            <w:pPr>
              <w:autoSpaceDE w:val="0"/>
              <w:autoSpaceDN w:val="0"/>
              <w:adjustRightInd w:val="0"/>
              <w:spacing w:before="40" w:after="40" w:line="191" w:lineRule="atLeas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This approach is consistent with the approaches taken in the previous reports by Access Economics, KPMG and PwC with an updated figure for the prevalence of violence against women in Australia. In addition:</w:t>
            </w:r>
          </w:p>
          <w:p w14:paraId="30B4B699" w14:textId="77777777" w:rsidR="00D547F7" w:rsidRPr="009E2B03" w:rsidRDefault="000C1635" w:rsidP="006E2EC9">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We updated i</w:t>
            </w:r>
            <w:r w:rsidR="00D547F7" w:rsidRPr="009E2B03">
              <w:rPr>
                <w:rFonts w:ascii="Calibri Light" w:hAnsi="Calibri Light" w:cs="Arial"/>
                <w:szCs w:val="18"/>
              </w:rPr>
              <w:t xml:space="preserve">ndividual income tax rates </w:t>
            </w:r>
            <w:r w:rsidRPr="009E2B03">
              <w:rPr>
                <w:rFonts w:ascii="Calibri Light" w:hAnsi="Calibri Light" w:cs="Arial"/>
                <w:szCs w:val="18"/>
              </w:rPr>
              <w:t>using</w:t>
            </w:r>
            <w:r w:rsidR="00D547F7" w:rsidRPr="009E2B03">
              <w:rPr>
                <w:rFonts w:ascii="Calibri Light" w:hAnsi="Calibri Light" w:cs="Arial"/>
                <w:szCs w:val="18"/>
              </w:rPr>
              <w:t xml:space="preserve"> the Australian Taxation Office’s 2015-2016 tax rates</w:t>
            </w:r>
            <w:r w:rsidRPr="009E2B03">
              <w:rPr>
                <w:rFonts w:ascii="Calibri Light" w:hAnsi="Calibri Light" w:cs="Arial"/>
                <w:szCs w:val="18"/>
              </w:rPr>
              <w:t>.</w:t>
            </w:r>
          </w:p>
          <w:p w14:paraId="1FCDDF6E" w14:textId="77777777" w:rsidR="00D547F7" w:rsidRPr="009E2B03" w:rsidRDefault="000C1635">
            <w:pPr>
              <w:pStyle w:val="BodyBullet"/>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We updated the a</w:t>
            </w:r>
            <w:r w:rsidR="00D547F7" w:rsidRPr="009E2B03">
              <w:rPr>
                <w:rFonts w:ascii="Calibri Light" w:hAnsi="Calibri Light" w:cs="Arial"/>
                <w:szCs w:val="18"/>
              </w:rPr>
              <w:t xml:space="preserve">verage </w:t>
            </w:r>
            <w:r w:rsidR="00B14F31" w:rsidRPr="009E2B03">
              <w:rPr>
                <w:rFonts w:ascii="Calibri Light" w:hAnsi="Calibri Light" w:cs="Arial"/>
                <w:szCs w:val="18"/>
              </w:rPr>
              <w:t xml:space="preserve">value </w:t>
            </w:r>
            <w:r w:rsidR="00D547F7" w:rsidRPr="009E2B03">
              <w:rPr>
                <w:rFonts w:ascii="Calibri Light" w:hAnsi="Calibri Light" w:cs="Arial"/>
                <w:szCs w:val="18"/>
              </w:rPr>
              <w:t>of</w:t>
            </w:r>
            <w:r w:rsidR="00B14F31" w:rsidRPr="009E2B03">
              <w:rPr>
                <w:rFonts w:ascii="Calibri Light" w:hAnsi="Calibri Light" w:cs="Arial"/>
                <w:szCs w:val="18"/>
              </w:rPr>
              <w:t xml:space="preserve"> the</w:t>
            </w:r>
            <w:r w:rsidR="00D547F7" w:rsidRPr="009E2B03">
              <w:rPr>
                <w:rFonts w:ascii="Calibri Light" w:hAnsi="Calibri Light" w:cs="Arial"/>
                <w:szCs w:val="18"/>
              </w:rPr>
              <w:t xml:space="preserve"> financial support provided by family and friends per victim for inflation</w:t>
            </w:r>
            <w:r w:rsidRPr="009E2B03">
              <w:rPr>
                <w:rFonts w:ascii="Calibri Light" w:hAnsi="Calibri Light" w:cs="Arial"/>
                <w:szCs w:val="18"/>
              </w:rPr>
              <w:t>.</w:t>
            </w:r>
          </w:p>
        </w:tc>
      </w:tr>
    </w:tbl>
    <w:p w14:paraId="2271536B" w14:textId="77777777" w:rsidR="00D547F7" w:rsidRPr="009E2B03" w:rsidRDefault="00D547F7" w:rsidP="0086037E">
      <w:pPr>
        <w:rPr>
          <w:rFonts w:ascii="Calibri Light" w:hAnsi="Calibri Light"/>
          <w:i/>
        </w:rPr>
      </w:pPr>
    </w:p>
    <w:p w14:paraId="709A067C" w14:textId="77777777" w:rsidR="007E599D" w:rsidRPr="00036345" w:rsidRDefault="007E599D">
      <w:pPr>
        <w:pStyle w:val="Heading1"/>
        <w:numPr>
          <w:ilvl w:val="0"/>
          <w:numId w:val="0"/>
        </w:numPr>
        <w:rPr>
          <w:rFonts w:ascii="Calibri Light" w:eastAsiaTheme="minorHAnsi" w:hAnsi="Calibri Light"/>
          <w:b w:val="0"/>
          <w:noProof/>
          <w:color w:val="6D2077"/>
          <w:sz w:val="52"/>
          <w:szCs w:val="76"/>
          <w:lang w:eastAsia="en-AU"/>
        </w:rPr>
      </w:pPr>
      <w:bookmarkStart w:id="168" w:name="_Toc449553533"/>
      <w:r w:rsidRPr="00036345">
        <w:rPr>
          <w:rFonts w:ascii="Calibri Light" w:eastAsiaTheme="minorHAnsi" w:hAnsi="Calibri Light"/>
          <w:b w:val="0"/>
          <w:noProof/>
          <w:color w:val="6D2077"/>
          <w:sz w:val="52"/>
          <w:szCs w:val="76"/>
          <w:lang w:eastAsia="en-AU"/>
        </w:rPr>
        <w:lastRenderedPageBreak/>
        <w:t>Appendix</w:t>
      </w:r>
      <w:r w:rsidRPr="00036345">
        <w:rPr>
          <w:rFonts w:ascii="Calibri Light" w:hAnsi="Calibri Light"/>
          <w:sz w:val="36"/>
        </w:rPr>
        <w:t xml:space="preserve"> </w:t>
      </w:r>
      <w:r w:rsidR="00E677E0" w:rsidRPr="00036345">
        <w:rPr>
          <w:rFonts w:ascii="Calibri Light" w:eastAsiaTheme="minorHAnsi" w:hAnsi="Calibri Light"/>
          <w:b w:val="0"/>
          <w:noProof/>
          <w:color w:val="6D2077"/>
          <w:sz w:val="52"/>
          <w:szCs w:val="76"/>
          <w:lang w:eastAsia="en-AU"/>
        </w:rPr>
        <w:t>C</w:t>
      </w:r>
      <w:r w:rsidRPr="00036345">
        <w:rPr>
          <w:rFonts w:ascii="Calibri Light" w:eastAsiaTheme="minorHAnsi" w:hAnsi="Calibri Light"/>
          <w:b w:val="0"/>
          <w:noProof/>
          <w:color w:val="6D2077"/>
          <w:sz w:val="52"/>
          <w:szCs w:val="76"/>
          <w:lang w:eastAsia="en-AU"/>
        </w:rPr>
        <w:t xml:space="preserve">: Illustrative </w:t>
      </w:r>
      <w:r w:rsidR="00C35935" w:rsidRPr="00036345">
        <w:rPr>
          <w:rFonts w:ascii="Calibri Light" w:eastAsiaTheme="minorHAnsi" w:hAnsi="Calibri Light"/>
          <w:b w:val="0"/>
          <w:noProof/>
          <w:color w:val="6D2077"/>
          <w:sz w:val="52"/>
          <w:szCs w:val="76"/>
          <w:lang w:eastAsia="en-AU"/>
        </w:rPr>
        <w:t>c</w:t>
      </w:r>
      <w:r w:rsidRPr="00036345">
        <w:rPr>
          <w:rFonts w:ascii="Calibri Light" w:eastAsiaTheme="minorHAnsi" w:hAnsi="Calibri Light"/>
          <w:b w:val="0"/>
          <w:noProof/>
          <w:color w:val="6D2077"/>
          <w:sz w:val="52"/>
          <w:szCs w:val="76"/>
          <w:lang w:eastAsia="en-AU"/>
        </w:rPr>
        <w:t xml:space="preserve">osts for </w:t>
      </w:r>
      <w:r w:rsidR="00C35935" w:rsidRPr="00036345">
        <w:rPr>
          <w:rFonts w:ascii="Calibri Light" w:eastAsiaTheme="minorHAnsi" w:hAnsi="Calibri Light"/>
          <w:b w:val="0"/>
          <w:noProof/>
          <w:color w:val="6D2077"/>
          <w:sz w:val="52"/>
          <w:szCs w:val="76"/>
          <w:lang w:eastAsia="en-AU"/>
        </w:rPr>
        <w:t>c</w:t>
      </w:r>
      <w:r w:rsidRPr="00036345">
        <w:rPr>
          <w:rFonts w:ascii="Calibri Light" w:eastAsiaTheme="minorHAnsi" w:hAnsi="Calibri Light"/>
          <w:b w:val="0"/>
          <w:noProof/>
          <w:color w:val="6D2077"/>
          <w:sz w:val="52"/>
          <w:szCs w:val="76"/>
          <w:lang w:eastAsia="en-AU"/>
        </w:rPr>
        <w:t xml:space="preserve">ohorts </w:t>
      </w:r>
      <w:r w:rsidR="00C35935" w:rsidRPr="00036345">
        <w:rPr>
          <w:rFonts w:ascii="Calibri Light" w:eastAsiaTheme="minorHAnsi" w:hAnsi="Calibri Light"/>
          <w:b w:val="0"/>
          <w:noProof/>
          <w:color w:val="6D2077"/>
          <w:sz w:val="52"/>
          <w:szCs w:val="76"/>
          <w:lang w:eastAsia="en-AU"/>
        </w:rPr>
        <w:t>e</w:t>
      </w:r>
      <w:r w:rsidRPr="00036345">
        <w:rPr>
          <w:rFonts w:ascii="Calibri Light" w:eastAsiaTheme="minorHAnsi" w:hAnsi="Calibri Light"/>
          <w:b w:val="0"/>
          <w:noProof/>
          <w:color w:val="6D2077"/>
          <w:sz w:val="52"/>
          <w:szCs w:val="76"/>
          <w:lang w:eastAsia="en-AU"/>
        </w:rPr>
        <w:t xml:space="preserve">xperiencing </w:t>
      </w:r>
      <w:r w:rsidR="00C35935" w:rsidRPr="00036345">
        <w:rPr>
          <w:rFonts w:ascii="Calibri Light" w:eastAsiaTheme="minorHAnsi" w:hAnsi="Calibri Light"/>
          <w:b w:val="0"/>
          <w:noProof/>
          <w:color w:val="6D2077"/>
          <w:sz w:val="52"/>
          <w:szCs w:val="76"/>
          <w:lang w:eastAsia="en-AU"/>
        </w:rPr>
        <w:t>v</w:t>
      </w:r>
      <w:r w:rsidRPr="00036345">
        <w:rPr>
          <w:rFonts w:ascii="Calibri Light" w:eastAsiaTheme="minorHAnsi" w:hAnsi="Calibri Light"/>
          <w:b w:val="0"/>
          <w:noProof/>
          <w:color w:val="6D2077"/>
          <w:sz w:val="52"/>
          <w:szCs w:val="76"/>
          <w:lang w:eastAsia="en-AU"/>
        </w:rPr>
        <w:t>iolence</w:t>
      </w:r>
      <w:bookmarkEnd w:id="168"/>
    </w:p>
    <w:p w14:paraId="5FF7C259" w14:textId="77777777" w:rsidR="007E599D" w:rsidRPr="009E2B03" w:rsidRDefault="00C35935" w:rsidP="007E599D">
      <w:pPr>
        <w:rPr>
          <w:rFonts w:ascii="Calibri Light" w:hAnsi="Calibri Light"/>
          <w:sz w:val="22"/>
        </w:rPr>
      </w:pPr>
      <w:r w:rsidRPr="009E2B03">
        <w:rPr>
          <w:rFonts w:ascii="Calibri Light" w:hAnsi="Calibri Light"/>
          <w:sz w:val="22"/>
        </w:rPr>
        <w:fldChar w:fldCharType="begin"/>
      </w:r>
      <w:r w:rsidRPr="009E2B03">
        <w:rPr>
          <w:rFonts w:ascii="Calibri Light" w:hAnsi="Calibri Light"/>
          <w:sz w:val="22"/>
        </w:rPr>
        <w:instrText xml:space="preserve"> REF _Ref447383190 \h </w:instrText>
      </w:r>
      <w:r w:rsidR="00775ED6" w:rsidRPr="009E2B03">
        <w:rPr>
          <w:rFonts w:ascii="Calibri Light" w:hAnsi="Calibri Light"/>
          <w:sz w:val="22"/>
        </w:rPr>
        <w:instrText xml:space="preserve"> \* MERGEFORMAT </w:instrText>
      </w:r>
      <w:r w:rsidRPr="009E2B03">
        <w:rPr>
          <w:rFonts w:ascii="Calibri Light" w:hAnsi="Calibri Light"/>
          <w:sz w:val="22"/>
        </w:rPr>
      </w:r>
      <w:r w:rsidRPr="009E2B03">
        <w:rPr>
          <w:rFonts w:ascii="Calibri Light" w:hAnsi="Calibri Light"/>
          <w:sz w:val="22"/>
        </w:rPr>
        <w:fldChar w:fldCharType="separate"/>
      </w:r>
      <w:r w:rsidR="00417237" w:rsidRPr="009E2B03">
        <w:rPr>
          <w:rFonts w:ascii="Calibri Light" w:hAnsi="Calibri Light"/>
          <w:sz w:val="22"/>
        </w:rPr>
        <w:t>Table C-</w:t>
      </w:r>
      <w:r w:rsidR="00417237">
        <w:rPr>
          <w:rFonts w:ascii="Calibri Light" w:hAnsi="Calibri Light"/>
          <w:sz w:val="22"/>
        </w:rPr>
        <w:t>0</w:t>
      </w:r>
      <w:r w:rsidR="00417237" w:rsidRPr="009E2B03">
        <w:rPr>
          <w:rFonts w:ascii="Calibri Light" w:hAnsi="Calibri Light"/>
          <w:sz w:val="22"/>
        </w:rPr>
        <w:noBreakHyphen/>
      </w:r>
      <w:r w:rsidR="00417237">
        <w:rPr>
          <w:rFonts w:ascii="Calibri Light" w:hAnsi="Calibri Light"/>
          <w:sz w:val="22"/>
        </w:rPr>
        <w:t>1</w:t>
      </w:r>
      <w:r w:rsidRPr="009E2B03">
        <w:rPr>
          <w:rFonts w:ascii="Calibri Light" w:hAnsi="Calibri Light"/>
          <w:sz w:val="22"/>
        </w:rPr>
        <w:fldChar w:fldCharType="end"/>
      </w:r>
      <w:r w:rsidRPr="009E2B03">
        <w:rPr>
          <w:rFonts w:ascii="Calibri Light" w:hAnsi="Calibri Light"/>
          <w:sz w:val="22"/>
        </w:rPr>
        <w:t xml:space="preserve"> </w:t>
      </w:r>
      <w:r w:rsidR="007E599D" w:rsidRPr="009E2B03">
        <w:rPr>
          <w:rFonts w:ascii="Calibri Light" w:hAnsi="Calibri Light"/>
          <w:sz w:val="22"/>
        </w:rPr>
        <w:t xml:space="preserve">below provides a detailed breakdown of </w:t>
      </w:r>
      <w:r w:rsidR="000C1635" w:rsidRPr="009E2B03">
        <w:rPr>
          <w:rFonts w:ascii="Calibri Light" w:hAnsi="Calibri Light"/>
          <w:sz w:val="22"/>
        </w:rPr>
        <w:t>i</w:t>
      </w:r>
      <w:r w:rsidR="007E599D" w:rsidRPr="009E2B03">
        <w:rPr>
          <w:rFonts w:ascii="Calibri Light" w:hAnsi="Calibri Light"/>
          <w:sz w:val="22"/>
        </w:rPr>
        <w:t xml:space="preserve">llustrative costs for cohorts experiencing a varied rate of violence to the broader population, as well as the </w:t>
      </w:r>
      <w:r w:rsidR="000C1635" w:rsidRPr="009E2B03">
        <w:rPr>
          <w:rFonts w:ascii="Calibri Light" w:hAnsi="Calibri Light"/>
          <w:sz w:val="22"/>
        </w:rPr>
        <w:t>primary</w:t>
      </w:r>
      <w:r w:rsidR="007E599D" w:rsidRPr="009E2B03">
        <w:rPr>
          <w:rFonts w:ascii="Calibri Light" w:hAnsi="Calibri Light"/>
          <w:sz w:val="22"/>
        </w:rPr>
        <w:t xml:space="preserve"> sources and assumptions for each.</w:t>
      </w:r>
    </w:p>
    <w:p w14:paraId="3EE7C18D" w14:textId="77777777" w:rsidR="00C35935" w:rsidRPr="009E2B03" w:rsidRDefault="00C35935" w:rsidP="00C35935">
      <w:pPr>
        <w:pStyle w:val="Caption"/>
        <w:rPr>
          <w:rFonts w:ascii="Calibri Light" w:hAnsi="Calibri Light" w:cs="Arial"/>
          <w:sz w:val="22"/>
        </w:rPr>
      </w:pPr>
      <w:bookmarkStart w:id="169" w:name="_Ref447383190"/>
      <w:r w:rsidRPr="009E2B03">
        <w:rPr>
          <w:rFonts w:ascii="Calibri Light" w:hAnsi="Calibri Light" w:cs="Arial"/>
          <w:sz w:val="22"/>
        </w:rPr>
        <w:t>Table C-</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0</w:t>
      </w:r>
      <w:r w:rsidR="00CF0F96" w:rsidRPr="009E2B03">
        <w:rPr>
          <w:rFonts w:ascii="Calibri Light" w:hAnsi="Calibri Light" w:cs="Arial"/>
          <w:noProof/>
          <w:sz w:val="22"/>
        </w:rPr>
        <w:fldChar w:fldCharType="end"/>
      </w:r>
      <w:r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169"/>
      <w:r w:rsidRPr="009E2B03">
        <w:rPr>
          <w:rFonts w:ascii="Calibri Light" w:hAnsi="Calibri Light" w:cs="Arial"/>
          <w:sz w:val="22"/>
        </w:rPr>
        <w:t>: Illustrative costs for cohorts experiencing a varied rate of violence to the broader population</w:t>
      </w:r>
    </w:p>
    <w:tbl>
      <w:tblPr>
        <w:tblStyle w:val="KPMGtable1"/>
        <w:tblW w:w="13750" w:type="dxa"/>
        <w:tblLook w:val="04A0" w:firstRow="1" w:lastRow="0" w:firstColumn="1" w:lastColumn="0" w:noHBand="0" w:noVBand="1"/>
        <w:tblCaption w:val="Table showing illustrative costs for cohorts experiencing a varied rate of violence to the broader population"/>
      </w:tblPr>
      <w:tblGrid>
        <w:gridCol w:w="1560"/>
        <w:gridCol w:w="2835"/>
        <w:gridCol w:w="9355"/>
      </w:tblGrid>
      <w:tr w:rsidR="00DF06CD" w:rsidRPr="009E2B03" w14:paraId="40746BBF" w14:textId="77777777" w:rsidTr="00865FDB">
        <w:trPr>
          <w:cnfStyle w:val="100000000000" w:firstRow="1" w:lastRow="0" w:firstColumn="0" w:lastColumn="0" w:oddVBand="0" w:evenVBand="0" w:oddHBand="0" w:evenHBand="0" w:firstRowFirstColumn="0" w:firstRowLastColumn="0" w:lastRowFirstColumn="0" w:lastRowLastColumn="0"/>
          <w:trHeight w:val="514"/>
          <w:tblHeader/>
        </w:trPr>
        <w:tc>
          <w:tcPr>
            <w:cnfStyle w:val="001000000000" w:firstRow="0" w:lastRow="0" w:firstColumn="1" w:lastColumn="0" w:oddVBand="0" w:evenVBand="0" w:oddHBand="0" w:evenHBand="0" w:firstRowFirstColumn="0" w:firstRowLastColumn="0" w:lastRowFirstColumn="0" w:lastRowLastColumn="0"/>
            <w:tcW w:w="1560" w:type="dxa"/>
            <w:shd w:val="clear" w:color="auto" w:fill="6D2077"/>
          </w:tcPr>
          <w:p w14:paraId="5BF9034E" w14:textId="77777777" w:rsidR="00DF06CD" w:rsidRPr="009E2B03" w:rsidRDefault="00DF06CD" w:rsidP="007829AE">
            <w:pPr>
              <w:pStyle w:val="BodyBullet"/>
              <w:numPr>
                <w:ilvl w:val="0"/>
                <w:numId w:val="0"/>
              </w:numPr>
              <w:ind w:left="360" w:hanging="360"/>
              <w:rPr>
                <w:rFonts w:ascii="Calibri Light" w:hAnsi="Calibri Light" w:cs="Arial"/>
                <w:b/>
                <w:szCs w:val="20"/>
              </w:rPr>
            </w:pPr>
            <w:r w:rsidRPr="009E2B03">
              <w:rPr>
                <w:rFonts w:ascii="Calibri Light" w:hAnsi="Calibri Light" w:cs="Arial"/>
                <w:b/>
                <w:szCs w:val="20"/>
              </w:rPr>
              <w:t>Cohort</w:t>
            </w:r>
          </w:p>
        </w:tc>
        <w:tc>
          <w:tcPr>
            <w:tcW w:w="2835" w:type="dxa"/>
            <w:shd w:val="clear" w:color="auto" w:fill="6D2077"/>
            <w:hideMark/>
          </w:tcPr>
          <w:p w14:paraId="7B00B34E" w14:textId="77777777" w:rsidR="00DF06CD" w:rsidRPr="009E2B03" w:rsidRDefault="00DF06CD" w:rsidP="007829AE">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bCs/>
                <w:color w:val="FFFFFF"/>
              </w:rPr>
            </w:pPr>
            <w:r w:rsidRPr="009E2B03">
              <w:rPr>
                <w:rFonts w:ascii="Calibri Light" w:hAnsi="Calibri Light" w:cs="Arial"/>
                <w:b/>
                <w:bCs/>
                <w:color w:val="FFFFFF"/>
              </w:rPr>
              <w:t xml:space="preserve">Data </w:t>
            </w:r>
            <w:r w:rsidR="000C1635" w:rsidRPr="009E2B03">
              <w:rPr>
                <w:rFonts w:ascii="Calibri Light" w:hAnsi="Calibri Light" w:cs="Arial"/>
                <w:b/>
                <w:bCs/>
                <w:color w:val="FFFFFF"/>
              </w:rPr>
              <w:t>s</w:t>
            </w:r>
            <w:r w:rsidRPr="009E2B03">
              <w:rPr>
                <w:rFonts w:ascii="Calibri Light" w:hAnsi="Calibri Light" w:cs="Arial"/>
                <w:b/>
                <w:bCs/>
                <w:color w:val="FFFFFF"/>
              </w:rPr>
              <w:t xml:space="preserve">ources for </w:t>
            </w:r>
            <w:r w:rsidR="000C1635" w:rsidRPr="009E2B03">
              <w:rPr>
                <w:rFonts w:ascii="Calibri Light" w:hAnsi="Calibri Light" w:cs="Arial"/>
                <w:b/>
                <w:bCs/>
                <w:color w:val="FFFFFF"/>
              </w:rPr>
              <w:t>a</w:t>
            </w:r>
            <w:r w:rsidRPr="009E2B03">
              <w:rPr>
                <w:rFonts w:ascii="Calibri Light" w:hAnsi="Calibri Light" w:cs="Arial"/>
                <w:b/>
                <w:bCs/>
                <w:color w:val="FFFFFF"/>
              </w:rPr>
              <w:t>ssumptions</w:t>
            </w:r>
          </w:p>
        </w:tc>
        <w:tc>
          <w:tcPr>
            <w:tcW w:w="9355" w:type="dxa"/>
            <w:shd w:val="clear" w:color="auto" w:fill="6D2077"/>
            <w:hideMark/>
          </w:tcPr>
          <w:p w14:paraId="64EBADB9" w14:textId="77777777" w:rsidR="00DF06CD" w:rsidRPr="009E2B03" w:rsidRDefault="00DF06CD" w:rsidP="007829AE">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Arial"/>
                <w:b/>
                <w:bCs/>
                <w:color w:val="FFFFFF"/>
              </w:rPr>
            </w:pPr>
            <w:r w:rsidRPr="009E2B03">
              <w:rPr>
                <w:rFonts w:ascii="Calibri Light" w:hAnsi="Calibri Light" w:cs="Arial"/>
                <w:b/>
                <w:bCs/>
                <w:color w:val="FFFFFF"/>
              </w:rPr>
              <w:t>Method</w:t>
            </w:r>
          </w:p>
        </w:tc>
      </w:tr>
      <w:tr w:rsidR="00DF06CD" w:rsidRPr="009E2B03" w14:paraId="630BC07D" w14:textId="77777777" w:rsidTr="00B21B09">
        <w:trPr>
          <w:trHeight w:val="523"/>
        </w:trPr>
        <w:tc>
          <w:tcPr>
            <w:cnfStyle w:val="001000000000" w:firstRow="0" w:lastRow="0" w:firstColumn="1" w:lastColumn="0" w:oddVBand="0" w:evenVBand="0" w:oddHBand="0" w:evenHBand="0" w:firstRowFirstColumn="0" w:firstRowLastColumn="0" w:lastRowFirstColumn="0" w:lastRowLastColumn="0"/>
            <w:tcW w:w="1560" w:type="dxa"/>
            <w:shd w:val="clear" w:color="auto" w:fill="F3F0F4"/>
            <w:hideMark/>
          </w:tcPr>
          <w:p w14:paraId="4D565A8C" w14:textId="77777777" w:rsidR="00DF06CD" w:rsidRPr="009E2B03" w:rsidRDefault="00DF06CD" w:rsidP="007829AE">
            <w:pPr>
              <w:spacing w:before="40" w:after="40"/>
              <w:rPr>
                <w:rFonts w:ascii="Calibri Light" w:hAnsi="Calibri Light" w:cs="Arial"/>
              </w:rPr>
            </w:pPr>
            <w:r w:rsidRPr="009E2B03">
              <w:rPr>
                <w:rFonts w:ascii="Calibri Light" w:hAnsi="Calibri Light" w:cs="Arial"/>
              </w:rPr>
              <w:t>Aboriginal and Torres Strait Islander women</w:t>
            </w:r>
          </w:p>
        </w:tc>
        <w:tc>
          <w:tcPr>
            <w:tcW w:w="2835" w:type="dxa"/>
          </w:tcPr>
          <w:p w14:paraId="04DC96BD" w14:textId="77777777" w:rsidR="00DF06CD" w:rsidRPr="009E2B03" w:rsidRDefault="00DF06CD" w:rsidP="007829AE">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National Aboriginal and Torres Strait Islander Social Survey 2008, ABS cat no. 4714.0</w:t>
            </w:r>
            <w:r w:rsidR="00FC761A" w:rsidRPr="009E2B03">
              <w:rPr>
                <w:rFonts w:ascii="Calibri Light" w:hAnsi="Calibri Light" w:cs="Arial"/>
              </w:rPr>
              <w:t>.</w:t>
            </w:r>
          </w:p>
          <w:p w14:paraId="1D8F7707" w14:textId="77777777" w:rsidR="00DF06CD" w:rsidRPr="009E2B03" w:rsidRDefault="00DF06CD" w:rsidP="007829AE">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p>
        </w:tc>
        <w:tc>
          <w:tcPr>
            <w:tcW w:w="9355" w:type="dxa"/>
          </w:tcPr>
          <w:p w14:paraId="23D5FB05" w14:textId="77777777" w:rsidR="00DF06CD" w:rsidRPr="009E2B03" w:rsidRDefault="00DF06CD" w:rsidP="001113E3">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Due to data limitations in the PSS, there is an insufficient sample size to generate a prevalence figure. Accordingly,</w:t>
            </w:r>
            <w:r w:rsidR="00FC761A" w:rsidRPr="009E2B03">
              <w:rPr>
                <w:rFonts w:ascii="Calibri Light" w:hAnsi="Calibri Light" w:cs="Arial"/>
                <w:szCs w:val="18"/>
              </w:rPr>
              <w:t xml:space="preserve"> we used</w:t>
            </w:r>
            <w:r w:rsidRPr="009E2B03">
              <w:rPr>
                <w:rFonts w:ascii="Calibri Light" w:hAnsi="Calibri Light" w:cs="Arial"/>
                <w:szCs w:val="18"/>
              </w:rPr>
              <w:t xml:space="preserve"> the most recent National Aboriginal and Torres Strait Islander Social Survey to provide an insight into the number of Aboriginal and Torres Strait Islander women who have experienced physical violence or the threat of physical violence in the previous twelve months. </w:t>
            </w:r>
          </w:p>
        </w:tc>
      </w:tr>
      <w:tr w:rsidR="00DF06CD" w:rsidRPr="009E2B03" w14:paraId="113304A3" w14:textId="77777777" w:rsidTr="00B21B09">
        <w:trPr>
          <w:trHeight w:val="609"/>
        </w:trPr>
        <w:tc>
          <w:tcPr>
            <w:cnfStyle w:val="001000000000" w:firstRow="0" w:lastRow="0" w:firstColumn="1" w:lastColumn="0" w:oddVBand="0" w:evenVBand="0" w:oddHBand="0" w:evenHBand="0" w:firstRowFirstColumn="0" w:firstRowLastColumn="0" w:lastRowFirstColumn="0" w:lastRowLastColumn="0"/>
            <w:tcW w:w="1560" w:type="dxa"/>
            <w:shd w:val="clear" w:color="auto" w:fill="F3F0F4"/>
            <w:hideMark/>
          </w:tcPr>
          <w:p w14:paraId="54E454CC" w14:textId="77777777" w:rsidR="00DF06CD" w:rsidRPr="009E2B03" w:rsidRDefault="00DF06CD" w:rsidP="007829AE">
            <w:pPr>
              <w:spacing w:before="40" w:after="40"/>
              <w:rPr>
                <w:rFonts w:ascii="Calibri Light" w:hAnsi="Calibri Light" w:cs="Arial"/>
              </w:rPr>
            </w:pPr>
            <w:r w:rsidRPr="009E2B03">
              <w:rPr>
                <w:rFonts w:ascii="Calibri Light" w:hAnsi="Calibri Light" w:cs="Arial"/>
              </w:rPr>
              <w:t>Women from a CALD background</w:t>
            </w:r>
          </w:p>
        </w:tc>
        <w:tc>
          <w:tcPr>
            <w:tcW w:w="2835" w:type="dxa"/>
          </w:tcPr>
          <w:p w14:paraId="56960AB2" w14:textId="77777777" w:rsidR="00DF06CD" w:rsidRPr="009E2B03" w:rsidRDefault="00DF06CD" w:rsidP="007829AE">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Migration, Australia, 2014-2015, ABS cat no. 3412.0</w:t>
            </w:r>
            <w:r w:rsidR="00FC761A" w:rsidRPr="009E2B03">
              <w:rPr>
                <w:rFonts w:ascii="Calibri Light" w:hAnsi="Calibri Light" w:cs="Arial"/>
              </w:rPr>
              <w:t>.</w:t>
            </w:r>
          </w:p>
        </w:tc>
        <w:tc>
          <w:tcPr>
            <w:tcW w:w="9355" w:type="dxa"/>
          </w:tcPr>
          <w:p w14:paraId="552540C7" w14:textId="77777777" w:rsidR="00DF06CD" w:rsidRPr="009E2B03" w:rsidRDefault="00DF06CD" w:rsidP="001113E3">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Due to data limitations in the PSS, there is an insufficient sample size to generate a prevalence figure. </w:t>
            </w:r>
            <w:r w:rsidR="00FC761A" w:rsidRPr="009E2B03">
              <w:rPr>
                <w:rFonts w:ascii="Calibri Light" w:hAnsi="Calibri Light" w:cs="Arial"/>
                <w:szCs w:val="18"/>
              </w:rPr>
              <w:t>We used t</w:t>
            </w:r>
            <w:r w:rsidRPr="009E2B03">
              <w:rPr>
                <w:rFonts w:ascii="Calibri Light" w:hAnsi="Calibri Light" w:cs="Arial"/>
                <w:szCs w:val="18"/>
              </w:rPr>
              <w:t>he most recent Migration release from the ABS to estimate the number of women who are from a CALD background and</w:t>
            </w:r>
            <w:r w:rsidR="00FC761A" w:rsidRPr="009E2B03">
              <w:rPr>
                <w:rFonts w:ascii="Calibri Light" w:hAnsi="Calibri Light" w:cs="Arial"/>
                <w:szCs w:val="18"/>
              </w:rPr>
              <w:t xml:space="preserve"> applied</w:t>
            </w:r>
            <w:r w:rsidRPr="009E2B03">
              <w:rPr>
                <w:rFonts w:ascii="Calibri Light" w:hAnsi="Calibri Light" w:cs="Arial"/>
                <w:szCs w:val="18"/>
              </w:rPr>
              <w:t xml:space="preserve"> this number to prevalence and the average cost of women who experience violence. </w:t>
            </w:r>
          </w:p>
        </w:tc>
      </w:tr>
      <w:tr w:rsidR="00DF06CD" w:rsidRPr="009E2B03" w14:paraId="649BDE1E" w14:textId="77777777" w:rsidTr="00B21B09">
        <w:trPr>
          <w:trHeight w:val="523"/>
        </w:trPr>
        <w:tc>
          <w:tcPr>
            <w:cnfStyle w:val="001000000000" w:firstRow="0" w:lastRow="0" w:firstColumn="1" w:lastColumn="0" w:oddVBand="0" w:evenVBand="0" w:oddHBand="0" w:evenHBand="0" w:firstRowFirstColumn="0" w:firstRowLastColumn="0" w:lastRowFirstColumn="0" w:lastRowLastColumn="0"/>
            <w:tcW w:w="1560" w:type="dxa"/>
            <w:shd w:val="clear" w:color="auto" w:fill="F3F0F4"/>
            <w:hideMark/>
          </w:tcPr>
          <w:p w14:paraId="6D459BBB" w14:textId="77777777" w:rsidR="00DF06CD" w:rsidRPr="009E2B03" w:rsidRDefault="00DF06CD" w:rsidP="007829AE">
            <w:pPr>
              <w:spacing w:before="40" w:after="40"/>
              <w:rPr>
                <w:rFonts w:ascii="Calibri Light" w:hAnsi="Calibri Light" w:cs="Arial"/>
              </w:rPr>
            </w:pPr>
            <w:r w:rsidRPr="009E2B03">
              <w:rPr>
                <w:rFonts w:ascii="Calibri Light" w:hAnsi="Calibri Light" w:cs="Arial"/>
              </w:rPr>
              <w:t>Women who are pregnant</w:t>
            </w:r>
          </w:p>
        </w:tc>
        <w:tc>
          <w:tcPr>
            <w:tcW w:w="2835" w:type="dxa"/>
          </w:tcPr>
          <w:p w14:paraId="22744FD1" w14:textId="77777777" w:rsidR="00DF06CD" w:rsidRPr="009E2B03" w:rsidRDefault="00DF06CD" w:rsidP="007829AE">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szCs w:val="18"/>
                <w:lang w:eastAsia="en-AU"/>
              </w:rPr>
              <w:t>Personal Safety Survey 2012. ABS cat no. 4906.0</w:t>
            </w:r>
            <w:r w:rsidR="00FC761A" w:rsidRPr="009E2B03">
              <w:rPr>
                <w:rFonts w:ascii="Calibri Light" w:hAnsi="Calibri Light" w:cs="Arial"/>
                <w:szCs w:val="18"/>
                <w:lang w:eastAsia="en-AU"/>
              </w:rPr>
              <w:t>.</w:t>
            </w:r>
          </w:p>
        </w:tc>
        <w:tc>
          <w:tcPr>
            <w:tcW w:w="9355" w:type="dxa"/>
          </w:tcPr>
          <w:p w14:paraId="6326DA91" w14:textId="77777777" w:rsidR="00DF06CD" w:rsidRPr="009E2B03" w:rsidRDefault="00DF06CD" w:rsidP="007829AE">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The PSS did not specifically address the issue of women who are pregnant experiencing violence in the past 12 months. However, the PSS did address the issue of women who are pregnant experiencing violence since the age of 15. As such, the proportion of women who are pregnant experiencing violence since the age of 15 compared to the number of women who have experienced violence since 15 was taken applied to prevalence for the current year. </w:t>
            </w:r>
          </w:p>
        </w:tc>
      </w:tr>
      <w:tr w:rsidR="00DF06CD" w:rsidRPr="009E2B03" w14:paraId="0AC97DB3" w14:textId="77777777" w:rsidTr="00B21B09">
        <w:trPr>
          <w:trHeight w:val="829"/>
        </w:trPr>
        <w:tc>
          <w:tcPr>
            <w:cnfStyle w:val="001000000000" w:firstRow="0" w:lastRow="0" w:firstColumn="1" w:lastColumn="0" w:oddVBand="0" w:evenVBand="0" w:oddHBand="0" w:evenHBand="0" w:firstRowFirstColumn="0" w:firstRowLastColumn="0" w:lastRowFirstColumn="0" w:lastRowLastColumn="0"/>
            <w:tcW w:w="1560" w:type="dxa"/>
            <w:shd w:val="clear" w:color="auto" w:fill="F3F0F4"/>
            <w:hideMark/>
          </w:tcPr>
          <w:p w14:paraId="4AA4FEE3" w14:textId="77777777" w:rsidR="00DF06CD" w:rsidRPr="009E2B03" w:rsidRDefault="00DF06CD" w:rsidP="007829AE">
            <w:pPr>
              <w:spacing w:before="40" w:after="40"/>
              <w:rPr>
                <w:rFonts w:ascii="Calibri Light" w:hAnsi="Calibri Light" w:cs="Arial"/>
              </w:rPr>
            </w:pPr>
            <w:r w:rsidRPr="009E2B03">
              <w:rPr>
                <w:rFonts w:ascii="Calibri Light" w:hAnsi="Calibri Light" w:cs="Arial"/>
              </w:rPr>
              <w:t>Women identifying as LGBTIQ</w:t>
            </w:r>
          </w:p>
        </w:tc>
        <w:tc>
          <w:tcPr>
            <w:tcW w:w="2835" w:type="dxa"/>
          </w:tcPr>
          <w:p w14:paraId="36D32A13" w14:textId="77777777" w:rsidR="00DF06CD" w:rsidRPr="009E2B03" w:rsidRDefault="00DF06CD" w:rsidP="007829AE">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Insufficient data</w:t>
            </w:r>
            <w:r w:rsidR="00FC761A" w:rsidRPr="009E2B03">
              <w:rPr>
                <w:rFonts w:ascii="Calibri Light" w:hAnsi="Calibri Light" w:cs="Arial"/>
              </w:rPr>
              <w:t>.</w:t>
            </w:r>
          </w:p>
        </w:tc>
        <w:tc>
          <w:tcPr>
            <w:tcW w:w="9355" w:type="dxa"/>
          </w:tcPr>
          <w:p w14:paraId="5E01EC0C" w14:textId="77777777" w:rsidR="00DF06CD" w:rsidRPr="009E2B03" w:rsidRDefault="00DF06CD" w:rsidP="007829AE">
            <w:pPr>
              <w:pStyle w:val="BodyBullet"/>
              <w:numPr>
                <w:ilvl w:val="0"/>
                <w:numId w:val="0"/>
              </w:num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Women identifying as lesbian, bisexual, transgender, intersex, or queer may face greater risk of experiencing violence, with research indicating rates of violence are higher for transgender women.</w:t>
            </w:r>
          </w:p>
        </w:tc>
      </w:tr>
      <w:tr w:rsidR="00DF06CD" w:rsidRPr="009E2B03" w14:paraId="1DB4BFC2" w14:textId="77777777" w:rsidTr="00B21B09">
        <w:trPr>
          <w:trHeight w:val="523"/>
        </w:trPr>
        <w:tc>
          <w:tcPr>
            <w:cnfStyle w:val="001000000000" w:firstRow="0" w:lastRow="0" w:firstColumn="1" w:lastColumn="0" w:oddVBand="0" w:evenVBand="0" w:oddHBand="0" w:evenHBand="0" w:firstRowFirstColumn="0" w:firstRowLastColumn="0" w:lastRowFirstColumn="0" w:lastRowLastColumn="0"/>
            <w:tcW w:w="1560" w:type="dxa"/>
            <w:shd w:val="clear" w:color="auto" w:fill="F3F0F4"/>
            <w:hideMark/>
          </w:tcPr>
          <w:p w14:paraId="6EE800BC" w14:textId="77777777" w:rsidR="00DF06CD" w:rsidRPr="009E2B03" w:rsidRDefault="00DF06CD" w:rsidP="007829AE">
            <w:pPr>
              <w:spacing w:before="40" w:after="40"/>
              <w:rPr>
                <w:rFonts w:ascii="Calibri Light" w:hAnsi="Calibri Light" w:cs="Arial"/>
              </w:rPr>
            </w:pPr>
            <w:r w:rsidRPr="009E2B03">
              <w:rPr>
                <w:rFonts w:ascii="Calibri Light" w:hAnsi="Calibri Light" w:cs="Arial"/>
              </w:rPr>
              <w:t xml:space="preserve">Women with disability </w:t>
            </w:r>
          </w:p>
        </w:tc>
        <w:tc>
          <w:tcPr>
            <w:tcW w:w="2835" w:type="dxa"/>
          </w:tcPr>
          <w:p w14:paraId="55711BCA" w14:textId="77777777" w:rsidR="00DF06CD" w:rsidRPr="009E2B03" w:rsidRDefault="00DF06CD" w:rsidP="007829AE">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Disability, Ageing and Carers, Australia: Summary of Findings, 2012, ABS cat no. 4430.0</w:t>
            </w:r>
            <w:r w:rsidR="00FC761A" w:rsidRPr="009E2B03">
              <w:rPr>
                <w:rFonts w:ascii="Calibri Light" w:hAnsi="Calibri Light" w:cs="Arial"/>
              </w:rPr>
              <w:t>.</w:t>
            </w:r>
          </w:p>
        </w:tc>
        <w:tc>
          <w:tcPr>
            <w:tcW w:w="9355" w:type="dxa"/>
          </w:tcPr>
          <w:p w14:paraId="6F43F902" w14:textId="77777777" w:rsidR="00DF06CD" w:rsidRPr="009E2B03" w:rsidRDefault="00DF06CD" w:rsidP="001113E3">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 xml:space="preserve">Due to the nature of both the circumstances and types of violence experienced by women with disability, a clear figure for prevalence has yet to be generated. The PSS goes some way to addressing this issue, however, there is an insufficient sample size. Numerous studies and organisations estimate the prevalence of violence in this cohort, however no study so far has been conclusive, especially in addressing the degree to which prevalence of violence is raised in this cohort above all women. In order to make a conservative estimate of cost, </w:t>
            </w:r>
            <w:r w:rsidR="00FC761A" w:rsidRPr="009E2B03">
              <w:rPr>
                <w:rFonts w:ascii="Calibri Light" w:hAnsi="Calibri Light" w:cs="Arial"/>
                <w:szCs w:val="18"/>
              </w:rPr>
              <w:t xml:space="preserve">we applied </w:t>
            </w:r>
            <w:r w:rsidRPr="009E2B03">
              <w:rPr>
                <w:rFonts w:ascii="Calibri Light" w:hAnsi="Calibri Light" w:cs="Arial"/>
                <w:szCs w:val="18"/>
              </w:rPr>
              <w:t xml:space="preserve">the proportion of women with disability from the ABS to overall prevalence of violence and the average cost of violence against women. </w:t>
            </w:r>
          </w:p>
        </w:tc>
      </w:tr>
    </w:tbl>
    <w:p w14:paraId="3A2D3D09" w14:textId="77777777" w:rsidR="007E599D" w:rsidRPr="009E2B03" w:rsidRDefault="007E599D" w:rsidP="007E599D">
      <w:pPr>
        <w:pStyle w:val="BodyText0"/>
        <w:rPr>
          <w:rFonts w:ascii="Calibri Light" w:hAnsi="Calibri Light" w:cs="Arial"/>
          <w:sz w:val="28"/>
        </w:rPr>
        <w:sectPr w:rsidR="007E599D" w:rsidRPr="009E2B03" w:rsidSect="00F8042D">
          <w:headerReference w:type="even" r:id="rId40"/>
          <w:headerReference w:type="default" r:id="rId41"/>
          <w:headerReference w:type="first" r:id="rId42"/>
          <w:pgSz w:w="16838" w:h="11906" w:orient="landscape"/>
          <w:pgMar w:top="1440" w:right="1440" w:bottom="1440" w:left="1440" w:header="708" w:footer="708" w:gutter="0"/>
          <w:cols w:space="708"/>
          <w:docGrid w:linePitch="360"/>
        </w:sectPr>
      </w:pPr>
    </w:p>
    <w:p w14:paraId="748B47A6" w14:textId="77777777" w:rsidR="004A6712" w:rsidRPr="003375BC" w:rsidRDefault="00D547F7">
      <w:pPr>
        <w:pStyle w:val="Heading1"/>
        <w:numPr>
          <w:ilvl w:val="0"/>
          <w:numId w:val="0"/>
        </w:numPr>
        <w:rPr>
          <w:rFonts w:ascii="Calibri Light" w:hAnsi="Calibri Light"/>
          <w:sz w:val="36"/>
        </w:rPr>
      </w:pPr>
      <w:bookmarkStart w:id="170" w:name="_Toc449553534"/>
      <w:r w:rsidRPr="003375BC">
        <w:rPr>
          <w:rFonts w:ascii="Calibri Light" w:eastAsiaTheme="minorHAnsi" w:hAnsi="Calibri Light"/>
          <w:b w:val="0"/>
          <w:noProof/>
          <w:color w:val="6D2077"/>
          <w:sz w:val="52"/>
          <w:szCs w:val="76"/>
          <w:lang w:eastAsia="en-AU"/>
        </w:rPr>
        <w:lastRenderedPageBreak/>
        <w:t>Appendix</w:t>
      </w:r>
      <w:r w:rsidRPr="003375BC">
        <w:rPr>
          <w:rFonts w:ascii="Calibri Light" w:hAnsi="Calibri Light"/>
          <w:sz w:val="36"/>
        </w:rPr>
        <w:t xml:space="preserve"> </w:t>
      </w:r>
      <w:r w:rsidR="00E677E0" w:rsidRPr="003375BC">
        <w:rPr>
          <w:rFonts w:ascii="Calibri Light" w:eastAsiaTheme="minorHAnsi" w:hAnsi="Calibri Light"/>
          <w:b w:val="0"/>
          <w:noProof/>
          <w:color w:val="6D2077"/>
          <w:sz w:val="52"/>
          <w:szCs w:val="76"/>
          <w:lang w:eastAsia="en-AU"/>
        </w:rPr>
        <w:t>D</w:t>
      </w:r>
      <w:r w:rsidRPr="003375BC">
        <w:rPr>
          <w:rFonts w:ascii="Calibri Light" w:eastAsiaTheme="minorHAnsi" w:hAnsi="Calibri Light"/>
          <w:b w:val="0"/>
          <w:noProof/>
          <w:color w:val="6D2077"/>
          <w:sz w:val="52"/>
          <w:szCs w:val="76"/>
          <w:lang w:eastAsia="en-AU"/>
        </w:rPr>
        <w:t xml:space="preserve">: </w:t>
      </w:r>
      <w:r w:rsidR="004A6712" w:rsidRPr="003375BC">
        <w:rPr>
          <w:rFonts w:ascii="Calibri Light" w:eastAsiaTheme="minorHAnsi" w:hAnsi="Calibri Light"/>
          <w:b w:val="0"/>
          <w:noProof/>
          <w:color w:val="6D2077"/>
          <w:sz w:val="52"/>
          <w:szCs w:val="76"/>
          <w:lang w:eastAsia="en-AU"/>
        </w:rPr>
        <w:t>International and domestic research sources</w:t>
      </w:r>
      <w:bookmarkEnd w:id="170"/>
    </w:p>
    <w:p w14:paraId="1E48B327" w14:textId="77777777" w:rsidR="00C35935" w:rsidRPr="00D00E36" w:rsidRDefault="00C35935" w:rsidP="00D00E36">
      <w:r w:rsidRPr="00D00E36">
        <w:fldChar w:fldCharType="begin"/>
      </w:r>
      <w:r w:rsidRPr="00D00E36">
        <w:instrText xml:space="preserve"> REF _Ref447383243 \h  \* MERGEFORMAT </w:instrText>
      </w:r>
      <w:r w:rsidRPr="00D00E36">
        <w:fldChar w:fldCharType="separate"/>
      </w:r>
      <w:r w:rsidR="00417237" w:rsidRPr="009E2B03">
        <w:t>Table D-</w:t>
      </w:r>
      <w:r w:rsidR="00417237">
        <w:t>0</w:t>
      </w:r>
      <w:r w:rsidR="00417237" w:rsidRPr="009E2B03">
        <w:noBreakHyphen/>
      </w:r>
      <w:r w:rsidR="00417237">
        <w:t>1</w:t>
      </w:r>
      <w:r w:rsidRPr="00D00E36">
        <w:fldChar w:fldCharType="end"/>
      </w:r>
      <w:r w:rsidRPr="00D00E36">
        <w:t xml:space="preserve"> below provides a summary of the key sources within the international and domestic literature scan. </w:t>
      </w:r>
    </w:p>
    <w:p w14:paraId="660D9EC8" w14:textId="77777777" w:rsidR="00D547F7" w:rsidRPr="009E2B03" w:rsidRDefault="00D547F7" w:rsidP="00D00E36">
      <w:bookmarkStart w:id="171" w:name="_Ref447383243"/>
      <w:r w:rsidRPr="009E2B03">
        <w:t xml:space="preserve">Table </w:t>
      </w:r>
      <w:r w:rsidR="00C35935" w:rsidRPr="009E2B03">
        <w:t>D-</w:t>
      </w:r>
      <w:fldSimple w:instr=" STYLEREF 1 \s ">
        <w:r w:rsidR="00417237">
          <w:rPr>
            <w:noProof/>
          </w:rPr>
          <w:t>0</w:t>
        </w:r>
      </w:fldSimple>
      <w:r w:rsidR="00C35935" w:rsidRPr="009E2B03">
        <w:noBreakHyphen/>
      </w:r>
      <w:fldSimple w:instr=" SEQ Table \* ARABIC \s 1 ">
        <w:r w:rsidR="00417237">
          <w:rPr>
            <w:noProof/>
          </w:rPr>
          <w:t>1</w:t>
        </w:r>
      </w:fldSimple>
      <w:bookmarkEnd w:id="171"/>
      <w:r w:rsidRPr="009E2B03">
        <w:t>: International and domestic research sources</w:t>
      </w:r>
    </w:p>
    <w:tbl>
      <w:tblPr>
        <w:tblStyle w:val="KPMGtable1"/>
        <w:tblW w:w="14257" w:type="dxa"/>
        <w:tblLook w:val="04A0" w:firstRow="1" w:lastRow="0" w:firstColumn="1" w:lastColumn="0" w:noHBand="0" w:noVBand="1"/>
        <w:tblCaption w:val="Table showing International and domestic research sources"/>
      </w:tblPr>
      <w:tblGrid>
        <w:gridCol w:w="2328"/>
        <w:gridCol w:w="3528"/>
        <w:gridCol w:w="6051"/>
        <w:gridCol w:w="2350"/>
      </w:tblGrid>
      <w:tr w:rsidR="004A6712" w:rsidRPr="009E2B03" w14:paraId="317A3A9A" w14:textId="77777777" w:rsidTr="00941A03">
        <w:trPr>
          <w:cnfStyle w:val="100000000000" w:firstRow="1" w:lastRow="0" w:firstColumn="0" w:lastColumn="0" w:oddVBand="0" w:evenVBand="0" w:oddHBand="0" w:evenHBand="0" w:firstRowFirstColumn="0" w:firstRowLastColumn="0" w:lastRowFirstColumn="0" w:lastRowLastColumn="0"/>
          <w:trHeight w:val="441"/>
          <w:tblHeader/>
        </w:trPr>
        <w:tc>
          <w:tcPr>
            <w:cnfStyle w:val="001000000000" w:firstRow="0" w:lastRow="0" w:firstColumn="1" w:lastColumn="0" w:oddVBand="0" w:evenVBand="0" w:oddHBand="0" w:evenHBand="0" w:firstRowFirstColumn="0" w:firstRowLastColumn="0" w:lastRowFirstColumn="0" w:lastRowLastColumn="0"/>
            <w:tcW w:w="2328" w:type="dxa"/>
            <w:shd w:val="clear" w:color="auto" w:fill="6D2077"/>
            <w:noWrap/>
            <w:hideMark/>
          </w:tcPr>
          <w:p w14:paraId="339140AA" w14:textId="77777777" w:rsidR="004A6712" w:rsidRPr="009E2B03" w:rsidRDefault="004A6712" w:rsidP="00811983">
            <w:pPr>
              <w:rPr>
                <w:rFonts w:ascii="Calibri Light" w:hAnsi="Calibri Light" w:cs="Arial"/>
                <w:b/>
                <w:szCs w:val="18"/>
                <w:lang w:eastAsia="en-AU"/>
              </w:rPr>
            </w:pPr>
            <w:r w:rsidRPr="009E2B03">
              <w:rPr>
                <w:rFonts w:ascii="Calibri Light" w:hAnsi="Calibri Light" w:cs="Arial"/>
                <w:b/>
                <w:szCs w:val="18"/>
                <w:lang w:eastAsia="en-AU"/>
              </w:rPr>
              <w:t>Organisation</w:t>
            </w:r>
          </w:p>
        </w:tc>
        <w:tc>
          <w:tcPr>
            <w:tcW w:w="3528" w:type="dxa"/>
            <w:shd w:val="clear" w:color="auto" w:fill="6D2077"/>
            <w:noWrap/>
            <w:hideMark/>
          </w:tcPr>
          <w:p w14:paraId="666A83B6" w14:textId="77777777" w:rsidR="004A6712" w:rsidRPr="009E2B03" w:rsidRDefault="004A6712" w:rsidP="00811983">
            <w:p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lang w:eastAsia="en-AU"/>
              </w:rPr>
            </w:pPr>
            <w:r w:rsidRPr="009E2B03">
              <w:rPr>
                <w:rFonts w:ascii="Calibri Light" w:hAnsi="Calibri Light" w:cs="Arial"/>
                <w:b/>
                <w:szCs w:val="18"/>
                <w:lang w:eastAsia="en-AU"/>
              </w:rPr>
              <w:t>Title of specific document</w:t>
            </w:r>
          </w:p>
        </w:tc>
        <w:tc>
          <w:tcPr>
            <w:tcW w:w="6051" w:type="dxa"/>
            <w:shd w:val="clear" w:color="auto" w:fill="6D2077"/>
            <w:hideMark/>
          </w:tcPr>
          <w:p w14:paraId="1F4BC1AC" w14:textId="77777777" w:rsidR="004A6712" w:rsidRPr="009E2B03" w:rsidRDefault="004A6712" w:rsidP="00811983">
            <w:p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lang w:eastAsia="en-AU"/>
              </w:rPr>
            </w:pPr>
            <w:r w:rsidRPr="009E2B03">
              <w:rPr>
                <w:rFonts w:ascii="Calibri Light" w:hAnsi="Calibri Light" w:cs="Arial"/>
                <w:b/>
                <w:szCs w:val="18"/>
                <w:lang w:eastAsia="en-AU"/>
              </w:rPr>
              <w:t>Specific relevance of document</w:t>
            </w:r>
          </w:p>
        </w:tc>
        <w:tc>
          <w:tcPr>
            <w:tcW w:w="2350" w:type="dxa"/>
            <w:shd w:val="clear" w:color="auto" w:fill="6D2077"/>
            <w:noWrap/>
            <w:hideMark/>
          </w:tcPr>
          <w:p w14:paraId="3851B42F" w14:textId="77777777" w:rsidR="004A6712" w:rsidRPr="009E2B03" w:rsidRDefault="004A6712" w:rsidP="00811983">
            <w:p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lang w:eastAsia="en-AU"/>
              </w:rPr>
            </w:pPr>
            <w:r w:rsidRPr="009E2B03">
              <w:rPr>
                <w:rFonts w:ascii="Calibri Light" w:hAnsi="Calibri Light" w:cs="Arial"/>
                <w:b/>
                <w:szCs w:val="18"/>
                <w:lang w:eastAsia="en-AU"/>
              </w:rPr>
              <w:t>Jurisdiction</w:t>
            </w:r>
          </w:p>
        </w:tc>
      </w:tr>
      <w:tr w:rsidR="004A6712" w:rsidRPr="009E2B03" w14:paraId="6DDD6281" w14:textId="77777777" w:rsidTr="00941A03">
        <w:trPr>
          <w:trHeight w:val="966"/>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noWrap/>
            <w:hideMark/>
          </w:tcPr>
          <w:p w14:paraId="39270362"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Department of Social Services</w:t>
            </w:r>
          </w:p>
        </w:tc>
        <w:tc>
          <w:tcPr>
            <w:tcW w:w="3528" w:type="dxa"/>
            <w:hideMark/>
          </w:tcPr>
          <w:p w14:paraId="28B98D7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National Plan to Reduce Violence Against Women and Their Children, including the first Three Year Action Plan, 2010</w:t>
            </w:r>
          </w:p>
        </w:tc>
        <w:tc>
          <w:tcPr>
            <w:tcW w:w="6051" w:type="dxa"/>
            <w:hideMark/>
          </w:tcPr>
          <w:p w14:paraId="7175A170"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Identifies Six National Outcomes for this and successive action plans; </w:t>
            </w:r>
            <w:r w:rsidR="00D27E0A" w:rsidRPr="009E2B03">
              <w:rPr>
                <w:rFonts w:ascii="Calibri Light" w:hAnsi="Calibri Light" w:cs="Arial"/>
                <w:color w:val="000000"/>
                <w:szCs w:val="18"/>
                <w:lang w:eastAsia="en-AU"/>
              </w:rPr>
              <w:t>u</w:t>
            </w:r>
            <w:r w:rsidRPr="009E2B03">
              <w:rPr>
                <w:rFonts w:ascii="Calibri Light" w:hAnsi="Calibri Light" w:cs="Arial"/>
                <w:color w:val="000000"/>
                <w:szCs w:val="18"/>
                <w:lang w:eastAsia="en-AU"/>
              </w:rPr>
              <w:t xml:space="preserve">ses ABS data and KPMG's 2009 </w:t>
            </w:r>
            <w:r w:rsidR="00D27E0A" w:rsidRPr="009E2B03">
              <w:rPr>
                <w:rFonts w:ascii="Calibri Light" w:hAnsi="Calibri Light" w:cs="Arial"/>
                <w:color w:val="000000"/>
                <w:szCs w:val="18"/>
                <w:lang w:eastAsia="en-AU"/>
              </w:rPr>
              <w:t>r</w:t>
            </w:r>
            <w:r w:rsidRPr="009E2B03">
              <w:rPr>
                <w:rFonts w:ascii="Calibri Light" w:hAnsi="Calibri Light" w:cs="Arial"/>
                <w:color w:val="000000"/>
                <w:szCs w:val="18"/>
                <w:lang w:eastAsia="en-AU"/>
              </w:rPr>
              <w:t xml:space="preserve">eport; </w:t>
            </w:r>
            <w:r w:rsidR="00D27E0A" w:rsidRPr="009E2B03">
              <w:rPr>
                <w:rFonts w:ascii="Calibri Light" w:hAnsi="Calibri Light" w:cs="Arial"/>
                <w:color w:val="000000"/>
                <w:szCs w:val="18"/>
                <w:lang w:eastAsia="en-AU"/>
              </w:rPr>
              <w:t>l</w:t>
            </w:r>
            <w:r w:rsidRPr="009E2B03">
              <w:rPr>
                <w:rFonts w:ascii="Calibri Light" w:hAnsi="Calibri Light" w:cs="Arial"/>
                <w:color w:val="000000"/>
                <w:szCs w:val="18"/>
                <w:lang w:eastAsia="en-AU"/>
              </w:rPr>
              <w:t>inks with other COAG reforms relating to Indigenous Women, Protecting Children, Homelessness, Health and hospitals and Social Inclusion</w:t>
            </w:r>
            <w:r w:rsidR="00D27E0A" w:rsidRPr="009E2B03">
              <w:rPr>
                <w:rFonts w:ascii="Calibri Light" w:hAnsi="Calibri Light" w:cs="Arial"/>
                <w:color w:val="000000"/>
                <w:szCs w:val="18"/>
                <w:lang w:eastAsia="en-AU"/>
              </w:rPr>
              <w:t>.</w:t>
            </w:r>
          </w:p>
        </w:tc>
        <w:tc>
          <w:tcPr>
            <w:tcW w:w="2350" w:type="dxa"/>
            <w:hideMark/>
          </w:tcPr>
          <w:p w14:paraId="48BF4C4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 released by COAG</w:t>
            </w:r>
          </w:p>
        </w:tc>
      </w:tr>
      <w:tr w:rsidR="004A6712" w:rsidRPr="009E2B03" w14:paraId="133A890C" w14:textId="77777777" w:rsidTr="00941A03">
        <w:trPr>
          <w:trHeight w:val="688"/>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noWrap/>
            <w:hideMark/>
          </w:tcPr>
          <w:p w14:paraId="6118E998"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Department of Social Services</w:t>
            </w:r>
          </w:p>
        </w:tc>
        <w:tc>
          <w:tcPr>
            <w:tcW w:w="3528" w:type="dxa"/>
            <w:hideMark/>
          </w:tcPr>
          <w:p w14:paraId="13C65A7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Non-Reporting and Hidden Recording of Sexual Assault, an International Literature Review, 2003</w:t>
            </w:r>
          </w:p>
        </w:tc>
        <w:tc>
          <w:tcPr>
            <w:tcW w:w="6051" w:type="dxa"/>
            <w:hideMark/>
          </w:tcPr>
          <w:p w14:paraId="3B885BF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The report is an International literature review on the</w:t>
            </w:r>
            <w:r w:rsidR="00D27E0A" w:rsidRPr="009E2B03">
              <w:rPr>
                <w:rFonts w:ascii="Calibri Light" w:hAnsi="Calibri Light" w:cs="Arial"/>
                <w:color w:val="000000"/>
                <w:szCs w:val="18"/>
                <w:lang w:eastAsia="en-AU"/>
              </w:rPr>
              <w:t xml:space="preserve"> </w:t>
            </w:r>
            <w:r w:rsidR="00D27E0A" w:rsidRPr="009E2B03">
              <w:rPr>
                <w:rFonts w:ascii="Calibri Light" w:hAnsi="Calibri Light" w:cs="Arial"/>
                <w:color w:val="000000"/>
                <w:szCs w:val="18"/>
                <w:lang w:eastAsia="en-AU"/>
              </w:rPr>
              <w:br/>
            </w:r>
            <w:r w:rsidRPr="009E2B03">
              <w:rPr>
                <w:rFonts w:ascii="Calibri Light" w:hAnsi="Calibri Light" w:cs="Arial"/>
                <w:color w:val="000000"/>
                <w:szCs w:val="18"/>
                <w:lang w:eastAsia="en-AU"/>
              </w:rPr>
              <w:t>non-reporting and hidden recording of</w:t>
            </w:r>
            <w:r w:rsidR="00D27E0A" w:rsidRPr="009E2B03">
              <w:rPr>
                <w:rFonts w:ascii="Calibri Light" w:hAnsi="Calibri Light" w:cs="Arial"/>
                <w:color w:val="000000"/>
                <w:szCs w:val="18"/>
                <w:lang w:eastAsia="en-AU"/>
              </w:rPr>
              <w:t xml:space="preserve"> </w:t>
            </w:r>
            <w:r w:rsidRPr="009E2B03">
              <w:rPr>
                <w:rFonts w:ascii="Calibri Light" w:hAnsi="Calibri Light" w:cs="Arial"/>
                <w:color w:val="000000"/>
                <w:szCs w:val="18"/>
                <w:lang w:eastAsia="en-AU"/>
              </w:rPr>
              <w:t>sexual assaults perpetrated against females</w:t>
            </w:r>
            <w:r w:rsidR="00D27E0A" w:rsidRPr="009E2B03">
              <w:rPr>
                <w:rFonts w:ascii="Calibri Light" w:hAnsi="Calibri Light" w:cs="Arial"/>
                <w:color w:val="000000"/>
                <w:szCs w:val="18"/>
                <w:lang w:eastAsia="en-AU"/>
              </w:rPr>
              <w:t>.</w:t>
            </w:r>
          </w:p>
        </w:tc>
        <w:tc>
          <w:tcPr>
            <w:tcW w:w="2350" w:type="dxa"/>
            <w:hideMark/>
          </w:tcPr>
          <w:p w14:paraId="793C23E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International and Commonwealth </w:t>
            </w:r>
          </w:p>
        </w:tc>
      </w:tr>
      <w:tr w:rsidR="004A6712" w:rsidRPr="009E2B03" w14:paraId="37C4A4DE" w14:textId="77777777" w:rsidTr="00941A03">
        <w:trPr>
          <w:trHeight w:val="788"/>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noWrap/>
            <w:hideMark/>
          </w:tcPr>
          <w:p w14:paraId="47A85E50"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Department of Social Services</w:t>
            </w:r>
          </w:p>
        </w:tc>
        <w:tc>
          <w:tcPr>
            <w:tcW w:w="3528" w:type="dxa"/>
            <w:hideMark/>
          </w:tcPr>
          <w:p w14:paraId="2136EB7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Reducing Violence Against Women and Their Children, 2015</w:t>
            </w:r>
          </w:p>
        </w:tc>
        <w:tc>
          <w:tcPr>
            <w:tcW w:w="6051" w:type="dxa"/>
            <w:hideMark/>
          </w:tcPr>
          <w:p w14:paraId="52F339B9" w14:textId="77777777" w:rsidR="004A6712" w:rsidRPr="009E2B03" w:rsidRDefault="004A6712">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Analysis of the 2012 P</w:t>
            </w:r>
            <w:r w:rsidR="00D27E0A" w:rsidRPr="009E2B03">
              <w:rPr>
                <w:rFonts w:ascii="Calibri Light" w:hAnsi="Calibri Light" w:cs="Arial"/>
                <w:color w:val="000000"/>
                <w:szCs w:val="18"/>
                <w:lang w:eastAsia="en-AU"/>
              </w:rPr>
              <w:t>SS</w:t>
            </w:r>
            <w:r w:rsidRPr="009E2B03">
              <w:rPr>
                <w:rFonts w:ascii="Calibri Light" w:hAnsi="Calibri Light" w:cs="Arial"/>
                <w:color w:val="000000"/>
                <w:szCs w:val="18"/>
                <w:lang w:eastAsia="en-AU"/>
              </w:rPr>
              <w:t xml:space="preserve"> commissioned by the ABS; detailed information and discussion surrounding building a national campaign against </w:t>
            </w:r>
            <w:r w:rsidR="00D27E0A" w:rsidRPr="009E2B03">
              <w:rPr>
                <w:rFonts w:ascii="Calibri Light" w:hAnsi="Calibri Light" w:cs="Arial"/>
                <w:color w:val="000000"/>
                <w:szCs w:val="18"/>
                <w:lang w:eastAsia="en-AU"/>
              </w:rPr>
              <w:t>domestic violence.</w:t>
            </w:r>
          </w:p>
        </w:tc>
        <w:tc>
          <w:tcPr>
            <w:tcW w:w="2350" w:type="dxa"/>
            <w:noWrap/>
            <w:hideMark/>
          </w:tcPr>
          <w:p w14:paraId="57FA48B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6FC492CE" w14:textId="77777777" w:rsidTr="00941A03">
        <w:trPr>
          <w:trHeight w:val="190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noWrap/>
            <w:hideMark/>
          </w:tcPr>
          <w:p w14:paraId="0DF5B351"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Department of Social Services</w:t>
            </w:r>
          </w:p>
        </w:tc>
        <w:tc>
          <w:tcPr>
            <w:tcW w:w="3528" w:type="dxa"/>
            <w:hideMark/>
          </w:tcPr>
          <w:p w14:paraId="25ECD5A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Literature Review on Domestic Violence Perpetrators, 2013</w:t>
            </w:r>
          </w:p>
        </w:tc>
        <w:tc>
          <w:tcPr>
            <w:tcW w:w="6051" w:type="dxa"/>
            <w:hideMark/>
          </w:tcPr>
          <w:p w14:paraId="09CD86D2" w14:textId="77777777" w:rsidR="004A6712" w:rsidRPr="009E2B03" w:rsidRDefault="004A6712" w:rsidP="003B7BCE">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review provides an overview of the estimated incidence and prevalence of domestic violence and sexual assault in Australia, and the socio-demographic characteristics of perpetrators. The review identifies evaluations of domestic and sexual violence perpetrator intervention program</w:t>
            </w:r>
            <w:r w:rsidR="00D27E0A" w:rsidRPr="009E2B03">
              <w:rPr>
                <w:rFonts w:ascii="Calibri Light" w:hAnsi="Calibri Light" w:cs="Arial"/>
                <w:color w:val="000000"/>
                <w:szCs w:val="18"/>
                <w:lang w:eastAsia="en-AU"/>
              </w:rPr>
              <w:t>me</w:t>
            </w:r>
            <w:r w:rsidRPr="009E2B03">
              <w:rPr>
                <w:rFonts w:ascii="Calibri Light" w:hAnsi="Calibri Light" w:cs="Arial"/>
                <w:color w:val="000000"/>
                <w:szCs w:val="18"/>
                <w:lang w:eastAsia="en-AU"/>
              </w:rPr>
              <w:t>s to describe the evidence regarding program</w:t>
            </w:r>
            <w:r w:rsidR="00D27E0A" w:rsidRPr="009E2B03">
              <w:rPr>
                <w:rFonts w:ascii="Calibri Light" w:hAnsi="Calibri Light" w:cs="Arial"/>
                <w:color w:val="000000"/>
                <w:szCs w:val="18"/>
                <w:lang w:eastAsia="en-AU"/>
              </w:rPr>
              <w:t>me</w:t>
            </w:r>
            <w:r w:rsidRPr="009E2B03">
              <w:rPr>
                <w:rFonts w:ascii="Calibri Light" w:hAnsi="Calibri Light" w:cs="Arial"/>
                <w:color w:val="000000"/>
                <w:szCs w:val="18"/>
                <w:lang w:eastAsia="en-AU"/>
              </w:rPr>
              <w:t xml:space="preserve"> effectiveness. </w:t>
            </w:r>
            <w:r w:rsidR="00D27E0A" w:rsidRPr="009E2B03">
              <w:rPr>
                <w:rFonts w:ascii="Calibri Light" w:hAnsi="Calibri Light" w:cs="Arial"/>
                <w:color w:val="000000"/>
                <w:szCs w:val="18"/>
                <w:lang w:eastAsia="en-AU"/>
              </w:rPr>
              <w:t>The r</w:t>
            </w:r>
            <w:r w:rsidRPr="009E2B03">
              <w:rPr>
                <w:rFonts w:ascii="Calibri Light" w:hAnsi="Calibri Light" w:cs="Arial"/>
                <w:color w:val="000000"/>
                <w:szCs w:val="18"/>
                <w:lang w:eastAsia="en-AU"/>
              </w:rPr>
              <w:t>eview also includes an analysis of the nature and extent of current research on intervention program</w:t>
            </w:r>
            <w:r w:rsidR="00D27E0A" w:rsidRPr="009E2B03">
              <w:rPr>
                <w:rFonts w:ascii="Calibri Light" w:hAnsi="Calibri Light" w:cs="Arial"/>
                <w:color w:val="000000"/>
                <w:szCs w:val="18"/>
                <w:lang w:eastAsia="en-AU"/>
              </w:rPr>
              <w:t>me</w:t>
            </w:r>
            <w:r w:rsidRPr="009E2B03">
              <w:rPr>
                <w:rFonts w:ascii="Calibri Light" w:hAnsi="Calibri Light" w:cs="Arial"/>
                <w:color w:val="000000"/>
                <w:szCs w:val="18"/>
                <w:lang w:eastAsia="en-AU"/>
              </w:rPr>
              <w:t>s, and identifies research gaps, needs and priorities for future research.</w:t>
            </w:r>
          </w:p>
        </w:tc>
        <w:tc>
          <w:tcPr>
            <w:tcW w:w="2350" w:type="dxa"/>
            <w:noWrap/>
            <w:hideMark/>
          </w:tcPr>
          <w:p w14:paraId="2CB9D24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4CEDCD25" w14:textId="77777777" w:rsidTr="00941A03">
        <w:trPr>
          <w:trHeight w:val="1261"/>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6340DEB2"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Department of Social Services and Australian Bureau of Statistics</w:t>
            </w:r>
          </w:p>
        </w:tc>
        <w:tc>
          <w:tcPr>
            <w:tcW w:w="3528" w:type="dxa"/>
            <w:hideMark/>
          </w:tcPr>
          <w:p w14:paraId="4AAC483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Defining the Data Challenge for Family, Domestic and Sexual Violence, 2013</w:t>
            </w:r>
          </w:p>
        </w:tc>
        <w:tc>
          <w:tcPr>
            <w:tcW w:w="6051" w:type="dxa"/>
            <w:hideMark/>
          </w:tcPr>
          <w:p w14:paraId="4E5BB2A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ABS tool presenting statistical and conceptual information relating to family, domestic and sexual violence, describing the main concepts, sources and priorities in this field. It also incorporates strategies for information development to address priority information needs relating to family, domestic and sexual violence</w:t>
            </w:r>
            <w:r w:rsidR="00D27E0A" w:rsidRPr="009E2B03">
              <w:rPr>
                <w:rFonts w:ascii="Calibri Light" w:hAnsi="Calibri Light" w:cs="Arial"/>
                <w:color w:val="000000"/>
                <w:szCs w:val="18"/>
                <w:lang w:eastAsia="en-AU"/>
              </w:rPr>
              <w:t>.</w:t>
            </w:r>
          </w:p>
        </w:tc>
        <w:tc>
          <w:tcPr>
            <w:tcW w:w="2350" w:type="dxa"/>
            <w:noWrap/>
            <w:hideMark/>
          </w:tcPr>
          <w:p w14:paraId="2EE2C6B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77FCBABF" w14:textId="77777777" w:rsidTr="00941A03">
        <w:trPr>
          <w:trHeight w:val="855"/>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59E3D18B"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lastRenderedPageBreak/>
              <w:t>Department of Social Services and Australian Bureau of Statistics</w:t>
            </w:r>
          </w:p>
        </w:tc>
        <w:tc>
          <w:tcPr>
            <w:tcW w:w="3528" w:type="dxa"/>
            <w:hideMark/>
          </w:tcPr>
          <w:p w14:paraId="13EA97D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Bridging the data gaps for family, domestic and sexual violence, 2013</w:t>
            </w:r>
          </w:p>
        </w:tc>
        <w:tc>
          <w:tcPr>
            <w:tcW w:w="6051" w:type="dxa"/>
            <w:hideMark/>
          </w:tcPr>
          <w:p w14:paraId="29CEE9FE"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ABS tool that provides an inventory of the current issues for data collection and dissemination in the field of family, domestic and sexual violence statistics</w:t>
            </w:r>
            <w:r w:rsidR="00D27E0A" w:rsidRPr="009E2B03">
              <w:rPr>
                <w:rFonts w:ascii="Calibri Light" w:hAnsi="Calibri Light" w:cs="Arial"/>
                <w:color w:val="000000"/>
                <w:szCs w:val="18"/>
                <w:lang w:eastAsia="en-AU"/>
              </w:rPr>
              <w:t>.</w:t>
            </w:r>
          </w:p>
        </w:tc>
        <w:tc>
          <w:tcPr>
            <w:tcW w:w="2350" w:type="dxa"/>
            <w:noWrap/>
            <w:hideMark/>
          </w:tcPr>
          <w:p w14:paraId="01F3908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514F5377" w14:textId="77777777" w:rsidTr="00941A03">
        <w:trPr>
          <w:trHeight w:val="855"/>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35952F92"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Health and Welfare</w:t>
            </w:r>
          </w:p>
        </w:tc>
        <w:tc>
          <w:tcPr>
            <w:tcW w:w="3528" w:type="dxa"/>
            <w:hideMark/>
          </w:tcPr>
          <w:p w14:paraId="374EBA1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 and family violence and homelessness 2011–12 to 2013–14</w:t>
            </w:r>
          </w:p>
        </w:tc>
        <w:tc>
          <w:tcPr>
            <w:tcW w:w="6051" w:type="dxa"/>
            <w:hideMark/>
          </w:tcPr>
          <w:p w14:paraId="6246248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Report identifies and discusses the linkages between homelessness and domestic or family violence. Identifies service requirements of victims of domestic or family violence</w:t>
            </w:r>
            <w:r w:rsidR="00D27E0A" w:rsidRPr="009E2B03">
              <w:rPr>
                <w:rFonts w:ascii="Calibri Light" w:hAnsi="Calibri Light" w:cs="Arial"/>
                <w:color w:val="000000"/>
                <w:szCs w:val="18"/>
                <w:lang w:eastAsia="en-AU"/>
              </w:rPr>
              <w:t>.</w:t>
            </w:r>
          </w:p>
        </w:tc>
        <w:tc>
          <w:tcPr>
            <w:tcW w:w="2350" w:type="dxa"/>
            <w:noWrap/>
            <w:hideMark/>
          </w:tcPr>
          <w:p w14:paraId="37F51C6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4348F03C" w14:textId="77777777" w:rsidTr="00941A03">
        <w:trPr>
          <w:trHeight w:val="155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6B41D0F9"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Health and Welfare</w:t>
            </w:r>
          </w:p>
        </w:tc>
        <w:tc>
          <w:tcPr>
            <w:tcW w:w="3528" w:type="dxa"/>
            <w:hideMark/>
          </w:tcPr>
          <w:p w14:paraId="56FACB0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Alternative and improved responses to domestic and family violence in Queensland Indigenous communities, 2010</w:t>
            </w:r>
          </w:p>
        </w:tc>
        <w:tc>
          <w:tcPr>
            <w:tcW w:w="6051" w:type="dxa"/>
            <w:hideMark/>
          </w:tcPr>
          <w:p w14:paraId="6E4ACA97"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Using a quantitative method, this report examines whether the legal system is responding adequately to domestic violence against Indigenous people in Queensland. It investigates best practice; available data on the use of domestic violence orders by Indigenous clients; client and stakeholder satisfaction with the current system; and whether domestic violence orders are an adequate and effective legal mechanism in such cases.</w:t>
            </w:r>
          </w:p>
        </w:tc>
        <w:tc>
          <w:tcPr>
            <w:tcW w:w="2350" w:type="dxa"/>
            <w:hideMark/>
          </w:tcPr>
          <w:p w14:paraId="464AEBE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Queensland</w:t>
            </w:r>
          </w:p>
        </w:tc>
      </w:tr>
      <w:tr w:rsidR="004A6712" w:rsidRPr="009E2B03" w14:paraId="072E1ACD" w14:textId="77777777" w:rsidTr="00941A03">
        <w:trPr>
          <w:trHeight w:val="126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6034F62D"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Australia's National Research Organisation for Women's Safety</w:t>
            </w:r>
          </w:p>
        </w:tc>
        <w:tc>
          <w:tcPr>
            <w:tcW w:w="3528" w:type="dxa"/>
            <w:hideMark/>
          </w:tcPr>
          <w:p w14:paraId="6AD5080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Violence against women in Australia: Additional analysis of the Australian Bureau of Statistics' Personal Safety Survey 2012, 2015</w:t>
            </w:r>
          </w:p>
        </w:tc>
        <w:tc>
          <w:tcPr>
            <w:tcW w:w="6051" w:type="dxa"/>
            <w:hideMark/>
          </w:tcPr>
          <w:p w14:paraId="09A1825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The ANROWS PSS analysis provides several hundred new statistical items related to violence against women. Almost all the data in this report is new</w:t>
            </w:r>
            <w:r w:rsidR="00D27E0A" w:rsidRPr="009E2B03">
              <w:rPr>
                <w:rFonts w:ascii="Calibri Light" w:hAnsi="Calibri Light" w:cs="Arial"/>
                <w:color w:val="000000"/>
                <w:szCs w:val="18"/>
                <w:lang w:eastAsia="en-AU"/>
              </w:rPr>
              <w:t xml:space="preserve">; </w:t>
            </w:r>
            <w:r w:rsidRPr="009E2B03">
              <w:rPr>
                <w:rFonts w:ascii="Calibri Light" w:hAnsi="Calibri Light" w:cs="Arial"/>
                <w:color w:val="000000"/>
                <w:szCs w:val="18"/>
                <w:lang w:eastAsia="en-AU"/>
              </w:rPr>
              <w:t>not only has this information not been publicly available before, but the data tables themselves have not been generated previously.</w:t>
            </w:r>
          </w:p>
        </w:tc>
        <w:tc>
          <w:tcPr>
            <w:tcW w:w="2350" w:type="dxa"/>
            <w:hideMark/>
          </w:tcPr>
          <w:p w14:paraId="1411BA8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5AC29C5D" w14:textId="77777777" w:rsidTr="00941A03">
        <w:trPr>
          <w:trHeight w:val="994"/>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0EC6D5B6"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Australia's National Research Organisation for Women's Safety</w:t>
            </w:r>
          </w:p>
        </w:tc>
        <w:tc>
          <w:tcPr>
            <w:tcW w:w="3528" w:type="dxa"/>
            <w:hideMark/>
          </w:tcPr>
          <w:p w14:paraId="7D01532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 and family violence protection orders in Australia: An investigation of information sharing and enforcement: State of knowledge paper, 2015</w:t>
            </w:r>
          </w:p>
        </w:tc>
        <w:tc>
          <w:tcPr>
            <w:tcW w:w="6051" w:type="dxa"/>
            <w:hideMark/>
          </w:tcPr>
          <w:p w14:paraId="36E0B7B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Report identifies and considers legal, economic and jurisdictional </w:t>
            </w:r>
            <w:r w:rsidR="005A7280" w:rsidRPr="009E2B03">
              <w:rPr>
                <w:rFonts w:ascii="Calibri Light" w:hAnsi="Calibri Light" w:cs="Arial"/>
                <w:color w:val="000000"/>
                <w:szCs w:val="18"/>
                <w:lang w:eastAsia="en-AU"/>
              </w:rPr>
              <w:t>paradigms</w:t>
            </w:r>
            <w:r w:rsidRPr="009E2B03">
              <w:rPr>
                <w:rFonts w:ascii="Calibri Light" w:hAnsi="Calibri Light" w:cs="Arial"/>
                <w:color w:val="000000"/>
                <w:szCs w:val="18"/>
                <w:lang w:eastAsia="en-AU"/>
              </w:rPr>
              <w:t xml:space="preserve"> related to the enforcement of protection orders across Australia. The report is a pre-cursor to further empirical research to be conducted by ANROWS</w:t>
            </w:r>
            <w:r w:rsidR="00D27E0A" w:rsidRPr="009E2B03">
              <w:rPr>
                <w:rFonts w:ascii="Calibri Light" w:hAnsi="Calibri Light" w:cs="Arial"/>
                <w:color w:val="000000"/>
                <w:szCs w:val="18"/>
                <w:lang w:eastAsia="en-AU"/>
              </w:rPr>
              <w:t>.</w:t>
            </w:r>
          </w:p>
        </w:tc>
        <w:tc>
          <w:tcPr>
            <w:tcW w:w="2350" w:type="dxa"/>
            <w:hideMark/>
          </w:tcPr>
          <w:p w14:paraId="65F3F31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2654E030" w14:textId="77777777" w:rsidTr="00941A03">
        <w:trPr>
          <w:trHeight w:val="126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76F58D26"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Australia's National Research Organisation for Women's Safety</w:t>
            </w:r>
          </w:p>
        </w:tc>
        <w:tc>
          <w:tcPr>
            <w:tcW w:w="3528" w:type="dxa"/>
            <w:hideMark/>
          </w:tcPr>
          <w:p w14:paraId="4534E430"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 and family violence and parenting: Mixed methods insights into impact and support needs: State of knowledge paper</w:t>
            </w:r>
          </w:p>
        </w:tc>
        <w:tc>
          <w:tcPr>
            <w:tcW w:w="6051" w:type="dxa"/>
            <w:hideMark/>
          </w:tcPr>
          <w:p w14:paraId="1922E92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paper examines the impact of domestic and family violence (DFV) on parenting. It considers how often DFV occurs among parents; the impact of DFV on parenting; the methods and behaviours used by perpetrators to disrupt the mother-child relationship; and interventions used to strengthen and support a healthy mother-child relationship.</w:t>
            </w:r>
          </w:p>
        </w:tc>
        <w:tc>
          <w:tcPr>
            <w:tcW w:w="2350" w:type="dxa"/>
            <w:hideMark/>
          </w:tcPr>
          <w:p w14:paraId="6B57E76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69E96872" w14:textId="77777777" w:rsidTr="00941A03">
        <w:trPr>
          <w:trHeight w:val="984"/>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21296AD4"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Our Watch</w:t>
            </w:r>
          </w:p>
        </w:tc>
        <w:tc>
          <w:tcPr>
            <w:tcW w:w="3528" w:type="dxa"/>
            <w:hideMark/>
          </w:tcPr>
          <w:p w14:paraId="4CF4153E"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Change the Story - A Shared Framework for the primary prevention of violence against women and their children in Australia, and Appendices</w:t>
            </w:r>
          </w:p>
        </w:tc>
        <w:tc>
          <w:tcPr>
            <w:tcW w:w="6051" w:type="dxa"/>
            <w:hideMark/>
          </w:tcPr>
          <w:p w14:paraId="4ADFB747"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 suggested framework to address violence against women and family violence, involving explanations, key actions to prevent violence and an approach to reach the community. Appendices involve a substantial literature review with extracts</w:t>
            </w:r>
            <w:r w:rsidR="00D27E0A" w:rsidRPr="009E2B03">
              <w:rPr>
                <w:rFonts w:ascii="Calibri Light" w:hAnsi="Calibri Light" w:cs="Arial"/>
                <w:color w:val="000000"/>
                <w:szCs w:val="18"/>
                <w:lang w:eastAsia="en-AU"/>
              </w:rPr>
              <w:t>.</w:t>
            </w:r>
          </w:p>
        </w:tc>
        <w:tc>
          <w:tcPr>
            <w:tcW w:w="2350" w:type="dxa"/>
            <w:hideMark/>
          </w:tcPr>
          <w:p w14:paraId="0386EAC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0035D33D" w14:textId="77777777" w:rsidTr="00941A03">
        <w:trPr>
          <w:trHeight w:val="2117"/>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3A58D84C"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lastRenderedPageBreak/>
              <w:t>NSW Bureau of Crime Statistics and Research</w:t>
            </w:r>
          </w:p>
        </w:tc>
        <w:tc>
          <w:tcPr>
            <w:tcW w:w="3528" w:type="dxa"/>
            <w:hideMark/>
          </w:tcPr>
          <w:p w14:paraId="7D6EB140"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 Violence Statistics for NSW</w:t>
            </w:r>
          </w:p>
        </w:tc>
        <w:tc>
          <w:tcPr>
            <w:tcW w:w="6051" w:type="dxa"/>
            <w:hideMark/>
          </w:tcPr>
          <w:p w14:paraId="1A92D5B2" w14:textId="77777777" w:rsidR="004A6712" w:rsidRPr="009E2B03" w:rsidRDefault="005A7280"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Data</w:t>
            </w:r>
            <w:r w:rsidR="004A6712" w:rsidRPr="009E2B03">
              <w:rPr>
                <w:rFonts w:ascii="Calibri Light" w:hAnsi="Calibri Light" w:cs="Arial"/>
                <w:color w:val="000000"/>
                <w:szCs w:val="18"/>
                <w:lang w:eastAsia="en-AU"/>
              </w:rPr>
              <w:t xml:space="preserve"> provides information on trends and patterns in domestic violence incidents reported to, or detected by,</w:t>
            </w:r>
            <w:r w:rsidR="00D27E0A" w:rsidRPr="009E2B03">
              <w:rPr>
                <w:rFonts w:ascii="Calibri Light" w:hAnsi="Calibri Light" w:cs="Arial"/>
                <w:color w:val="000000"/>
                <w:szCs w:val="18"/>
                <w:lang w:eastAsia="en-AU"/>
              </w:rPr>
              <w:t xml:space="preserve"> </w:t>
            </w:r>
            <w:r w:rsidR="004A6712" w:rsidRPr="009E2B03">
              <w:rPr>
                <w:rFonts w:ascii="Calibri Light" w:hAnsi="Calibri Light" w:cs="Arial"/>
                <w:color w:val="000000"/>
                <w:szCs w:val="18"/>
                <w:lang w:eastAsia="en-AU"/>
              </w:rPr>
              <w:t>the NSW Police Force. Data is available on:</w:t>
            </w:r>
            <w:r w:rsidR="00D27E0A" w:rsidRPr="009E2B03">
              <w:rPr>
                <w:rFonts w:ascii="Calibri Light" w:hAnsi="Calibri Light" w:cs="Arial"/>
                <w:color w:val="000000"/>
                <w:szCs w:val="18"/>
                <w:lang w:eastAsia="en-AU"/>
              </w:rPr>
              <w:t xml:space="preserve"> </w:t>
            </w:r>
            <w:r w:rsidR="004A6712" w:rsidRPr="009E2B03">
              <w:rPr>
                <w:rFonts w:ascii="Calibri Light" w:hAnsi="Calibri Light" w:cs="Arial"/>
                <w:color w:val="000000"/>
                <w:szCs w:val="18"/>
                <w:lang w:eastAsia="en-AU"/>
              </w:rPr>
              <w:t>types of domestic violence incidents recorded by police; spatial distribution of domestic violence incidents, including locations and premises at which these incidents occur; time of day, day of week and month that domestic violence incidents occur; involvement of alcohol in domestic violence incidents; and information about victims and perpetrators involved in domestic violence incidents,</w:t>
            </w:r>
            <w:r w:rsidR="00D27E0A" w:rsidRPr="009E2B03">
              <w:rPr>
                <w:rFonts w:ascii="Calibri Light" w:hAnsi="Calibri Light" w:cs="Arial"/>
                <w:color w:val="000000"/>
                <w:szCs w:val="18"/>
                <w:lang w:eastAsia="en-AU"/>
              </w:rPr>
              <w:t xml:space="preserve"> </w:t>
            </w:r>
            <w:r w:rsidR="004A6712" w:rsidRPr="009E2B03">
              <w:rPr>
                <w:rFonts w:ascii="Calibri Light" w:hAnsi="Calibri Light" w:cs="Arial"/>
                <w:color w:val="000000"/>
                <w:szCs w:val="18"/>
                <w:lang w:eastAsia="en-AU"/>
              </w:rPr>
              <w:t>including their gender, age, Indigenous status and</w:t>
            </w:r>
            <w:r w:rsidR="00D27E0A" w:rsidRPr="009E2B03">
              <w:rPr>
                <w:rFonts w:ascii="Calibri Light" w:hAnsi="Calibri Light" w:cs="Arial"/>
                <w:color w:val="000000"/>
                <w:szCs w:val="18"/>
                <w:lang w:eastAsia="en-AU"/>
              </w:rPr>
              <w:t xml:space="preserve"> </w:t>
            </w:r>
            <w:r w:rsidR="004A6712" w:rsidRPr="009E2B03">
              <w:rPr>
                <w:rFonts w:ascii="Calibri Light" w:hAnsi="Calibri Light" w:cs="Arial"/>
                <w:color w:val="000000"/>
                <w:szCs w:val="18"/>
                <w:lang w:eastAsia="en-AU"/>
              </w:rPr>
              <w:t>victim-offender relationship</w:t>
            </w:r>
            <w:r w:rsidR="00D27E0A" w:rsidRPr="009E2B03">
              <w:rPr>
                <w:rFonts w:ascii="Calibri Light" w:hAnsi="Calibri Light" w:cs="Arial"/>
                <w:color w:val="000000"/>
                <w:szCs w:val="18"/>
                <w:lang w:eastAsia="en-AU"/>
              </w:rPr>
              <w:t>.</w:t>
            </w:r>
          </w:p>
        </w:tc>
        <w:tc>
          <w:tcPr>
            <w:tcW w:w="2350" w:type="dxa"/>
            <w:hideMark/>
          </w:tcPr>
          <w:p w14:paraId="0E1CC17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NSW</w:t>
            </w:r>
          </w:p>
        </w:tc>
      </w:tr>
      <w:tr w:rsidR="004A6712" w:rsidRPr="009E2B03" w14:paraId="12659BDA" w14:textId="77777777" w:rsidTr="00941A03">
        <w:trPr>
          <w:trHeight w:val="98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2BF56DB4"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NSW Bureau of Crime Statistics and Research</w:t>
            </w:r>
          </w:p>
        </w:tc>
        <w:tc>
          <w:tcPr>
            <w:tcW w:w="3528" w:type="dxa"/>
            <w:hideMark/>
          </w:tcPr>
          <w:p w14:paraId="017E621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Reporting Violence to Police: A survey of victims attending domestic violence services, 2013</w:t>
            </w:r>
          </w:p>
        </w:tc>
        <w:tc>
          <w:tcPr>
            <w:tcW w:w="6051" w:type="dxa"/>
            <w:hideMark/>
          </w:tcPr>
          <w:p w14:paraId="6886E4F3" w14:textId="77777777" w:rsidR="004A6712" w:rsidRPr="009E2B03" w:rsidRDefault="004A6712">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The study investigate</w:t>
            </w:r>
            <w:r w:rsidR="00D27E0A" w:rsidRPr="009E2B03">
              <w:rPr>
                <w:rFonts w:ascii="Calibri Light" w:hAnsi="Calibri Light" w:cs="Arial"/>
                <w:color w:val="000000"/>
                <w:szCs w:val="18"/>
                <w:lang w:eastAsia="en-AU"/>
              </w:rPr>
              <w:t>s</w:t>
            </w:r>
            <w:r w:rsidRPr="009E2B03">
              <w:rPr>
                <w:rFonts w:ascii="Calibri Light" w:hAnsi="Calibri Light" w:cs="Arial"/>
                <w:color w:val="000000"/>
                <w:szCs w:val="18"/>
                <w:lang w:eastAsia="en-AU"/>
              </w:rPr>
              <w:t xml:space="preserve"> what proportion of domestic violence victims who seek help from </w:t>
            </w:r>
            <w:r w:rsidR="00D27E0A" w:rsidRPr="009E2B03">
              <w:rPr>
                <w:rFonts w:ascii="Calibri Light" w:hAnsi="Calibri Light" w:cs="Arial"/>
                <w:color w:val="000000"/>
                <w:szCs w:val="18"/>
                <w:lang w:eastAsia="en-AU"/>
              </w:rPr>
              <w:t>domestic violence</w:t>
            </w:r>
            <w:r w:rsidRPr="009E2B03">
              <w:rPr>
                <w:rFonts w:ascii="Calibri Light" w:hAnsi="Calibri Light" w:cs="Arial"/>
                <w:color w:val="000000"/>
                <w:szCs w:val="18"/>
                <w:lang w:eastAsia="en-AU"/>
              </w:rPr>
              <w:t xml:space="preserve"> services </w:t>
            </w:r>
            <w:r w:rsidR="00CD6949" w:rsidRPr="009E2B03">
              <w:rPr>
                <w:rFonts w:ascii="Calibri Light" w:hAnsi="Calibri Light" w:cs="Arial"/>
                <w:color w:val="000000"/>
                <w:szCs w:val="18"/>
                <w:lang w:eastAsia="en-AU"/>
              </w:rPr>
              <w:t xml:space="preserve">may </w:t>
            </w:r>
            <w:r w:rsidRPr="009E2B03">
              <w:rPr>
                <w:rFonts w:ascii="Calibri Light" w:hAnsi="Calibri Light" w:cs="Arial"/>
                <w:color w:val="000000"/>
                <w:szCs w:val="18"/>
                <w:lang w:eastAsia="en-AU"/>
              </w:rPr>
              <w:t>not report the violence to police and to investigate factors and reasons associated with non-reporting.</w:t>
            </w:r>
          </w:p>
        </w:tc>
        <w:tc>
          <w:tcPr>
            <w:tcW w:w="2350" w:type="dxa"/>
            <w:hideMark/>
          </w:tcPr>
          <w:p w14:paraId="1A0A262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NSW</w:t>
            </w:r>
          </w:p>
        </w:tc>
      </w:tr>
      <w:tr w:rsidR="004A6712" w:rsidRPr="009E2B03" w14:paraId="07441CBF" w14:textId="77777777" w:rsidTr="00941A03">
        <w:trPr>
          <w:trHeight w:val="1408"/>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5F18C832"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NSW Bureau of Crime Statistics and Research</w:t>
            </w:r>
          </w:p>
        </w:tc>
        <w:tc>
          <w:tcPr>
            <w:tcW w:w="3528" w:type="dxa"/>
            <w:hideMark/>
          </w:tcPr>
          <w:p w14:paraId="54C50360"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Trends and pa</w:t>
            </w:r>
            <w:r w:rsidR="00D27E0A" w:rsidRPr="009E2B03">
              <w:rPr>
                <w:rFonts w:ascii="Calibri Light" w:hAnsi="Calibri Light" w:cs="Arial"/>
                <w:color w:val="000000"/>
                <w:szCs w:val="18"/>
                <w:lang w:eastAsia="en-AU"/>
              </w:rPr>
              <w:t>t</w:t>
            </w:r>
            <w:r w:rsidRPr="009E2B03">
              <w:rPr>
                <w:rFonts w:ascii="Calibri Light" w:hAnsi="Calibri Light" w:cs="Arial"/>
                <w:color w:val="000000"/>
                <w:szCs w:val="18"/>
                <w:lang w:eastAsia="en-AU"/>
              </w:rPr>
              <w:t>terns in domestic assaults: 2001 to 2010, 2011</w:t>
            </w:r>
          </w:p>
        </w:tc>
        <w:tc>
          <w:tcPr>
            <w:tcW w:w="6051" w:type="dxa"/>
            <w:hideMark/>
          </w:tcPr>
          <w:p w14:paraId="251F523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report describes the current trends in domestic violence and factors associated with reporting offences to police in NSW. Descriptive analyses were conducted on all incidents of domestic assault recorded by NSW Police between 2001 and 2010. Factors associated with reporting of offences to police were examined using the Australian Bureau of Statistics, Crime Victimisation Survey 2008-09.</w:t>
            </w:r>
          </w:p>
        </w:tc>
        <w:tc>
          <w:tcPr>
            <w:tcW w:w="2350" w:type="dxa"/>
            <w:hideMark/>
          </w:tcPr>
          <w:p w14:paraId="3DA1E7B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NSW</w:t>
            </w:r>
          </w:p>
        </w:tc>
      </w:tr>
      <w:tr w:rsidR="004A6712" w:rsidRPr="009E2B03" w14:paraId="5DA3C1C5" w14:textId="77777777" w:rsidTr="00941A03">
        <w:trPr>
          <w:trHeight w:val="114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5B0F921E"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European Institute for Gender Equality</w:t>
            </w:r>
          </w:p>
        </w:tc>
        <w:tc>
          <w:tcPr>
            <w:tcW w:w="3528" w:type="dxa"/>
            <w:hideMark/>
          </w:tcPr>
          <w:p w14:paraId="7F6574B7"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Violence against women: an EU-wide survey. Main results report, 2014</w:t>
            </w:r>
          </w:p>
        </w:tc>
        <w:tc>
          <w:tcPr>
            <w:tcW w:w="6051" w:type="dxa"/>
            <w:hideMark/>
          </w:tcPr>
          <w:p w14:paraId="723B9F4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First report of its kind in </w:t>
            </w:r>
            <w:r w:rsidR="003B7BCE" w:rsidRPr="009E2B03">
              <w:rPr>
                <w:rFonts w:ascii="Calibri Light" w:hAnsi="Calibri Light" w:cs="Arial"/>
                <w:color w:val="000000"/>
                <w:szCs w:val="18"/>
                <w:lang w:eastAsia="en-AU"/>
              </w:rPr>
              <w:t>Europe</w:t>
            </w:r>
            <w:r w:rsidRPr="009E2B03">
              <w:rPr>
                <w:rFonts w:ascii="Calibri Light" w:hAnsi="Calibri Light" w:cs="Arial"/>
                <w:color w:val="000000"/>
                <w:szCs w:val="18"/>
                <w:lang w:eastAsia="en-AU"/>
              </w:rPr>
              <w:t>, based on interviews with 42,000 women across the E</w:t>
            </w:r>
            <w:r w:rsidR="00D27E0A" w:rsidRPr="009E2B03">
              <w:rPr>
                <w:rFonts w:ascii="Calibri Light" w:hAnsi="Calibri Light" w:cs="Arial"/>
                <w:color w:val="000000"/>
                <w:szCs w:val="18"/>
                <w:lang w:eastAsia="en-AU"/>
              </w:rPr>
              <w:t>uropean Union</w:t>
            </w:r>
            <w:r w:rsidRPr="009E2B03">
              <w:rPr>
                <w:rFonts w:ascii="Calibri Light" w:hAnsi="Calibri Light" w:cs="Arial"/>
                <w:color w:val="000000"/>
                <w:szCs w:val="18"/>
                <w:lang w:eastAsia="en-AU"/>
              </w:rPr>
              <w:t>, who were asked about their experiences of physical, sexual and psychological violence, including incidents of intimate partner violence (‘domestic violence’).</w:t>
            </w:r>
          </w:p>
        </w:tc>
        <w:tc>
          <w:tcPr>
            <w:tcW w:w="2350" w:type="dxa"/>
            <w:hideMark/>
          </w:tcPr>
          <w:p w14:paraId="745AE22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International </w:t>
            </w:r>
          </w:p>
        </w:tc>
      </w:tr>
      <w:tr w:rsidR="004A6712" w:rsidRPr="009E2B03" w14:paraId="47A73322" w14:textId="77777777" w:rsidTr="00941A03">
        <w:trPr>
          <w:trHeight w:val="57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6E4D9248"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European Institute for Gender Equality</w:t>
            </w:r>
          </w:p>
        </w:tc>
        <w:tc>
          <w:tcPr>
            <w:tcW w:w="3528" w:type="dxa"/>
            <w:hideMark/>
          </w:tcPr>
          <w:p w14:paraId="30F1CDB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Administrative data sources on Gender Based Violence in the EU</w:t>
            </w:r>
          </w:p>
        </w:tc>
        <w:tc>
          <w:tcPr>
            <w:tcW w:w="6051" w:type="dxa"/>
            <w:hideMark/>
          </w:tcPr>
          <w:p w14:paraId="476CCAC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Searchable tool on </w:t>
            </w:r>
            <w:r w:rsidR="000976EC" w:rsidRPr="009E2B03">
              <w:rPr>
                <w:rFonts w:ascii="Calibri Light" w:hAnsi="Calibri Light" w:cs="Arial"/>
                <w:color w:val="000000"/>
                <w:szCs w:val="18"/>
                <w:lang w:eastAsia="en-AU"/>
              </w:rPr>
              <w:t>domestic violence</w:t>
            </w:r>
            <w:r w:rsidRPr="009E2B03">
              <w:rPr>
                <w:rFonts w:ascii="Calibri Light" w:hAnsi="Calibri Light" w:cs="Arial"/>
                <w:color w:val="000000"/>
                <w:szCs w:val="18"/>
                <w:lang w:eastAsia="en-AU"/>
              </w:rPr>
              <w:t xml:space="preserve"> data for all 28 E</w:t>
            </w:r>
            <w:r w:rsidR="000976EC" w:rsidRPr="009E2B03">
              <w:rPr>
                <w:rFonts w:ascii="Calibri Light" w:hAnsi="Calibri Light" w:cs="Arial"/>
                <w:color w:val="000000"/>
                <w:szCs w:val="18"/>
                <w:lang w:eastAsia="en-AU"/>
              </w:rPr>
              <w:t>uropean Union</w:t>
            </w:r>
            <w:r w:rsidRPr="009E2B03">
              <w:rPr>
                <w:rFonts w:ascii="Calibri Light" w:hAnsi="Calibri Light" w:cs="Arial"/>
                <w:color w:val="000000"/>
                <w:szCs w:val="18"/>
                <w:lang w:eastAsia="en-AU"/>
              </w:rPr>
              <w:t xml:space="preserve"> countries</w:t>
            </w:r>
            <w:r w:rsidR="000976EC" w:rsidRPr="009E2B03">
              <w:rPr>
                <w:rFonts w:ascii="Calibri Light" w:hAnsi="Calibri Light" w:cs="Arial"/>
                <w:color w:val="000000"/>
                <w:szCs w:val="18"/>
                <w:lang w:eastAsia="en-AU"/>
              </w:rPr>
              <w:t>.</w:t>
            </w:r>
          </w:p>
        </w:tc>
        <w:tc>
          <w:tcPr>
            <w:tcW w:w="2350" w:type="dxa"/>
            <w:hideMark/>
          </w:tcPr>
          <w:p w14:paraId="33AB249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International </w:t>
            </w:r>
          </w:p>
        </w:tc>
      </w:tr>
      <w:tr w:rsidR="004A6712" w:rsidRPr="009E2B03" w14:paraId="4564D204" w14:textId="77777777" w:rsidTr="00941A03">
        <w:trPr>
          <w:trHeight w:val="1948"/>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7461725F"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lastRenderedPageBreak/>
              <w:t>Australian Institute of Family Studies</w:t>
            </w:r>
          </w:p>
        </w:tc>
        <w:tc>
          <w:tcPr>
            <w:tcW w:w="3528" w:type="dxa"/>
            <w:hideMark/>
          </w:tcPr>
          <w:p w14:paraId="596D8A3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Children's exposure to domestic and family violence, 2015</w:t>
            </w:r>
          </w:p>
        </w:tc>
        <w:tc>
          <w:tcPr>
            <w:tcW w:w="6051" w:type="dxa"/>
            <w:hideMark/>
          </w:tcPr>
          <w:p w14:paraId="5A5D3D5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This paper examines the literature assessing children's exposure to domestic </w:t>
            </w:r>
            <w:r w:rsidR="003B7BCE" w:rsidRPr="009E2B03">
              <w:rPr>
                <w:rFonts w:ascii="Calibri Light" w:hAnsi="Calibri Light" w:cs="Arial"/>
                <w:color w:val="000000"/>
                <w:szCs w:val="18"/>
                <w:lang w:eastAsia="en-AU"/>
              </w:rPr>
              <w:t>and family violence, and find</w:t>
            </w:r>
            <w:r w:rsidRPr="009E2B03">
              <w:rPr>
                <w:rFonts w:ascii="Calibri Light" w:hAnsi="Calibri Light" w:cs="Arial"/>
                <w:color w:val="000000"/>
                <w:szCs w:val="18"/>
                <w:lang w:eastAsia="en-AU"/>
              </w:rPr>
              <w:t>s that domestic and family violence can affect children's behaviour, schooling, cognitive development, mental and physical wellbeing, and is the leading cause of homelessness for children. Children who grow up in families where domestic and family violence occur are also more likely to experience other forms of child abuse, such as sexual, physical and emotional abuse</w:t>
            </w:r>
            <w:r w:rsidR="000976EC" w:rsidRPr="009E2B03">
              <w:rPr>
                <w:rFonts w:ascii="Calibri Light" w:hAnsi="Calibri Light" w:cs="Arial"/>
                <w:color w:val="000000"/>
                <w:szCs w:val="18"/>
                <w:lang w:eastAsia="en-AU"/>
              </w:rPr>
              <w:t xml:space="preserve"> and </w:t>
            </w:r>
            <w:r w:rsidRPr="009E2B03">
              <w:rPr>
                <w:rFonts w:ascii="Calibri Light" w:hAnsi="Calibri Light" w:cs="Arial"/>
                <w:color w:val="000000"/>
                <w:szCs w:val="18"/>
                <w:lang w:eastAsia="en-AU"/>
              </w:rPr>
              <w:t>maltreatment.</w:t>
            </w:r>
          </w:p>
        </w:tc>
        <w:tc>
          <w:tcPr>
            <w:tcW w:w="2350" w:type="dxa"/>
            <w:hideMark/>
          </w:tcPr>
          <w:p w14:paraId="46083EF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70749742" w14:textId="77777777" w:rsidTr="00941A03">
        <w:trPr>
          <w:trHeight w:val="1551"/>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47D9AB16"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Family Studies</w:t>
            </w:r>
          </w:p>
        </w:tc>
        <w:tc>
          <w:tcPr>
            <w:tcW w:w="3528" w:type="dxa"/>
            <w:hideMark/>
          </w:tcPr>
          <w:p w14:paraId="0485375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 and family violence in regional, rural and remote communities, 2015</w:t>
            </w:r>
          </w:p>
        </w:tc>
        <w:tc>
          <w:tcPr>
            <w:tcW w:w="6051" w:type="dxa"/>
            <w:hideMark/>
          </w:tcPr>
          <w:p w14:paraId="05A9085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report examines the rates of domestic and family violence in regional, rural and remote areas, concluding that rates of violence are higher in those areas, Geographical and social structures in these communities, as well as unique social values and norms, result in specific experiences of domestic and family violence. These issues also affect responses to domestic and family violence in non-urban communities, and women's ability to seek help and access services</w:t>
            </w:r>
            <w:r w:rsidR="000976EC" w:rsidRPr="009E2B03">
              <w:rPr>
                <w:rFonts w:ascii="Calibri Light" w:hAnsi="Calibri Light" w:cs="Arial"/>
                <w:color w:val="000000"/>
                <w:szCs w:val="18"/>
                <w:lang w:eastAsia="en-AU"/>
              </w:rPr>
              <w:t>.</w:t>
            </w:r>
          </w:p>
        </w:tc>
        <w:tc>
          <w:tcPr>
            <w:tcW w:w="2350" w:type="dxa"/>
            <w:hideMark/>
          </w:tcPr>
          <w:p w14:paraId="40B164C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52F682F9" w14:textId="77777777" w:rsidTr="00941A03">
        <w:trPr>
          <w:trHeight w:val="1266"/>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43DBC52C"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Family Studies</w:t>
            </w:r>
          </w:p>
        </w:tc>
        <w:tc>
          <w:tcPr>
            <w:tcW w:w="3528" w:type="dxa"/>
            <w:hideMark/>
          </w:tcPr>
          <w:p w14:paraId="61280F1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 and family violence in pregnancy and early parenthood, 2015</w:t>
            </w:r>
          </w:p>
        </w:tc>
        <w:tc>
          <w:tcPr>
            <w:tcW w:w="6051" w:type="dxa"/>
            <w:hideMark/>
          </w:tcPr>
          <w:p w14:paraId="58D8951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This paper provides an overview of the issues relevant to understanding domestic and family violence during pregnancy and then examines implications for practice and some promising interventions for responding to domestic and family violence and preventing future violence. </w:t>
            </w:r>
          </w:p>
        </w:tc>
        <w:tc>
          <w:tcPr>
            <w:tcW w:w="2350" w:type="dxa"/>
            <w:hideMark/>
          </w:tcPr>
          <w:p w14:paraId="07DD619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6E74C9F7" w14:textId="77777777" w:rsidTr="00941A03">
        <w:trPr>
          <w:trHeight w:val="114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560B7A79"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Family Studies</w:t>
            </w:r>
          </w:p>
        </w:tc>
        <w:tc>
          <w:tcPr>
            <w:tcW w:w="3528" w:type="dxa"/>
            <w:hideMark/>
          </w:tcPr>
          <w:p w14:paraId="1166630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Intimate partner violence in lesbian, gay, bisexual, trans, intersex and queer communities, 2015</w:t>
            </w:r>
          </w:p>
        </w:tc>
        <w:tc>
          <w:tcPr>
            <w:tcW w:w="6051" w:type="dxa"/>
            <w:hideMark/>
          </w:tcPr>
          <w:p w14:paraId="1FF0D82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Report looks into problems and issues surrounding LGBTIQ communities and violence, considering violence rates; lack of acknowledgement that there </w:t>
            </w:r>
            <w:r w:rsidR="000976EC" w:rsidRPr="009E2B03">
              <w:rPr>
                <w:rFonts w:ascii="Calibri Light" w:hAnsi="Calibri Light" w:cs="Arial"/>
                <w:color w:val="000000"/>
                <w:szCs w:val="18"/>
                <w:lang w:eastAsia="en-AU"/>
              </w:rPr>
              <w:t>are</w:t>
            </w:r>
            <w:r w:rsidRPr="009E2B03">
              <w:rPr>
                <w:rFonts w:ascii="Calibri Light" w:hAnsi="Calibri Light" w:cs="Arial"/>
                <w:color w:val="000000"/>
                <w:szCs w:val="18"/>
                <w:lang w:eastAsia="en-AU"/>
              </w:rPr>
              <w:t xml:space="preserve"> issues; and lack of policy targeted at their needs</w:t>
            </w:r>
            <w:r w:rsidR="000976EC" w:rsidRPr="009E2B03">
              <w:rPr>
                <w:rFonts w:ascii="Calibri Light" w:hAnsi="Calibri Light" w:cs="Arial"/>
                <w:color w:val="000000"/>
                <w:szCs w:val="18"/>
                <w:lang w:eastAsia="en-AU"/>
              </w:rPr>
              <w:t>.</w:t>
            </w:r>
          </w:p>
        </w:tc>
        <w:tc>
          <w:tcPr>
            <w:tcW w:w="2350" w:type="dxa"/>
            <w:hideMark/>
          </w:tcPr>
          <w:p w14:paraId="75A24D1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69910227" w14:textId="77777777" w:rsidTr="00941A03">
        <w:trPr>
          <w:trHeight w:val="114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1174FBC0"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Criminology</w:t>
            </w:r>
          </w:p>
        </w:tc>
        <w:tc>
          <w:tcPr>
            <w:tcW w:w="3528" w:type="dxa"/>
            <w:hideMark/>
          </w:tcPr>
          <w:p w14:paraId="4FEAA15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Domestic/family homicide in Australia, 2015</w:t>
            </w:r>
          </w:p>
        </w:tc>
        <w:tc>
          <w:tcPr>
            <w:tcW w:w="6051" w:type="dxa"/>
            <w:hideMark/>
          </w:tcPr>
          <w:p w14:paraId="773C16A3"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report presents data for the period 1 July 2002 through 30 June 2012 and provides information collected from all state and territory police services regarding murders and manslaughters in each jurisdiction on domestic</w:t>
            </w:r>
            <w:r w:rsidR="000976EC" w:rsidRPr="009E2B03">
              <w:rPr>
                <w:rFonts w:ascii="Calibri Light" w:hAnsi="Calibri Light" w:cs="Arial"/>
                <w:color w:val="000000"/>
                <w:szCs w:val="18"/>
                <w:lang w:eastAsia="en-AU"/>
              </w:rPr>
              <w:t xml:space="preserve"> and </w:t>
            </w:r>
            <w:r w:rsidRPr="009E2B03">
              <w:rPr>
                <w:rFonts w:ascii="Calibri Light" w:hAnsi="Calibri Light" w:cs="Arial"/>
                <w:color w:val="000000"/>
                <w:szCs w:val="18"/>
                <w:lang w:eastAsia="en-AU"/>
              </w:rPr>
              <w:t>family homicides</w:t>
            </w:r>
            <w:r w:rsidR="000976EC" w:rsidRPr="009E2B03">
              <w:rPr>
                <w:rFonts w:ascii="Calibri Light" w:hAnsi="Calibri Light" w:cs="Arial"/>
                <w:color w:val="000000"/>
                <w:szCs w:val="18"/>
                <w:lang w:eastAsia="en-AU"/>
              </w:rPr>
              <w:t>.</w:t>
            </w:r>
          </w:p>
        </w:tc>
        <w:tc>
          <w:tcPr>
            <w:tcW w:w="2350" w:type="dxa"/>
            <w:hideMark/>
          </w:tcPr>
          <w:p w14:paraId="573D667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2603984D" w14:textId="77777777" w:rsidTr="00941A03">
        <w:trPr>
          <w:trHeight w:val="855"/>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7B0C75F8"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Women NSW</w:t>
            </w:r>
          </w:p>
        </w:tc>
        <w:tc>
          <w:tcPr>
            <w:tcW w:w="3528" w:type="dxa"/>
            <w:hideMark/>
          </w:tcPr>
          <w:p w14:paraId="2816A933"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Less to lose and more to gain? Men and boys violence prevention Research Project, 2014</w:t>
            </w:r>
          </w:p>
        </w:tc>
        <w:tc>
          <w:tcPr>
            <w:tcW w:w="6051" w:type="dxa"/>
            <w:hideMark/>
          </w:tcPr>
          <w:p w14:paraId="0865D7F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report reviews literature and data of best practice from Australia and internationally regarding violence against women primary prevention</w:t>
            </w:r>
            <w:r w:rsidR="004A7DC3" w:rsidRPr="009E2B03">
              <w:rPr>
                <w:rFonts w:ascii="Calibri Light" w:hAnsi="Calibri Light" w:cs="Arial"/>
                <w:color w:val="000000"/>
                <w:szCs w:val="18"/>
                <w:lang w:eastAsia="en-AU"/>
              </w:rPr>
              <w:t>.</w:t>
            </w:r>
          </w:p>
        </w:tc>
        <w:tc>
          <w:tcPr>
            <w:tcW w:w="2350" w:type="dxa"/>
            <w:hideMark/>
          </w:tcPr>
          <w:p w14:paraId="461B727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NSW</w:t>
            </w:r>
          </w:p>
        </w:tc>
      </w:tr>
      <w:tr w:rsidR="004A6712" w:rsidRPr="009E2B03" w14:paraId="15707392" w14:textId="77777777" w:rsidTr="00941A03">
        <w:trPr>
          <w:trHeight w:val="1651"/>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72F67D9D"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lastRenderedPageBreak/>
              <w:t>Women NSW, prepared by the Australian Institute of Family Studies</w:t>
            </w:r>
          </w:p>
        </w:tc>
        <w:tc>
          <w:tcPr>
            <w:tcW w:w="3528" w:type="dxa"/>
            <w:hideMark/>
          </w:tcPr>
          <w:p w14:paraId="753DE05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Groups and communities at risk of domestic and family violence - A review and evaluation of domestic and family violence prevention and early intervention services focusing on at-risk groups and communities, 2014 </w:t>
            </w:r>
          </w:p>
        </w:tc>
        <w:tc>
          <w:tcPr>
            <w:tcW w:w="6051" w:type="dxa"/>
            <w:hideMark/>
          </w:tcPr>
          <w:p w14:paraId="61D4C153" w14:textId="77777777" w:rsidR="004A6712" w:rsidRPr="009E2B03" w:rsidRDefault="004A6712">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This report contributes to the development of the knowledge base on DFV prevention strategies and the needs of at-risk groups and communities. These groups include Aboriginal and Torres Strait Islander women, women from </w:t>
            </w:r>
            <w:r w:rsidR="004A7DC3" w:rsidRPr="009E2B03">
              <w:rPr>
                <w:rFonts w:ascii="Calibri Light" w:hAnsi="Calibri Light" w:cs="Arial"/>
                <w:color w:val="000000"/>
                <w:szCs w:val="18"/>
                <w:lang w:eastAsia="en-AU"/>
              </w:rPr>
              <w:t>CALD</w:t>
            </w:r>
            <w:r w:rsidRPr="009E2B03">
              <w:rPr>
                <w:rFonts w:ascii="Calibri Light" w:hAnsi="Calibri Light" w:cs="Arial"/>
                <w:color w:val="000000"/>
                <w:szCs w:val="18"/>
                <w:lang w:eastAsia="en-AU"/>
              </w:rPr>
              <w:t xml:space="preserve"> </w:t>
            </w:r>
            <w:r w:rsidR="004A7DC3" w:rsidRPr="009E2B03">
              <w:rPr>
                <w:rFonts w:ascii="Calibri Light" w:hAnsi="Calibri Light" w:cs="Arial"/>
                <w:color w:val="000000"/>
                <w:szCs w:val="18"/>
                <w:lang w:eastAsia="en-AU"/>
              </w:rPr>
              <w:t>c</w:t>
            </w:r>
            <w:r w:rsidRPr="009E2B03">
              <w:rPr>
                <w:rFonts w:ascii="Calibri Light" w:hAnsi="Calibri Light" w:cs="Arial"/>
                <w:color w:val="000000"/>
                <w:szCs w:val="18"/>
                <w:lang w:eastAsia="en-AU"/>
              </w:rPr>
              <w:t>ommunities, people who identify as GLBTIQ, young women and women in regional, rural and remote (non-urban) communities</w:t>
            </w:r>
            <w:r w:rsidR="004A7DC3" w:rsidRPr="009E2B03">
              <w:rPr>
                <w:rFonts w:ascii="Calibri Light" w:hAnsi="Calibri Light" w:cs="Arial"/>
                <w:color w:val="000000"/>
                <w:szCs w:val="18"/>
                <w:lang w:eastAsia="en-AU"/>
              </w:rPr>
              <w:t>.</w:t>
            </w:r>
          </w:p>
        </w:tc>
        <w:tc>
          <w:tcPr>
            <w:tcW w:w="2350" w:type="dxa"/>
            <w:hideMark/>
          </w:tcPr>
          <w:p w14:paraId="3A0964E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NSW</w:t>
            </w:r>
          </w:p>
        </w:tc>
      </w:tr>
      <w:tr w:rsidR="004A6712" w:rsidRPr="009E2B03" w14:paraId="6E1D72B9" w14:textId="77777777" w:rsidTr="00941A03">
        <w:trPr>
          <w:trHeight w:val="211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160E5B5E"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Women NSW, prepared by the Australian Institute of Family Studies</w:t>
            </w:r>
          </w:p>
        </w:tc>
        <w:tc>
          <w:tcPr>
            <w:tcW w:w="3528" w:type="dxa"/>
            <w:hideMark/>
          </w:tcPr>
          <w:p w14:paraId="3FD3E8E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Children affected by domestic and family violence - A review of domestic and family violence prevention, early intervention and response services, 2014</w:t>
            </w:r>
          </w:p>
        </w:tc>
        <w:tc>
          <w:tcPr>
            <w:tcW w:w="6051" w:type="dxa"/>
            <w:hideMark/>
          </w:tcPr>
          <w:p w14:paraId="3F9A07BC" w14:textId="77777777" w:rsidR="004A6712" w:rsidRPr="009E2B03" w:rsidRDefault="004A6712">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report sets out the findings of research into DFV prevention, early intervention and response for children aged</w:t>
            </w:r>
            <w:r w:rsidR="004A7DC3" w:rsidRPr="009E2B03">
              <w:rPr>
                <w:rFonts w:ascii="Calibri Light" w:hAnsi="Calibri Light" w:cs="Arial"/>
                <w:color w:val="000000"/>
                <w:szCs w:val="18"/>
                <w:lang w:eastAsia="en-AU"/>
              </w:rPr>
              <w:t xml:space="preserve"> up to eight</w:t>
            </w:r>
            <w:r w:rsidRPr="009E2B03">
              <w:rPr>
                <w:rFonts w:ascii="Calibri Light" w:hAnsi="Calibri Light" w:cs="Arial"/>
                <w:color w:val="000000"/>
                <w:szCs w:val="18"/>
                <w:lang w:eastAsia="en-AU"/>
              </w:rPr>
              <w:t xml:space="preserve"> years. The research had two areas of focus: synthesising the literature on the impacts of DFV on children, and on the evidence for primary prevention and early intervention strategies for children aged </w:t>
            </w:r>
            <w:r w:rsidR="004A7DC3" w:rsidRPr="009E2B03">
              <w:rPr>
                <w:rFonts w:ascii="Calibri Light" w:hAnsi="Calibri Light" w:cs="Arial"/>
                <w:color w:val="000000"/>
                <w:szCs w:val="18"/>
                <w:lang w:eastAsia="en-AU"/>
              </w:rPr>
              <w:t xml:space="preserve">up to eight </w:t>
            </w:r>
            <w:r w:rsidRPr="009E2B03">
              <w:rPr>
                <w:rFonts w:ascii="Calibri Light" w:hAnsi="Calibri Light" w:cs="Arial"/>
                <w:color w:val="000000"/>
                <w:szCs w:val="18"/>
                <w:lang w:eastAsia="en-AU"/>
              </w:rPr>
              <w:t xml:space="preserve">years; and identifying best practice approaches for primary prevention, early intervention and response for </w:t>
            </w:r>
            <w:r w:rsidR="004A7DC3" w:rsidRPr="009E2B03">
              <w:rPr>
                <w:rFonts w:ascii="Calibri Light" w:hAnsi="Calibri Light" w:cs="Arial"/>
                <w:color w:val="000000"/>
                <w:szCs w:val="18"/>
                <w:lang w:eastAsia="en-AU"/>
              </w:rPr>
              <w:t xml:space="preserve">those </w:t>
            </w:r>
            <w:r w:rsidRPr="009E2B03">
              <w:rPr>
                <w:rFonts w:ascii="Calibri Light" w:hAnsi="Calibri Light" w:cs="Arial"/>
                <w:color w:val="000000"/>
                <w:szCs w:val="18"/>
                <w:lang w:eastAsia="en-AU"/>
              </w:rPr>
              <w:t xml:space="preserve">children, and identifying the extent to which these needs are met within existing DVF primary prevention, early intervention, and response approaches in Australia. </w:t>
            </w:r>
          </w:p>
        </w:tc>
        <w:tc>
          <w:tcPr>
            <w:tcW w:w="2350" w:type="dxa"/>
            <w:hideMark/>
          </w:tcPr>
          <w:p w14:paraId="132784C7"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NSW</w:t>
            </w:r>
          </w:p>
        </w:tc>
      </w:tr>
      <w:tr w:rsidR="004A6712" w:rsidRPr="009E2B03" w14:paraId="15B23512" w14:textId="77777777" w:rsidTr="00941A03">
        <w:trPr>
          <w:trHeight w:val="981"/>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7AC71864"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Domestic Violence Resource Centre Victoria</w:t>
            </w:r>
          </w:p>
        </w:tc>
        <w:tc>
          <w:tcPr>
            <w:tcW w:w="3528" w:type="dxa"/>
            <w:hideMark/>
          </w:tcPr>
          <w:p w14:paraId="42FFB7D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Bad Mothers and Invisible Fathers - Parenting in the Context of Domestic Violence, 2009</w:t>
            </w:r>
          </w:p>
        </w:tc>
        <w:tc>
          <w:tcPr>
            <w:tcW w:w="6051" w:type="dxa"/>
            <w:hideMark/>
          </w:tcPr>
          <w:p w14:paraId="673C117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Discussion Paper draws on recent research from the United Kingdom, North America and Australia to illuminate how domestic violence affects women’s abilities to mother a couple’s children and how mothering in such situations can trap women in gendered violence</w:t>
            </w:r>
            <w:r w:rsidR="004A7DC3" w:rsidRPr="009E2B03">
              <w:rPr>
                <w:rFonts w:ascii="Calibri Light" w:hAnsi="Calibri Light" w:cs="Arial"/>
                <w:color w:val="000000"/>
                <w:szCs w:val="18"/>
                <w:lang w:eastAsia="en-AU"/>
              </w:rPr>
              <w:t>.</w:t>
            </w:r>
          </w:p>
        </w:tc>
        <w:tc>
          <w:tcPr>
            <w:tcW w:w="2350" w:type="dxa"/>
            <w:hideMark/>
          </w:tcPr>
          <w:p w14:paraId="0676C6B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Victoria</w:t>
            </w:r>
          </w:p>
        </w:tc>
      </w:tr>
      <w:tr w:rsidR="004A6712" w:rsidRPr="009E2B03" w14:paraId="75C3A3DF" w14:textId="77777777" w:rsidTr="00941A03">
        <w:trPr>
          <w:trHeight w:val="1691"/>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70AABE2A"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Domestic Violence Resource Centre Victoria</w:t>
            </w:r>
          </w:p>
        </w:tc>
        <w:tc>
          <w:tcPr>
            <w:tcW w:w="3528" w:type="dxa"/>
            <w:hideMark/>
          </w:tcPr>
          <w:p w14:paraId="614E4E2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Family Violence and Homelessness - Removing the Perpetrator from the Home, 2002</w:t>
            </w:r>
          </w:p>
        </w:tc>
        <w:tc>
          <w:tcPr>
            <w:tcW w:w="6051" w:type="dxa"/>
            <w:hideMark/>
          </w:tcPr>
          <w:p w14:paraId="1419734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discussion paper presents suggestions as to how policy can be directed to removing violent men from the family home, evaluates the two main legal interventions that exist in Victoria to enable this to happen, and discusses obstacles typically faced by those who pursue these legal interventions. The paper also explores some of the strategies and initiatives that have emerged elsewhere to address the problems identified, and recommends ways of making positive change.</w:t>
            </w:r>
          </w:p>
        </w:tc>
        <w:tc>
          <w:tcPr>
            <w:tcW w:w="2350" w:type="dxa"/>
            <w:hideMark/>
          </w:tcPr>
          <w:p w14:paraId="2F694D3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Victoria</w:t>
            </w:r>
          </w:p>
        </w:tc>
      </w:tr>
      <w:tr w:rsidR="004A6712" w:rsidRPr="009E2B03" w14:paraId="5A6C2758" w14:textId="77777777" w:rsidTr="00941A03">
        <w:trPr>
          <w:trHeight w:val="114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6D729600"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Domestic Violence Resource Centre Victoria</w:t>
            </w:r>
          </w:p>
        </w:tc>
        <w:tc>
          <w:tcPr>
            <w:tcW w:w="3528" w:type="dxa"/>
            <w:hideMark/>
          </w:tcPr>
          <w:p w14:paraId="5FF15EB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Violence-Induced Disability: the Consequences of Violence Against Women and Children, 2006</w:t>
            </w:r>
          </w:p>
        </w:tc>
        <w:tc>
          <w:tcPr>
            <w:tcW w:w="6051" w:type="dxa"/>
            <w:hideMark/>
          </w:tcPr>
          <w:p w14:paraId="49CC18F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paper explores one of the links between domestic and family violence and disability in Australia, in the form of violence-induced disability.</w:t>
            </w:r>
          </w:p>
        </w:tc>
        <w:tc>
          <w:tcPr>
            <w:tcW w:w="2350" w:type="dxa"/>
            <w:hideMark/>
          </w:tcPr>
          <w:p w14:paraId="35E62D7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Victoria</w:t>
            </w:r>
          </w:p>
        </w:tc>
      </w:tr>
      <w:tr w:rsidR="004A6712" w:rsidRPr="009E2B03" w14:paraId="09942543" w14:textId="77777777" w:rsidTr="00941A03">
        <w:trPr>
          <w:trHeight w:val="855"/>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022E3C61"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lastRenderedPageBreak/>
              <w:t>Special Taskforce on Domestic and Family Violence in Queensland</w:t>
            </w:r>
          </w:p>
        </w:tc>
        <w:tc>
          <w:tcPr>
            <w:tcW w:w="3528" w:type="dxa"/>
            <w:hideMark/>
          </w:tcPr>
          <w:p w14:paraId="42CF0DC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Not Now, Not Never. Putting an end to domestic violence in Queensland</w:t>
            </w:r>
          </w:p>
        </w:tc>
        <w:tc>
          <w:tcPr>
            <w:tcW w:w="6051" w:type="dxa"/>
            <w:hideMark/>
          </w:tcPr>
          <w:p w14:paraId="1C519D5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This is a substantial report on domestic violence, both in terms of data collected and recommendations moving forward (appendices included) </w:t>
            </w:r>
          </w:p>
        </w:tc>
        <w:tc>
          <w:tcPr>
            <w:tcW w:w="2350" w:type="dxa"/>
            <w:hideMark/>
          </w:tcPr>
          <w:p w14:paraId="020EB72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Queensland</w:t>
            </w:r>
          </w:p>
        </w:tc>
      </w:tr>
      <w:tr w:rsidR="004A6712" w:rsidRPr="009E2B03" w14:paraId="16AA22B6" w14:textId="77777777" w:rsidTr="00941A03">
        <w:trPr>
          <w:trHeight w:val="2084"/>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13663EA1"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Queensland Centre for Domestic and Family Violence Research</w:t>
            </w:r>
          </w:p>
        </w:tc>
        <w:tc>
          <w:tcPr>
            <w:tcW w:w="3528" w:type="dxa"/>
            <w:hideMark/>
          </w:tcPr>
          <w:p w14:paraId="547D754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Data Collection Summaries</w:t>
            </w:r>
          </w:p>
        </w:tc>
        <w:tc>
          <w:tcPr>
            <w:tcW w:w="6051" w:type="dxa"/>
            <w:hideMark/>
          </w:tcPr>
          <w:p w14:paraId="6C09FF3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is statistical information collated from data provided by domestic and family violence prevention and support services funded by the Queensland Government’s Department of Communities, Child Safety and Disability Services. The data are collected by service providers in respect of each new client matter presenting for assistance in relation to domestic or family violence, as well as each continuing client, over a two week period. These data only relate to people who access support services and should not be seen to represent the incidence of domestic and family violence in Queensland</w:t>
            </w:r>
            <w:r w:rsidR="004A7DC3" w:rsidRPr="009E2B03">
              <w:rPr>
                <w:rFonts w:ascii="Calibri Light" w:hAnsi="Calibri Light" w:cs="Arial"/>
                <w:color w:val="000000"/>
                <w:szCs w:val="18"/>
                <w:lang w:eastAsia="en-AU"/>
              </w:rPr>
              <w:t>.</w:t>
            </w:r>
          </w:p>
        </w:tc>
        <w:tc>
          <w:tcPr>
            <w:tcW w:w="2350" w:type="dxa"/>
            <w:hideMark/>
          </w:tcPr>
          <w:p w14:paraId="5691139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Queensland</w:t>
            </w:r>
          </w:p>
        </w:tc>
      </w:tr>
      <w:tr w:rsidR="004A6712" w:rsidRPr="009E2B03" w14:paraId="59E75DC9" w14:textId="77777777" w:rsidTr="00941A03">
        <w:trPr>
          <w:trHeight w:val="114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18026E32"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Criminology</w:t>
            </w:r>
          </w:p>
        </w:tc>
        <w:tc>
          <w:tcPr>
            <w:tcW w:w="3528" w:type="dxa"/>
            <w:hideMark/>
          </w:tcPr>
          <w:p w14:paraId="304A31F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Domestic/family homicide in Australia, 2015</w:t>
            </w:r>
          </w:p>
        </w:tc>
        <w:tc>
          <w:tcPr>
            <w:tcW w:w="6051" w:type="dxa"/>
            <w:hideMark/>
          </w:tcPr>
          <w:p w14:paraId="296C3E6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report presents data for the period 1 July 2002 through 30 June 2012 and provides information collected from all state and territory police services regarding murders and manslaughters in each jurisdiction on domestic</w:t>
            </w:r>
            <w:r w:rsidR="004A7DC3" w:rsidRPr="009E2B03">
              <w:rPr>
                <w:rFonts w:ascii="Calibri Light" w:hAnsi="Calibri Light" w:cs="Arial"/>
                <w:color w:val="000000"/>
                <w:szCs w:val="18"/>
                <w:lang w:eastAsia="en-AU"/>
              </w:rPr>
              <w:t xml:space="preserve"> and </w:t>
            </w:r>
            <w:r w:rsidRPr="009E2B03">
              <w:rPr>
                <w:rFonts w:ascii="Calibri Light" w:hAnsi="Calibri Light" w:cs="Arial"/>
                <w:color w:val="000000"/>
                <w:szCs w:val="18"/>
                <w:lang w:eastAsia="en-AU"/>
              </w:rPr>
              <w:t>family homicides</w:t>
            </w:r>
            <w:r w:rsidR="004A7DC3" w:rsidRPr="009E2B03">
              <w:rPr>
                <w:rFonts w:ascii="Calibri Light" w:hAnsi="Calibri Light" w:cs="Arial"/>
                <w:color w:val="000000"/>
                <w:szCs w:val="18"/>
                <w:lang w:eastAsia="en-AU"/>
              </w:rPr>
              <w:t>.</w:t>
            </w:r>
          </w:p>
        </w:tc>
        <w:tc>
          <w:tcPr>
            <w:tcW w:w="2350" w:type="dxa"/>
            <w:hideMark/>
          </w:tcPr>
          <w:p w14:paraId="38A2D58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2437F2AB" w14:textId="77777777" w:rsidTr="00941A03">
        <w:trPr>
          <w:trHeight w:val="855"/>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1C05C083"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Criminology</w:t>
            </w:r>
          </w:p>
        </w:tc>
        <w:tc>
          <w:tcPr>
            <w:tcW w:w="3528" w:type="dxa"/>
            <w:hideMark/>
          </w:tcPr>
          <w:p w14:paraId="23B728E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Intimate partner abuse of women in a Central Queensland mining region</w:t>
            </w:r>
          </w:p>
        </w:tc>
        <w:tc>
          <w:tcPr>
            <w:tcW w:w="6051" w:type="dxa"/>
            <w:hideMark/>
          </w:tcPr>
          <w:p w14:paraId="44A9BC9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Survey of 532 women in a remote mining region. </w:t>
            </w:r>
            <w:r w:rsidR="004A7DC3" w:rsidRPr="009E2B03">
              <w:rPr>
                <w:rFonts w:ascii="Calibri Light" w:hAnsi="Calibri Light" w:cs="Arial"/>
                <w:color w:val="000000"/>
                <w:szCs w:val="18"/>
                <w:lang w:eastAsia="en-AU"/>
              </w:rPr>
              <w:t xml:space="preserve">Of the survey participants, </w:t>
            </w:r>
            <w:r w:rsidRPr="009E2B03">
              <w:rPr>
                <w:rFonts w:ascii="Calibri Light" w:hAnsi="Calibri Light" w:cs="Arial"/>
                <w:color w:val="000000"/>
                <w:szCs w:val="18"/>
                <w:lang w:eastAsia="en-AU"/>
              </w:rPr>
              <w:t>11.5</w:t>
            </w:r>
            <w:r w:rsidR="004A7DC3" w:rsidRPr="009E2B03">
              <w:rPr>
                <w:rFonts w:ascii="Calibri Light" w:hAnsi="Calibri Light" w:cs="Arial"/>
                <w:color w:val="000000"/>
                <w:szCs w:val="18"/>
                <w:lang w:eastAsia="en-AU"/>
              </w:rPr>
              <w:t xml:space="preserve"> per cent</w:t>
            </w:r>
            <w:r w:rsidRPr="009E2B03">
              <w:rPr>
                <w:rFonts w:ascii="Calibri Light" w:hAnsi="Calibri Light" w:cs="Arial"/>
                <w:color w:val="000000"/>
                <w:szCs w:val="18"/>
                <w:lang w:eastAsia="en-AU"/>
              </w:rPr>
              <w:t xml:space="preserve"> experienced physical abuse and </w:t>
            </w:r>
            <w:r w:rsidR="004A7DC3" w:rsidRPr="009E2B03">
              <w:rPr>
                <w:rFonts w:ascii="Calibri Light" w:hAnsi="Calibri Light" w:cs="Arial"/>
                <w:color w:val="000000"/>
                <w:szCs w:val="18"/>
                <w:lang w:eastAsia="en-AU"/>
              </w:rPr>
              <w:br/>
            </w:r>
            <w:r w:rsidRPr="009E2B03">
              <w:rPr>
                <w:rFonts w:ascii="Calibri Light" w:hAnsi="Calibri Light" w:cs="Arial"/>
                <w:color w:val="000000"/>
                <w:szCs w:val="18"/>
                <w:lang w:eastAsia="en-AU"/>
              </w:rPr>
              <w:t>31.4</w:t>
            </w:r>
            <w:r w:rsidR="004A7DC3" w:rsidRPr="009E2B03">
              <w:rPr>
                <w:rFonts w:ascii="Calibri Light" w:hAnsi="Calibri Light" w:cs="Arial"/>
                <w:color w:val="000000"/>
                <w:szCs w:val="18"/>
                <w:lang w:eastAsia="en-AU"/>
              </w:rPr>
              <w:t xml:space="preserve"> per cent</w:t>
            </w:r>
            <w:r w:rsidRPr="009E2B03">
              <w:rPr>
                <w:rFonts w:ascii="Calibri Light" w:hAnsi="Calibri Light" w:cs="Arial"/>
                <w:color w:val="000000"/>
                <w:szCs w:val="18"/>
                <w:lang w:eastAsia="en-AU"/>
              </w:rPr>
              <w:t xml:space="preserve"> had experienced non-physical forms of abuse</w:t>
            </w:r>
            <w:r w:rsidR="004A7DC3" w:rsidRPr="009E2B03">
              <w:rPr>
                <w:rFonts w:ascii="Calibri Light" w:hAnsi="Calibri Light" w:cs="Arial"/>
                <w:color w:val="000000"/>
                <w:szCs w:val="18"/>
                <w:lang w:eastAsia="en-AU"/>
              </w:rPr>
              <w:t>.</w:t>
            </w:r>
          </w:p>
        </w:tc>
        <w:tc>
          <w:tcPr>
            <w:tcW w:w="2350" w:type="dxa"/>
            <w:hideMark/>
          </w:tcPr>
          <w:p w14:paraId="3EB4413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Queensland</w:t>
            </w:r>
          </w:p>
        </w:tc>
      </w:tr>
      <w:tr w:rsidR="004A6712" w:rsidRPr="009E2B03" w14:paraId="780DFC47" w14:textId="77777777" w:rsidTr="00941A03">
        <w:trPr>
          <w:trHeight w:val="855"/>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1165495D"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Journal of Social and Legal Studies</w:t>
            </w:r>
          </w:p>
        </w:tc>
        <w:tc>
          <w:tcPr>
            <w:tcW w:w="3528" w:type="dxa"/>
            <w:hideMark/>
          </w:tcPr>
          <w:p w14:paraId="75BC33F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Children and domestic violence: constructing a policy problem in Australia and New Zealand</w:t>
            </w:r>
          </w:p>
        </w:tc>
        <w:tc>
          <w:tcPr>
            <w:tcW w:w="6051" w:type="dxa"/>
            <w:hideMark/>
          </w:tcPr>
          <w:p w14:paraId="5021CFD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Discussion of impacts of domestic violence on children, witnessing violence, hurt by violence and being encouraged to participate in violence</w:t>
            </w:r>
            <w:r w:rsidR="004A7DC3" w:rsidRPr="009E2B03">
              <w:rPr>
                <w:rFonts w:ascii="Calibri Light" w:hAnsi="Calibri Light" w:cs="Arial"/>
                <w:color w:val="000000"/>
                <w:szCs w:val="18"/>
                <w:lang w:eastAsia="en-AU"/>
              </w:rPr>
              <w:t>.</w:t>
            </w:r>
          </w:p>
        </w:tc>
        <w:tc>
          <w:tcPr>
            <w:tcW w:w="2350" w:type="dxa"/>
            <w:hideMark/>
          </w:tcPr>
          <w:p w14:paraId="3C2F2793"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Australia and New Zealand</w:t>
            </w:r>
          </w:p>
        </w:tc>
      </w:tr>
      <w:tr w:rsidR="004A6712" w:rsidRPr="009E2B03" w14:paraId="29B57789" w14:textId="77777777" w:rsidTr="00941A03">
        <w:trPr>
          <w:trHeight w:val="855"/>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4B9433BE"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Health Review Journal</w:t>
            </w:r>
          </w:p>
        </w:tc>
        <w:tc>
          <w:tcPr>
            <w:tcW w:w="3528" w:type="dxa"/>
            <w:hideMark/>
          </w:tcPr>
          <w:p w14:paraId="0F91D4E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 population study of Indigenous Hospitalisations for Interpersonal Violence</w:t>
            </w:r>
          </w:p>
        </w:tc>
        <w:tc>
          <w:tcPr>
            <w:tcW w:w="6051" w:type="dxa"/>
            <w:hideMark/>
          </w:tcPr>
          <w:p w14:paraId="68A20D7E"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Rates of </w:t>
            </w:r>
            <w:r w:rsidR="004A7DC3" w:rsidRPr="009E2B03">
              <w:rPr>
                <w:rFonts w:ascii="Calibri Light" w:hAnsi="Calibri Light" w:cs="Arial"/>
                <w:color w:val="000000"/>
                <w:szCs w:val="18"/>
                <w:lang w:eastAsia="en-AU"/>
              </w:rPr>
              <w:t>I</w:t>
            </w:r>
            <w:r w:rsidRPr="009E2B03">
              <w:rPr>
                <w:rFonts w:ascii="Calibri Light" w:hAnsi="Calibri Light" w:cs="Arial"/>
                <w:color w:val="000000"/>
                <w:szCs w:val="18"/>
                <w:lang w:eastAsia="en-AU"/>
              </w:rPr>
              <w:t>ndigenous women being admitted to hospital due to maltreatment and rape; age profiles, residential location and length of hospital stay also recorded.</w:t>
            </w:r>
          </w:p>
        </w:tc>
        <w:tc>
          <w:tcPr>
            <w:tcW w:w="2350" w:type="dxa"/>
            <w:hideMark/>
          </w:tcPr>
          <w:p w14:paraId="2BEC779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Australia</w:t>
            </w:r>
          </w:p>
        </w:tc>
      </w:tr>
      <w:tr w:rsidR="004A6712" w:rsidRPr="009E2B03" w14:paraId="017901C3" w14:textId="77777777" w:rsidTr="00941A03">
        <w:trPr>
          <w:trHeight w:val="15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31B790C5"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lastRenderedPageBreak/>
              <w:t>Women's Legal Service Victoria</w:t>
            </w:r>
          </w:p>
        </w:tc>
        <w:tc>
          <w:tcPr>
            <w:tcW w:w="3528" w:type="dxa"/>
            <w:hideMark/>
          </w:tcPr>
          <w:p w14:paraId="6A39B2C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Stepping Stones: Legal Barriers to Economic Equality After Family Violence</w:t>
            </w:r>
          </w:p>
        </w:tc>
        <w:tc>
          <w:tcPr>
            <w:tcW w:w="6051" w:type="dxa"/>
            <w:hideMark/>
          </w:tcPr>
          <w:p w14:paraId="428C54A2" w14:textId="77777777" w:rsidR="004A6712" w:rsidRPr="009E2B03" w:rsidRDefault="004A6712">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The</w:t>
            </w:r>
            <w:r w:rsidR="00D42C48" w:rsidRPr="009E2B03">
              <w:rPr>
                <w:rFonts w:ascii="Calibri Light" w:hAnsi="Calibri Light" w:cs="Arial"/>
                <w:color w:val="000000"/>
                <w:szCs w:val="18"/>
                <w:lang w:eastAsia="en-AU"/>
              </w:rPr>
              <w:t xml:space="preserve"> </w:t>
            </w:r>
            <w:r w:rsidRPr="009E2B03">
              <w:rPr>
                <w:rFonts w:ascii="Calibri Light" w:hAnsi="Calibri Light" w:cs="Arial"/>
                <w:color w:val="000000"/>
                <w:szCs w:val="18"/>
                <w:lang w:eastAsia="en-AU"/>
              </w:rPr>
              <w:t>report revealed that many women were being pursued solely for joint debts after leaving a violent relationship,</w:t>
            </w:r>
            <w:r w:rsidR="00D42C48" w:rsidRPr="009E2B03">
              <w:rPr>
                <w:rFonts w:ascii="Calibri Light" w:hAnsi="Calibri Light" w:cs="Arial"/>
                <w:color w:val="000000"/>
                <w:szCs w:val="18"/>
                <w:lang w:eastAsia="en-AU"/>
              </w:rPr>
              <w:t xml:space="preserve"> they</w:t>
            </w:r>
            <w:r w:rsidRPr="009E2B03">
              <w:rPr>
                <w:rFonts w:ascii="Calibri Light" w:hAnsi="Calibri Light" w:cs="Arial"/>
                <w:color w:val="000000"/>
                <w:szCs w:val="18"/>
                <w:lang w:eastAsia="en-AU"/>
              </w:rPr>
              <w:t xml:space="preserve"> had their power cut off by an abusive partner and were having huge debts run up in their name by their abusive partners. </w:t>
            </w:r>
            <w:r w:rsidR="00D42C48" w:rsidRPr="009E2B03">
              <w:rPr>
                <w:rFonts w:ascii="Calibri Light" w:hAnsi="Calibri Light" w:cs="Arial"/>
                <w:color w:val="000000"/>
                <w:szCs w:val="18"/>
                <w:lang w:eastAsia="en-AU"/>
              </w:rPr>
              <w:t xml:space="preserve">This left the </w:t>
            </w:r>
            <w:r w:rsidRPr="009E2B03">
              <w:rPr>
                <w:rFonts w:ascii="Calibri Light" w:hAnsi="Calibri Light" w:cs="Arial"/>
                <w:color w:val="000000"/>
                <w:szCs w:val="18"/>
                <w:lang w:eastAsia="en-AU"/>
              </w:rPr>
              <w:t>women in serious financial hardship and impede</w:t>
            </w:r>
            <w:r w:rsidR="00D42C48" w:rsidRPr="009E2B03">
              <w:rPr>
                <w:rFonts w:ascii="Calibri Light" w:hAnsi="Calibri Light" w:cs="Arial"/>
                <w:color w:val="000000"/>
                <w:szCs w:val="18"/>
                <w:lang w:eastAsia="en-AU"/>
              </w:rPr>
              <w:t>d</w:t>
            </w:r>
            <w:r w:rsidRPr="009E2B03">
              <w:rPr>
                <w:rFonts w:ascii="Calibri Light" w:hAnsi="Calibri Light" w:cs="Arial"/>
                <w:color w:val="000000"/>
                <w:szCs w:val="18"/>
                <w:lang w:eastAsia="en-AU"/>
              </w:rPr>
              <w:t xml:space="preserve"> their ability to regain economic autonomy and provide for their children</w:t>
            </w:r>
            <w:r w:rsidR="00D42C48" w:rsidRPr="009E2B03">
              <w:rPr>
                <w:rFonts w:ascii="Calibri Light" w:hAnsi="Calibri Light" w:cs="Arial"/>
                <w:color w:val="000000"/>
                <w:szCs w:val="18"/>
                <w:lang w:eastAsia="en-AU"/>
              </w:rPr>
              <w:t>.</w:t>
            </w:r>
          </w:p>
        </w:tc>
        <w:tc>
          <w:tcPr>
            <w:tcW w:w="2350" w:type="dxa"/>
            <w:hideMark/>
          </w:tcPr>
          <w:p w14:paraId="1C97AA9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r w:rsidR="00D42C48" w:rsidRPr="009E2B03">
              <w:rPr>
                <w:rFonts w:ascii="Calibri Light" w:hAnsi="Calibri Light" w:cs="Arial"/>
                <w:color w:val="000000"/>
                <w:szCs w:val="18"/>
                <w:lang w:eastAsia="en-AU"/>
              </w:rPr>
              <w:t xml:space="preserve"> and </w:t>
            </w:r>
            <w:r w:rsidRPr="009E2B03">
              <w:rPr>
                <w:rFonts w:ascii="Calibri Light" w:hAnsi="Calibri Light" w:cs="Arial"/>
                <w:color w:val="000000"/>
                <w:szCs w:val="18"/>
                <w:lang w:eastAsia="en-AU"/>
              </w:rPr>
              <w:t>Victoria</w:t>
            </w:r>
          </w:p>
        </w:tc>
      </w:tr>
      <w:tr w:rsidR="004A6712" w:rsidRPr="009E2B03" w14:paraId="630827E2" w14:textId="77777777" w:rsidTr="00941A03">
        <w:trPr>
          <w:trHeight w:val="57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1A453636"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Institute of Health and Welfare</w:t>
            </w:r>
          </w:p>
        </w:tc>
        <w:tc>
          <w:tcPr>
            <w:tcW w:w="3528" w:type="dxa"/>
            <w:hideMark/>
          </w:tcPr>
          <w:p w14:paraId="6C3D7B13"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Specialist Homelessness Services: 2013-2014 Full Report</w:t>
            </w:r>
          </w:p>
        </w:tc>
        <w:tc>
          <w:tcPr>
            <w:tcW w:w="6051" w:type="dxa"/>
            <w:hideMark/>
          </w:tcPr>
          <w:p w14:paraId="0DA77BD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Report into all clients who accessed their services, broken down by age, sex, main reason, ethnicity</w:t>
            </w:r>
            <w:r w:rsidR="00D42C48" w:rsidRPr="009E2B03">
              <w:rPr>
                <w:rFonts w:ascii="Calibri Light" w:hAnsi="Calibri Light" w:cs="Arial"/>
                <w:color w:val="000000"/>
                <w:szCs w:val="18"/>
                <w:lang w:eastAsia="en-AU"/>
              </w:rPr>
              <w:t>.</w:t>
            </w:r>
          </w:p>
        </w:tc>
        <w:tc>
          <w:tcPr>
            <w:tcW w:w="2350" w:type="dxa"/>
            <w:hideMark/>
          </w:tcPr>
          <w:p w14:paraId="6D474AA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Commonwealth</w:t>
            </w:r>
          </w:p>
        </w:tc>
      </w:tr>
      <w:tr w:rsidR="004A6712" w:rsidRPr="009E2B03" w14:paraId="19361BC6" w14:textId="77777777" w:rsidTr="00941A03">
        <w:trPr>
          <w:trHeight w:val="570"/>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4AEEF7EC"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Australian Longitudinal Study on Women's Health</w:t>
            </w:r>
          </w:p>
        </w:tc>
        <w:tc>
          <w:tcPr>
            <w:tcW w:w="3528" w:type="dxa"/>
            <w:noWrap/>
            <w:hideMark/>
          </w:tcPr>
          <w:p w14:paraId="4CA9E503"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Full data set (need to seek permission for data holdings)</w:t>
            </w:r>
          </w:p>
        </w:tc>
        <w:tc>
          <w:tcPr>
            <w:tcW w:w="6051" w:type="dxa"/>
            <w:noWrap/>
            <w:hideMark/>
          </w:tcPr>
          <w:p w14:paraId="2CC37A7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 xml:space="preserve">ALSWH explores factors that influence health among women who are broadly representative of the entire Australian population and </w:t>
            </w:r>
            <w:r w:rsidR="00D42C48" w:rsidRPr="009E2B03">
              <w:rPr>
                <w:rFonts w:ascii="Calibri Light" w:hAnsi="Calibri Light" w:cs="Arial"/>
                <w:szCs w:val="18"/>
                <w:lang w:eastAsia="en-AU"/>
              </w:rPr>
              <w:t>is</w:t>
            </w:r>
            <w:r w:rsidRPr="009E2B03">
              <w:rPr>
                <w:rFonts w:ascii="Calibri Light" w:hAnsi="Calibri Light" w:cs="Arial"/>
                <w:szCs w:val="18"/>
                <w:lang w:eastAsia="en-AU"/>
              </w:rPr>
              <w:t xml:space="preserve"> the largest project of its kind, taking a comprehensive view of all aspects of health throughout a wom</w:t>
            </w:r>
            <w:r w:rsidR="00D42C48" w:rsidRPr="009E2B03">
              <w:rPr>
                <w:rFonts w:ascii="Calibri Light" w:hAnsi="Calibri Light" w:cs="Arial"/>
                <w:szCs w:val="18"/>
                <w:lang w:eastAsia="en-AU"/>
              </w:rPr>
              <w:t>a</w:t>
            </w:r>
            <w:r w:rsidRPr="009E2B03">
              <w:rPr>
                <w:rFonts w:ascii="Calibri Light" w:hAnsi="Calibri Light" w:cs="Arial"/>
                <w:szCs w:val="18"/>
                <w:lang w:eastAsia="en-AU"/>
              </w:rPr>
              <w:t>n’s life.</w:t>
            </w:r>
          </w:p>
        </w:tc>
        <w:tc>
          <w:tcPr>
            <w:tcW w:w="2350" w:type="dxa"/>
            <w:noWrap/>
            <w:hideMark/>
          </w:tcPr>
          <w:p w14:paraId="623EAB1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color w:val="000000"/>
                <w:szCs w:val="18"/>
                <w:lang w:eastAsia="en-AU"/>
              </w:rPr>
              <w:t>Commonwealth</w:t>
            </w:r>
          </w:p>
        </w:tc>
      </w:tr>
      <w:tr w:rsidR="004A6712" w:rsidRPr="009E2B03" w14:paraId="7204E177" w14:textId="77777777" w:rsidTr="00941A03">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hideMark/>
          </w:tcPr>
          <w:p w14:paraId="4BD437EC" w14:textId="77777777" w:rsidR="004A6712" w:rsidRPr="009E2B03" w:rsidRDefault="004A6712" w:rsidP="00811983">
            <w:pPr>
              <w:rPr>
                <w:rFonts w:ascii="Calibri Light" w:hAnsi="Calibri Light" w:cs="Arial"/>
                <w:color w:val="000000"/>
                <w:szCs w:val="18"/>
                <w:lang w:eastAsia="en-AU"/>
              </w:rPr>
            </w:pPr>
            <w:r w:rsidRPr="009E2B03">
              <w:rPr>
                <w:rFonts w:ascii="Calibri Light" w:hAnsi="Calibri Light" w:cs="Arial"/>
                <w:color w:val="000000"/>
                <w:szCs w:val="18"/>
                <w:lang w:eastAsia="en-AU"/>
              </w:rPr>
              <w:t>Women with Disabilities Victoria</w:t>
            </w:r>
          </w:p>
        </w:tc>
        <w:tc>
          <w:tcPr>
            <w:tcW w:w="3528" w:type="dxa"/>
            <w:hideMark/>
          </w:tcPr>
          <w:p w14:paraId="27722D0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Voices Against Violence - Paper 4 - A review of the Public Advocate's Records on Violence Against Women with Disabilities</w:t>
            </w:r>
          </w:p>
        </w:tc>
        <w:tc>
          <w:tcPr>
            <w:tcW w:w="6051" w:type="dxa"/>
            <w:hideMark/>
          </w:tcPr>
          <w:p w14:paraId="62364CA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Report on violence against women with disabilities, comprehensive discussion of issues and literature, including some statistics</w:t>
            </w:r>
            <w:r w:rsidR="00D42C48" w:rsidRPr="009E2B03">
              <w:rPr>
                <w:rFonts w:ascii="Calibri Light" w:hAnsi="Calibri Light" w:cs="Arial"/>
                <w:color w:val="000000"/>
                <w:szCs w:val="18"/>
                <w:lang w:eastAsia="en-AU"/>
              </w:rPr>
              <w:t>.</w:t>
            </w:r>
          </w:p>
        </w:tc>
        <w:tc>
          <w:tcPr>
            <w:tcW w:w="2350" w:type="dxa"/>
            <w:hideMark/>
          </w:tcPr>
          <w:p w14:paraId="58272D6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Victoria</w:t>
            </w:r>
            <w:r w:rsidR="00D42C48" w:rsidRPr="009E2B03">
              <w:rPr>
                <w:rFonts w:ascii="Calibri Light" w:hAnsi="Calibri Light" w:cs="Arial"/>
                <w:color w:val="000000"/>
                <w:szCs w:val="18"/>
                <w:lang w:eastAsia="en-AU"/>
              </w:rPr>
              <w:t xml:space="preserve"> and </w:t>
            </w:r>
            <w:r w:rsidRPr="009E2B03">
              <w:rPr>
                <w:rFonts w:ascii="Calibri Light" w:hAnsi="Calibri Light" w:cs="Arial"/>
                <w:color w:val="000000"/>
                <w:szCs w:val="18"/>
                <w:lang w:eastAsia="en-AU"/>
              </w:rPr>
              <w:t>Commonwealth</w:t>
            </w:r>
          </w:p>
        </w:tc>
      </w:tr>
      <w:tr w:rsidR="00624F5C" w:rsidRPr="009E2B03" w14:paraId="72157E09"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404A7C67" w14:textId="77777777" w:rsidR="00624F5C" w:rsidRPr="009E2B03" w:rsidRDefault="00624F5C" w:rsidP="00CE4E2A">
            <w:pPr>
              <w:rPr>
                <w:rFonts w:ascii="Calibri Light" w:hAnsi="Calibri Light" w:cs="Arial"/>
                <w:color w:val="000000"/>
                <w:szCs w:val="18"/>
                <w:lang w:eastAsia="en-AU"/>
              </w:rPr>
            </w:pPr>
            <w:r w:rsidRPr="009E2B03">
              <w:rPr>
                <w:rFonts w:ascii="Calibri Light" w:hAnsi="Calibri Light" w:cs="Arial"/>
                <w:color w:val="000000"/>
                <w:szCs w:val="18"/>
                <w:lang w:eastAsia="en-AU"/>
              </w:rPr>
              <w:t>World Health Organisation</w:t>
            </w:r>
          </w:p>
        </w:tc>
        <w:tc>
          <w:tcPr>
            <w:tcW w:w="3528" w:type="dxa"/>
          </w:tcPr>
          <w:p w14:paraId="04936419"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Global Status Report on Violence Prevention 2014</w:t>
            </w:r>
          </w:p>
        </w:tc>
        <w:tc>
          <w:tcPr>
            <w:tcW w:w="6051" w:type="dxa"/>
          </w:tcPr>
          <w:p w14:paraId="2573BD0B"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The report assesses national efforts to address interpersonal violence, namely child maltreatment, youth violence, intimate partner and sexual violence, and elder abuse, and assists in providing guidance in developing roadmap and further data collection initiatives.</w:t>
            </w:r>
          </w:p>
        </w:tc>
        <w:tc>
          <w:tcPr>
            <w:tcW w:w="2350" w:type="dxa"/>
          </w:tcPr>
          <w:p w14:paraId="64281E0B"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w:t>
            </w:r>
          </w:p>
        </w:tc>
      </w:tr>
      <w:tr w:rsidR="00624F5C" w:rsidRPr="009E2B03" w14:paraId="1BBB2D7E"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3D910AA4" w14:textId="77777777" w:rsidR="00624F5C" w:rsidRPr="009E2B03" w:rsidRDefault="00624F5C" w:rsidP="00CE4E2A">
            <w:pPr>
              <w:rPr>
                <w:rFonts w:ascii="Calibri Light" w:hAnsi="Calibri Light" w:cs="Arial"/>
                <w:color w:val="000000"/>
                <w:szCs w:val="18"/>
                <w:lang w:eastAsia="en-AU"/>
              </w:rPr>
            </w:pPr>
            <w:r w:rsidRPr="009E2B03">
              <w:rPr>
                <w:rFonts w:ascii="Calibri Light" w:hAnsi="Calibri Light" w:cs="Arial"/>
                <w:color w:val="000000"/>
                <w:szCs w:val="18"/>
                <w:lang w:eastAsia="en-AU"/>
              </w:rPr>
              <w:t>National Violence Against Women Survey, Unites States Department of Justice</w:t>
            </w:r>
          </w:p>
        </w:tc>
        <w:tc>
          <w:tcPr>
            <w:tcW w:w="3528" w:type="dxa"/>
          </w:tcPr>
          <w:p w14:paraId="00521AA9"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Full Report of the Prevalence, Incidence and Consequences of Violence Against Women </w:t>
            </w:r>
          </w:p>
        </w:tc>
        <w:tc>
          <w:tcPr>
            <w:tcW w:w="6051" w:type="dxa"/>
          </w:tcPr>
          <w:p w14:paraId="68D57A24"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This report provides comparable data regarding the prevalence of violence and further insights into the experiences of violence after an incident. This report assists in underpinning key cost assumptions.</w:t>
            </w:r>
          </w:p>
        </w:tc>
        <w:tc>
          <w:tcPr>
            <w:tcW w:w="2350" w:type="dxa"/>
          </w:tcPr>
          <w:p w14:paraId="60BBB27C"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International/United Sates of America</w:t>
            </w:r>
          </w:p>
        </w:tc>
      </w:tr>
      <w:tr w:rsidR="00624F5C" w:rsidRPr="009E2B03" w14:paraId="42FC926E"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76CD0A92" w14:textId="77777777" w:rsidR="00624F5C" w:rsidRPr="009E2B03" w:rsidRDefault="00624F5C" w:rsidP="00CE4E2A">
            <w:pPr>
              <w:rPr>
                <w:rFonts w:ascii="Calibri Light" w:hAnsi="Calibri Light" w:cs="Arial"/>
                <w:color w:val="000000"/>
                <w:szCs w:val="18"/>
                <w:lang w:eastAsia="en-AU"/>
              </w:rPr>
            </w:pPr>
            <w:r w:rsidRPr="009E2B03">
              <w:rPr>
                <w:rFonts w:ascii="Calibri Light" w:hAnsi="Calibri Light" w:cs="Arial"/>
                <w:color w:val="000000"/>
                <w:szCs w:val="18"/>
                <w:lang w:eastAsia="en-AU"/>
              </w:rPr>
              <w:t>Oxley, Burniaux, Dang and d’Ercole, OECD Economic Studies</w:t>
            </w:r>
          </w:p>
        </w:tc>
        <w:tc>
          <w:tcPr>
            <w:tcW w:w="3528" w:type="dxa"/>
          </w:tcPr>
          <w:p w14:paraId="331B6E0A"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Income Distribution and Poverty in 13 OECD Countries</w:t>
            </w:r>
          </w:p>
        </w:tc>
        <w:tc>
          <w:tcPr>
            <w:tcW w:w="6051" w:type="dxa"/>
          </w:tcPr>
          <w:p w14:paraId="3E5937CC"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rPr>
              <w:t xml:space="preserve">This article reports on developments in income distribution and poverty for 13 OECD countries and assists in understanding inequality in the distribution of disposable income for costing assumptions and of those experiencing violence.  </w:t>
            </w:r>
          </w:p>
        </w:tc>
        <w:tc>
          <w:tcPr>
            <w:tcW w:w="2350" w:type="dxa"/>
          </w:tcPr>
          <w:p w14:paraId="7FBE4F7E"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w:t>
            </w:r>
          </w:p>
        </w:tc>
      </w:tr>
      <w:tr w:rsidR="00624F5C" w:rsidRPr="009E2B03" w14:paraId="03916D27"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6E8A50F6" w14:textId="77777777" w:rsidR="00624F5C" w:rsidRPr="009E2B03" w:rsidRDefault="00624F5C" w:rsidP="00CE4E2A">
            <w:pPr>
              <w:rPr>
                <w:rFonts w:ascii="Calibri Light" w:hAnsi="Calibri Light" w:cs="Arial"/>
                <w:color w:val="000000"/>
                <w:szCs w:val="18"/>
                <w:lang w:eastAsia="en-AU"/>
              </w:rPr>
            </w:pPr>
            <w:r w:rsidRPr="009E2B03">
              <w:rPr>
                <w:rFonts w:ascii="Calibri Light" w:hAnsi="Calibri Light" w:cs="Arial"/>
                <w:color w:val="000000"/>
                <w:szCs w:val="18"/>
                <w:lang w:eastAsia="en-AU"/>
              </w:rPr>
              <w:lastRenderedPageBreak/>
              <w:t>Department of Health and Human Services, Georgia, United States of America</w:t>
            </w:r>
          </w:p>
        </w:tc>
        <w:tc>
          <w:tcPr>
            <w:tcW w:w="3528" w:type="dxa"/>
          </w:tcPr>
          <w:p w14:paraId="4B50E6C0"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Cost of Intimate Partner Violence in the United States</w:t>
            </w:r>
          </w:p>
        </w:tc>
        <w:tc>
          <w:tcPr>
            <w:tcW w:w="6051" w:type="dxa"/>
          </w:tcPr>
          <w:p w14:paraId="79B1377A"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color w:val="000000"/>
                <w:szCs w:val="18"/>
                <w:lang w:eastAsia="en-AU"/>
              </w:rPr>
              <w:t>This report provides comparable data and costing regarding the prevalence of violence and further insights into the experiences of violence after an incident. This report assists in underpinning key cost assumptions and some guidance.</w:t>
            </w:r>
          </w:p>
        </w:tc>
        <w:tc>
          <w:tcPr>
            <w:tcW w:w="2350" w:type="dxa"/>
          </w:tcPr>
          <w:p w14:paraId="1EAA3A75"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International/United States of America</w:t>
            </w:r>
          </w:p>
        </w:tc>
      </w:tr>
      <w:tr w:rsidR="00624F5C" w:rsidRPr="009E2B03" w14:paraId="30329D59"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7D15320D" w14:textId="77777777" w:rsidR="00624F5C" w:rsidRPr="009E2B03" w:rsidRDefault="00624F5C" w:rsidP="00CE4E2A">
            <w:pPr>
              <w:rPr>
                <w:rFonts w:ascii="Calibri Light" w:hAnsi="Calibri Light" w:cs="Arial"/>
                <w:color w:val="000000"/>
                <w:szCs w:val="18"/>
                <w:lang w:eastAsia="en-AU"/>
              </w:rPr>
            </w:pPr>
            <w:r w:rsidRPr="009E2B03">
              <w:rPr>
                <w:rFonts w:ascii="Calibri Light" w:hAnsi="Calibri Light" w:cs="Arial"/>
                <w:color w:val="000000"/>
                <w:szCs w:val="18"/>
                <w:lang w:eastAsia="en-AU"/>
              </w:rPr>
              <w:t>Campbell J, John Hopkins University School of Nursing, Baltimore, USA</w:t>
            </w:r>
          </w:p>
        </w:tc>
        <w:tc>
          <w:tcPr>
            <w:tcW w:w="3528" w:type="dxa"/>
          </w:tcPr>
          <w:p w14:paraId="312E2877"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Health Consequences of Intimate Partner Violence</w:t>
            </w:r>
          </w:p>
        </w:tc>
        <w:tc>
          <w:tcPr>
            <w:tcW w:w="6051" w:type="dxa"/>
          </w:tcPr>
          <w:p w14:paraId="52D32DED"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Research conducted into the health consequences flowing from intimate partner violence both physically and mentally; assisted in underpinning cost assumptions</w:t>
            </w:r>
          </w:p>
        </w:tc>
        <w:tc>
          <w:tcPr>
            <w:tcW w:w="2350" w:type="dxa"/>
          </w:tcPr>
          <w:p w14:paraId="0A95CEFE"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International/United States of America</w:t>
            </w:r>
          </w:p>
        </w:tc>
      </w:tr>
      <w:tr w:rsidR="00624F5C" w:rsidRPr="009E2B03" w14:paraId="78C9D743"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20CB2637" w14:textId="77777777" w:rsidR="00624F5C" w:rsidRPr="009E2B03" w:rsidRDefault="00624F5C" w:rsidP="00CE4E2A">
            <w:pPr>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American College of Occupational and Environmental Medicine  </w:t>
            </w:r>
          </w:p>
        </w:tc>
        <w:tc>
          <w:tcPr>
            <w:tcW w:w="3528" w:type="dxa"/>
          </w:tcPr>
          <w:p w14:paraId="2C85DF61"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Alternative valuations of work loss and productivity</w:t>
            </w:r>
          </w:p>
        </w:tc>
        <w:tc>
          <w:tcPr>
            <w:tcW w:w="6051" w:type="dxa"/>
          </w:tcPr>
          <w:p w14:paraId="26D74616"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This article examines the indirect costs, such as  work loss and productivity costs, of employee illness from the employer's perspective. The article provides a conceptual framework to help employers consider alternative views with regard to assessing indirect costs. </w:t>
            </w:r>
          </w:p>
        </w:tc>
        <w:tc>
          <w:tcPr>
            <w:tcW w:w="2350" w:type="dxa"/>
          </w:tcPr>
          <w:p w14:paraId="2BA87629"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w:t>
            </w:r>
          </w:p>
        </w:tc>
      </w:tr>
      <w:tr w:rsidR="00624F5C" w:rsidRPr="009E2B03" w14:paraId="7E8904F9"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72541368" w14:textId="77777777" w:rsidR="00624F5C" w:rsidRPr="009E2B03" w:rsidRDefault="00624F5C" w:rsidP="00CE4E2A">
            <w:pPr>
              <w:rPr>
                <w:rFonts w:ascii="Calibri Light" w:hAnsi="Calibri Light" w:cs="Arial"/>
                <w:color w:val="000000"/>
                <w:szCs w:val="18"/>
                <w:lang w:eastAsia="en-AU"/>
              </w:rPr>
            </w:pPr>
            <w:r w:rsidRPr="009E2B03">
              <w:rPr>
                <w:rFonts w:ascii="Calibri Light" w:hAnsi="Calibri Light" w:cs="Arial"/>
                <w:szCs w:val="18"/>
                <w:lang w:val="en-US"/>
              </w:rPr>
              <w:t>Journal of the American Medication Association</w:t>
            </w:r>
          </w:p>
        </w:tc>
        <w:tc>
          <w:tcPr>
            <w:tcW w:w="3528" w:type="dxa"/>
          </w:tcPr>
          <w:p w14:paraId="1E79768B"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szCs w:val="18"/>
                <w:lang w:val="en-US"/>
              </w:rPr>
              <w:t>Lifetime Prevalence of Gender-Based Violence in Women and the Relationship with Mental Disorders and Psychosocial Function</w:t>
            </w:r>
          </w:p>
        </w:tc>
        <w:tc>
          <w:tcPr>
            <w:tcW w:w="6051" w:type="dxa"/>
          </w:tcPr>
          <w:p w14:paraId="34C56C6B"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This report examines the association between these forms of abuse and lifetime mental disorder and psychosocial disability among women using the World Health Organization's World Mental Health Survey Initiative. </w:t>
            </w:r>
          </w:p>
        </w:tc>
        <w:tc>
          <w:tcPr>
            <w:tcW w:w="2350" w:type="dxa"/>
          </w:tcPr>
          <w:p w14:paraId="14DD0803"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International </w:t>
            </w:r>
          </w:p>
        </w:tc>
      </w:tr>
      <w:tr w:rsidR="00624F5C" w:rsidRPr="009E2B03" w14:paraId="33FBD95E"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6990B2E6" w14:textId="77777777" w:rsidR="00624F5C" w:rsidRPr="009E2B03" w:rsidRDefault="00624F5C" w:rsidP="00CE4E2A">
            <w:pPr>
              <w:rPr>
                <w:rFonts w:ascii="Calibri Light" w:hAnsi="Calibri Light" w:cs="Arial"/>
                <w:szCs w:val="18"/>
                <w:lang w:val="en-US"/>
              </w:rPr>
            </w:pPr>
            <w:r w:rsidRPr="009E2B03">
              <w:rPr>
                <w:rFonts w:ascii="Calibri Light" w:hAnsi="Calibri Light" w:cs="Arial"/>
                <w:szCs w:val="18"/>
                <w:lang w:val="en-US"/>
              </w:rPr>
              <w:t>Universitätsverlag Brockmeyer, Bochum</w:t>
            </w:r>
          </w:p>
        </w:tc>
        <w:tc>
          <w:tcPr>
            <w:tcW w:w="3528" w:type="dxa"/>
          </w:tcPr>
          <w:p w14:paraId="6F2C17DD"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val="en-US"/>
              </w:rPr>
            </w:pPr>
            <w:r w:rsidRPr="009E2B03">
              <w:rPr>
                <w:rFonts w:ascii="Calibri Light" w:hAnsi="Calibri Light" w:cs="Arial"/>
                <w:szCs w:val="18"/>
              </w:rPr>
              <w:t>Perceptions of Fear of Crime and Punitivity in New Zealand</w:t>
            </w:r>
          </w:p>
        </w:tc>
        <w:tc>
          <w:tcPr>
            <w:tcW w:w="6051" w:type="dxa"/>
          </w:tcPr>
          <w:p w14:paraId="099C7239"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lang w:eastAsia="en-AU"/>
              </w:rPr>
            </w:pPr>
            <w:r w:rsidRPr="009E2B03">
              <w:rPr>
                <w:rFonts w:ascii="Calibri Light" w:hAnsi="Calibri Light" w:cs="Arial"/>
              </w:rPr>
              <w:t>This research assisted in understanding the increases in reported prevalence of violence that occur with definitional changes of violence and awareness campaigns.</w:t>
            </w:r>
          </w:p>
        </w:tc>
        <w:tc>
          <w:tcPr>
            <w:tcW w:w="2350" w:type="dxa"/>
          </w:tcPr>
          <w:p w14:paraId="51D6AEC7"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w:t>
            </w:r>
          </w:p>
        </w:tc>
      </w:tr>
      <w:tr w:rsidR="00624F5C" w:rsidRPr="009E2B03" w14:paraId="35FCB26E"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5FCEB327" w14:textId="77777777" w:rsidR="00624F5C" w:rsidRPr="009E2B03" w:rsidRDefault="00624F5C" w:rsidP="00CE4E2A">
            <w:pPr>
              <w:rPr>
                <w:rFonts w:ascii="Calibri Light" w:hAnsi="Calibri Light" w:cs="Arial"/>
                <w:szCs w:val="18"/>
                <w:lang w:val="en-US"/>
              </w:rPr>
            </w:pPr>
            <w:r w:rsidRPr="009E2B03">
              <w:rPr>
                <w:rFonts w:ascii="Calibri Light" w:hAnsi="Calibri Light" w:cs="Arial"/>
                <w:szCs w:val="18"/>
                <w:lang w:val="en-US"/>
              </w:rPr>
              <w:t>Arizona State University</w:t>
            </w:r>
          </w:p>
        </w:tc>
        <w:tc>
          <w:tcPr>
            <w:tcW w:w="3528" w:type="dxa"/>
          </w:tcPr>
          <w:p w14:paraId="17BBCE5D"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szCs w:val="18"/>
              </w:rPr>
              <w:t>Immigrant Women and Domestic Violence, Common Experiences in Different Countries</w:t>
            </w:r>
          </w:p>
        </w:tc>
        <w:tc>
          <w:tcPr>
            <w:tcW w:w="6051" w:type="dxa"/>
          </w:tcPr>
          <w:p w14:paraId="1AE88E8B"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rPr>
              <w:t>This article assesses the literature on domestic violence among immigrant women in major receiving countries so as to begin delineating a framework to explain how immigrant-specific factors exacerbate the already vulnerable position—as dictated by class, gender, and race—of immigrant women in domestic violence situations.</w:t>
            </w:r>
          </w:p>
        </w:tc>
        <w:tc>
          <w:tcPr>
            <w:tcW w:w="2350" w:type="dxa"/>
          </w:tcPr>
          <w:p w14:paraId="66B12C48"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International</w:t>
            </w:r>
          </w:p>
        </w:tc>
      </w:tr>
      <w:tr w:rsidR="00624F5C" w:rsidRPr="009E2B03" w14:paraId="6E51A310" w14:textId="77777777" w:rsidTr="00B21B09">
        <w:trPr>
          <w:trHeight w:val="1033"/>
        </w:trPr>
        <w:tc>
          <w:tcPr>
            <w:cnfStyle w:val="001000000000" w:firstRow="0" w:lastRow="0" w:firstColumn="1" w:lastColumn="0" w:oddVBand="0" w:evenVBand="0" w:oddHBand="0" w:evenHBand="0" w:firstRowFirstColumn="0" w:firstRowLastColumn="0" w:lastRowFirstColumn="0" w:lastRowLastColumn="0"/>
            <w:tcW w:w="2328" w:type="dxa"/>
            <w:shd w:val="clear" w:color="auto" w:fill="F3F0F4"/>
          </w:tcPr>
          <w:p w14:paraId="3A55EB7F" w14:textId="77777777" w:rsidR="00624F5C" w:rsidRPr="009E2B03" w:rsidRDefault="00624F5C" w:rsidP="00CE4E2A">
            <w:pPr>
              <w:rPr>
                <w:rFonts w:ascii="Calibri Light" w:hAnsi="Calibri Light" w:cs="Arial"/>
                <w:szCs w:val="18"/>
                <w:lang w:val="en-US"/>
              </w:rPr>
            </w:pPr>
            <w:r w:rsidRPr="009E2B03">
              <w:rPr>
                <w:rFonts w:ascii="Calibri Light" w:hAnsi="Calibri Light" w:cs="Arial"/>
                <w:color w:val="000000"/>
                <w:szCs w:val="18"/>
                <w:lang w:eastAsia="en-AU"/>
              </w:rPr>
              <w:t>United Nations Entity for Gender Equality and the Empowerment of Women</w:t>
            </w:r>
          </w:p>
        </w:tc>
        <w:tc>
          <w:tcPr>
            <w:tcW w:w="3528" w:type="dxa"/>
          </w:tcPr>
          <w:p w14:paraId="0D383032"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rPr>
            </w:pPr>
            <w:r w:rsidRPr="009E2B03">
              <w:rPr>
                <w:rFonts w:ascii="Calibri Light" w:hAnsi="Calibri Light" w:cs="Arial"/>
                <w:color w:val="000000"/>
                <w:szCs w:val="18"/>
                <w:lang w:eastAsia="en-AU"/>
              </w:rPr>
              <w:t xml:space="preserve">General Recommendations made by the Committee on the Elimination of Discrimination against Women </w:t>
            </w:r>
          </w:p>
        </w:tc>
        <w:tc>
          <w:tcPr>
            <w:tcW w:w="6051" w:type="dxa"/>
          </w:tcPr>
          <w:p w14:paraId="3F9DA576"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9E2B03">
              <w:rPr>
                <w:rFonts w:ascii="Calibri Light" w:hAnsi="Calibri Light" w:cs="Arial"/>
                <w:color w:val="000000"/>
                <w:szCs w:val="18"/>
                <w:lang w:eastAsia="en-AU"/>
              </w:rPr>
              <w:t>The recommendations assist in understanding international framework and efforts in addressing violence against women.</w:t>
            </w:r>
          </w:p>
        </w:tc>
        <w:tc>
          <w:tcPr>
            <w:tcW w:w="2350" w:type="dxa"/>
          </w:tcPr>
          <w:p w14:paraId="1DE17BA8" w14:textId="77777777" w:rsidR="00624F5C" w:rsidRPr="009E2B03" w:rsidRDefault="00624F5C" w:rsidP="00CE4E2A">
            <w:pP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szCs w:val="18"/>
                <w:lang w:eastAsia="en-AU"/>
              </w:rPr>
            </w:pPr>
            <w:r w:rsidRPr="009E2B03">
              <w:rPr>
                <w:rFonts w:ascii="Calibri Light" w:hAnsi="Calibri Light" w:cs="Arial"/>
                <w:color w:val="000000"/>
                <w:szCs w:val="18"/>
                <w:lang w:eastAsia="en-AU"/>
              </w:rPr>
              <w:t xml:space="preserve">International </w:t>
            </w:r>
          </w:p>
        </w:tc>
      </w:tr>
    </w:tbl>
    <w:p w14:paraId="4CE97E25" w14:textId="77777777" w:rsidR="004A6712" w:rsidRPr="009E2B03" w:rsidRDefault="004A6712" w:rsidP="004A6712">
      <w:pPr>
        <w:rPr>
          <w:rFonts w:ascii="Calibri Light" w:hAnsi="Calibri Light"/>
          <w:sz w:val="22"/>
        </w:rPr>
        <w:sectPr w:rsidR="004A6712" w:rsidRPr="009E2B03" w:rsidSect="00F8042D">
          <w:headerReference w:type="even" r:id="rId43"/>
          <w:headerReference w:type="default" r:id="rId44"/>
          <w:headerReference w:type="first" r:id="rId45"/>
          <w:pgSz w:w="16838" w:h="11906" w:orient="landscape"/>
          <w:pgMar w:top="1440" w:right="1440" w:bottom="1440" w:left="1440" w:header="708" w:footer="708" w:gutter="0"/>
          <w:cols w:space="708"/>
          <w:docGrid w:linePitch="360"/>
        </w:sectPr>
      </w:pPr>
    </w:p>
    <w:p w14:paraId="3499297C" w14:textId="77777777" w:rsidR="004A6712" w:rsidRPr="009E2B03" w:rsidRDefault="00D547F7" w:rsidP="00C250C5">
      <w:pPr>
        <w:pStyle w:val="Heading1"/>
        <w:numPr>
          <w:ilvl w:val="0"/>
          <w:numId w:val="0"/>
        </w:numPr>
        <w:ind w:left="720" w:hanging="720"/>
        <w:rPr>
          <w:rFonts w:ascii="Calibri Light" w:hAnsi="Calibri Light"/>
          <w:sz w:val="48"/>
        </w:rPr>
      </w:pPr>
      <w:bookmarkStart w:id="172" w:name="_Toc449553535"/>
      <w:r w:rsidRPr="009E2B03">
        <w:rPr>
          <w:rFonts w:ascii="Calibri Light" w:eastAsiaTheme="minorHAnsi" w:hAnsi="Calibri Light"/>
          <w:b w:val="0"/>
          <w:noProof/>
          <w:color w:val="6D2077"/>
          <w:sz w:val="76"/>
          <w:szCs w:val="76"/>
          <w:lang w:eastAsia="en-AU"/>
        </w:rPr>
        <w:lastRenderedPageBreak/>
        <w:t>Appendix</w:t>
      </w:r>
      <w:r w:rsidRPr="009E2B03">
        <w:rPr>
          <w:rFonts w:ascii="Calibri Light" w:hAnsi="Calibri Light"/>
          <w:sz w:val="48"/>
        </w:rPr>
        <w:t xml:space="preserve"> </w:t>
      </w:r>
      <w:r w:rsidR="00E677E0" w:rsidRPr="009E2B03">
        <w:rPr>
          <w:rFonts w:ascii="Calibri Light" w:eastAsiaTheme="minorHAnsi" w:hAnsi="Calibri Light"/>
          <w:b w:val="0"/>
          <w:noProof/>
          <w:color w:val="6D2077"/>
          <w:sz w:val="76"/>
          <w:szCs w:val="76"/>
          <w:lang w:eastAsia="en-AU"/>
        </w:rPr>
        <w:t>E</w:t>
      </w:r>
      <w:r w:rsidRPr="009E2B03">
        <w:rPr>
          <w:rFonts w:ascii="Calibri Light" w:eastAsiaTheme="minorHAnsi" w:hAnsi="Calibri Light"/>
          <w:b w:val="0"/>
          <w:noProof/>
          <w:color w:val="6D2077"/>
          <w:sz w:val="76"/>
          <w:szCs w:val="76"/>
          <w:lang w:eastAsia="en-AU"/>
        </w:rPr>
        <w:t xml:space="preserve">: </w:t>
      </w:r>
      <w:r w:rsidR="004A6712" w:rsidRPr="009E2B03">
        <w:rPr>
          <w:rFonts w:ascii="Calibri Light" w:eastAsiaTheme="minorHAnsi" w:hAnsi="Calibri Light"/>
          <w:b w:val="0"/>
          <w:noProof/>
          <w:color w:val="6D2077"/>
          <w:sz w:val="76"/>
          <w:szCs w:val="76"/>
          <w:lang w:eastAsia="en-AU"/>
        </w:rPr>
        <w:t>Data sources</w:t>
      </w:r>
      <w:bookmarkEnd w:id="172"/>
    </w:p>
    <w:p w14:paraId="72D93DEE" w14:textId="77777777" w:rsidR="00C35935" w:rsidRPr="009E2B03" w:rsidRDefault="009962A1" w:rsidP="00C250C5">
      <w:pPr>
        <w:pStyle w:val="Caption"/>
        <w:rPr>
          <w:rFonts w:ascii="Calibri Light" w:hAnsi="Calibri Light" w:cs="Arial"/>
          <w:i w:val="0"/>
          <w:sz w:val="22"/>
        </w:rPr>
      </w:pPr>
      <w:r w:rsidRPr="009E2B03">
        <w:rPr>
          <w:rFonts w:ascii="Calibri Light" w:hAnsi="Calibri Light" w:cs="Arial"/>
          <w:i w:val="0"/>
          <w:sz w:val="22"/>
        </w:rPr>
        <w:fldChar w:fldCharType="begin"/>
      </w:r>
      <w:r w:rsidRPr="009E2B03">
        <w:rPr>
          <w:rFonts w:ascii="Calibri Light" w:hAnsi="Calibri Light" w:cs="Arial"/>
          <w:i w:val="0"/>
          <w:sz w:val="22"/>
        </w:rPr>
        <w:instrText xml:space="preserve"> REF _Ref447383880 \h  \* MERGEFORMAT </w:instrText>
      </w:r>
      <w:r w:rsidRPr="009E2B03">
        <w:rPr>
          <w:rFonts w:ascii="Calibri Light" w:hAnsi="Calibri Light" w:cs="Arial"/>
          <w:i w:val="0"/>
          <w:sz w:val="22"/>
        </w:rPr>
      </w:r>
      <w:r w:rsidRPr="009E2B03">
        <w:rPr>
          <w:rFonts w:ascii="Calibri Light" w:hAnsi="Calibri Light" w:cs="Arial"/>
          <w:i w:val="0"/>
          <w:sz w:val="22"/>
        </w:rPr>
        <w:fldChar w:fldCharType="separate"/>
      </w:r>
      <w:r w:rsidR="00417237" w:rsidRPr="00417237">
        <w:rPr>
          <w:rFonts w:ascii="Calibri Light" w:hAnsi="Calibri Light" w:cs="Arial"/>
          <w:i w:val="0"/>
          <w:sz w:val="22"/>
        </w:rPr>
        <w:t>Table E-0</w:t>
      </w:r>
      <w:r w:rsidR="00417237" w:rsidRPr="00417237">
        <w:rPr>
          <w:rFonts w:ascii="Calibri Light" w:hAnsi="Calibri Light" w:cs="Arial"/>
          <w:i w:val="0"/>
          <w:sz w:val="22"/>
        </w:rPr>
        <w:noBreakHyphen/>
        <w:t>1</w:t>
      </w:r>
      <w:r w:rsidRPr="009E2B03">
        <w:rPr>
          <w:rFonts w:ascii="Calibri Light" w:hAnsi="Calibri Light" w:cs="Arial"/>
          <w:i w:val="0"/>
          <w:sz w:val="22"/>
        </w:rPr>
        <w:fldChar w:fldCharType="end"/>
      </w:r>
      <w:r w:rsidRPr="009E2B03">
        <w:rPr>
          <w:rFonts w:ascii="Calibri Light" w:hAnsi="Calibri Light" w:cs="Arial"/>
          <w:i w:val="0"/>
          <w:sz w:val="22"/>
        </w:rPr>
        <w:t xml:space="preserve"> provides a summary of the key sources used in estimating the costs of violence against women and their children. </w:t>
      </w:r>
    </w:p>
    <w:p w14:paraId="1329C308" w14:textId="77777777" w:rsidR="00D547F7" w:rsidRPr="009E2B03" w:rsidRDefault="00D547F7" w:rsidP="00C250C5">
      <w:pPr>
        <w:pStyle w:val="Caption"/>
        <w:rPr>
          <w:rFonts w:ascii="Calibri Light" w:hAnsi="Calibri Light" w:cs="Arial"/>
          <w:sz w:val="22"/>
        </w:rPr>
      </w:pPr>
      <w:bookmarkStart w:id="173" w:name="_Ref447383880"/>
      <w:r w:rsidRPr="009E2B03">
        <w:rPr>
          <w:rFonts w:ascii="Calibri Light" w:hAnsi="Calibri Light" w:cs="Arial"/>
          <w:sz w:val="22"/>
        </w:rPr>
        <w:t xml:space="preserve">Table </w:t>
      </w:r>
      <w:r w:rsidR="00C35935" w:rsidRPr="009E2B03">
        <w:rPr>
          <w:rFonts w:ascii="Calibri Light" w:hAnsi="Calibri Light" w:cs="Arial"/>
          <w:sz w:val="22"/>
        </w:rPr>
        <w:t>E-</w:t>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STYLEREF 1 \s </w:instrText>
      </w:r>
      <w:r w:rsidR="00CF0F96" w:rsidRPr="009E2B03">
        <w:rPr>
          <w:rFonts w:ascii="Calibri Light" w:hAnsi="Calibri Light" w:cs="Arial"/>
          <w:sz w:val="22"/>
        </w:rPr>
        <w:fldChar w:fldCharType="separate"/>
      </w:r>
      <w:r w:rsidR="00417237">
        <w:rPr>
          <w:rFonts w:ascii="Calibri Light" w:hAnsi="Calibri Light" w:cs="Arial"/>
          <w:noProof/>
          <w:sz w:val="22"/>
        </w:rPr>
        <w:t>0</w:t>
      </w:r>
      <w:r w:rsidR="00CF0F96" w:rsidRPr="009E2B03">
        <w:rPr>
          <w:rFonts w:ascii="Calibri Light" w:hAnsi="Calibri Light" w:cs="Arial"/>
          <w:noProof/>
          <w:sz w:val="22"/>
        </w:rPr>
        <w:fldChar w:fldCharType="end"/>
      </w:r>
      <w:r w:rsidR="00C35935" w:rsidRPr="009E2B03">
        <w:rPr>
          <w:rFonts w:ascii="Calibri Light" w:hAnsi="Calibri Light" w:cs="Arial"/>
          <w:sz w:val="22"/>
        </w:rPr>
        <w:noBreakHyphen/>
      </w:r>
      <w:r w:rsidR="00CF0F96" w:rsidRPr="009E2B03">
        <w:rPr>
          <w:rFonts w:ascii="Calibri Light" w:hAnsi="Calibri Light" w:cs="Arial"/>
          <w:sz w:val="22"/>
        </w:rPr>
        <w:fldChar w:fldCharType="begin"/>
      </w:r>
      <w:r w:rsidR="00CF0F96" w:rsidRPr="009E2B03">
        <w:rPr>
          <w:rFonts w:ascii="Calibri Light" w:hAnsi="Calibri Light" w:cs="Arial"/>
          <w:sz w:val="22"/>
        </w:rPr>
        <w:instrText xml:space="preserve"> SEQ Table \* ARABIC \s 1 </w:instrText>
      </w:r>
      <w:r w:rsidR="00CF0F96" w:rsidRPr="009E2B03">
        <w:rPr>
          <w:rFonts w:ascii="Calibri Light" w:hAnsi="Calibri Light" w:cs="Arial"/>
          <w:sz w:val="22"/>
        </w:rPr>
        <w:fldChar w:fldCharType="separate"/>
      </w:r>
      <w:r w:rsidR="00417237">
        <w:rPr>
          <w:rFonts w:ascii="Calibri Light" w:hAnsi="Calibri Light" w:cs="Arial"/>
          <w:noProof/>
          <w:sz w:val="22"/>
        </w:rPr>
        <w:t>1</w:t>
      </w:r>
      <w:r w:rsidR="00CF0F96" w:rsidRPr="009E2B03">
        <w:rPr>
          <w:rFonts w:ascii="Calibri Light" w:hAnsi="Calibri Light" w:cs="Arial"/>
          <w:noProof/>
          <w:sz w:val="22"/>
        </w:rPr>
        <w:fldChar w:fldCharType="end"/>
      </w:r>
      <w:bookmarkEnd w:id="173"/>
      <w:r w:rsidRPr="009E2B03">
        <w:rPr>
          <w:rFonts w:ascii="Calibri Light" w:hAnsi="Calibri Light" w:cs="Arial"/>
          <w:sz w:val="22"/>
        </w:rPr>
        <w:t>: Data sources</w:t>
      </w:r>
    </w:p>
    <w:tbl>
      <w:tblPr>
        <w:tblStyle w:val="KPMGtable1"/>
        <w:tblW w:w="14312" w:type="dxa"/>
        <w:tblLook w:val="04A0" w:firstRow="1" w:lastRow="0" w:firstColumn="1" w:lastColumn="0" w:noHBand="0" w:noVBand="1"/>
        <w:tblCaption w:val="Table E-0 1 providing a summary of the key sources used in estimating the costs of violence against women and their children. "/>
      </w:tblPr>
      <w:tblGrid>
        <w:gridCol w:w="2263"/>
        <w:gridCol w:w="2552"/>
        <w:gridCol w:w="7938"/>
        <w:gridCol w:w="1559"/>
      </w:tblGrid>
      <w:tr w:rsidR="004A6712" w:rsidRPr="009E2B03" w14:paraId="18049388" w14:textId="77777777" w:rsidTr="00B21B0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6D2077"/>
            <w:noWrap/>
            <w:hideMark/>
          </w:tcPr>
          <w:p w14:paraId="442BCF37" w14:textId="77777777" w:rsidR="004A6712" w:rsidRPr="009E2B03" w:rsidRDefault="004A6712" w:rsidP="00811983">
            <w:pPr>
              <w:rPr>
                <w:rFonts w:ascii="Calibri Light" w:hAnsi="Calibri Light" w:cs="Arial"/>
                <w:b/>
                <w:szCs w:val="18"/>
                <w:lang w:eastAsia="en-AU"/>
              </w:rPr>
            </w:pPr>
            <w:r w:rsidRPr="009E2B03">
              <w:rPr>
                <w:rFonts w:ascii="Calibri Light" w:hAnsi="Calibri Light" w:cs="Arial"/>
                <w:b/>
                <w:szCs w:val="18"/>
                <w:lang w:eastAsia="en-AU"/>
              </w:rPr>
              <w:t>Organisation</w:t>
            </w:r>
          </w:p>
        </w:tc>
        <w:tc>
          <w:tcPr>
            <w:tcW w:w="2552" w:type="dxa"/>
            <w:shd w:val="clear" w:color="auto" w:fill="6D2077"/>
            <w:noWrap/>
            <w:hideMark/>
          </w:tcPr>
          <w:p w14:paraId="5FB94B7E" w14:textId="77777777" w:rsidR="004A6712" w:rsidRPr="009E2B03" w:rsidRDefault="004A6712" w:rsidP="00811983">
            <w:p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lang w:eastAsia="en-AU"/>
              </w:rPr>
            </w:pPr>
            <w:r w:rsidRPr="009E2B03">
              <w:rPr>
                <w:rFonts w:ascii="Calibri Light" w:hAnsi="Calibri Light" w:cs="Arial"/>
                <w:b/>
                <w:szCs w:val="18"/>
                <w:lang w:eastAsia="en-AU"/>
              </w:rPr>
              <w:t>Publication title</w:t>
            </w:r>
          </w:p>
        </w:tc>
        <w:tc>
          <w:tcPr>
            <w:tcW w:w="7938" w:type="dxa"/>
            <w:shd w:val="clear" w:color="auto" w:fill="6D2077"/>
            <w:hideMark/>
          </w:tcPr>
          <w:p w14:paraId="62920ACC" w14:textId="77777777" w:rsidR="004A6712" w:rsidRPr="009E2B03" w:rsidRDefault="004A6712" w:rsidP="00811983">
            <w:p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lang w:eastAsia="en-AU"/>
              </w:rPr>
            </w:pPr>
            <w:r w:rsidRPr="009E2B03">
              <w:rPr>
                <w:rFonts w:ascii="Calibri Light" w:hAnsi="Calibri Light" w:cs="Arial"/>
                <w:b/>
                <w:szCs w:val="18"/>
                <w:lang w:eastAsia="en-AU"/>
              </w:rPr>
              <w:t>Data type and measures</w:t>
            </w:r>
          </w:p>
        </w:tc>
        <w:tc>
          <w:tcPr>
            <w:tcW w:w="1559" w:type="dxa"/>
            <w:shd w:val="clear" w:color="auto" w:fill="6D2077"/>
            <w:noWrap/>
            <w:hideMark/>
          </w:tcPr>
          <w:p w14:paraId="17B50EC7" w14:textId="77777777" w:rsidR="004A6712" w:rsidRPr="009E2B03" w:rsidRDefault="004A6712" w:rsidP="00811983">
            <w:pPr>
              <w:cnfStyle w:val="100000000000" w:firstRow="1" w:lastRow="0" w:firstColumn="0" w:lastColumn="0" w:oddVBand="0" w:evenVBand="0" w:oddHBand="0" w:evenHBand="0" w:firstRowFirstColumn="0" w:firstRowLastColumn="0" w:lastRowFirstColumn="0" w:lastRowLastColumn="0"/>
              <w:rPr>
                <w:rFonts w:ascii="Calibri Light" w:hAnsi="Calibri Light" w:cs="Arial"/>
                <w:b/>
                <w:szCs w:val="18"/>
                <w:lang w:eastAsia="en-AU"/>
              </w:rPr>
            </w:pPr>
            <w:r w:rsidRPr="009E2B03">
              <w:rPr>
                <w:rFonts w:ascii="Calibri Light" w:hAnsi="Calibri Light" w:cs="Arial"/>
                <w:b/>
                <w:szCs w:val="18"/>
                <w:lang w:eastAsia="en-AU"/>
              </w:rPr>
              <w:t>Jurisdiction</w:t>
            </w:r>
          </w:p>
        </w:tc>
      </w:tr>
      <w:tr w:rsidR="004A6712" w:rsidRPr="009E2B03" w14:paraId="486C8EF9" w14:textId="77777777" w:rsidTr="00B21B09">
        <w:trPr>
          <w:trHeight w:val="1304"/>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029C7478"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Institute of Health and Welfare</w:t>
            </w:r>
          </w:p>
        </w:tc>
        <w:tc>
          <w:tcPr>
            <w:tcW w:w="2552" w:type="dxa"/>
            <w:hideMark/>
          </w:tcPr>
          <w:p w14:paraId="472CCB9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AIHW Specialist Homelessness Services Data Repository - Demographics National data cube</w:t>
            </w:r>
          </w:p>
        </w:tc>
        <w:tc>
          <w:tcPr>
            <w:tcW w:w="7938" w:type="dxa"/>
            <w:hideMark/>
          </w:tcPr>
          <w:p w14:paraId="1C8AB82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Accommodation nights, Age, Care or protection order, Country of birth (region), DV victim, Diagnosed mental health issue, Exiting care, Exiting custody, Family type (first reported), Homelessness (first reported), Indigenous status, Main reason, Mental health issue, Remoteness area, Repeat homelessness, Risk of homelessness (ever reported), Sex, State / territory, Support period length, Year, Year of arrival in Australia.</w:t>
            </w:r>
          </w:p>
        </w:tc>
        <w:tc>
          <w:tcPr>
            <w:tcW w:w="1559" w:type="dxa"/>
            <w:hideMark/>
          </w:tcPr>
          <w:p w14:paraId="10C749F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282D5E62" w14:textId="77777777" w:rsidTr="00B21B09">
        <w:trPr>
          <w:trHeight w:val="2816"/>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07B5B9EE"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Institute of Health and Welfare</w:t>
            </w:r>
          </w:p>
        </w:tc>
        <w:tc>
          <w:tcPr>
            <w:tcW w:w="2552" w:type="dxa"/>
            <w:hideMark/>
          </w:tcPr>
          <w:p w14:paraId="61AAA04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AIHW Specialist Homelessness Services Data Repository - Support Services data cube</w:t>
            </w:r>
          </w:p>
        </w:tc>
        <w:tc>
          <w:tcPr>
            <w:tcW w:w="7938" w:type="dxa"/>
            <w:hideMark/>
          </w:tcPr>
          <w:p w14:paraId="69D37BD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Accommodation provision – needed, Accommodation provision – provided, Accommodation provision – referred, Age, DV assistance – needed, DV assistance – provided, DV assistance – referred, Disability assistance - needed, Disability assistance - provided, Disability assistance - referred, Drug / Alcohol assistance - needed, Drug / Alcohol assistance – provided, Drug / Alcohol assistance – referred, Family assistance - needed, Family assistance – provided, Family assistance – referred, General services - needed, General services - provided, General services – referred, Immigration assistance - needed, Immigration assistance – provided, Immigration assistance - referred, Legal/financial assistance - needed, Legal/financial assistance – provided, Legal/financial assistance – referred, Main reason, Mental health assistance - needed, Mental health assistance - provided, Mental health assistance – referred, Remoteness area, Sex, Specialist services - needed, Specialist services - provided, Specialist services - referred, State/Territory, Tenure assistance - needed, Tenure assistance - provided, Tenure assistance - referred, Year</w:t>
            </w:r>
            <w:r w:rsidR="001113E3" w:rsidRPr="009E2B03">
              <w:rPr>
                <w:rFonts w:ascii="Calibri Light" w:hAnsi="Calibri Light" w:cs="Arial"/>
                <w:szCs w:val="18"/>
                <w:lang w:eastAsia="en-AU"/>
              </w:rPr>
              <w:t>.</w:t>
            </w:r>
          </w:p>
        </w:tc>
        <w:tc>
          <w:tcPr>
            <w:tcW w:w="1559" w:type="dxa"/>
            <w:hideMark/>
          </w:tcPr>
          <w:p w14:paraId="7142BBD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4621F7E5" w14:textId="77777777" w:rsidTr="00B21B09">
        <w:trPr>
          <w:trHeight w:val="56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6F8A9477"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Bureau of Statistics</w:t>
            </w:r>
          </w:p>
        </w:tc>
        <w:tc>
          <w:tcPr>
            <w:tcW w:w="2552" w:type="dxa"/>
            <w:hideMark/>
          </w:tcPr>
          <w:p w14:paraId="326E824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4510.0 - Recorded Crime - Victims, Australia, 2014</w:t>
            </w:r>
          </w:p>
        </w:tc>
        <w:tc>
          <w:tcPr>
            <w:tcW w:w="7938" w:type="dxa"/>
            <w:hideMark/>
          </w:tcPr>
          <w:p w14:paraId="5488D11B"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 xml:space="preserve">Measures of </w:t>
            </w:r>
            <w:r w:rsidR="00E8140C" w:rsidRPr="009E2B03">
              <w:rPr>
                <w:rFonts w:ascii="Calibri Light" w:hAnsi="Calibri Light" w:cs="Arial"/>
                <w:szCs w:val="18"/>
                <w:lang w:eastAsia="en-AU"/>
              </w:rPr>
              <w:t>Frequency -</w:t>
            </w:r>
            <w:r w:rsidRPr="009E2B03">
              <w:rPr>
                <w:rFonts w:ascii="Calibri Light" w:hAnsi="Calibri Light" w:cs="Arial"/>
                <w:szCs w:val="18"/>
                <w:lang w:eastAsia="en-AU"/>
              </w:rPr>
              <w:t xml:space="preserve"> Indigenous Status, Types of Crime, Age, Gender, relationship of the of</w:t>
            </w:r>
            <w:r w:rsidR="00DD3E3C" w:rsidRPr="009E2B03">
              <w:rPr>
                <w:rFonts w:ascii="Calibri Light" w:hAnsi="Calibri Light" w:cs="Arial"/>
                <w:szCs w:val="18"/>
                <w:lang w:eastAsia="en-AU"/>
              </w:rPr>
              <w:t xml:space="preserve">fender to the victim, </w:t>
            </w:r>
            <w:r w:rsidR="001113E3" w:rsidRPr="009E2B03">
              <w:rPr>
                <w:rFonts w:ascii="Calibri Light" w:hAnsi="Calibri Light" w:cs="Arial"/>
                <w:szCs w:val="18"/>
                <w:lang w:eastAsia="en-AU"/>
              </w:rPr>
              <w:t>L</w:t>
            </w:r>
            <w:r w:rsidR="00DD3E3C" w:rsidRPr="009E2B03">
              <w:rPr>
                <w:rFonts w:ascii="Calibri Light" w:hAnsi="Calibri Light" w:cs="Arial"/>
                <w:szCs w:val="18"/>
                <w:lang w:eastAsia="en-AU"/>
              </w:rPr>
              <w:t>ocation.</w:t>
            </w:r>
          </w:p>
        </w:tc>
        <w:tc>
          <w:tcPr>
            <w:tcW w:w="1559" w:type="dxa"/>
            <w:hideMark/>
          </w:tcPr>
          <w:p w14:paraId="1FCAE78E"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6DA3E58C" w14:textId="77777777" w:rsidTr="00B21B09">
        <w:trPr>
          <w:trHeight w:val="696"/>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202FE6B5"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Bureau of Statistics</w:t>
            </w:r>
          </w:p>
        </w:tc>
        <w:tc>
          <w:tcPr>
            <w:tcW w:w="2552" w:type="dxa"/>
            <w:hideMark/>
          </w:tcPr>
          <w:p w14:paraId="68B27169"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Personal Safety Survey 2012. ABS cat no. 4906.0</w:t>
            </w:r>
          </w:p>
        </w:tc>
        <w:tc>
          <w:tcPr>
            <w:tcW w:w="7938" w:type="dxa"/>
            <w:hideMark/>
          </w:tcPr>
          <w:p w14:paraId="20B5CA2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 xml:space="preserve">Measures of </w:t>
            </w:r>
            <w:r w:rsidR="001113E3" w:rsidRPr="009E2B03">
              <w:rPr>
                <w:rFonts w:ascii="Calibri Light" w:hAnsi="Calibri Light" w:cs="Arial"/>
                <w:szCs w:val="18"/>
                <w:lang w:eastAsia="en-AU"/>
              </w:rPr>
              <w:t>f</w:t>
            </w:r>
            <w:r w:rsidRPr="009E2B03">
              <w:rPr>
                <w:rFonts w:ascii="Calibri Light" w:hAnsi="Calibri Light" w:cs="Arial"/>
                <w:szCs w:val="18"/>
                <w:lang w:eastAsia="en-AU"/>
              </w:rPr>
              <w:t xml:space="preserve">requency - Domestic </w:t>
            </w:r>
            <w:r w:rsidR="001113E3" w:rsidRPr="009E2B03">
              <w:rPr>
                <w:rFonts w:ascii="Calibri Light" w:hAnsi="Calibri Light" w:cs="Arial"/>
                <w:szCs w:val="18"/>
                <w:lang w:eastAsia="en-AU"/>
              </w:rPr>
              <w:t>v</w:t>
            </w:r>
            <w:r w:rsidRPr="009E2B03">
              <w:rPr>
                <w:rFonts w:ascii="Calibri Light" w:hAnsi="Calibri Light" w:cs="Arial"/>
                <w:szCs w:val="18"/>
                <w:lang w:eastAsia="en-AU"/>
              </w:rPr>
              <w:t xml:space="preserve">iolence </w:t>
            </w:r>
            <w:r w:rsidR="001113E3" w:rsidRPr="009E2B03">
              <w:rPr>
                <w:rFonts w:ascii="Calibri Light" w:hAnsi="Calibri Light" w:cs="Arial"/>
                <w:szCs w:val="18"/>
                <w:lang w:eastAsia="en-AU"/>
              </w:rPr>
              <w:t>v</w:t>
            </w:r>
            <w:r w:rsidRPr="009E2B03">
              <w:rPr>
                <w:rFonts w:ascii="Calibri Light" w:hAnsi="Calibri Light" w:cs="Arial"/>
                <w:szCs w:val="18"/>
                <w:lang w:eastAsia="en-AU"/>
              </w:rPr>
              <w:t xml:space="preserve">ictim, </w:t>
            </w:r>
            <w:r w:rsidR="001113E3" w:rsidRPr="009E2B03">
              <w:rPr>
                <w:rFonts w:ascii="Calibri Light" w:hAnsi="Calibri Light" w:cs="Arial"/>
                <w:szCs w:val="18"/>
                <w:lang w:eastAsia="en-AU"/>
              </w:rPr>
              <w:t>H</w:t>
            </w:r>
            <w:r w:rsidRPr="009E2B03">
              <w:rPr>
                <w:rFonts w:ascii="Calibri Light" w:hAnsi="Calibri Light" w:cs="Arial"/>
                <w:szCs w:val="18"/>
                <w:lang w:eastAsia="en-AU"/>
              </w:rPr>
              <w:t xml:space="preserve">omelessness, Indigenous, Age, State and </w:t>
            </w:r>
            <w:r w:rsidR="001113E3" w:rsidRPr="009E2B03">
              <w:rPr>
                <w:rFonts w:ascii="Calibri Light" w:hAnsi="Calibri Light" w:cs="Arial"/>
                <w:szCs w:val="18"/>
                <w:lang w:eastAsia="en-AU"/>
              </w:rPr>
              <w:t>t</w:t>
            </w:r>
            <w:r w:rsidRPr="009E2B03">
              <w:rPr>
                <w:rFonts w:ascii="Calibri Light" w:hAnsi="Calibri Light" w:cs="Arial"/>
                <w:szCs w:val="18"/>
                <w:lang w:eastAsia="en-AU"/>
              </w:rPr>
              <w:t xml:space="preserve">erritory </w:t>
            </w:r>
            <w:r w:rsidR="001113E3" w:rsidRPr="009E2B03">
              <w:rPr>
                <w:rFonts w:ascii="Calibri Light" w:hAnsi="Calibri Light" w:cs="Arial"/>
                <w:szCs w:val="18"/>
                <w:lang w:eastAsia="en-AU"/>
              </w:rPr>
              <w:t>l</w:t>
            </w:r>
            <w:r w:rsidRPr="009E2B03">
              <w:rPr>
                <w:rFonts w:ascii="Calibri Light" w:hAnsi="Calibri Light" w:cs="Arial"/>
                <w:szCs w:val="18"/>
                <w:lang w:eastAsia="en-AU"/>
              </w:rPr>
              <w:t xml:space="preserve">ocation, Mental </w:t>
            </w:r>
            <w:r w:rsidR="001113E3" w:rsidRPr="009E2B03">
              <w:rPr>
                <w:rFonts w:ascii="Calibri Light" w:hAnsi="Calibri Light" w:cs="Arial"/>
                <w:szCs w:val="18"/>
                <w:lang w:eastAsia="en-AU"/>
              </w:rPr>
              <w:t>h</w:t>
            </w:r>
            <w:r w:rsidRPr="009E2B03">
              <w:rPr>
                <w:rFonts w:ascii="Calibri Light" w:hAnsi="Calibri Light" w:cs="Arial"/>
                <w:szCs w:val="18"/>
                <w:lang w:eastAsia="en-AU"/>
              </w:rPr>
              <w:t xml:space="preserve">ealth </w:t>
            </w:r>
            <w:r w:rsidR="001113E3" w:rsidRPr="009E2B03">
              <w:rPr>
                <w:rFonts w:ascii="Calibri Light" w:hAnsi="Calibri Light" w:cs="Arial"/>
                <w:szCs w:val="18"/>
                <w:lang w:eastAsia="en-AU"/>
              </w:rPr>
              <w:t>i</w:t>
            </w:r>
            <w:r w:rsidRPr="009E2B03">
              <w:rPr>
                <w:rFonts w:ascii="Calibri Light" w:hAnsi="Calibri Light" w:cs="Arial"/>
                <w:szCs w:val="18"/>
                <w:lang w:eastAsia="en-AU"/>
              </w:rPr>
              <w:t xml:space="preserve">ssue, Remoteness, Region of </w:t>
            </w:r>
            <w:r w:rsidR="001113E3" w:rsidRPr="009E2B03">
              <w:rPr>
                <w:rFonts w:ascii="Calibri Light" w:hAnsi="Calibri Light" w:cs="Arial"/>
                <w:szCs w:val="18"/>
                <w:lang w:eastAsia="en-AU"/>
              </w:rPr>
              <w:t>b</w:t>
            </w:r>
            <w:r w:rsidRPr="009E2B03">
              <w:rPr>
                <w:rFonts w:ascii="Calibri Light" w:hAnsi="Calibri Light" w:cs="Arial"/>
                <w:szCs w:val="18"/>
                <w:lang w:eastAsia="en-AU"/>
              </w:rPr>
              <w:t>irth, year of arrival in Australia</w:t>
            </w:r>
            <w:r w:rsidR="001113E3" w:rsidRPr="009E2B03">
              <w:rPr>
                <w:rFonts w:ascii="Calibri Light" w:hAnsi="Calibri Light" w:cs="Arial"/>
                <w:szCs w:val="18"/>
                <w:lang w:eastAsia="en-AU"/>
              </w:rPr>
              <w:t>.</w:t>
            </w:r>
          </w:p>
        </w:tc>
        <w:tc>
          <w:tcPr>
            <w:tcW w:w="1559" w:type="dxa"/>
            <w:hideMark/>
          </w:tcPr>
          <w:p w14:paraId="7919CB94"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4C7AA6CE" w14:textId="77777777" w:rsidTr="00B21B09">
        <w:trPr>
          <w:trHeight w:val="57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43AA2492"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lastRenderedPageBreak/>
              <w:t>Australian Bureau of Statistics</w:t>
            </w:r>
          </w:p>
        </w:tc>
        <w:tc>
          <w:tcPr>
            <w:tcW w:w="2552" w:type="dxa"/>
            <w:hideMark/>
          </w:tcPr>
          <w:p w14:paraId="7149C07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Australian demographic statistics. ABS cat no. 3101.0</w:t>
            </w:r>
          </w:p>
        </w:tc>
        <w:tc>
          <w:tcPr>
            <w:tcW w:w="7938" w:type="dxa"/>
            <w:hideMark/>
          </w:tcPr>
          <w:p w14:paraId="356A783E"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Population</w:t>
            </w:r>
            <w:r w:rsidR="005A7280" w:rsidRPr="009E2B03">
              <w:rPr>
                <w:rFonts w:ascii="Calibri Light" w:hAnsi="Calibri Light" w:cs="Arial"/>
                <w:szCs w:val="18"/>
                <w:lang w:eastAsia="en-AU"/>
              </w:rPr>
              <w:t xml:space="preserve"> characteristics</w:t>
            </w:r>
            <w:r w:rsidR="001113E3" w:rsidRPr="009E2B03">
              <w:rPr>
                <w:rFonts w:ascii="Calibri Light" w:hAnsi="Calibri Light" w:cs="Arial"/>
                <w:szCs w:val="18"/>
                <w:lang w:eastAsia="en-AU"/>
              </w:rPr>
              <w:t>.</w:t>
            </w:r>
          </w:p>
        </w:tc>
        <w:tc>
          <w:tcPr>
            <w:tcW w:w="1559" w:type="dxa"/>
            <w:hideMark/>
          </w:tcPr>
          <w:p w14:paraId="5093ADAD"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4FB9DF0E" w14:textId="77777777" w:rsidTr="00B21B09">
        <w:trPr>
          <w:trHeight w:val="114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185E0853"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Institute of Criminology</w:t>
            </w:r>
          </w:p>
        </w:tc>
        <w:tc>
          <w:tcPr>
            <w:tcW w:w="2552" w:type="dxa"/>
            <w:hideMark/>
          </w:tcPr>
          <w:p w14:paraId="6A7229A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b/>
                <w:bCs/>
                <w:szCs w:val="18"/>
                <w:lang w:eastAsia="en-AU"/>
              </w:rPr>
            </w:pPr>
            <w:r w:rsidRPr="009E2B03">
              <w:rPr>
                <w:rFonts w:ascii="Calibri Light" w:hAnsi="Calibri Light" w:cs="Arial"/>
                <w:bCs/>
                <w:szCs w:val="18"/>
                <w:lang w:eastAsia="en-AU"/>
              </w:rPr>
              <w:t>AIC NHMP 1989–90 to 2011–12</w:t>
            </w:r>
            <w:r w:rsidRPr="009E2B03">
              <w:rPr>
                <w:rFonts w:ascii="Calibri Light" w:hAnsi="Calibri Light" w:cs="Arial"/>
                <w:b/>
                <w:bCs/>
                <w:szCs w:val="18"/>
                <w:lang w:eastAsia="en-AU"/>
              </w:rPr>
              <w:t xml:space="preserve"> - </w:t>
            </w:r>
            <w:r w:rsidRPr="009E2B03">
              <w:rPr>
                <w:rFonts w:ascii="Calibri Light" w:hAnsi="Calibri Light" w:cs="Arial"/>
                <w:szCs w:val="18"/>
                <w:lang w:eastAsia="en-AU"/>
              </w:rPr>
              <w:t xml:space="preserve">Data basis on which Domestic/Family violence article was built </w:t>
            </w:r>
          </w:p>
        </w:tc>
        <w:tc>
          <w:tcPr>
            <w:tcW w:w="7938" w:type="dxa"/>
            <w:hideMark/>
          </w:tcPr>
          <w:p w14:paraId="38B59D4D" w14:textId="77777777" w:rsidR="004A6712" w:rsidRPr="009E2B03" w:rsidRDefault="000F39E7" w:rsidP="000F39E7">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Includes identification</w:t>
            </w:r>
            <w:r w:rsidR="00DD3E3C" w:rsidRPr="009E2B03">
              <w:rPr>
                <w:rFonts w:ascii="Calibri Light" w:hAnsi="Calibri Light" w:cs="Arial"/>
                <w:szCs w:val="18"/>
                <w:lang w:eastAsia="en-AU"/>
              </w:rPr>
              <w:t xml:space="preserve"> of l</w:t>
            </w:r>
            <w:r w:rsidR="004A6712" w:rsidRPr="009E2B03">
              <w:rPr>
                <w:rFonts w:ascii="Calibri Light" w:hAnsi="Calibri Light" w:cs="Arial"/>
                <w:szCs w:val="18"/>
                <w:lang w:eastAsia="en-AU"/>
              </w:rPr>
              <w:t>ocation, age, employment status,</w:t>
            </w:r>
            <w:r w:rsidR="00DD3E3C" w:rsidRPr="009E2B03">
              <w:rPr>
                <w:rFonts w:ascii="Calibri Light" w:hAnsi="Calibri Light" w:cs="Arial"/>
                <w:szCs w:val="18"/>
                <w:lang w:eastAsia="en-AU"/>
              </w:rPr>
              <w:t xml:space="preserve"> and data on</w:t>
            </w:r>
            <w:r w:rsidR="004A6712" w:rsidRPr="009E2B03">
              <w:rPr>
                <w:rFonts w:ascii="Calibri Light" w:hAnsi="Calibri Light" w:cs="Arial"/>
                <w:szCs w:val="18"/>
                <w:lang w:eastAsia="en-AU"/>
              </w:rPr>
              <w:t xml:space="preserve"> indigenous</w:t>
            </w:r>
            <w:r w:rsidR="00DD3E3C" w:rsidRPr="009E2B03">
              <w:rPr>
                <w:rFonts w:ascii="Calibri Light" w:hAnsi="Calibri Light" w:cs="Arial"/>
                <w:szCs w:val="18"/>
                <w:lang w:eastAsia="en-AU"/>
              </w:rPr>
              <w:t xml:space="preserve"> groups.</w:t>
            </w:r>
          </w:p>
        </w:tc>
        <w:tc>
          <w:tcPr>
            <w:tcW w:w="1559" w:type="dxa"/>
            <w:hideMark/>
          </w:tcPr>
          <w:p w14:paraId="2A606971"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4D10E19B" w14:textId="77777777" w:rsidTr="00B21B09">
        <w:trPr>
          <w:trHeight w:val="114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28AEEF1C"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European Union Agency for Fundamental Rights</w:t>
            </w:r>
          </w:p>
        </w:tc>
        <w:tc>
          <w:tcPr>
            <w:tcW w:w="2552" w:type="dxa"/>
            <w:hideMark/>
          </w:tcPr>
          <w:p w14:paraId="5A17C289" w14:textId="77777777" w:rsidR="004A6712" w:rsidRPr="009E2B03" w:rsidRDefault="004A6712" w:rsidP="00811983">
            <w:pPr>
              <w:ind w:left="34" w:hanging="34"/>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FRA gender-based violence against women survey dataset, 2012</w:t>
            </w:r>
          </w:p>
        </w:tc>
        <w:tc>
          <w:tcPr>
            <w:tcW w:w="7938" w:type="dxa"/>
            <w:hideMark/>
          </w:tcPr>
          <w:p w14:paraId="5C8EF8E7"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Physical, sexual and psychological violence</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Consequences of physical and sexual violence</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Sexual harassment and stalking</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Violence in childhood</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Safety and security</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Opinions, attitudes and awareness</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w:t>
            </w:r>
            <w:r w:rsidR="001113E3" w:rsidRPr="009E2B03">
              <w:rPr>
                <w:rFonts w:ascii="Calibri Light" w:hAnsi="Calibri Light" w:cs="Arial"/>
                <w:szCs w:val="18"/>
                <w:lang w:eastAsia="en-AU"/>
              </w:rPr>
              <w:t>A</w:t>
            </w:r>
            <w:r w:rsidRPr="009E2B03">
              <w:rPr>
                <w:rFonts w:ascii="Calibri Light" w:hAnsi="Calibri Light" w:cs="Arial"/>
                <w:szCs w:val="18"/>
                <w:lang w:eastAsia="en-AU"/>
              </w:rPr>
              <w:t>ge</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w:t>
            </w:r>
            <w:r w:rsidR="001113E3" w:rsidRPr="009E2B03">
              <w:rPr>
                <w:rFonts w:ascii="Calibri Light" w:hAnsi="Calibri Light" w:cs="Arial"/>
                <w:szCs w:val="18"/>
                <w:lang w:eastAsia="en-AU"/>
              </w:rPr>
              <w:t>E</w:t>
            </w:r>
            <w:r w:rsidRPr="009E2B03">
              <w:rPr>
                <w:rFonts w:ascii="Calibri Light" w:hAnsi="Calibri Light" w:cs="Arial"/>
                <w:szCs w:val="18"/>
                <w:lang w:eastAsia="en-AU"/>
              </w:rPr>
              <w:t xml:space="preserve">mployment status, </w:t>
            </w:r>
            <w:r w:rsidR="001113E3" w:rsidRPr="009E2B03">
              <w:rPr>
                <w:rFonts w:ascii="Calibri Light" w:hAnsi="Calibri Light" w:cs="Arial"/>
                <w:szCs w:val="18"/>
                <w:lang w:eastAsia="en-AU"/>
              </w:rPr>
              <w:t>E</w:t>
            </w:r>
            <w:r w:rsidRPr="009E2B03">
              <w:rPr>
                <w:rFonts w:ascii="Calibri Light" w:hAnsi="Calibri Light" w:cs="Arial"/>
                <w:szCs w:val="18"/>
                <w:lang w:eastAsia="en-AU"/>
              </w:rPr>
              <w:t>ducation</w:t>
            </w:r>
            <w:r w:rsidR="001113E3" w:rsidRPr="009E2B03">
              <w:rPr>
                <w:rFonts w:ascii="Calibri Light" w:hAnsi="Calibri Light" w:cs="Arial"/>
                <w:szCs w:val="18"/>
                <w:lang w:eastAsia="en-AU"/>
              </w:rPr>
              <w:t>.</w:t>
            </w:r>
          </w:p>
        </w:tc>
        <w:tc>
          <w:tcPr>
            <w:tcW w:w="1559" w:type="dxa"/>
            <w:hideMark/>
          </w:tcPr>
          <w:p w14:paraId="73EFAEC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European Union</w:t>
            </w:r>
          </w:p>
        </w:tc>
      </w:tr>
      <w:tr w:rsidR="004A6712" w:rsidRPr="009E2B03" w14:paraId="765E7222" w14:textId="77777777" w:rsidTr="00B21B09">
        <w:trPr>
          <w:trHeight w:val="171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1BABE4EE"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NSW Bureau of Crime Statistics and Research</w:t>
            </w:r>
          </w:p>
        </w:tc>
        <w:tc>
          <w:tcPr>
            <w:tcW w:w="2552" w:type="dxa"/>
            <w:hideMark/>
          </w:tcPr>
          <w:p w14:paraId="2C7A4E5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Domestic violence statistics for NSW</w:t>
            </w:r>
          </w:p>
        </w:tc>
        <w:tc>
          <w:tcPr>
            <w:tcW w:w="7938" w:type="dxa"/>
            <w:hideMark/>
          </w:tcPr>
          <w:p w14:paraId="6B1C04D8" w14:textId="77777777" w:rsidR="004A6712" w:rsidRPr="009E2B03" w:rsidRDefault="001113E3"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T</w:t>
            </w:r>
            <w:r w:rsidR="004A6712" w:rsidRPr="009E2B03">
              <w:rPr>
                <w:rFonts w:ascii="Calibri Light" w:hAnsi="Calibri Light" w:cs="Arial"/>
                <w:szCs w:val="18"/>
                <w:lang w:eastAsia="en-AU"/>
              </w:rPr>
              <w:t>ypes of domestic violence incidents recorded by police; spatial distribution of domestic violence incidents, including locations and premises at which these incidents occur; time of day, day of week and month that domestic violence incidents occur; involvement of alcohol in domestic violence incidents; and information about victims and perpetrators involved in domestic violence incidents,</w:t>
            </w:r>
            <w:r w:rsidRPr="009E2B03">
              <w:rPr>
                <w:rFonts w:ascii="Calibri Light" w:hAnsi="Calibri Light" w:cs="Arial"/>
                <w:szCs w:val="18"/>
                <w:lang w:eastAsia="en-AU"/>
              </w:rPr>
              <w:t xml:space="preserve"> </w:t>
            </w:r>
            <w:r w:rsidR="004A6712" w:rsidRPr="009E2B03">
              <w:rPr>
                <w:rFonts w:ascii="Calibri Light" w:hAnsi="Calibri Light" w:cs="Arial"/>
                <w:szCs w:val="18"/>
                <w:lang w:eastAsia="en-AU"/>
              </w:rPr>
              <w:t xml:space="preserve">including their gender, age, </w:t>
            </w:r>
            <w:r w:rsidRPr="009E2B03">
              <w:rPr>
                <w:rFonts w:ascii="Calibri Light" w:hAnsi="Calibri Light" w:cs="Arial"/>
                <w:szCs w:val="18"/>
                <w:lang w:eastAsia="en-AU"/>
              </w:rPr>
              <w:t>i</w:t>
            </w:r>
            <w:r w:rsidR="004A6712" w:rsidRPr="009E2B03">
              <w:rPr>
                <w:rFonts w:ascii="Calibri Light" w:hAnsi="Calibri Light" w:cs="Arial"/>
                <w:szCs w:val="18"/>
                <w:lang w:eastAsia="en-AU"/>
              </w:rPr>
              <w:t>ndigenous status and</w:t>
            </w:r>
            <w:r w:rsidRPr="009E2B03">
              <w:rPr>
                <w:rFonts w:ascii="Calibri Light" w:hAnsi="Calibri Light" w:cs="Arial"/>
                <w:szCs w:val="18"/>
                <w:lang w:eastAsia="en-AU"/>
              </w:rPr>
              <w:t xml:space="preserve"> </w:t>
            </w:r>
            <w:r w:rsidR="004A6712" w:rsidRPr="009E2B03">
              <w:rPr>
                <w:rFonts w:ascii="Calibri Light" w:hAnsi="Calibri Light" w:cs="Arial"/>
                <w:szCs w:val="18"/>
                <w:lang w:eastAsia="en-AU"/>
              </w:rPr>
              <w:t>victim-offender relationship</w:t>
            </w:r>
            <w:r w:rsidRPr="009E2B03">
              <w:rPr>
                <w:rFonts w:ascii="Calibri Light" w:hAnsi="Calibri Light" w:cs="Arial"/>
                <w:szCs w:val="18"/>
                <w:lang w:eastAsia="en-AU"/>
              </w:rPr>
              <w:t>.</w:t>
            </w:r>
          </w:p>
        </w:tc>
        <w:tc>
          <w:tcPr>
            <w:tcW w:w="1559" w:type="dxa"/>
            <w:hideMark/>
          </w:tcPr>
          <w:p w14:paraId="2CF2B6E0"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NSW</w:t>
            </w:r>
          </w:p>
        </w:tc>
      </w:tr>
      <w:tr w:rsidR="004A6712" w:rsidRPr="009E2B03" w14:paraId="05978226" w14:textId="77777777" w:rsidTr="00B21B09">
        <w:trPr>
          <w:trHeight w:val="57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204D7C7D"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Bureau of Statistics</w:t>
            </w:r>
          </w:p>
        </w:tc>
        <w:tc>
          <w:tcPr>
            <w:tcW w:w="2552" w:type="dxa"/>
            <w:hideMark/>
          </w:tcPr>
          <w:p w14:paraId="57AD7DE2"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Gender Indicators, Australia, Jan, 2013</w:t>
            </w:r>
          </w:p>
        </w:tc>
        <w:tc>
          <w:tcPr>
            <w:tcW w:w="7938" w:type="dxa"/>
            <w:hideMark/>
          </w:tcPr>
          <w:p w14:paraId="35C322F7" w14:textId="77777777" w:rsidR="004A6712" w:rsidRPr="009E2B03" w:rsidRDefault="004A6712" w:rsidP="005A7280">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Experience of violence from a partner</w:t>
            </w:r>
            <w:r w:rsidR="005A7280" w:rsidRPr="009E2B03">
              <w:rPr>
                <w:rFonts w:ascii="Calibri Light" w:hAnsi="Calibri Light" w:cs="Arial"/>
                <w:szCs w:val="18"/>
                <w:lang w:eastAsia="en-AU"/>
              </w:rPr>
              <w:t>.</w:t>
            </w:r>
            <w:r w:rsidRPr="009E2B03">
              <w:rPr>
                <w:rFonts w:ascii="Calibri Light" w:hAnsi="Calibri Light" w:cs="Arial"/>
                <w:szCs w:val="18"/>
                <w:lang w:eastAsia="en-AU"/>
              </w:rPr>
              <w:t xml:space="preserve"> </w:t>
            </w:r>
          </w:p>
        </w:tc>
        <w:tc>
          <w:tcPr>
            <w:tcW w:w="1559" w:type="dxa"/>
            <w:hideMark/>
          </w:tcPr>
          <w:p w14:paraId="1A212BBC"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76437D19" w14:textId="77777777" w:rsidTr="00B21B09">
        <w:trPr>
          <w:trHeight w:val="855"/>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20689DC9"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Bureau of Statistics</w:t>
            </w:r>
          </w:p>
        </w:tc>
        <w:tc>
          <w:tcPr>
            <w:tcW w:w="2552" w:type="dxa"/>
            <w:hideMark/>
          </w:tcPr>
          <w:p w14:paraId="6879E16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Crime Victimisation, Australia, 2013-14</w:t>
            </w:r>
          </w:p>
        </w:tc>
        <w:tc>
          <w:tcPr>
            <w:tcW w:w="7938" w:type="dxa"/>
            <w:hideMark/>
          </w:tcPr>
          <w:p w14:paraId="26C97E9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Total number of people experiencing violence; includes physical assault, threatened assaults, sexual assault and household crime (</w:t>
            </w:r>
            <w:r w:rsidR="001113E3" w:rsidRPr="009E2B03">
              <w:rPr>
                <w:rFonts w:ascii="Calibri Light" w:hAnsi="Calibri Light" w:cs="Arial"/>
                <w:szCs w:val="18"/>
                <w:lang w:eastAsia="en-AU"/>
              </w:rPr>
              <w:t>for example,</w:t>
            </w:r>
            <w:r w:rsidRPr="009E2B03">
              <w:rPr>
                <w:rFonts w:ascii="Calibri Light" w:hAnsi="Calibri Light" w:cs="Arial"/>
                <w:szCs w:val="18"/>
                <w:lang w:eastAsia="en-AU"/>
              </w:rPr>
              <w:t xml:space="preserve"> property damage, theft </w:t>
            </w:r>
            <w:r w:rsidR="001113E3" w:rsidRPr="009E2B03">
              <w:rPr>
                <w:rFonts w:ascii="Calibri Light" w:hAnsi="Calibri Light" w:cs="Arial"/>
                <w:szCs w:val="18"/>
                <w:lang w:eastAsia="en-AU"/>
              </w:rPr>
              <w:t>and so on</w:t>
            </w:r>
            <w:r w:rsidRPr="009E2B03">
              <w:rPr>
                <w:rFonts w:ascii="Calibri Light" w:hAnsi="Calibri Light" w:cs="Arial"/>
                <w:szCs w:val="18"/>
                <w:lang w:eastAsia="en-AU"/>
              </w:rPr>
              <w:t>)</w:t>
            </w:r>
            <w:r w:rsidR="001113E3" w:rsidRPr="009E2B03">
              <w:rPr>
                <w:rFonts w:ascii="Calibri Light" w:hAnsi="Calibri Light" w:cs="Arial"/>
                <w:szCs w:val="18"/>
                <w:lang w:eastAsia="en-AU"/>
              </w:rPr>
              <w:t>,</w:t>
            </w:r>
            <w:r w:rsidRPr="009E2B03">
              <w:rPr>
                <w:rFonts w:ascii="Calibri Light" w:hAnsi="Calibri Light" w:cs="Arial"/>
                <w:szCs w:val="18"/>
                <w:lang w:eastAsia="en-AU"/>
              </w:rPr>
              <w:t xml:space="preserve"> n</w:t>
            </w:r>
            <w:r w:rsidR="000F39E7" w:rsidRPr="009E2B03">
              <w:rPr>
                <w:rFonts w:ascii="Calibri Light" w:hAnsi="Calibri Light" w:cs="Arial"/>
                <w:szCs w:val="18"/>
                <w:lang w:eastAsia="en-AU"/>
              </w:rPr>
              <w:t>umbers are also broken down by state and t</w:t>
            </w:r>
            <w:r w:rsidRPr="009E2B03">
              <w:rPr>
                <w:rFonts w:ascii="Calibri Light" w:hAnsi="Calibri Light" w:cs="Arial"/>
                <w:szCs w:val="18"/>
                <w:lang w:eastAsia="en-AU"/>
              </w:rPr>
              <w:t>erritory.</w:t>
            </w:r>
          </w:p>
        </w:tc>
        <w:tc>
          <w:tcPr>
            <w:tcW w:w="1559" w:type="dxa"/>
            <w:hideMark/>
          </w:tcPr>
          <w:p w14:paraId="1B0A53F4" w14:textId="77777777" w:rsidR="004A6712" w:rsidRPr="009E2B03" w:rsidRDefault="000F39E7"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Australia; data also split by state and t</w:t>
            </w:r>
            <w:r w:rsidR="004A6712" w:rsidRPr="009E2B03">
              <w:rPr>
                <w:rFonts w:ascii="Calibri Light" w:hAnsi="Calibri Light" w:cs="Arial"/>
                <w:szCs w:val="18"/>
                <w:lang w:eastAsia="en-AU"/>
              </w:rPr>
              <w:t>erritory</w:t>
            </w:r>
          </w:p>
        </w:tc>
      </w:tr>
      <w:tr w:rsidR="004A6712" w:rsidRPr="009E2B03" w14:paraId="2F4B81BB" w14:textId="77777777" w:rsidTr="00B21B09">
        <w:trPr>
          <w:trHeight w:val="57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16231089"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Australian Institute of Health and Welfare</w:t>
            </w:r>
          </w:p>
        </w:tc>
        <w:tc>
          <w:tcPr>
            <w:tcW w:w="2552" w:type="dxa"/>
            <w:hideMark/>
          </w:tcPr>
          <w:p w14:paraId="5A3E1356"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Health expenditure Australia 2013-14</w:t>
            </w:r>
          </w:p>
        </w:tc>
        <w:tc>
          <w:tcPr>
            <w:tcW w:w="7938" w:type="dxa"/>
            <w:hideMark/>
          </w:tcPr>
          <w:p w14:paraId="1A78B39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Estimates of how much was spent on health between 2003–04 and 2013–14. This information contributes to understanding the performance and efficiency of Australia’s health system and how changes arise over time.</w:t>
            </w:r>
          </w:p>
        </w:tc>
        <w:tc>
          <w:tcPr>
            <w:tcW w:w="1559" w:type="dxa"/>
            <w:hideMark/>
          </w:tcPr>
          <w:p w14:paraId="238E908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3631C4FE" w14:textId="77777777" w:rsidTr="00B21B09">
        <w:trPr>
          <w:trHeight w:val="812"/>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7EBCB1FB"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t>Crime Statistics Agency</w:t>
            </w:r>
          </w:p>
        </w:tc>
        <w:tc>
          <w:tcPr>
            <w:tcW w:w="2552" w:type="dxa"/>
            <w:hideMark/>
          </w:tcPr>
          <w:p w14:paraId="2804DC3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Family incidents</w:t>
            </w:r>
          </w:p>
        </w:tc>
        <w:tc>
          <w:tcPr>
            <w:tcW w:w="7938" w:type="dxa"/>
            <w:hideMark/>
          </w:tcPr>
          <w:p w14:paraId="5D81623A"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Record of family incidents attended by Victoria Police where a Victoria Police Risk Assessment and Risk Management Report (also known as an L17 form) was completed and recorded on LEAP.</w:t>
            </w:r>
          </w:p>
        </w:tc>
        <w:tc>
          <w:tcPr>
            <w:tcW w:w="1559" w:type="dxa"/>
            <w:hideMark/>
          </w:tcPr>
          <w:p w14:paraId="47A23E03"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r w:rsidR="004A6712" w:rsidRPr="009E2B03" w14:paraId="51DA66D1" w14:textId="77777777" w:rsidTr="00B21B09">
        <w:trPr>
          <w:trHeight w:val="980"/>
        </w:trPr>
        <w:tc>
          <w:tcPr>
            <w:cnfStyle w:val="001000000000" w:firstRow="0" w:lastRow="0" w:firstColumn="1" w:lastColumn="0" w:oddVBand="0" w:evenVBand="0" w:oddHBand="0" w:evenHBand="0" w:firstRowFirstColumn="0" w:firstRowLastColumn="0" w:lastRowFirstColumn="0" w:lastRowLastColumn="0"/>
            <w:tcW w:w="2263" w:type="dxa"/>
            <w:shd w:val="clear" w:color="auto" w:fill="F3F0F4"/>
            <w:hideMark/>
          </w:tcPr>
          <w:p w14:paraId="2E5F1E30" w14:textId="77777777" w:rsidR="004A6712" w:rsidRPr="009E2B03" w:rsidRDefault="004A6712" w:rsidP="00811983">
            <w:pPr>
              <w:rPr>
                <w:rFonts w:ascii="Calibri Light" w:hAnsi="Calibri Light" w:cs="Arial"/>
                <w:szCs w:val="18"/>
                <w:lang w:eastAsia="en-AU"/>
              </w:rPr>
            </w:pPr>
            <w:r w:rsidRPr="009E2B03">
              <w:rPr>
                <w:rFonts w:ascii="Calibri Light" w:hAnsi="Calibri Light" w:cs="Arial"/>
                <w:szCs w:val="18"/>
                <w:lang w:eastAsia="en-AU"/>
              </w:rPr>
              <w:lastRenderedPageBreak/>
              <w:t>Australian Bureau of Statistics</w:t>
            </w:r>
          </w:p>
        </w:tc>
        <w:tc>
          <w:tcPr>
            <w:tcW w:w="2552" w:type="dxa"/>
            <w:hideMark/>
          </w:tcPr>
          <w:p w14:paraId="1215F015"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National Aboriginal and Torres Strait Islander Social Survey, 2008</w:t>
            </w:r>
          </w:p>
        </w:tc>
        <w:tc>
          <w:tcPr>
            <w:tcW w:w="7938" w:type="dxa"/>
            <w:hideMark/>
          </w:tcPr>
          <w:p w14:paraId="6EA80488"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 xml:space="preserve">Total number of Aboriginal and Torres Strait Islander </w:t>
            </w:r>
            <w:r w:rsidR="001113E3" w:rsidRPr="009E2B03">
              <w:rPr>
                <w:rFonts w:ascii="Calibri Light" w:hAnsi="Calibri Light" w:cs="Arial"/>
                <w:szCs w:val="18"/>
                <w:lang w:eastAsia="en-AU"/>
              </w:rPr>
              <w:t>w</w:t>
            </w:r>
            <w:r w:rsidRPr="009E2B03">
              <w:rPr>
                <w:rFonts w:ascii="Calibri Light" w:hAnsi="Calibri Light" w:cs="Arial"/>
                <w:szCs w:val="18"/>
                <w:lang w:eastAsia="en-AU"/>
              </w:rPr>
              <w:t>omen who have experienced physical violence</w:t>
            </w:r>
            <w:r w:rsidR="001113E3" w:rsidRPr="009E2B03">
              <w:rPr>
                <w:rFonts w:ascii="Calibri Light" w:hAnsi="Calibri Light" w:cs="Arial"/>
                <w:szCs w:val="18"/>
                <w:lang w:eastAsia="en-AU"/>
              </w:rPr>
              <w:t>.</w:t>
            </w:r>
          </w:p>
        </w:tc>
        <w:tc>
          <w:tcPr>
            <w:tcW w:w="1559" w:type="dxa"/>
            <w:hideMark/>
          </w:tcPr>
          <w:p w14:paraId="3EC2CA5F" w14:textId="77777777" w:rsidR="004A6712" w:rsidRPr="009E2B03" w:rsidRDefault="004A6712" w:rsidP="00811983">
            <w:pPr>
              <w:cnfStyle w:val="000000000000" w:firstRow="0" w:lastRow="0" w:firstColumn="0" w:lastColumn="0" w:oddVBand="0" w:evenVBand="0" w:oddHBand="0" w:evenHBand="0" w:firstRowFirstColumn="0" w:firstRowLastColumn="0" w:lastRowFirstColumn="0" w:lastRowLastColumn="0"/>
              <w:rPr>
                <w:rFonts w:ascii="Calibri Light" w:hAnsi="Calibri Light" w:cs="Arial"/>
                <w:szCs w:val="18"/>
                <w:lang w:eastAsia="en-AU"/>
              </w:rPr>
            </w:pPr>
            <w:r w:rsidRPr="009E2B03">
              <w:rPr>
                <w:rFonts w:ascii="Calibri Light" w:hAnsi="Calibri Light" w:cs="Arial"/>
                <w:szCs w:val="18"/>
                <w:lang w:eastAsia="en-AU"/>
              </w:rPr>
              <w:t>Commonwealth</w:t>
            </w:r>
          </w:p>
        </w:tc>
      </w:tr>
    </w:tbl>
    <w:p w14:paraId="42A744A1" w14:textId="77777777" w:rsidR="004A6712" w:rsidRPr="009E2B03" w:rsidRDefault="004A6712" w:rsidP="007E3EEE">
      <w:pPr>
        <w:rPr>
          <w:rFonts w:ascii="Calibri Light" w:hAnsi="Calibri Light"/>
          <w:sz w:val="22"/>
        </w:rPr>
      </w:pPr>
    </w:p>
    <w:sectPr w:rsidR="004A6712" w:rsidRPr="009E2B03" w:rsidSect="00F8042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B99ED" w14:textId="77777777" w:rsidR="00621BE2" w:rsidRDefault="00621BE2" w:rsidP="00DD4621">
      <w:pPr>
        <w:spacing w:after="0"/>
      </w:pPr>
      <w:r>
        <w:separator/>
      </w:r>
    </w:p>
  </w:endnote>
  <w:endnote w:type="continuationSeparator" w:id="0">
    <w:p w14:paraId="66B33BB5" w14:textId="77777777" w:rsidR="00621BE2" w:rsidRDefault="00621BE2" w:rsidP="00DD46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KPMG Extralight">
    <w:altName w:val="Andale WT"/>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nivers for KPMG">
    <w:altName w:val="Trebuchet MS"/>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Trade Gothic LT Std Cn">
    <w:altName w:val="Trade Gothic LT Std Cn"/>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deGothic-BoldTwo">
    <w:panose1 w:val="00000000000000000000"/>
    <w:charset w:val="00"/>
    <w:family w:val="swiss"/>
    <w:notTrueType/>
    <w:pitch w:val="default"/>
    <w:sig w:usb0="00000003" w:usb1="00000000" w:usb2="00000000" w:usb3="00000000" w:csb0="00000001" w:csb1="00000000"/>
  </w:font>
  <w:font w:name="TradeGothic">
    <w:panose1 w:val="00000000000000000000"/>
    <w:charset w:val="00"/>
    <w:family w:val="auto"/>
    <w:notTrueType/>
    <w:pitch w:val="default"/>
    <w:sig w:usb0="00000003" w:usb1="00000000" w:usb2="00000000" w:usb3="00000000" w:csb0="00000001" w:csb1="00000000"/>
  </w:font>
  <w:font w:name="DIN-LightItalic">
    <w:panose1 w:val="00000000000000000000"/>
    <w:charset w:val="00"/>
    <w:family w:val="swiss"/>
    <w:notTrueType/>
    <w:pitch w:val="default"/>
    <w:sig w:usb0="00000003" w:usb1="00000000" w:usb2="00000000" w:usb3="00000000" w:csb0="00000001" w:csb1="00000000"/>
  </w:font>
  <w:font w:name="Circular Std Bold">
    <w:panose1 w:val="00000000000000000000"/>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4573C" w14:textId="77777777" w:rsidR="00621BE2" w:rsidRPr="007A5994" w:rsidRDefault="00621BE2" w:rsidP="00653262">
    <w:pPr>
      <w:pStyle w:val="Backpagedisclaimer"/>
    </w:pPr>
    <w:r w:rsidRPr="007A5994">
      <w:t>© 2011 KPMG, an Australian partnership and a member firm of the KPMG network of independent member firms affiliated with KPMG International Cooperative</w:t>
    </w:r>
  </w:p>
  <w:p w14:paraId="57037B54" w14:textId="77777777" w:rsidR="00621BE2" w:rsidRPr="007A5994" w:rsidRDefault="00621BE2" w:rsidP="00653262">
    <w:pPr>
      <w:pStyle w:val="Backpagedisclaimer"/>
    </w:pPr>
    <w:r w:rsidRPr="007A5994">
      <w:t>(“KPMG International”), a Swiss entity. All rights reserved.</w:t>
    </w:r>
  </w:p>
  <w:p w14:paraId="3B9F19E3" w14:textId="77777777" w:rsidR="00621BE2" w:rsidRPr="007A5994" w:rsidRDefault="00621BE2" w:rsidP="00653262">
    <w:pPr>
      <w:pStyle w:val="Backpagedisclaimer"/>
    </w:pPr>
    <w:r w:rsidRPr="007A5994">
      <w:t>The KPMG name, logo and "cutting through complexity" are registered trademarks or trademarks of KPMG International.</w:t>
    </w:r>
  </w:p>
  <w:p w14:paraId="61B0E12B" w14:textId="77777777" w:rsidR="00621BE2" w:rsidRPr="007A5994" w:rsidRDefault="00621BE2" w:rsidP="00653262">
    <w:pPr>
      <w:pStyle w:val="Backpagedisclaimer"/>
    </w:pPr>
    <w:r w:rsidRPr="007A5994">
      <w:t>Liability limited by a scheme approved under Professional Standards Legislation.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Light" w:hAnsi="Calibri Light"/>
      </w:rPr>
      <w:id w:val="-507446608"/>
      <w:docPartObj>
        <w:docPartGallery w:val="Page Numbers (Bottom of Page)"/>
        <w:docPartUnique/>
      </w:docPartObj>
    </w:sdtPr>
    <w:sdtEndPr>
      <w:rPr>
        <w:noProof/>
      </w:rPr>
    </w:sdtEndPr>
    <w:sdtContent>
      <w:p w14:paraId="7C061192" w14:textId="77777777" w:rsidR="00621BE2" w:rsidRPr="009E2B03" w:rsidRDefault="00621BE2">
        <w:pPr>
          <w:pStyle w:val="Footer"/>
          <w:jc w:val="right"/>
          <w:rPr>
            <w:rFonts w:ascii="Calibri Light" w:hAnsi="Calibri Light"/>
          </w:rPr>
        </w:pPr>
        <w:r w:rsidRPr="009E2B03">
          <w:rPr>
            <w:rFonts w:ascii="Calibri Light" w:hAnsi="Calibri Light"/>
          </w:rPr>
          <w:fldChar w:fldCharType="begin"/>
        </w:r>
        <w:r w:rsidRPr="009E2B03">
          <w:rPr>
            <w:rFonts w:ascii="Calibri Light" w:hAnsi="Calibri Light"/>
          </w:rPr>
          <w:instrText xml:space="preserve"> PAGE   \* MERGEFORMAT </w:instrText>
        </w:r>
        <w:r w:rsidRPr="009E2B03">
          <w:rPr>
            <w:rFonts w:ascii="Calibri Light" w:hAnsi="Calibri Light"/>
          </w:rPr>
          <w:fldChar w:fldCharType="separate"/>
        </w:r>
        <w:r w:rsidR="00417237">
          <w:rPr>
            <w:rFonts w:ascii="Calibri Light" w:hAnsi="Calibri Light"/>
            <w:noProof/>
          </w:rPr>
          <w:t>1</w:t>
        </w:r>
        <w:r w:rsidRPr="009E2B03">
          <w:rPr>
            <w:rFonts w:ascii="Calibri Light" w:hAnsi="Calibri Light"/>
            <w:noProof/>
          </w:rPr>
          <w:fldChar w:fldCharType="end"/>
        </w:r>
      </w:p>
    </w:sdtContent>
  </w:sdt>
  <w:p w14:paraId="0FDD1B0F" w14:textId="77777777" w:rsidR="00621BE2" w:rsidRPr="009E2B03" w:rsidRDefault="00621BE2" w:rsidP="002116B7">
    <w:pPr>
      <w:pStyle w:val="Footer"/>
      <w:jc w:val="left"/>
      <w:rPr>
        <w:rFonts w:ascii="Calibri Light" w:hAnsi="Calibri Light"/>
      </w:rPr>
    </w:pPr>
    <w:r w:rsidRPr="009E2B03">
      <w:rPr>
        <w:rFonts w:ascii="Calibri Light" w:hAnsi="Calibri Light"/>
        <w:sz w:val="14"/>
        <w:szCs w:val="14"/>
        <w:lang w:val="en-GB"/>
      </w:rPr>
      <w:t xml:space="preserve">© </w:t>
    </w:r>
    <w:r w:rsidRPr="009E2B03">
      <w:rPr>
        <w:rFonts w:ascii="Calibri Light" w:hAnsi="Calibri Light"/>
        <w:sz w:val="14"/>
        <w:szCs w:val="14"/>
        <w:lang w:val="en-GB"/>
      </w:rPr>
      <w:fldChar w:fldCharType="begin"/>
    </w:r>
    <w:r w:rsidRPr="009E2B03">
      <w:rPr>
        <w:rFonts w:ascii="Calibri Light" w:hAnsi="Calibri Light"/>
        <w:sz w:val="14"/>
        <w:szCs w:val="14"/>
        <w:lang w:val="en-GB"/>
      </w:rPr>
      <w:instrText xml:space="preserve"> DATE  \@ "yyyy" </w:instrText>
    </w:r>
    <w:r w:rsidRPr="009E2B03">
      <w:rPr>
        <w:rFonts w:ascii="Calibri Light" w:hAnsi="Calibri Light"/>
        <w:sz w:val="14"/>
        <w:szCs w:val="14"/>
        <w:lang w:val="en-GB"/>
      </w:rPr>
      <w:fldChar w:fldCharType="separate"/>
    </w:r>
    <w:r w:rsidR="00417237">
      <w:rPr>
        <w:rFonts w:ascii="Calibri Light" w:hAnsi="Calibri Light"/>
        <w:noProof/>
        <w:sz w:val="14"/>
        <w:szCs w:val="14"/>
        <w:lang w:val="en-GB"/>
      </w:rPr>
      <w:t>2016</w:t>
    </w:r>
    <w:r w:rsidRPr="009E2B03">
      <w:rPr>
        <w:rFonts w:ascii="Calibri Light" w:hAnsi="Calibri Light"/>
        <w:noProof/>
        <w:sz w:val="14"/>
        <w:szCs w:val="14"/>
        <w:lang w:val="en-GB"/>
      </w:rPr>
      <w:fldChar w:fldCharType="end"/>
    </w:r>
    <w:r w:rsidRPr="009E2B03">
      <w:rPr>
        <w:rFonts w:ascii="Calibri Light" w:hAnsi="Calibri Light"/>
        <w:sz w:val="14"/>
        <w:szCs w:val="14"/>
        <w:lang w:val="en-GB"/>
      </w:rPr>
      <w:t xml:space="preserve"> KPMG, an Australian partnership and a member firm of the KPMG network of independent member firms affiliated with KPMG International Cooperative (“KPMG International”), a Swiss entity. All rights reserved. The KPMG name, logo and “cutting through complexity” are registered trademarks or trademarks of KPMG International. Liability limited by a scheme approved under Professional Standards Legislation. </w:t>
    </w:r>
    <w:r w:rsidRPr="009E2B03">
      <w:rPr>
        <w:rFonts w:ascii="Calibri Light" w:hAnsi="Calibri Light"/>
        <w:sz w:val="14"/>
        <w:szCs w:val="14"/>
        <w:lang w:val="en-GB"/>
      </w:rPr>
      <w:fldChar w:fldCharType="begin"/>
    </w:r>
    <w:r w:rsidRPr="009E2B03">
      <w:rPr>
        <w:rFonts w:ascii="Calibri Light" w:hAnsi="Calibri Light"/>
        <w:sz w:val="14"/>
        <w:szCs w:val="14"/>
        <w:lang w:val="en-GB"/>
      </w:rPr>
      <w:instrText xml:space="preserve"> DATE  \@ "MMMM YYYY"  \* MERGEFORMAT </w:instrText>
    </w:r>
    <w:r w:rsidRPr="009E2B03">
      <w:rPr>
        <w:rFonts w:ascii="Calibri Light" w:hAnsi="Calibri Light"/>
        <w:sz w:val="14"/>
        <w:szCs w:val="14"/>
        <w:lang w:val="en-GB"/>
      </w:rPr>
      <w:fldChar w:fldCharType="separate"/>
    </w:r>
    <w:r w:rsidR="00417237">
      <w:rPr>
        <w:rFonts w:ascii="Calibri Light" w:hAnsi="Calibri Light"/>
        <w:noProof/>
        <w:sz w:val="14"/>
        <w:szCs w:val="14"/>
        <w:lang w:val="en-GB"/>
      </w:rPr>
      <w:t>August 2016</w:t>
    </w:r>
    <w:r w:rsidRPr="009E2B03">
      <w:rPr>
        <w:rFonts w:ascii="Calibri Light" w:hAnsi="Calibri Light"/>
        <w:noProof/>
        <w:sz w:val="14"/>
        <w:szCs w:val="14"/>
        <w:lang w:val="en-GB"/>
      </w:rPr>
      <w:fldChar w:fldCharType="end"/>
    </w:r>
    <w:r w:rsidRPr="009E2B03">
      <w:rPr>
        <w:rFonts w:ascii="Calibri Light" w:hAnsi="Calibri Light"/>
        <w:noProof/>
        <w:sz w:val="14"/>
        <w:szCs w:val="14"/>
        <w:lang w:val="en-GB"/>
      </w:rPr>
      <w:t>.</w:t>
    </w:r>
  </w:p>
  <w:p w14:paraId="3063BC3B" w14:textId="77777777" w:rsidR="00621BE2" w:rsidRPr="009E2B03" w:rsidRDefault="00621BE2" w:rsidP="00BD5DEF">
    <w:pPr>
      <w:pStyle w:val="Footer"/>
      <w:jc w:val="right"/>
      <w:rPr>
        <w:rFonts w:ascii="Calibri Light" w:hAnsi="Calibri Ligh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EEC04" w14:textId="77777777" w:rsidR="00621BE2" w:rsidRDefault="00621BE2" w:rsidP="0078163E">
    <w:pPr>
      <w:pStyle w:val="Footer"/>
      <w:jc w:val="right"/>
      <w:rPr>
        <w:sz w:val="18"/>
      </w:rPr>
    </w:pPr>
  </w:p>
  <w:p w14:paraId="5821166A" w14:textId="77777777" w:rsidR="00621BE2" w:rsidRPr="0043300F" w:rsidRDefault="00621BE2" w:rsidP="0078163E">
    <w:pPr>
      <w:pStyle w:val="Footer"/>
      <w:jc w:val="right"/>
    </w:pPr>
    <w:r w:rsidRPr="0043300F">
      <w:fldChar w:fldCharType="begin"/>
    </w:r>
    <w:r w:rsidRPr="0043300F">
      <w:instrText xml:space="preserve"> PAGE   \* MERGEFORMAT </w:instrText>
    </w:r>
    <w:r w:rsidRPr="0043300F">
      <w:fldChar w:fldCharType="separate"/>
    </w:r>
    <w:r w:rsidR="00417237">
      <w:rPr>
        <w:noProof/>
      </w:rPr>
      <w:t>4</w:t>
    </w:r>
    <w:r w:rsidRPr="0043300F">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255295"/>
      <w:docPartObj>
        <w:docPartGallery w:val="Page Numbers (Bottom of Page)"/>
        <w:docPartUnique/>
      </w:docPartObj>
    </w:sdtPr>
    <w:sdtEndPr>
      <w:rPr>
        <w:noProof/>
      </w:rPr>
    </w:sdtEndPr>
    <w:sdtContent>
      <w:p w14:paraId="748B6370" w14:textId="77777777" w:rsidR="00621BE2" w:rsidRDefault="00621BE2" w:rsidP="00BD5DEF">
        <w:pPr>
          <w:pStyle w:val="Footer"/>
          <w:jc w:val="right"/>
        </w:pPr>
        <w:r>
          <w:fldChar w:fldCharType="begin"/>
        </w:r>
        <w:r>
          <w:instrText xml:space="preserve"> PAGE   \* MERGEFORMAT </w:instrText>
        </w:r>
        <w:r>
          <w:fldChar w:fldCharType="separate"/>
        </w:r>
        <w:r w:rsidR="00417237">
          <w:rPr>
            <w:noProof/>
          </w:rPr>
          <w:t>5</w:t>
        </w:r>
        <w:r>
          <w:rPr>
            <w:noProof/>
          </w:rPr>
          <w:fldChar w:fldCharType="end"/>
        </w:r>
      </w:p>
    </w:sdtContent>
  </w:sdt>
  <w:p w14:paraId="2272B0D5" w14:textId="77777777" w:rsidR="00621BE2" w:rsidRPr="00BD5DEF" w:rsidRDefault="00621BE2" w:rsidP="00BD5DEF">
    <w:pPr>
      <w:pStyle w:val="Footer"/>
      <w:jc w:val="left"/>
    </w:pPr>
    <w:r w:rsidRPr="009861B3">
      <w:rPr>
        <w:sz w:val="14"/>
        <w:szCs w:val="14"/>
        <w:lang w:val="en-GB"/>
      </w:rPr>
      <w:t xml:space="preserve">© </w:t>
    </w:r>
    <w:r w:rsidRPr="009861B3">
      <w:rPr>
        <w:sz w:val="14"/>
        <w:szCs w:val="14"/>
        <w:lang w:val="en-GB"/>
      </w:rPr>
      <w:fldChar w:fldCharType="begin"/>
    </w:r>
    <w:r w:rsidRPr="009861B3">
      <w:rPr>
        <w:sz w:val="14"/>
        <w:szCs w:val="14"/>
        <w:lang w:val="en-GB"/>
      </w:rPr>
      <w:instrText xml:space="preserve"> DATE  \@ "yyyy" </w:instrText>
    </w:r>
    <w:r w:rsidRPr="009861B3">
      <w:rPr>
        <w:sz w:val="14"/>
        <w:szCs w:val="14"/>
        <w:lang w:val="en-GB"/>
      </w:rPr>
      <w:fldChar w:fldCharType="separate"/>
    </w:r>
    <w:r w:rsidR="00417237">
      <w:rPr>
        <w:noProof/>
        <w:sz w:val="14"/>
        <w:szCs w:val="14"/>
        <w:lang w:val="en-GB"/>
      </w:rPr>
      <w:t>2016</w:t>
    </w:r>
    <w:r w:rsidRPr="009861B3">
      <w:rPr>
        <w:noProof/>
        <w:sz w:val="14"/>
        <w:szCs w:val="14"/>
        <w:lang w:val="en-GB"/>
      </w:rPr>
      <w:fldChar w:fldCharType="end"/>
    </w:r>
    <w:r w:rsidRPr="009861B3">
      <w:rPr>
        <w:sz w:val="14"/>
        <w:szCs w:val="14"/>
        <w:lang w:val="en-GB"/>
      </w:rPr>
      <w:t xml:space="preserve"> KPMG, an Australian partnership and a member firm of the KPMG network of independent member firms affiliated with KPMG International Cooperative (“KPMG International”), a Swiss entity. All rights reserved. The KPMG name, logo and “cutting through complexity” are registered trademarks or trademarks of KPMG International. Liability limited by a scheme approved under Professional Standards Legislation. </w:t>
    </w:r>
    <w:r w:rsidRPr="009861B3">
      <w:rPr>
        <w:sz w:val="14"/>
        <w:szCs w:val="14"/>
        <w:lang w:val="en-GB"/>
      </w:rPr>
      <w:fldChar w:fldCharType="begin"/>
    </w:r>
    <w:r w:rsidRPr="009861B3">
      <w:rPr>
        <w:sz w:val="14"/>
        <w:szCs w:val="14"/>
        <w:lang w:val="en-GB"/>
      </w:rPr>
      <w:instrText xml:space="preserve"> DATE  \@ "MMMM YYYY"  \* MERGEFORMAT </w:instrText>
    </w:r>
    <w:r w:rsidRPr="009861B3">
      <w:rPr>
        <w:sz w:val="14"/>
        <w:szCs w:val="14"/>
        <w:lang w:val="en-GB"/>
      </w:rPr>
      <w:fldChar w:fldCharType="separate"/>
    </w:r>
    <w:r w:rsidR="00417237">
      <w:rPr>
        <w:noProof/>
        <w:sz w:val="14"/>
        <w:szCs w:val="14"/>
        <w:lang w:val="en-GB"/>
      </w:rPr>
      <w:t>August 2016</w:t>
    </w:r>
    <w:r w:rsidRPr="009861B3">
      <w:rPr>
        <w:noProof/>
        <w:sz w:val="14"/>
        <w:szCs w:val="14"/>
        <w:lang w:val="en-GB"/>
      </w:rPr>
      <w:fldChar w:fldCharType="end"/>
    </w:r>
    <w:r w:rsidRPr="009861B3">
      <w:rPr>
        <w:noProof/>
        <w:sz w:val="14"/>
        <w:szCs w:val="14"/>
        <w:lang w:val="en-GB"/>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847254"/>
      <w:docPartObj>
        <w:docPartGallery w:val="Page Numbers (Bottom of Page)"/>
        <w:docPartUnique/>
      </w:docPartObj>
    </w:sdtPr>
    <w:sdtEndPr>
      <w:rPr>
        <w:noProof/>
      </w:rPr>
    </w:sdtEndPr>
    <w:sdtContent>
      <w:p w14:paraId="3190BF4C" w14:textId="77777777" w:rsidR="00621BE2" w:rsidRDefault="00621BE2" w:rsidP="00BD5DEF">
        <w:pPr>
          <w:pStyle w:val="Footer"/>
          <w:jc w:val="right"/>
        </w:pPr>
        <w:r>
          <w:fldChar w:fldCharType="begin"/>
        </w:r>
        <w:r>
          <w:instrText xml:space="preserve"> PAGE   \* MERGEFORMAT </w:instrText>
        </w:r>
        <w:r>
          <w:fldChar w:fldCharType="separate"/>
        </w:r>
        <w:r w:rsidR="00417237">
          <w:rPr>
            <w:noProof/>
          </w:rPr>
          <w:t>92</w:t>
        </w:r>
        <w:r>
          <w:rPr>
            <w:noProof/>
          </w:rPr>
          <w:fldChar w:fldCharType="end"/>
        </w:r>
      </w:p>
    </w:sdtContent>
  </w:sdt>
  <w:p w14:paraId="1907A70B" w14:textId="77777777" w:rsidR="00621BE2" w:rsidRPr="00BD5DEF" w:rsidRDefault="00621BE2" w:rsidP="00BD5DEF">
    <w:pPr>
      <w:pStyle w:val="Footer"/>
      <w:jc w:val="left"/>
    </w:pPr>
    <w:r w:rsidRPr="009861B3">
      <w:rPr>
        <w:sz w:val="14"/>
        <w:szCs w:val="14"/>
        <w:lang w:val="en-GB"/>
      </w:rPr>
      <w:t xml:space="preserve">© </w:t>
    </w:r>
    <w:r w:rsidRPr="009861B3">
      <w:rPr>
        <w:sz w:val="14"/>
        <w:szCs w:val="14"/>
        <w:lang w:val="en-GB"/>
      </w:rPr>
      <w:fldChar w:fldCharType="begin"/>
    </w:r>
    <w:r w:rsidRPr="009861B3">
      <w:rPr>
        <w:sz w:val="14"/>
        <w:szCs w:val="14"/>
        <w:lang w:val="en-GB"/>
      </w:rPr>
      <w:instrText xml:space="preserve"> DATE  \@ "yyyy" </w:instrText>
    </w:r>
    <w:r w:rsidRPr="009861B3">
      <w:rPr>
        <w:sz w:val="14"/>
        <w:szCs w:val="14"/>
        <w:lang w:val="en-GB"/>
      </w:rPr>
      <w:fldChar w:fldCharType="separate"/>
    </w:r>
    <w:r w:rsidR="00417237">
      <w:rPr>
        <w:noProof/>
        <w:sz w:val="14"/>
        <w:szCs w:val="14"/>
        <w:lang w:val="en-GB"/>
      </w:rPr>
      <w:t>2016</w:t>
    </w:r>
    <w:r w:rsidRPr="009861B3">
      <w:rPr>
        <w:noProof/>
        <w:sz w:val="14"/>
        <w:szCs w:val="14"/>
        <w:lang w:val="en-GB"/>
      </w:rPr>
      <w:fldChar w:fldCharType="end"/>
    </w:r>
    <w:r w:rsidRPr="009861B3">
      <w:rPr>
        <w:sz w:val="14"/>
        <w:szCs w:val="14"/>
        <w:lang w:val="en-GB"/>
      </w:rPr>
      <w:t xml:space="preserve"> KPMG, an Australian partnership and a member firm of the KPMG network of independent member firms affiliated with KPMG International Cooperative (“KPMG International”), a Swiss entity. All rights reserved. The KPMG name, logo and “cutting through complexity” are registered trademarks or trademarks of KPMG International. Liability limited by a scheme approved under Professional Standards Legislation. </w:t>
    </w:r>
    <w:r w:rsidRPr="009861B3">
      <w:rPr>
        <w:sz w:val="14"/>
        <w:szCs w:val="14"/>
        <w:lang w:val="en-GB"/>
      </w:rPr>
      <w:fldChar w:fldCharType="begin"/>
    </w:r>
    <w:r w:rsidRPr="009861B3">
      <w:rPr>
        <w:sz w:val="14"/>
        <w:szCs w:val="14"/>
        <w:lang w:val="en-GB"/>
      </w:rPr>
      <w:instrText xml:space="preserve"> DATE  \@ "MMMM YYYY"  \* MERGEFORMAT </w:instrText>
    </w:r>
    <w:r w:rsidRPr="009861B3">
      <w:rPr>
        <w:sz w:val="14"/>
        <w:szCs w:val="14"/>
        <w:lang w:val="en-GB"/>
      </w:rPr>
      <w:fldChar w:fldCharType="separate"/>
    </w:r>
    <w:r w:rsidR="00417237">
      <w:rPr>
        <w:noProof/>
        <w:sz w:val="14"/>
        <w:szCs w:val="14"/>
        <w:lang w:val="en-GB"/>
      </w:rPr>
      <w:t>August 2016</w:t>
    </w:r>
    <w:r w:rsidRPr="009861B3">
      <w:rPr>
        <w:noProof/>
        <w:sz w:val="14"/>
        <w:szCs w:val="14"/>
        <w:lang w:val="en-GB"/>
      </w:rPr>
      <w:fldChar w:fldCharType="end"/>
    </w:r>
    <w:r w:rsidRPr="009861B3">
      <w:rPr>
        <w:noProof/>
        <w:sz w:val="14"/>
        <w:szCs w:val="14"/>
        <w:lang w:val="en-GB"/>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335958"/>
      <w:docPartObj>
        <w:docPartGallery w:val="Page Numbers (Bottom of Page)"/>
        <w:docPartUnique/>
      </w:docPartObj>
    </w:sdtPr>
    <w:sdtEndPr>
      <w:rPr>
        <w:noProof/>
      </w:rPr>
    </w:sdtEndPr>
    <w:sdtContent>
      <w:p w14:paraId="51D39C78" w14:textId="77777777" w:rsidR="00621BE2" w:rsidRDefault="00621BE2">
        <w:pPr>
          <w:pStyle w:val="Footer"/>
          <w:jc w:val="right"/>
        </w:pPr>
        <w:r>
          <w:fldChar w:fldCharType="begin"/>
        </w:r>
        <w:r>
          <w:instrText xml:space="preserve"> PAGE   \* MERGEFORMAT </w:instrText>
        </w:r>
        <w:r>
          <w:fldChar w:fldCharType="separate"/>
        </w:r>
        <w:r w:rsidR="00417237">
          <w:rPr>
            <w:noProof/>
          </w:rPr>
          <w:t>93</w:t>
        </w:r>
        <w:r>
          <w:rPr>
            <w:noProof/>
          </w:rPr>
          <w:fldChar w:fldCharType="end"/>
        </w:r>
      </w:p>
    </w:sdtContent>
  </w:sdt>
  <w:p w14:paraId="3E2682B5" w14:textId="77777777" w:rsidR="00621BE2" w:rsidRPr="00681A8B" w:rsidRDefault="00621BE2" w:rsidP="002116B7">
    <w:pPr>
      <w:pStyle w:val="Footer"/>
      <w:jc w:val="left"/>
    </w:pPr>
    <w:r w:rsidRPr="009861B3">
      <w:rPr>
        <w:sz w:val="14"/>
        <w:szCs w:val="14"/>
        <w:lang w:val="en-GB"/>
      </w:rPr>
      <w:t xml:space="preserve">© </w:t>
    </w:r>
    <w:r w:rsidRPr="009861B3">
      <w:rPr>
        <w:sz w:val="14"/>
        <w:szCs w:val="14"/>
        <w:lang w:val="en-GB"/>
      </w:rPr>
      <w:fldChar w:fldCharType="begin"/>
    </w:r>
    <w:r w:rsidRPr="009861B3">
      <w:rPr>
        <w:sz w:val="14"/>
        <w:szCs w:val="14"/>
        <w:lang w:val="en-GB"/>
      </w:rPr>
      <w:instrText xml:space="preserve"> DATE  \@ "yyyy" </w:instrText>
    </w:r>
    <w:r w:rsidRPr="009861B3">
      <w:rPr>
        <w:sz w:val="14"/>
        <w:szCs w:val="14"/>
        <w:lang w:val="en-GB"/>
      </w:rPr>
      <w:fldChar w:fldCharType="separate"/>
    </w:r>
    <w:r w:rsidR="00417237">
      <w:rPr>
        <w:noProof/>
        <w:sz w:val="14"/>
        <w:szCs w:val="14"/>
        <w:lang w:val="en-GB"/>
      </w:rPr>
      <w:t>2016</w:t>
    </w:r>
    <w:r w:rsidRPr="009861B3">
      <w:rPr>
        <w:noProof/>
        <w:sz w:val="14"/>
        <w:szCs w:val="14"/>
        <w:lang w:val="en-GB"/>
      </w:rPr>
      <w:fldChar w:fldCharType="end"/>
    </w:r>
    <w:r w:rsidRPr="009861B3">
      <w:rPr>
        <w:sz w:val="14"/>
        <w:szCs w:val="14"/>
        <w:lang w:val="en-GB"/>
      </w:rPr>
      <w:t xml:space="preserve"> KPMG, an Australian partnership and a member firm of the KPMG network of independent member firms affiliated with KPMG International Cooperative (“KPMG International”), a Swiss entity. All rights reserved. The KPMG name, logo and “cutting through complexity” are registered trademarks or trademarks of KPMG International. Liability limited by a scheme approved under Professional Standards Legislation. </w:t>
    </w:r>
    <w:r w:rsidRPr="009861B3">
      <w:rPr>
        <w:sz w:val="14"/>
        <w:szCs w:val="14"/>
        <w:lang w:val="en-GB"/>
      </w:rPr>
      <w:fldChar w:fldCharType="begin"/>
    </w:r>
    <w:r w:rsidRPr="009861B3">
      <w:rPr>
        <w:sz w:val="14"/>
        <w:szCs w:val="14"/>
        <w:lang w:val="en-GB"/>
      </w:rPr>
      <w:instrText xml:space="preserve"> DATE  \@ "MMMM YYYY"  \* MERGEFORMAT </w:instrText>
    </w:r>
    <w:r w:rsidRPr="009861B3">
      <w:rPr>
        <w:sz w:val="14"/>
        <w:szCs w:val="14"/>
        <w:lang w:val="en-GB"/>
      </w:rPr>
      <w:fldChar w:fldCharType="separate"/>
    </w:r>
    <w:r w:rsidR="00417237">
      <w:rPr>
        <w:noProof/>
        <w:sz w:val="14"/>
        <w:szCs w:val="14"/>
        <w:lang w:val="en-GB"/>
      </w:rPr>
      <w:t>August 2016</w:t>
    </w:r>
    <w:r w:rsidRPr="009861B3">
      <w:rPr>
        <w:noProof/>
        <w:sz w:val="14"/>
        <w:szCs w:val="14"/>
        <w:lang w:val="en-GB"/>
      </w:rPr>
      <w:fldChar w:fldCharType="end"/>
    </w:r>
    <w:r w:rsidRPr="009861B3">
      <w:rPr>
        <w:noProof/>
        <w:sz w:val="14"/>
        <w:szCs w:val="14"/>
        <w:lang w:val="en-GB"/>
      </w:rPr>
      <w:t>.</w:t>
    </w:r>
  </w:p>
  <w:p w14:paraId="66712ECC" w14:textId="77777777" w:rsidR="00621BE2" w:rsidRPr="00B05F54" w:rsidRDefault="00621BE2" w:rsidP="00B05F54">
    <w:pPr>
      <w:pStyle w:val="Footer"/>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58263"/>
      <w:docPartObj>
        <w:docPartGallery w:val="Page Numbers (Bottom of Page)"/>
        <w:docPartUnique/>
      </w:docPartObj>
    </w:sdtPr>
    <w:sdtEndPr>
      <w:rPr>
        <w:noProof/>
        <w:sz w:val="16"/>
      </w:rPr>
    </w:sdtEndPr>
    <w:sdtContent>
      <w:p w14:paraId="103A15CD" w14:textId="77777777" w:rsidR="00621BE2" w:rsidRPr="005E4E54" w:rsidRDefault="00621BE2" w:rsidP="005E4E54">
        <w:pPr>
          <w:pStyle w:val="BodyTextkeepwithnext0"/>
          <w:jc w:val="right"/>
          <w:rPr>
            <w:sz w:val="16"/>
          </w:rPr>
        </w:pPr>
        <w:r w:rsidRPr="005E4E54">
          <w:rPr>
            <w:sz w:val="16"/>
          </w:rPr>
          <w:fldChar w:fldCharType="begin"/>
        </w:r>
        <w:r w:rsidRPr="005E4E54">
          <w:rPr>
            <w:sz w:val="16"/>
          </w:rPr>
          <w:instrText xml:space="preserve"> PAGE   \* MERGEFORMAT </w:instrText>
        </w:r>
        <w:r w:rsidRPr="005E4E54">
          <w:rPr>
            <w:sz w:val="16"/>
          </w:rPr>
          <w:fldChar w:fldCharType="separate"/>
        </w:r>
        <w:r w:rsidR="00417237">
          <w:rPr>
            <w:noProof/>
            <w:sz w:val="16"/>
          </w:rPr>
          <w:t>119</w:t>
        </w:r>
        <w:r w:rsidRPr="005E4E54">
          <w:rPr>
            <w:noProof/>
            <w:sz w:val="16"/>
          </w:rPr>
          <w:fldChar w:fldCharType="end"/>
        </w:r>
      </w:p>
    </w:sdtContent>
  </w:sdt>
  <w:p w14:paraId="1F6303F6" w14:textId="77777777" w:rsidR="00621BE2" w:rsidRPr="00D00E36" w:rsidRDefault="00621BE2" w:rsidP="00D00E36">
    <w:pPr>
      <w:jc w:val="center"/>
      <w:rPr>
        <w:sz w:val="16"/>
      </w:rPr>
    </w:pPr>
    <w:r w:rsidRPr="00D00E36">
      <w:rPr>
        <w:sz w:val="16"/>
      </w:rPr>
      <w:t xml:space="preserve">© </w:t>
    </w:r>
    <w:r w:rsidRPr="00D00E36">
      <w:rPr>
        <w:sz w:val="16"/>
      </w:rPr>
      <w:fldChar w:fldCharType="begin"/>
    </w:r>
    <w:r w:rsidRPr="00D00E36">
      <w:rPr>
        <w:sz w:val="16"/>
      </w:rPr>
      <w:instrText xml:space="preserve"> DATE  \@ "yyyy" </w:instrText>
    </w:r>
    <w:r w:rsidRPr="00D00E36">
      <w:rPr>
        <w:sz w:val="16"/>
      </w:rPr>
      <w:fldChar w:fldCharType="separate"/>
    </w:r>
    <w:r w:rsidR="00417237">
      <w:rPr>
        <w:noProof/>
        <w:sz w:val="16"/>
      </w:rPr>
      <w:t>2016</w:t>
    </w:r>
    <w:r w:rsidRPr="00D00E36">
      <w:rPr>
        <w:sz w:val="16"/>
      </w:rPr>
      <w:fldChar w:fldCharType="end"/>
    </w:r>
    <w:r w:rsidRPr="00D00E36">
      <w:rPr>
        <w:sz w:val="16"/>
      </w:rPr>
      <w:t xml:space="preserve"> KPMG, an Australian partnership and a member firm of the KPMG network of independent member firms affiliated with KPMG International Cooperative (“KPMG International”), a Swiss entity. All rights reserved. The KPMG name, logo and “cutting through complexity” are registered trademarks or trademarks of KPMG International. Liability limited by a scheme approved under Professional Standards Legislation. </w:t>
    </w:r>
    <w:r w:rsidRPr="00D00E36">
      <w:rPr>
        <w:sz w:val="16"/>
      </w:rPr>
      <w:fldChar w:fldCharType="begin"/>
    </w:r>
    <w:r w:rsidRPr="00D00E36">
      <w:rPr>
        <w:sz w:val="16"/>
      </w:rPr>
      <w:instrText xml:space="preserve"> DATE  \@ "MMMM YYYY"  \* MERGEFORMAT </w:instrText>
    </w:r>
    <w:r w:rsidRPr="00D00E36">
      <w:rPr>
        <w:sz w:val="16"/>
      </w:rPr>
      <w:fldChar w:fldCharType="separate"/>
    </w:r>
    <w:r w:rsidR="00417237">
      <w:rPr>
        <w:noProof/>
        <w:sz w:val="16"/>
      </w:rPr>
      <w:t>August 2016</w:t>
    </w:r>
    <w:r w:rsidRPr="00D00E36">
      <w:rPr>
        <w:sz w:val="16"/>
      </w:rPr>
      <w:fldChar w:fldCharType="end"/>
    </w:r>
    <w:r w:rsidRPr="00D00E36">
      <w:rPr>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76D7B" w14:textId="77777777" w:rsidR="00621BE2" w:rsidRDefault="00621BE2" w:rsidP="00DD4621">
      <w:pPr>
        <w:spacing w:after="0"/>
      </w:pPr>
      <w:r>
        <w:separator/>
      </w:r>
    </w:p>
  </w:footnote>
  <w:footnote w:type="continuationSeparator" w:id="0">
    <w:p w14:paraId="6F27C678" w14:textId="77777777" w:rsidR="00621BE2" w:rsidRDefault="00621BE2" w:rsidP="00DD4621">
      <w:pPr>
        <w:spacing w:after="0"/>
      </w:pPr>
      <w:r>
        <w:continuationSeparator/>
      </w:r>
    </w:p>
  </w:footnote>
  <w:footnote w:id="1">
    <w:p w14:paraId="6CBB1CEC" w14:textId="77777777" w:rsidR="00621BE2" w:rsidRPr="00D46A3A" w:rsidRDefault="00621BE2" w:rsidP="00876464">
      <w:pPr>
        <w:pStyle w:val="FootnoteText"/>
        <w:rPr>
          <w:rFonts w:ascii="Univers 45 Light" w:hAnsi="Univers 45 Light"/>
        </w:rPr>
      </w:pPr>
      <w:r w:rsidRPr="00D46A3A">
        <w:rPr>
          <w:rStyle w:val="FootnoteReference"/>
          <w:rFonts w:ascii="Univers 45 Light" w:hAnsi="Univers 45 Light"/>
        </w:rPr>
        <w:footnoteRef/>
      </w:r>
      <w:r w:rsidRPr="00D46A3A">
        <w:rPr>
          <w:rFonts w:ascii="Univers 45 Light" w:hAnsi="Univers 45 Light"/>
        </w:rPr>
        <w:t xml:space="preserve"> Australian Bureau of Statistics (ABS) 2012, </w:t>
      </w:r>
      <w:r w:rsidRPr="00D46A3A">
        <w:rPr>
          <w:rFonts w:ascii="Univers 45 Light" w:hAnsi="Univers 45 Light"/>
          <w:i/>
        </w:rPr>
        <w:t>Personal Safety Survey 2012</w:t>
      </w:r>
      <w:r w:rsidRPr="00D46A3A">
        <w:rPr>
          <w:rFonts w:ascii="Univers 45 Light" w:hAnsi="Univers 45 Light"/>
        </w:rPr>
        <w:t xml:space="preserve">. </w:t>
      </w:r>
    </w:p>
  </w:footnote>
  <w:footnote w:id="2">
    <w:p w14:paraId="615171BC" w14:textId="77777777" w:rsidR="00621BE2" w:rsidRPr="00D46A3A" w:rsidRDefault="00621BE2" w:rsidP="00876464">
      <w:pPr>
        <w:pStyle w:val="FootnoteText"/>
        <w:rPr>
          <w:rFonts w:ascii="Univers 45 Light" w:hAnsi="Univers 45 Light"/>
        </w:rPr>
      </w:pPr>
      <w:r>
        <w:rPr>
          <w:rStyle w:val="FootnoteReference"/>
        </w:rPr>
        <w:footnoteRef/>
      </w:r>
      <w:r>
        <w:t xml:space="preserve"> </w:t>
      </w:r>
      <w:r w:rsidRPr="00F1378E">
        <w:rPr>
          <w:rFonts w:ascii="Univers 45 Light" w:hAnsi="Univers 45 Light"/>
        </w:rPr>
        <w:t xml:space="preserve">Australian Bureau of Statistics (ABS) 2012, </w:t>
      </w:r>
      <w:r w:rsidRPr="00F1378E">
        <w:rPr>
          <w:rFonts w:ascii="Univers 45 Light" w:hAnsi="Univers 45 Light"/>
          <w:i/>
        </w:rPr>
        <w:t>Personal Safety Survey 2012</w:t>
      </w:r>
      <w:r>
        <w:rPr>
          <w:rFonts w:ascii="Univers 45 Light" w:hAnsi="Univers 45 Light"/>
        </w:rPr>
        <w:t xml:space="preserve"> and </w:t>
      </w:r>
      <w:r w:rsidRPr="00442C52">
        <w:rPr>
          <w:rFonts w:ascii="Univers 45 Light" w:hAnsi="Univers 45 Light"/>
        </w:rPr>
        <w:t xml:space="preserve">Mishara, G. et al. 2014, </w:t>
      </w:r>
      <w:r w:rsidRPr="00442C52">
        <w:rPr>
          <w:rFonts w:ascii="Univers 45 Light" w:hAnsi="Univers 45 Light"/>
          <w:i/>
        </w:rPr>
        <w:t xml:space="preserve">Health and </w:t>
      </w:r>
      <w:r>
        <w:rPr>
          <w:rFonts w:ascii="Univers 45 Light" w:hAnsi="Univers 45 Light"/>
          <w:i/>
        </w:rPr>
        <w:t>W</w:t>
      </w:r>
      <w:r w:rsidRPr="00442C52">
        <w:rPr>
          <w:rFonts w:ascii="Univers 45 Light" w:hAnsi="Univers 45 Light"/>
          <w:i/>
        </w:rPr>
        <w:t xml:space="preserve">ellbeing of </w:t>
      </w:r>
      <w:r>
        <w:rPr>
          <w:rFonts w:ascii="Univers 45 Light" w:hAnsi="Univers 45 Light"/>
          <w:i/>
        </w:rPr>
        <w:t>W</w:t>
      </w:r>
      <w:r w:rsidRPr="00442C52">
        <w:rPr>
          <w:rFonts w:ascii="Univers 45 Light" w:hAnsi="Univers 45 Light"/>
          <w:i/>
        </w:rPr>
        <w:t>omen aged 18-23 in 2013 and 1996: Findings from the Australian Longitudinal Study on Women’s Health</w:t>
      </w:r>
      <w:r w:rsidRPr="00442C52">
        <w:rPr>
          <w:rFonts w:ascii="Univers 45 Light" w:hAnsi="Univers 45 Light"/>
        </w:rPr>
        <w:t xml:space="preserve">. </w:t>
      </w:r>
      <w:r w:rsidRPr="00F1378E">
        <w:rPr>
          <w:rFonts w:ascii="Univers 45 Light" w:hAnsi="Univers 45 Light"/>
        </w:rPr>
        <w:t xml:space="preserve"> </w:t>
      </w:r>
    </w:p>
  </w:footnote>
  <w:footnote w:id="3">
    <w:p w14:paraId="0C8517A3" w14:textId="77777777" w:rsidR="00621BE2" w:rsidRPr="001D48AA" w:rsidRDefault="00621BE2" w:rsidP="00876464">
      <w:pPr>
        <w:pStyle w:val="Default"/>
        <w:rPr>
          <w:rFonts w:asciiTheme="minorHAnsi" w:hAnsiTheme="minorHAnsi"/>
          <w:sz w:val="18"/>
          <w:szCs w:val="18"/>
        </w:rPr>
      </w:pPr>
      <w:r w:rsidRPr="001D48AA">
        <w:rPr>
          <w:rStyle w:val="FootnoteReference"/>
          <w:rFonts w:asciiTheme="minorHAnsi" w:hAnsiTheme="minorHAnsi"/>
          <w:sz w:val="18"/>
          <w:szCs w:val="18"/>
        </w:rPr>
        <w:footnoteRef/>
      </w:r>
      <w:r w:rsidRPr="001D48AA">
        <w:rPr>
          <w:rFonts w:asciiTheme="minorHAnsi" w:hAnsiTheme="minorHAnsi"/>
          <w:sz w:val="18"/>
          <w:szCs w:val="18"/>
        </w:rPr>
        <w:t xml:space="preserve"> </w:t>
      </w:r>
      <w:r w:rsidRPr="001D48AA">
        <w:rPr>
          <w:rFonts w:asciiTheme="minorHAnsi" w:eastAsia="Batang" w:hAnsiTheme="minorHAnsi" w:cs="Times New Roman"/>
          <w:color w:val="auto"/>
          <w:sz w:val="18"/>
          <w:szCs w:val="18"/>
          <w:lang w:eastAsia="ko-KR"/>
        </w:rPr>
        <w:t xml:space="preserve">Australian Institute of Criminology 2015, </w:t>
      </w:r>
      <w:r w:rsidRPr="001D48AA">
        <w:rPr>
          <w:rFonts w:asciiTheme="minorHAnsi" w:eastAsia="Batang" w:hAnsiTheme="minorHAnsi" w:cs="Times New Roman"/>
          <w:i/>
          <w:color w:val="auto"/>
          <w:sz w:val="18"/>
          <w:szCs w:val="18"/>
          <w:lang w:eastAsia="ko-KR"/>
        </w:rPr>
        <w:t>Domestic/family homicide in Australia</w:t>
      </w:r>
      <w:r w:rsidRPr="001D48AA">
        <w:rPr>
          <w:rFonts w:asciiTheme="minorHAnsi" w:eastAsiaTheme="minorHAnsi" w:hAnsiTheme="minorHAnsi"/>
          <w:color w:val="006171"/>
          <w:sz w:val="18"/>
          <w:szCs w:val="18"/>
          <w:lang w:eastAsia="en-US"/>
        </w:rPr>
        <w:t>.</w:t>
      </w:r>
    </w:p>
  </w:footnote>
  <w:footnote w:id="4">
    <w:p w14:paraId="68E86FA0" w14:textId="77777777" w:rsidR="00621BE2" w:rsidRPr="0076734B" w:rsidRDefault="00621BE2" w:rsidP="00876464">
      <w:pPr>
        <w:pStyle w:val="FootnoteText"/>
        <w:rPr>
          <w:rFonts w:asciiTheme="minorHAnsi" w:hAnsiTheme="minorHAnsi"/>
          <w:szCs w:val="18"/>
        </w:rPr>
      </w:pPr>
      <w:r w:rsidRPr="0076734B">
        <w:rPr>
          <w:rStyle w:val="FootnoteReference"/>
          <w:rFonts w:asciiTheme="minorHAnsi" w:hAnsiTheme="minorHAnsi"/>
          <w:szCs w:val="18"/>
        </w:rPr>
        <w:footnoteRef/>
      </w:r>
      <w:r w:rsidRPr="0076734B">
        <w:rPr>
          <w:rFonts w:asciiTheme="minorHAnsi" w:hAnsiTheme="minorHAnsi"/>
          <w:szCs w:val="18"/>
        </w:rPr>
        <w:t xml:space="preserve"> In support of the main cost estimates, KPMG has undertaken detailed supplementary research and analysis to compare and contrast the available evidence. In addition, KPMG has drawn on this evidence to provide illustrations of the potential costs of violence for women across different cohorts and settings. These costs are </w:t>
      </w:r>
      <w:r>
        <w:rPr>
          <w:rFonts w:asciiTheme="minorHAnsi" w:hAnsiTheme="minorHAnsi"/>
          <w:szCs w:val="18"/>
        </w:rPr>
        <w:t xml:space="preserve">provided for </w:t>
      </w:r>
      <w:r w:rsidRPr="0076734B">
        <w:rPr>
          <w:rFonts w:asciiTheme="minorHAnsi" w:hAnsiTheme="minorHAnsi"/>
          <w:szCs w:val="18"/>
        </w:rPr>
        <w:t xml:space="preserve">illustrative </w:t>
      </w:r>
      <w:r>
        <w:rPr>
          <w:rFonts w:asciiTheme="minorHAnsi" w:hAnsiTheme="minorHAnsi"/>
          <w:szCs w:val="18"/>
        </w:rPr>
        <w:t xml:space="preserve">purposes and should be considered alongside the limitations in the scope and scale of the underlying data, as outlined in the main body of the Report. </w:t>
      </w:r>
    </w:p>
  </w:footnote>
  <w:footnote w:id="5">
    <w:p w14:paraId="380F3BCB" w14:textId="77777777" w:rsidR="00621BE2" w:rsidRPr="003731C3" w:rsidRDefault="00621BE2" w:rsidP="00876464">
      <w:pPr>
        <w:pStyle w:val="ListBullet2"/>
        <w:numPr>
          <w:ilvl w:val="0"/>
          <w:numId w:val="0"/>
        </w:numPr>
        <w:rPr>
          <w:sz w:val="18"/>
          <w:szCs w:val="18"/>
        </w:rPr>
      </w:pPr>
      <w:r w:rsidRPr="003731C3">
        <w:rPr>
          <w:rStyle w:val="FootnoteReference"/>
          <w:sz w:val="18"/>
          <w:szCs w:val="18"/>
        </w:rPr>
        <w:footnoteRef/>
      </w:r>
      <w:r w:rsidRPr="003731C3">
        <w:rPr>
          <w:sz w:val="18"/>
          <w:szCs w:val="18"/>
        </w:rPr>
        <w:t xml:space="preserve"> These estimates have been based on the available evidence in respect of prevalence, together with the average cost of violence per victim estimated through the main costing exercise. They are illustrative in nature and are subject to limitations that are outlined in detail within the main body of our report.</w:t>
      </w:r>
      <w:r>
        <w:rPr>
          <w:sz w:val="18"/>
          <w:szCs w:val="18"/>
        </w:rPr>
        <w:t xml:space="preserve"> </w:t>
      </w:r>
    </w:p>
  </w:footnote>
  <w:footnote w:id="6">
    <w:p w14:paraId="3B75BF73" w14:textId="77777777" w:rsidR="00621BE2" w:rsidRPr="00D46A3A" w:rsidRDefault="00621BE2" w:rsidP="00876464">
      <w:pPr>
        <w:pStyle w:val="FootnoteText"/>
        <w:rPr>
          <w:rFonts w:ascii="Univers 45 Light" w:hAnsi="Univers 45 Light"/>
        </w:rPr>
      </w:pPr>
      <w:r w:rsidRPr="00D46A3A">
        <w:rPr>
          <w:rStyle w:val="FootnoteReference"/>
          <w:rFonts w:ascii="Univers 45 Light" w:hAnsi="Univers 45 Light"/>
        </w:rPr>
        <w:footnoteRef/>
      </w:r>
      <w:r w:rsidRPr="00D46A3A">
        <w:rPr>
          <w:rFonts w:ascii="Univers 45 Light" w:hAnsi="Univers 45 Light"/>
        </w:rPr>
        <w:t xml:space="preserve"> Australian Bureau of Statistics (ABS) 2008, </w:t>
      </w:r>
      <w:r w:rsidRPr="00D46A3A">
        <w:rPr>
          <w:rFonts w:ascii="Univers 45 Light" w:hAnsi="Univers 45 Light"/>
          <w:i/>
        </w:rPr>
        <w:t>National Aboriginal and Torres Strait Islander Social Survey 2008</w:t>
      </w:r>
      <w:r w:rsidRPr="00D46A3A">
        <w:rPr>
          <w:rFonts w:ascii="Univers 45 Light" w:hAnsi="Univers 45 Light"/>
        </w:rPr>
        <w:t xml:space="preserve">. </w:t>
      </w:r>
    </w:p>
  </w:footnote>
  <w:footnote w:id="7">
    <w:p w14:paraId="2F3E7D6A" w14:textId="77777777" w:rsidR="00621BE2" w:rsidRDefault="00621BE2" w:rsidP="00876464">
      <w:pPr>
        <w:pStyle w:val="FootnoteText"/>
      </w:pPr>
      <w:r>
        <w:rPr>
          <w:rStyle w:val="FootnoteReference"/>
        </w:rPr>
        <w:footnoteRef/>
      </w:r>
      <w:r>
        <w:t xml:space="preserve"> </w:t>
      </w:r>
      <w:r w:rsidRPr="003953C8">
        <w:rPr>
          <w:rFonts w:ascii="Univers 45 Light" w:eastAsiaTheme="minorHAnsi" w:hAnsi="Univers 45 Light" w:cs="Arial"/>
          <w:szCs w:val="18"/>
          <w:lang w:eastAsia="en-US"/>
        </w:rPr>
        <w:t xml:space="preserve">Australian Institute of Criminology 2003, </w:t>
      </w:r>
      <w:r w:rsidRPr="003953C8">
        <w:rPr>
          <w:rFonts w:ascii="Univers 45 Light" w:eastAsiaTheme="minorHAnsi" w:hAnsi="Univers 45 Light" w:cs="Arial"/>
          <w:i/>
          <w:szCs w:val="18"/>
          <w:lang w:eastAsia="en-US"/>
        </w:rPr>
        <w:t>Non-recording and Hidden Recording of Sexual Assault</w:t>
      </w:r>
      <w:r w:rsidRPr="003953C8">
        <w:rPr>
          <w:rFonts w:ascii="Univers 45 Light" w:eastAsiaTheme="minorHAnsi" w:hAnsi="Univers 45 Light" w:cs="Arial"/>
          <w:szCs w:val="18"/>
          <w:lang w:eastAsia="en-US"/>
        </w:rPr>
        <w:t>.</w:t>
      </w:r>
    </w:p>
  </w:footnote>
  <w:footnote w:id="8">
    <w:p w14:paraId="0B5E0ECC" w14:textId="77777777" w:rsidR="00621BE2" w:rsidRDefault="00621BE2" w:rsidP="00876464">
      <w:pPr>
        <w:pStyle w:val="FootnoteText"/>
        <w:rPr>
          <w:rFonts w:ascii="Univers 45 Light" w:hAnsi="Univers 45 Light"/>
          <w:lang w:val="en-US"/>
        </w:rPr>
      </w:pPr>
      <w:r>
        <w:rPr>
          <w:rStyle w:val="FootnoteReference"/>
          <w:rFonts w:ascii="Univers 45 Light" w:hAnsi="Univers 45 Light"/>
        </w:rPr>
        <w:footnoteRef/>
      </w:r>
      <w:r>
        <w:rPr>
          <w:rFonts w:ascii="Univers 45 Light" w:hAnsi="Univers 45 Light"/>
        </w:rPr>
        <w:t xml:space="preserve"> </w:t>
      </w:r>
      <w:r>
        <w:rPr>
          <w:rFonts w:ascii="Univers 45 Light" w:hAnsi="Univers 45 Light"/>
          <w:lang w:val="en-US"/>
        </w:rPr>
        <w:t>Australian Bureau of Statistics (ABS) 2012,</w:t>
      </w:r>
      <w:r w:rsidRPr="007C0DE5">
        <w:rPr>
          <w:rFonts w:ascii="Univers 45 Light" w:hAnsi="Univers 45 Light"/>
          <w:i/>
          <w:lang w:val="en-US"/>
        </w:rPr>
        <w:t xml:space="preserve"> Personal Safety Survey</w:t>
      </w:r>
      <w:r>
        <w:rPr>
          <w:rFonts w:ascii="Univers 45 Light" w:hAnsi="Univers 45 Light"/>
          <w:lang w:val="en-US"/>
        </w:rPr>
        <w:t xml:space="preserve">. </w:t>
      </w:r>
    </w:p>
  </w:footnote>
  <w:footnote w:id="9">
    <w:p w14:paraId="326A5FEF" w14:textId="77777777" w:rsidR="00621BE2" w:rsidRPr="00AA4CC2" w:rsidRDefault="00621BE2" w:rsidP="00876464">
      <w:pPr>
        <w:pStyle w:val="FootnoteText"/>
        <w:rPr>
          <w:rFonts w:ascii="Univers 45 Light" w:hAnsi="Univers 45 Light"/>
        </w:rPr>
      </w:pPr>
      <w:r w:rsidRPr="00AA4CC2">
        <w:rPr>
          <w:rStyle w:val="FootnoteReference"/>
          <w:rFonts w:ascii="Univers 45 Light" w:hAnsi="Univers 45 Light"/>
        </w:rPr>
        <w:footnoteRef/>
      </w:r>
      <w:r w:rsidRPr="00AA4CC2">
        <w:rPr>
          <w:rFonts w:ascii="Univers 45 Light" w:hAnsi="Univers 45 Light"/>
        </w:rPr>
        <w:t xml:space="preserve"> </w:t>
      </w:r>
      <w:r w:rsidRPr="00AA4CC2">
        <w:rPr>
          <w:rFonts w:ascii="Univers 45 Light" w:hAnsi="Univers 45 Light"/>
          <w:lang w:val="en-US"/>
        </w:rPr>
        <w:t>Australian Bureau of Statistics (ABS) 2005,</w:t>
      </w:r>
      <w:r w:rsidRPr="00AA4CC2">
        <w:rPr>
          <w:rFonts w:ascii="Univers 45 Light" w:hAnsi="Univers 45 Light"/>
          <w:i/>
          <w:lang w:val="en-US"/>
        </w:rPr>
        <w:t xml:space="preserve"> Personal Safety Survey</w:t>
      </w:r>
      <w:r w:rsidRPr="00AA4CC2">
        <w:rPr>
          <w:rFonts w:ascii="Univers 45 Light" w:hAnsi="Univers 45 Light"/>
          <w:lang w:val="en-US"/>
        </w:rPr>
        <w:t>.</w:t>
      </w:r>
    </w:p>
  </w:footnote>
  <w:footnote w:id="10">
    <w:p w14:paraId="35EF13AA" w14:textId="77777777" w:rsidR="00621BE2" w:rsidRDefault="00621BE2" w:rsidP="00876464">
      <w:pPr>
        <w:pStyle w:val="FootnoteText"/>
      </w:pPr>
      <w:r>
        <w:rPr>
          <w:rStyle w:val="FootnoteReference"/>
        </w:rPr>
        <w:footnoteRef/>
      </w:r>
      <w:r>
        <w:t xml:space="preserve"> </w:t>
      </w:r>
      <w:r w:rsidRPr="00EB640E">
        <w:rPr>
          <w:rFonts w:ascii="Univers 45 Light" w:hAnsi="Univers 45 Light"/>
        </w:rPr>
        <w:t xml:space="preserve">Brownridge, D. 2006, ‘Partner violence against women with disabilities: Prevalence, risks and explanations’, </w:t>
      </w:r>
      <w:r w:rsidRPr="00EB640E">
        <w:rPr>
          <w:rFonts w:ascii="Univers 45 Light" w:hAnsi="Univers 45 Light"/>
          <w:i/>
        </w:rPr>
        <w:t>Violence against Women</w:t>
      </w:r>
      <w:r>
        <w:rPr>
          <w:rFonts w:ascii="Univers 45 Light" w:hAnsi="Univers 45 Light"/>
        </w:rPr>
        <w:t xml:space="preserve"> </w:t>
      </w:r>
      <w:r w:rsidRPr="00EB640E">
        <w:rPr>
          <w:rFonts w:ascii="Univers 45 Light" w:hAnsi="Univers 45 Light"/>
        </w:rPr>
        <w:t xml:space="preserve">and Frohmader, C. 2014, </w:t>
      </w:r>
      <w:r w:rsidRPr="00EB640E">
        <w:rPr>
          <w:rFonts w:ascii="Univers 45 Light" w:hAnsi="Univers 45 Light"/>
          <w:i/>
        </w:rPr>
        <w:t>‘Gender Blind, Gender Neutral’: The effectiveness of the National Disability Strategy in improving the lives of women and girls with disabilities</w:t>
      </w:r>
      <w:r w:rsidRPr="00EB640E">
        <w:rPr>
          <w:rFonts w:ascii="Univers 45 Light" w:hAnsi="Univers 45 Light"/>
        </w:rPr>
        <w:t>.</w:t>
      </w:r>
    </w:p>
  </w:footnote>
  <w:footnote w:id="11">
    <w:p w14:paraId="2FD2314F" w14:textId="77777777" w:rsidR="00621BE2" w:rsidRPr="00AF6DD0" w:rsidRDefault="00621BE2" w:rsidP="003308D7">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CEDAW Committee, General Recommendation No. 19: Violence against Women, UN Doc. A/47/38 (1992), para 7</w:t>
      </w:r>
      <w:r w:rsidRPr="00AF6DD0">
        <w:rPr>
          <w:rFonts w:asciiTheme="minorHAnsi" w:hAnsiTheme="minorHAnsi"/>
          <w:szCs w:val="18"/>
          <w:lang w:val="en"/>
        </w:rPr>
        <w:t xml:space="preserve">, URL: </w:t>
      </w:r>
      <w:r w:rsidRPr="00AF6DD0">
        <w:rPr>
          <w:rFonts w:asciiTheme="minorHAnsi" w:hAnsiTheme="minorHAnsi"/>
          <w:szCs w:val="18"/>
        </w:rPr>
        <w:t>www.un.org/womenwatch/daw/cedaw/recommendations/recomm.htm</w:t>
      </w:r>
      <w:r w:rsidRPr="00AF6DD0">
        <w:rPr>
          <w:rFonts w:asciiTheme="minorHAnsi" w:hAnsiTheme="minorHAnsi"/>
          <w:szCs w:val="18"/>
          <w:lang w:val="en"/>
        </w:rPr>
        <w:t>, Accessed: 10 March 2016.</w:t>
      </w:r>
    </w:p>
  </w:footnote>
  <w:footnote w:id="12">
    <w:p w14:paraId="2DBA614B" w14:textId="77777777" w:rsidR="00621BE2" w:rsidRPr="00AF6DD0" w:rsidRDefault="00621BE2" w:rsidP="003308D7">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 (ABS) 2012, </w:t>
      </w:r>
      <w:r w:rsidRPr="00AF6DD0">
        <w:rPr>
          <w:rFonts w:asciiTheme="minorHAnsi" w:hAnsiTheme="minorHAnsi"/>
          <w:i/>
          <w:szCs w:val="18"/>
        </w:rPr>
        <w:t>Personal Safety Survey</w:t>
      </w:r>
      <w:r>
        <w:rPr>
          <w:rFonts w:asciiTheme="minorHAnsi" w:hAnsiTheme="minorHAnsi"/>
          <w:i/>
          <w:szCs w:val="18"/>
        </w:rPr>
        <w:t xml:space="preserve"> 2012</w:t>
      </w:r>
      <w:r w:rsidRPr="00AF6DD0">
        <w:rPr>
          <w:rFonts w:asciiTheme="minorHAnsi" w:hAnsiTheme="minorHAnsi"/>
          <w:szCs w:val="18"/>
        </w:rPr>
        <w:t xml:space="preserve">. </w:t>
      </w:r>
    </w:p>
  </w:footnote>
  <w:footnote w:id="13">
    <w:p w14:paraId="6233398F" w14:textId="77777777" w:rsidR="00621BE2" w:rsidRPr="00AF6DD0" w:rsidRDefault="00621BE2" w:rsidP="003308D7">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The National Council to Reduce Violence against Women and their Children 2009, </w:t>
      </w:r>
      <w:r w:rsidRPr="00AF6DD0">
        <w:rPr>
          <w:rFonts w:asciiTheme="minorHAnsi" w:hAnsiTheme="minorHAnsi"/>
          <w:i/>
          <w:szCs w:val="18"/>
        </w:rPr>
        <w:t>Background Paper to Time for Action: The National Council’s Plan for Australia to Reduce Violence against Women and their Children, 2009-2021</w:t>
      </w:r>
      <w:r>
        <w:rPr>
          <w:rFonts w:asciiTheme="minorHAnsi" w:hAnsiTheme="minorHAnsi"/>
          <w:szCs w:val="18"/>
        </w:rPr>
        <w:t xml:space="preserve">. </w:t>
      </w:r>
    </w:p>
  </w:footnote>
  <w:footnote w:id="14">
    <w:p w14:paraId="62340F72" w14:textId="77777777" w:rsidR="00621BE2" w:rsidRPr="00AF6DD0" w:rsidRDefault="00621BE2" w:rsidP="003308D7">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3B6430">
        <w:rPr>
          <w:rFonts w:asciiTheme="minorHAnsi" w:hAnsiTheme="minorHAnsi"/>
          <w:szCs w:val="18"/>
        </w:rPr>
        <w:t>Ibid.</w:t>
      </w:r>
      <w:r w:rsidRPr="00AF6DD0">
        <w:rPr>
          <w:rFonts w:asciiTheme="minorHAnsi" w:hAnsiTheme="minorHAnsi"/>
          <w:szCs w:val="18"/>
        </w:rPr>
        <w:t xml:space="preserve"> </w:t>
      </w:r>
    </w:p>
  </w:footnote>
  <w:footnote w:id="15">
    <w:p w14:paraId="024162DB" w14:textId="77777777" w:rsidR="00621BE2" w:rsidRPr="00AF6DD0" w:rsidRDefault="00621BE2" w:rsidP="00F22ED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Department of Parliamentary Services 2014, </w:t>
      </w:r>
      <w:r w:rsidRPr="00AF6DD0">
        <w:rPr>
          <w:rFonts w:asciiTheme="minorHAnsi" w:hAnsiTheme="minorHAnsi"/>
          <w:i/>
          <w:szCs w:val="18"/>
          <w:lang w:val="en-US"/>
        </w:rPr>
        <w:t>Domestic, Family and Sexual Violence in Australia: an Overview of the Issues</w:t>
      </w:r>
      <w:r w:rsidRPr="00AF6DD0">
        <w:rPr>
          <w:rFonts w:asciiTheme="minorHAnsi" w:hAnsiTheme="minorHAnsi"/>
          <w:szCs w:val="18"/>
          <w:lang w:val="en-US"/>
        </w:rPr>
        <w:t xml:space="preserve">, URL: </w:t>
      </w:r>
      <w:r w:rsidRPr="00AF6DD0">
        <w:rPr>
          <w:rFonts w:asciiTheme="minorHAnsi" w:hAnsiTheme="minorHAnsi"/>
          <w:szCs w:val="18"/>
        </w:rPr>
        <w:t>parlinfo.aph.gov.au/parlInfo/download/library/prspub/3447585/upload_binary/3447585.pdf;fileType=application/pdf</w:t>
      </w:r>
      <w:r w:rsidRPr="00AF6DD0">
        <w:rPr>
          <w:rFonts w:asciiTheme="minorHAnsi" w:hAnsiTheme="minorHAnsi"/>
          <w:szCs w:val="18"/>
          <w:lang w:val="en-US"/>
        </w:rPr>
        <w:t xml:space="preserve">, Accessed: 10 March 2016. </w:t>
      </w:r>
    </w:p>
  </w:footnote>
  <w:footnote w:id="16">
    <w:p w14:paraId="217A2841" w14:textId="77777777" w:rsidR="00621BE2" w:rsidRPr="00AF6DD0" w:rsidRDefault="00621BE2" w:rsidP="00F22ED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Department of Social Services</w:t>
      </w:r>
      <w:r>
        <w:rPr>
          <w:rFonts w:asciiTheme="minorHAnsi" w:hAnsiTheme="minorHAnsi"/>
          <w:szCs w:val="18"/>
          <w:lang w:val="en-US"/>
        </w:rPr>
        <w:t xml:space="preserve"> (DSS) </w:t>
      </w:r>
      <w:r w:rsidRPr="00AF6DD0">
        <w:rPr>
          <w:rFonts w:asciiTheme="minorHAnsi" w:hAnsiTheme="minorHAnsi"/>
          <w:szCs w:val="18"/>
          <w:lang w:val="en-US"/>
        </w:rPr>
        <w:t xml:space="preserve">2011, </w:t>
      </w:r>
      <w:r w:rsidRPr="00AF6DD0">
        <w:rPr>
          <w:rFonts w:asciiTheme="minorHAnsi" w:hAnsiTheme="minorHAnsi"/>
          <w:i/>
          <w:szCs w:val="18"/>
          <w:lang w:val="en-US"/>
        </w:rPr>
        <w:t>Culturally and Linguistically Diverse Women and the National Plan to Reduce Violence against Women and their Children</w:t>
      </w:r>
      <w:r>
        <w:rPr>
          <w:rFonts w:asciiTheme="minorHAnsi" w:hAnsiTheme="minorHAnsi"/>
          <w:szCs w:val="18"/>
          <w:lang w:val="en-US"/>
        </w:rPr>
        <w:t xml:space="preserve">. </w:t>
      </w:r>
    </w:p>
  </w:footnote>
  <w:footnote w:id="17">
    <w:p w14:paraId="6666FE09" w14:textId="77777777" w:rsidR="00621BE2" w:rsidRPr="00AF6DD0" w:rsidRDefault="00621BE2" w:rsidP="003308D7">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3B6430">
        <w:rPr>
          <w:rFonts w:asciiTheme="minorHAnsi" w:hAnsiTheme="minorHAnsi"/>
          <w:szCs w:val="18"/>
          <w:lang w:val="en-US"/>
        </w:rPr>
        <w:t xml:space="preserve">Ibid. </w:t>
      </w:r>
    </w:p>
  </w:footnote>
  <w:footnote w:id="18">
    <w:p w14:paraId="182C877F" w14:textId="77777777" w:rsidR="00621BE2" w:rsidRPr="00AF6DD0" w:rsidRDefault="00621BE2" w:rsidP="00AF04E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Royal Commission into Family Violence 2015, </w:t>
      </w:r>
      <w:r w:rsidRPr="00AF6DD0">
        <w:rPr>
          <w:rFonts w:asciiTheme="minorHAnsi" w:hAnsiTheme="minorHAnsi"/>
          <w:i/>
          <w:szCs w:val="18"/>
        </w:rPr>
        <w:t>Report and Recommendations</w:t>
      </w:r>
      <w:r>
        <w:rPr>
          <w:rFonts w:asciiTheme="minorHAnsi" w:hAnsiTheme="minorHAnsi"/>
          <w:i/>
          <w:szCs w:val="18"/>
        </w:rPr>
        <w:t xml:space="preserve">, </w:t>
      </w:r>
      <w:r w:rsidRPr="00AF6DD0">
        <w:rPr>
          <w:rFonts w:asciiTheme="minorHAnsi" w:hAnsiTheme="minorHAnsi"/>
          <w:szCs w:val="18"/>
        </w:rPr>
        <w:t>http://www.rcfv.com.au/Report-Recommendations</w:t>
      </w:r>
      <w:r>
        <w:rPr>
          <w:rFonts w:asciiTheme="minorHAnsi" w:hAnsiTheme="minorHAnsi"/>
          <w:szCs w:val="18"/>
        </w:rPr>
        <w:t xml:space="preserve">, Accessed: 30 March 2016. </w:t>
      </w:r>
    </w:p>
  </w:footnote>
  <w:footnote w:id="19">
    <w:p w14:paraId="7F56E002" w14:textId="77777777" w:rsidR="00621BE2" w:rsidRPr="00AF6DD0" w:rsidRDefault="00621BE2" w:rsidP="00785387">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TNS Australia 2015, </w:t>
      </w:r>
      <w:r w:rsidRPr="00AF6DD0">
        <w:rPr>
          <w:rFonts w:asciiTheme="minorHAnsi" w:hAnsiTheme="minorHAnsi"/>
          <w:i/>
          <w:szCs w:val="18"/>
          <w:lang w:val="en-US"/>
        </w:rPr>
        <w:t>Reducing violence against women and their children: Research informing the development of a national campaign</w:t>
      </w:r>
      <w:r w:rsidRPr="00AF6DD0">
        <w:rPr>
          <w:rFonts w:asciiTheme="minorHAnsi" w:hAnsiTheme="minorHAnsi"/>
          <w:szCs w:val="18"/>
          <w:lang w:val="en-US"/>
        </w:rPr>
        <w:t xml:space="preserve">, URL: </w:t>
      </w:r>
      <w:r w:rsidRPr="00AF6DD0">
        <w:rPr>
          <w:rFonts w:asciiTheme="minorHAnsi" w:hAnsiTheme="minorHAnsi"/>
          <w:szCs w:val="18"/>
        </w:rPr>
        <w:t>www.dss.gov.au/sites/default/files/documents/11_2015/dss_violence_against_women_public_report.pdf</w:t>
      </w:r>
      <w:r w:rsidRPr="00AF6DD0">
        <w:rPr>
          <w:rFonts w:asciiTheme="minorHAnsi" w:hAnsiTheme="minorHAnsi"/>
          <w:szCs w:val="18"/>
          <w:lang w:val="en-US"/>
        </w:rPr>
        <w:t>, Accessed: 10 March 2016.</w:t>
      </w:r>
    </w:p>
  </w:footnote>
  <w:footnote w:id="20">
    <w:p w14:paraId="3678528E" w14:textId="77777777" w:rsidR="007B44AA" w:rsidRPr="0029002A" w:rsidRDefault="007B44AA" w:rsidP="007B44AA">
      <w:pPr>
        <w:pStyle w:val="FootnoteText"/>
        <w:rPr>
          <w:szCs w:val="18"/>
        </w:rPr>
      </w:pPr>
      <w:r w:rsidRPr="0029002A">
        <w:rPr>
          <w:rFonts w:asciiTheme="minorHAnsi" w:hAnsiTheme="minorHAnsi"/>
          <w:szCs w:val="18"/>
        </w:rPr>
        <w:footnoteRef/>
      </w:r>
      <w:r w:rsidRPr="0029002A">
        <w:rPr>
          <w:rFonts w:asciiTheme="minorHAnsi" w:hAnsiTheme="minorHAnsi"/>
          <w:szCs w:val="18"/>
        </w:rPr>
        <w:t xml:space="preserve"> For full references of this state and territory data, and further information and analysis regarding the violence reported to police see pages 89-96 of this Detailed Report.</w:t>
      </w:r>
    </w:p>
  </w:footnote>
  <w:footnote w:id="21">
    <w:p w14:paraId="28F9A028"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CEDAW Committee</w:t>
      </w:r>
      <w:r>
        <w:rPr>
          <w:rFonts w:asciiTheme="minorHAnsi" w:hAnsiTheme="minorHAnsi"/>
          <w:szCs w:val="18"/>
        </w:rPr>
        <w:t xml:space="preserve"> 1992</w:t>
      </w:r>
      <w:r w:rsidRPr="00AF6DD0">
        <w:rPr>
          <w:rFonts w:asciiTheme="minorHAnsi" w:hAnsiTheme="minorHAnsi"/>
          <w:szCs w:val="18"/>
        </w:rPr>
        <w:t xml:space="preserve">, </w:t>
      </w:r>
      <w:r w:rsidRPr="005D2D1C">
        <w:rPr>
          <w:rFonts w:asciiTheme="minorHAnsi" w:hAnsiTheme="minorHAnsi"/>
          <w:i/>
          <w:szCs w:val="18"/>
        </w:rPr>
        <w:t xml:space="preserve">General Recommendation No. 19: Violence against Women, UN Doc. A/47/38 </w:t>
      </w:r>
      <w:r w:rsidRPr="00AF6DD0">
        <w:rPr>
          <w:rFonts w:asciiTheme="minorHAnsi" w:hAnsiTheme="minorHAnsi"/>
          <w:szCs w:val="18"/>
          <w:lang w:val="en"/>
        </w:rPr>
        <w:t xml:space="preserve"> URL: </w:t>
      </w:r>
      <w:r w:rsidRPr="00AF6DD0">
        <w:rPr>
          <w:rFonts w:asciiTheme="minorHAnsi" w:hAnsiTheme="minorHAnsi"/>
          <w:szCs w:val="18"/>
        </w:rPr>
        <w:t>www.un.org/womenwatch/daw/cedaw/recommendations/recomm.htm</w:t>
      </w:r>
      <w:r w:rsidRPr="00AF6DD0">
        <w:rPr>
          <w:rFonts w:asciiTheme="minorHAnsi" w:hAnsiTheme="minorHAnsi"/>
          <w:szCs w:val="18"/>
          <w:lang w:val="en"/>
        </w:rPr>
        <w:t>, Accessed: 10 March 2016.</w:t>
      </w:r>
    </w:p>
  </w:footnote>
  <w:footnote w:id="22">
    <w:p w14:paraId="0B81D947"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5D2D1C">
        <w:rPr>
          <w:rFonts w:asciiTheme="minorHAnsi" w:hAnsiTheme="minorHAnsi"/>
          <w:szCs w:val="18"/>
          <w:lang w:val="en-US"/>
        </w:rPr>
        <w:t>Ibid</w:t>
      </w:r>
      <w:r w:rsidRPr="00AF6DD0">
        <w:rPr>
          <w:rFonts w:asciiTheme="minorHAnsi" w:hAnsiTheme="minorHAnsi"/>
          <w:i/>
          <w:szCs w:val="18"/>
          <w:lang w:val="en-US"/>
        </w:rPr>
        <w:t>.</w:t>
      </w:r>
    </w:p>
  </w:footnote>
  <w:footnote w:id="23">
    <w:p w14:paraId="0F793BDB" w14:textId="77777777" w:rsidR="00621BE2" w:rsidRPr="001D48AA" w:rsidRDefault="00621BE2" w:rsidP="00E75B5B">
      <w:pPr>
        <w:pStyle w:val="Default"/>
        <w:rPr>
          <w:rFonts w:asciiTheme="minorHAnsi" w:hAnsiTheme="minorHAnsi"/>
          <w:sz w:val="18"/>
          <w:szCs w:val="18"/>
        </w:rPr>
      </w:pPr>
      <w:r w:rsidRPr="001D48AA">
        <w:rPr>
          <w:rStyle w:val="FootnoteReference"/>
          <w:rFonts w:asciiTheme="minorHAnsi" w:hAnsiTheme="minorHAnsi"/>
          <w:sz w:val="18"/>
          <w:szCs w:val="18"/>
        </w:rPr>
        <w:footnoteRef/>
      </w:r>
      <w:r w:rsidRPr="001D48AA">
        <w:rPr>
          <w:rFonts w:asciiTheme="minorHAnsi" w:hAnsiTheme="minorHAnsi"/>
          <w:sz w:val="18"/>
          <w:szCs w:val="18"/>
        </w:rPr>
        <w:t xml:space="preserve"> </w:t>
      </w:r>
      <w:r w:rsidRPr="001D48AA">
        <w:rPr>
          <w:rFonts w:asciiTheme="minorHAnsi" w:eastAsia="Batang" w:hAnsiTheme="minorHAnsi" w:cs="Times New Roman"/>
          <w:color w:val="auto"/>
          <w:sz w:val="18"/>
          <w:szCs w:val="18"/>
          <w:lang w:eastAsia="ko-KR"/>
        </w:rPr>
        <w:t xml:space="preserve">Australian Institute of Criminology 2015, </w:t>
      </w:r>
      <w:r w:rsidRPr="001D48AA">
        <w:rPr>
          <w:rFonts w:asciiTheme="minorHAnsi" w:eastAsia="Batang" w:hAnsiTheme="minorHAnsi" w:cs="Times New Roman"/>
          <w:i/>
          <w:color w:val="auto"/>
          <w:sz w:val="18"/>
          <w:szCs w:val="18"/>
          <w:lang w:eastAsia="ko-KR"/>
        </w:rPr>
        <w:t>Domestic/family homicide in Australia</w:t>
      </w:r>
      <w:r w:rsidRPr="001D48AA">
        <w:rPr>
          <w:rFonts w:asciiTheme="minorHAnsi" w:eastAsiaTheme="minorHAnsi" w:hAnsiTheme="minorHAnsi"/>
          <w:color w:val="006171"/>
          <w:sz w:val="18"/>
          <w:szCs w:val="18"/>
          <w:lang w:eastAsia="en-US"/>
        </w:rPr>
        <w:t>.</w:t>
      </w:r>
    </w:p>
  </w:footnote>
  <w:footnote w:id="24">
    <w:p w14:paraId="38FA09D7" w14:textId="77777777" w:rsidR="00621BE2" w:rsidRPr="00D62823" w:rsidRDefault="00621BE2" w:rsidP="00ED6C12">
      <w:pPr>
        <w:autoSpaceDE w:val="0"/>
        <w:autoSpaceDN w:val="0"/>
        <w:spacing w:after="0"/>
        <w:rPr>
          <w:szCs w:val="18"/>
        </w:rPr>
      </w:pPr>
      <w:r w:rsidRPr="00AF6DD0">
        <w:rPr>
          <w:rStyle w:val="FootnoteReference"/>
          <w:szCs w:val="18"/>
        </w:rPr>
        <w:footnoteRef/>
      </w:r>
      <w:r w:rsidRPr="00AF6DD0">
        <w:rPr>
          <w:szCs w:val="18"/>
        </w:rPr>
        <w:t xml:space="preserve"> </w:t>
      </w:r>
      <w:r w:rsidRPr="005D2D1C">
        <w:rPr>
          <w:rFonts w:cs="Segoe UI"/>
          <w:sz w:val="18"/>
          <w:szCs w:val="18"/>
        </w:rPr>
        <w:t>Australian Bureau of Statistics (ABS) 2012, </w:t>
      </w:r>
      <w:r w:rsidRPr="005D2D1C">
        <w:rPr>
          <w:i/>
          <w:iCs/>
          <w:sz w:val="18"/>
          <w:szCs w:val="18"/>
        </w:rPr>
        <w:t>Personal Safety Survey 2012</w:t>
      </w:r>
      <w:r w:rsidRPr="005D2D1C">
        <w:rPr>
          <w:rFonts w:cs="Segoe UI"/>
          <w:sz w:val="18"/>
          <w:szCs w:val="18"/>
        </w:rPr>
        <w:t>. </w:t>
      </w:r>
    </w:p>
  </w:footnote>
  <w:footnote w:id="25">
    <w:p w14:paraId="6B58494E" w14:textId="77777777" w:rsidR="00621BE2" w:rsidRPr="00AF6DD0" w:rsidRDefault="00621BE2" w:rsidP="00ED6C1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E44D38">
        <w:rPr>
          <w:rFonts w:asciiTheme="minorHAnsi" w:hAnsiTheme="minorHAnsi"/>
          <w:szCs w:val="18"/>
        </w:rPr>
        <w:t>VicHealth 2008</w:t>
      </w:r>
      <w:r w:rsidRPr="005D2D1C">
        <w:rPr>
          <w:rFonts w:asciiTheme="minorHAnsi" w:hAnsiTheme="minorHAnsi"/>
          <w:i/>
          <w:szCs w:val="18"/>
        </w:rPr>
        <w:t>, Violence against women in Australia as a determinant of mental health and wellbeing</w:t>
      </w:r>
      <w:r w:rsidRPr="00E44D38">
        <w:rPr>
          <w:rFonts w:asciiTheme="minorHAnsi" w:hAnsiTheme="minorHAnsi"/>
          <w:szCs w:val="18"/>
        </w:rPr>
        <w:t xml:space="preserve">. </w:t>
      </w:r>
    </w:p>
  </w:footnote>
  <w:footnote w:id="26">
    <w:p w14:paraId="35012B20" w14:textId="77777777" w:rsidR="00621BE2" w:rsidRPr="00AF6DD0" w:rsidRDefault="00621BE2" w:rsidP="00ED6C12">
      <w:pPr>
        <w:pStyle w:val="FootnoteText"/>
        <w:rPr>
          <w:rFonts w:asciiTheme="minorHAnsi" w:hAnsiTheme="minorHAnsi"/>
          <w:szCs w:val="18"/>
        </w:rPr>
      </w:pPr>
      <w:r w:rsidRPr="00AF6DD0">
        <w:rPr>
          <w:rStyle w:val="FootnoteReference"/>
          <w:rFonts w:asciiTheme="minorHAnsi" w:hAnsiTheme="minorHAnsi"/>
          <w:szCs w:val="18"/>
        </w:rPr>
        <w:footnoteRef/>
      </w:r>
      <w:r>
        <w:rPr>
          <w:rFonts w:asciiTheme="minorHAnsi" w:hAnsiTheme="minorHAnsi"/>
          <w:szCs w:val="18"/>
        </w:rPr>
        <w:t xml:space="preserve"> </w:t>
      </w:r>
      <w:r w:rsidRPr="00AF6DD0">
        <w:rPr>
          <w:rFonts w:asciiTheme="minorHAnsi" w:hAnsiTheme="minorHAnsi"/>
          <w:szCs w:val="18"/>
        </w:rPr>
        <w:t>Campbell 2002</w:t>
      </w:r>
      <w:r>
        <w:rPr>
          <w:rFonts w:asciiTheme="minorHAnsi" w:hAnsiTheme="minorHAnsi"/>
          <w:szCs w:val="18"/>
        </w:rPr>
        <w:t>,</w:t>
      </w:r>
      <w:r>
        <w:rPr>
          <w:rFonts w:asciiTheme="minorHAnsi" w:hAnsiTheme="minorHAnsi"/>
          <w:i/>
          <w:szCs w:val="18"/>
        </w:rPr>
        <w:t xml:space="preserve"> Health consequences of intimate partner violence</w:t>
      </w:r>
      <w:r w:rsidRPr="00AF6DD0">
        <w:rPr>
          <w:rFonts w:asciiTheme="minorHAnsi" w:hAnsiTheme="minorHAnsi"/>
          <w:szCs w:val="18"/>
        </w:rPr>
        <w:t>; Astbury</w:t>
      </w:r>
      <w:r>
        <w:rPr>
          <w:rFonts w:asciiTheme="minorHAnsi" w:hAnsiTheme="minorHAnsi"/>
          <w:szCs w:val="18"/>
        </w:rPr>
        <w:t xml:space="preserve"> et al</w:t>
      </w:r>
      <w:r w:rsidRPr="00AF6DD0">
        <w:rPr>
          <w:rFonts w:asciiTheme="minorHAnsi" w:hAnsiTheme="minorHAnsi"/>
          <w:szCs w:val="18"/>
        </w:rPr>
        <w:t xml:space="preserve"> 2000</w:t>
      </w:r>
      <w:r>
        <w:rPr>
          <w:rFonts w:asciiTheme="minorHAnsi" w:hAnsiTheme="minorHAnsi"/>
          <w:szCs w:val="18"/>
        </w:rPr>
        <w:t xml:space="preserve">, </w:t>
      </w:r>
      <w:r>
        <w:rPr>
          <w:rFonts w:asciiTheme="minorHAnsi" w:hAnsiTheme="minorHAnsi"/>
          <w:i/>
          <w:szCs w:val="18"/>
        </w:rPr>
        <w:t>The impact of domestic violence on individuals.</w:t>
      </w:r>
      <w:r w:rsidRPr="00AF6DD0">
        <w:rPr>
          <w:rFonts w:asciiTheme="minorHAnsi" w:hAnsiTheme="minorHAnsi"/>
          <w:szCs w:val="18"/>
        </w:rPr>
        <w:t xml:space="preserve"> </w:t>
      </w:r>
    </w:p>
  </w:footnote>
  <w:footnote w:id="27">
    <w:p w14:paraId="08E032C9"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Council of Australian Governments, 2009, </w:t>
      </w:r>
      <w:r w:rsidRPr="00AF6DD0">
        <w:rPr>
          <w:rFonts w:asciiTheme="minorHAnsi" w:hAnsiTheme="minorHAnsi"/>
          <w:i/>
          <w:szCs w:val="18"/>
        </w:rPr>
        <w:t>National Framework for Protecting Australia’s Children 2009-2020: Protecting Children is Everyone’s Business</w:t>
      </w:r>
      <w:r w:rsidRPr="00AF6DD0">
        <w:rPr>
          <w:rFonts w:asciiTheme="minorHAnsi" w:hAnsiTheme="minorHAnsi"/>
          <w:szCs w:val="18"/>
        </w:rPr>
        <w:t>, p. 21.</w:t>
      </w:r>
    </w:p>
  </w:footnote>
  <w:footnote w:id="28">
    <w:p w14:paraId="1C08F96D" w14:textId="77777777" w:rsidR="00621BE2" w:rsidRPr="00AF6DD0" w:rsidRDefault="00621BE2" w:rsidP="00ED6C12">
      <w:pPr>
        <w:autoSpaceDE w:val="0"/>
        <w:autoSpaceDN w:val="0"/>
        <w:adjustRightInd w:val="0"/>
        <w:spacing w:before="0" w:after="0"/>
        <w:rPr>
          <w:sz w:val="18"/>
          <w:szCs w:val="18"/>
          <w:lang w:val="en-US"/>
        </w:rPr>
      </w:pPr>
      <w:r w:rsidRPr="00AF6DD0">
        <w:rPr>
          <w:rStyle w:val="FootnoteReference"/>
          <w:sz w:val="18"/>
          <w:szCs w:val="18"/>
        </w:rPr>
        <w:footnoteRef/>
      </w:r>
      <w:r w:rsidRPr="00AF6DD0">
        <w:rPr>
          <w:sz w:val="18"/>
          <w:szCs w:val="18"/>
        </w:rPr>
        <w:t xml:space="preserve"> VicHealth 2008, </w:t>
      </w:r>
      <w:r w:rsidRPr="00AF6DD0">
        <w:rPr>
          <w:rFonts w:cs="TradeGothic-BoldTwo"/>
          <w:bCs/>
          <w:i/>
          <w:sz w:val="18"/>
          <w:szCs w:val="18"/>
        </w:rPr>
        <w:t xml:space="preserve">Violence against women in Australia </w:t>
      </w:r>
      <w:r w:rsidRPr="00AF6DD0">
        <w:rPr>
          <w:rFonts w:cs="TradeGothic"/>
          <w:i/>
          <w:sz w:val="18"/>
          <w:szCs w:val="18"/>
        </w:rPr>
        <w:t>as a determinant of mental health and wellbeing</w:t>
      </w:r>
      <w:r>
        <w:rPr>
          <w:rFonts w:cs="TradeGothic"/>
          <w:sz w:val="18"/>
          <w:szCs w:val="18"/>
        </w:rPr>
        <w:t xml:space="preserve">. </w:t>
      </w:r>
      <w:r w:rsidRPr="00AF6DD0">
        <w:rPr>
          <w:rFonts w:cs="TradeGothic"/>
          <w:sz w:val="18"/>
          <w:szCs w:val="18"/>
        </w:rPr>
        <w:t xml:space="preserve"> </w:t>
      </w:r>
    </w:p>
  </w:footnote>
  <w:footnote w:id="29">
    <w:p w14:paraId="1F558B1D" w14:textId="77777777" w:rsidR="00621BE2" w:rsidRPr="00736F6B" w:rsidRDefault="00621BE2" w:rsidP="00ED6C12">
      <w:pPr>
        <w:pStyle w:val="FootnoteText"/>
        <w:rPr>
          <w:rFonts w:asciiTheme="minorHAnsi" w:hAnsiTheme="minorHAnsi"/>
          <w:szCs w:val="18"/>
        </w:rPr>
      </w:pPr>
      <w:r w:rsidRPr="00736F6B">
        <w:rPr>
          <w:rStyle w:val="FootnoteReference"/>
          <w:rFonts w:asciiTheme="minorHAnsi" w:hAnsiTheme="minorHAnsi"/>
          <w:szCs w:val="18"/>
        </w:rPr>
        <w:footnoteRef/>
      </w:r>
      <w:r w:rsidRPr="00736F6B">
        <w:rPr>
          <w:rFonts w:asciiTheme="minorHAnsi" w:hAnsiTheme="minorHAnsi"/>
          <w:szCs w:val="18"/>
        </w:rPr>
        <w:t xml:space="preserve"> Cox et al 1994, </w:t>
      </w:r>
      <w:r w:rsidRPr="00736F6B">
        <w:rPr>
          <w:rFonts w:asciiTheme="minorHAnsi" w:hAnsiTheme="minorHAnsi"/>
          <w:i/>
          <w:szCs w:val="18"/>
        </w:rPr>
        <w:t>The</w:t>
      </w:r>
      <w:r>
        <w:rPr>
          <w:rFonts w:asciiTheme="minorHAnsi" w:hAnsiTheme="minorHAnsi"/>
          <w:i/>
          <w:szCs w:val="18"/>
        </w:rPr>
        <w:t xml:space="preserve"> prevention of violence at work: Application of a cognitive behavioural theory</w:t>
      </w:r>
      <w:r>
        <w:rPr>
          <w:rFonts w:asciiTheme="minorHAnsi" w:hAnsiTheme="minorHAnsi"/>
          <w:szCs w:val="18"/>
        </w:rPr>
        <w:t>.</w:t>
      </w:r>
    </w:p>
  </w:footnote>
  <w:footnote w:id="30">
    <w:p w14:paraId="2FC69A13"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Rees et al 2011, Lifetime Prevalence of Gender-Based Violence in Women and the Relationship with Mental Disorders and Psychosocial Function. Journal of the American Medication Association, Vol. 306, No. 5. </w:t>
      </w:r>
    </w:p>
  </w:footnote>
  <w:footnote w:id="31">
    <w:p w14:paraId="711189C4"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VicHealth 2011, </w:t>
      </w:r>
      <w:r w:rsidRPr="00AF6DD0">
        <w:rPr>
          <w:rFonts w:asciiTheme="minorHAnsi" w:hAnsiTheme="minorHAnsi"/>
          <w:i/>
          <w:szCs w:val="18"/>
        </w:rPr>
        <w:t xml:space="preserve">Preventing Violence against Women in Australia – Research Summary: </w:t>
      </w:r>
      <w:r w:rsidRPr="00AF6DD0">
        <w:rPr>
          <w:rFonts w:asciiTheme="minorHAnsi" w:hAnsiTheme="minorHAnsi" w:cs="DIN-LightItalic"/>
          <w:i/>
          <w:iCs/>
          <w:szCs w:val="18"/>
        </w:rPr>
        <w:t>Addressing the social and economic determinants of mental and physical health</w:t>
      </w:r>
      <w:r>
        <w:rPr>
          <w:rFonts w:asciiTheme="minorHAnsi" w:hAnsiTheme="minorHAnsi" w:cs="DIN-LightItalic"/>
          <w:iCs/>
          <w:szCs w:val="18"/>
        </w:rPr>
        <w:t>.</w:t>
      </w:r>
    </w:p>
  </w:footnote>
  <w:footnote w:id="32">
    <w:p w14:paraId="48DF0D41"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rPr>
        <w:t xml:space="preserve">Ibid. </w:t>
      </w:r>
      <w:r w:rsidRPr="00AF6DD0">
        <w:rPr>
          <w:rFonts w:asciiTheme="minorHAnsi" w:hAnsiTheme="minorHAnsi" w:cs="DIN-LightItalic"/>
          <w:iCs/>
          <w:szCs w:val="18"/>
        </w:rPr>
        <w:t xml:space="preserve"> </w:t>
      </w:r>
    </w:p>
  </w:footnote>
  <w:footnote w:id="33">
    <w:p w14:paraId="300C4391" w14:textId="77777777" w:rsidR="00621BE2" w:rsidRPr="007F1DC3"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rPr>
        <w:t xml:space="preserve">Australian Institute of Criminology (AIC), </w:t>
      </w:r>
      <w:r>
        <w:rPr>
          <w:rFonts w:asciiTheme="minorHAnsi" w:hAnsiTheme="minorHAnsi"/>
          <w:szCs w:val="18"/>
          <w:lang w:val="en-US"/>
        </w:rPr>
        <w:t xml:space="preserve">Morgan et al 2009, </w:t>
      </w:r>
      <w:r>
        <w:rPr>
          <w:rFonts w:asciiTheme="minorHAnsi" w:hAnsiTheme="minorHAnsi"/>
          <w:i/>
          <w:szCs w:val="18"/>
          <w:lang w:val="en-US"/>
        </w:rPr>
        <w:t>Key Issues in Alcohol Related Violence</w:t>
      </w:r>
    </w:p>
  </w:footnote>
  <w:footnote w:id="34">
    <w:p w14:paraId="6188DA0E" w14:textId="77777777" w:rsidR="00621BE2" w:rsidRPr="007F1DC3"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Mitchell 2011, </w:t>
      </w:r>
      <w:r w:rsidRPr="007F1DC3">
        <w:rPr>
          <w:rFonts w:asciiTheme="minorHAnsi" w:hAnsiTheme="minorHAnsi"/>
          <w:i/>
          <w:szCs w:val="18"/>
        </w:rPr>
        <w:t xml:space="preserve">Domestic Violence in Australia – an overview of the issues, Australian Parliamentary </w:t>
      </w:r>
      <w:r>
        <w:rPr>
          <w:rFonts w:asciiTheme="minorHAnsi" w:hAnsiTheme="minorHAnsi"/>
          <w:i/>
          <w:szCs w:val="18"/>
        </w:rPr>
        <w:t xml:space="preserve">Library, Background. </w:t>
      </w:r>
    </w:p>
  </w:footnote>
  <w:footnote w:id="35">
    <w:p w14:paraId="5A2236C2"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
        </w:rPr>
        <w:t xml:space="preserve">NSW Bureau of Crime Statistics and Research </w:t>
      </w:r>
      <w:r>
        <w:rPr>
          <w:rFonts w:asciiTheme="minorHAnsi" w:hAnsiTheme="minorHAnsi"/>
          <w:szCs w:val="18"/>
          <w:lang w:val="en"/>
        </w:rPr>
        <w:t xml:space="preserve">, K Gretch and M Burgess 2011, </w:t>
      </w:r>
      <w:r w:rsidRPr="00AF6DD0">
        <w:rPr>
          <w:rFonts w:asciiTheme="minorHAnsi" w:hAnsiTheme="minorHAnsi"/>
          <w:szCs w:val="18"/>
          <w:lang w:val="en"/>
        </w:rPr>
        <w:t xml:space="preserve"> </w:t>
      </w:r>
      <w:r w:rsidRPr="00AF6DD0">
        <w:rPr>
          <w:rFonts w:asciiTheme="minorHAnsi" w:hAnsiTheme="minorHAnsi"/>
          <w:i/>
          <w:iCs/>
          <w:szCs w:val="18"/>
          <w:lang w:val="en"/>
        </w:rPr>
        <w:t xml:space="preserve">Trends and patterns in domestic </w:t>
      </w:r>
      <w:r>
        <w:rPr>
          <w:rFonts w:asciiTheme="minorHAnsi" w:hAnsiTheme="minorHAnsi"/>
          <w:i/>
          <w:iCs/>
          <w:szCs w:val="18"/>
          <w:lang w:val="en"/>
        </w:rPr>
        <w:t xml:space="preserve">violence assaults: 2001 to 2010. </w:t>
      </w:r>
      <w:r>
        <w:rPr>
          <w:rFonts w:asciiTheme="minorHAnsi" w:hAnsiTheme="minorHAnsi"/>
          <w:szCs w:val="18"/>
          <w:lang w:val="en"/>
        </w:rPr>
        <w:t>.</w:t>
      </w:r>
    </w:p>
  </w:footnote>
  <w:footnote w:id="36">
    <w:p w14:paraId="6D9B8AFD" w14:textId="77777777" w:rsidR="00621BE2" w:rsidRPr="00F37B78" w:rsidRDefault="00621BE2" w:rsidP="00ED6C12">
      <w:pPr>
        <w:pStyle w:val="FootnoteText"/>
        <w:rPr>
          <w:rFonts w:asciiTheme="minorHAnsi" w:hAnsiTheme="minorHAnsi"/>
          <w: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Sansone, R., Ch</w:t>
      </w:r>
      <w:r>
        <w:rPr>
          <w:rFonts w:asciiTheme="minorHAnsi" w:hAnsiTheme="minorHAnsi"/>
          <w:szCs w:val="18"/>
        </w:rPr>
        <w:t xml:space="preserve">u, J., and Wiederman, M. 2007, </w:t>
      </w:r>
      <w:r w:rsidRPr="00F37B78">
        <w:rPr>
          <w:rFonts w:asciiTheme="minorHAnsi" w:hAnsiTheme="minorHAnsi"/>
          <w:i/>
          <w:szCs w:val="18"/>
        </w:rPr>
        <w:t xml:space="preserve">Suicide attempts and domestic violence among women psychiatric inpatients. </w:t>
      </w:r>
    </w:p>
  </w:footnote>
  <w:footnote w:id="37">
    <w:p w14:paraId="032FF5F0" w14:textId="77777777" w:rsidR="00621BE2" w:rsidRPr="002D6139" w:rsidRDefault="00621BE2" w:rsidP="00ED6C12">
      <w:pPr>
        <w:pStyle w:val="FootnoteText"/>
        <w:rPr>
          <w:rFonts w:asciiTheme="minorHAnsi" w:hAnsiTheme="minorHAnsi"/>
          <w:szCs w:val="18"/>
        </w:rPr>
      </w:pPr>
      <w:r w:rsidRPr="009A620C">
        <w:rPr>
          <w:rStyle w:val="FootnoteReference"/>
          <w:rFonts w:asciiTheme="minorHAnsi" w:hAnsiTheme="minorHAnsi"/>
          <w:szCs w:val="18"/>
        </w:rPr>
        <w:footnoteRef/>
      </w:r>
      <w:r w:rsidRPr="009A620C">
        <w:rPr>
          <w:rFonts w:asciiTheme="minorHAnsi" w:hAnsiTheme="minorHAnsi"/>
          <w:szCs w:val="18"/>
        </w:rPr>
        <w:t xml:space="preserve"> </w:t>
      </w:r>
      <w:r>
        <w:rPr>
          <w:rFonts w:asciiTheme="minorHAnsi" w:hAnsiTheme="minorHAnsi"/>
          <w:szCs w:val="18"/>
        </w:rPr>
        <w:t xml:space="preserve">Department of Justice, Victoria 2012, </w:t>
      </w:r>
      <w:r w:rsidRPr="005D2D1C">
        <w:rPr>
          <w:rFonts w:asciiTheme="minorHAnsi" w:hAnsiTheme="minorHAnsi"/>
          <w:i/>
          <w:szCs w:val="18"/>
        </w:rPr>
        <w:t>Measuring Family Violence in Victoria</w:t>
      </w:r>
      <w:r>
        <w:rPr>
          <w:rFonts w:asciiTheme="minorHAnsi" w:hAnsiTheme="minorHAnsi"/>
          <w:i/>
          <w:szCs w:val="18"/>
        </w:rPr>
        <w:t xml:space="preserve">. </w:t>
      </w:r>
    </w:p>
  </w:footnote>
  <w:footnote w:id="38">
    <w:p w14:paraId="61FAAC90" w14:textId="77777777" w:rsidR="00621BE2" w:rsidRPr="00AF6DD0" w:rsidRDefault="00621BE2" w:rsidP="00ED6C12">
      <w:pPr>
        <w:pStyle w:val="FootnoteText"/>
        <w:rPr>
          <w:rFonts w:asciiTheme="minorHAnsi" w:hAnsiTheme="minorHAnsi"/>
          <w:szCs w:val="18"/>
          <w:lang w:val="en-US"/>
        </w:rPr>
      </w:pPr>
      <w:r w:rsidRPr="009A620C">
        <w:rPr>
          <w:rStyle w:val="FootnoteReference"/>
          <w:rFonts w:asciiTheme="minorHAnsi" w:hAnsiTheme="minorHAnsi"/>
          <w:szCs w:val="18"/>
        </w:rPr>
        <w:footnoteRef/>
      </w:r>
      <w:r w:rsidRPr="009A620C">
        <w:rPr>
          <w:rFonts w:asciiTheme="minorHAnsi" w:hAnsiTheme="minorHAnsi"/>
          <w:szCs w:val="18"/>
        </w:rPr>
        <w:t xml:space="preserve"> </w:t>
      </w:r>
      <w:r>
        <w:rPr>
          <w:rFonts w:asciiTheme="minorHAnsi" w:hAnsiTheme="minorHAnsi"/>
          <w:szCs w:val="18"/>
        </w:rPr>
        <w:t xml:space="preserve">McCarthy 2003, </w:t>
      </w:r>
      <w:r>
        <w:rPr>
          <w:rFonts w:asciiTheme="minorHAnsi" w:hAnsiTheme="minorHAnsi"/>
          <w:i/>
          <w:szCs w:val="18"/>
        </w:rPr>
        <w:t xml:space="preserve">Public Health, mental health and Violence Against </w:t>
      </w:r>
      <w:r w:rsidRPr="005D2D1C">
        <w:rPr>
          <w:rFonts w:asciiTheme="minorHAnsi" w:hAnsiTheme="minorHAnsi"/>
          <w:szCs w:val="18"/>
        </w:rPr>
        <w:t>Women</w:t>
      </w:r>
    </w:p>
  </w:footnote>
  <w:footnote w:id="39">
    <w:p w14:paraId="68BAE8E1"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rPr>
        <w:t xml:space="preserve">Australian Institute of Criminology (AIC), </w:t>
      </w:r>
      <w:r>
        <w:rPr>
          <w:rFonts w:asciiTheme="minorHAnsi" w:hAnsiTheme="minorHAnsi"/>
          <w:szCs w:val="18"/>
          <w:lang w:val="en-US"/>
        </w:rPr>
        <w:t xml:space="preserve">Morgan et al 2009, </w:t>
      </w:r>
      <w:r>
        <w:rPr>
          <w:rFonts w:asciiTheme="minorHAnsi" w:hAnsiTheme="minorHAnsi"/>
          <w:i/>
          <w:szCs w:val="18"/>
          <w:lang w:val="en-US"/>
        </w:rPr>
        <w:t xml:space="preserve">Key Issues in Alcohol Related Violence. </w:t>
      </w:r>
    </w:p>
  </w:footnote>
  <w:footnote w:id="40">
    <w:p w14:paraId="6584E50A" w14:textId="77777777" w:rsidR="00621BE2" w:rsidRPr="00AF6DD0" w:rsidRDefault="00621BE2" w:rsidP="00ED6C1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cs="Arial"/>
          <w:szCs w:val="18"/>
          <w:lang w:val="en"/>
        </w:rPr>
        <w:t>WIRE Women’s Information, August 2014</w:t>
      </w:r>
      <w:r w:rsidRPr="00AF6DD0">
        <w:rPr>
          <w:rFonts w:asciiTheme="minorHAnsi" w:hAnsiTheme="minorHAnsi" w:cs="Arial"/>
          <w:i/>
          <w:szCs w:val="18"/>
          <w:lang w:val="en"/>
        </w:rPr>
        <w:t>, WIRE Research Report: Relationship Problems and Money - Women talk about financial abuse</w:t>
      </w:r>
      <w:r w:rsidRPr="00AF6DD0">
        <w:rPr>
          <w:rFonts w:asciiTheme="minorHAnsi" w:hAnsiTheme="minorHAnsi" w:cs="Arial"/>
          <w:szCs w:val="18"/>
          <w:lang w:val="en"/>
        </w:rPr>
        <w:t>, URL: http://www.wire.org.au/wp-content/uploads/2014/08/WIRE-Research-Report_Relationship-Problems-and-Money-Women-talk-about-financial-abuse-August2014.pdf, Accessed: 9 March 2016.</w:t>
      </w:r>
    </w:p>
  </w:footnote>
  <w:footnote w:id="41">
    <w:p w14:paraId="3653A0A7" w14:textId="77777777" w:rsidR="00621BE2" w:rsidRPr="008378E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D46A3A">
        <w:rPr>
          <w:rFonts w:asciiTheme="minorHAnsi" w:hAnsiTheme="minorHAnsi" w:cs="Segoe UI"/>
          <w:szCs w:val="18"/>
        </w:rPr>
        <w:t>Australian Bureau of Statistics (ABS) 2012, </w:t>
      </w:r>
      <w:r w:rsidRPr="00D46A3A">
        <w:rPr>
          <w:rFonts w:asciiTheme="minorHAnsi" w:hAnsiTheme="minorHAnsi"/>
          <w:i/>
          <w:iCs/>
          <w:szCs w:val="18"/>
        </w:rPr>
        <w:t>Personal Safety Survey 2012</w:t>
      </w:r>
      <w:r>
        <w:rPr>
          <w:rFonts w:asciiTheme="minorHAnsi" w:hAnsiTheme="minorHAnsi"/>
          <w:iCs/>
          <w:szCs w:val="18"/>
        </w:rPr>
        <w:t>.</w:t>
      </w:r>
    </w:p>
  </w:footnote>
  <w:footnote w:id="42">
    <w:p w14:paraId="4146EF59" w14:textId="77777777" w:rsidR="00621BE2" w:rsidRPr="008378EA" w:rsidRDefault="00621BE2" w:rsidP="00ED6C12">
      <w:pPr>
        <w:pStyle w:val="FootnoteText"/>
      </w:pPr>
      <w:r>
        <w:rPr>
          <w:rStyle w:val="FootnoteReference"/>
        </w:rPr>
        <w:footnoteRef/>
      </w:r>
      <w:r>
        <w:t xml:space="preserve"> </w:t>
      </w:r>
      <w:r w:rsidRPr="008378EA">
        <w:rPr>
          <w:rFonts w:asciiTheme="minorHAnsi" w:eastAsia="Times New Roman" w:hAnsiTheme="minorHAnsi"/>
          <w:szCs w:val="18"/>
          <w:lang w:val="en-US" w:eastAsia="en-AU"/>
        </w:rPr>
        <w:t>Australian Human Rights Commission, 2015</w:t>
      </w:r>
      <w:r>
        <w:rPr>
          <w:rFonts w:asciiTheme="minorHAnsi" w:eastAsia="Times New Roman" w:hAnsiTheme="minorHAnsi"/>
          <w:szCs w:val="18"/>
          <w:lang w:val="en-US" w:eastAsia="en-AU"/>
        </w:rPr>
        <w:t xml:space="preserve">, </w:t>
      </w:r>
      <w:r w:rsidRPr="008378EA">
        <w:rPr>
          <w:rFonts w:asciiTheme="minorHAnsi" w:eastAsia="Times New Roman" w:hAnsiTheme="minorHAnsi"/>
          <w:i/>
          <w:szCs w:val="18"/>
          <w:lang w:val="en-US" w:eastAsia="en-AU"/>
        </w:rPr>
        <w:t>Children Experiencing Domestic Violence: A Research Review</w:t>
      </w:r>
      <w:r>
        <w:rPr>
          <w:rFonts w:asciiTheme="minorHAnsi" w:eastAsia="Times New Roman" w:hAnsiTheme="minorHAnsi"/>
          <w:szCs w:val="18"/>
          <w:lang w:val="en-US" w:eastAsia="en-AU"/>
        </w:rPr>
        <w:t>.</w:t>
      </w:r>
    </w:p>
  </w:footnote>
  <w:footnote w:id="43">
    <w:p w14:paraId="59590A83"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D46A3A">
        <w:rPr>
          <w:rFonts w:asciiTheme="minorHAnsi" w:hAnsiTheme="minorHAnsi"/>
          <w:szCs w:val="18"/>
          <w:lang w:val="en-US"/>
        </w:rPr>
        <w:t xml:space="preserve">Bagshaw et al. 2010, </w:t>
      </w:r>
      <w:r w:rsidRPr="008378EA">
        <w:rPr>
          <w:rFonts w:asciiTheme="minorHAnsi" w:hAnsiTheme="minorHAnsi"/>
          <w:i/>
          <w:szCs w:val="18"/>
          <w:lang w:val="en-US"/>
        </w:rPr>
        <w:t>Australian Domestic and Family Violence Clearing House 2011, the Impact of Domestic Violence on Children: A Literature Review, The University of New South Wales</w:t>
      </w:r>
    </w:p>
  </w:footnote>
  <w:footnote w:id="44">
    <w:p w14:paraId="47F533FB"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5D2D1C">
        <w:rPr>
          <w:rFonts w:asciiTheme="minorHAnsi" w:hAnsiTheme="minorHAnsi"/>
          <w:szCs w:val="18"/>
        </w:rPr>
        <w:t>Ibid</w:t>
      </w:r>
      <w:r w:rsidRPr="00D46A3A">
        <w:rPr>
          <w:rFonts w:asciiTheme="minorHAnsi" w:hAnsiTheme="minorHAnsi"/>
          <w:i/>
          <w:szCs w:val="18"/>
        </w:rPr>
        <w:t>.</w:t>
      </w:r>
    </w:p>
  </w:footnote>
  <w:footnote w:id="45">
    <w:p w14:paraId="24D80FB5"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D46A3A">
        <w:rPr>
          <w:rFonts w:asciiTheme="minorHAnsi" w:hAnsiTheme="minorHAnsi" w:cs="Segoe UI"/>
          <w:szCs w:val="18"/>
        </w:rPr>
        <w:t>Australian Bureau of Statistics (ABS) 2012, </w:t>
      </w:r>
      <w:r w:rsidRPr="00D46A3A">
        <w:rPr>
          <w:rFonts w:asciiTheme="minorHAnsi" w:hAnsiTheme="minorHAnsi"/>
          <w:i/>
          <w:iCs/>
          <w:szCs w:val="18"/>
        </w:rPr>
        <w:t>Personal Safety Survey 2012</w:t>
      </w:r>
      <w:r>
        <w:rPr>
          <w:rFonts w:asciiTheme="minorHAnsi" w:hAnsiTheme="minorHAnsi"/>
          <w:iCs/>
          <w:szCs w:val="18"/>
        </w:rPr>
        <w:t>.</w:t>
      </w:r>
    </w:p>
  </w:footnote>
  <w:footnote w:id="46">
    <w:p w14:paraId="0FDF5F55"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D46A3A">
        <w:rPr>
          <w:rFonts w:asciiTheme="minorHAnsi" w:hAnsiTheme="minorHAnsi"/>
          <w:szCs w:val="18"/>
          <w:lang w:val="en-US"/>
        </w:rPr>
        <w:t xml:space="preserve">The Australian Domestic &amp; Family Violence Clearinghouse, The University of New South Wales, 2011, </w:t>
      </w:r>
      <w:r w:rsidRPr="00D46A3A">
        <w:rPr>
          <w:rFonts w:asciiTheme="minorHAnsi" w:hAnsiTheme="minorHAnsi"/>
          <w:i/>
          <w:szCs w:val="18"/>
          <w:lang w:val="en-US"/>
        </w:rPr>
        <w:t>The Impact of Domestic Violence on Children: A literature Review</w:t>
      </w:r>
      <w:r w:rsidRPr="00D46A3A">
        <w:rPr>
          <w:rFonts w:asciiTheme="minorHAnsi" w:hAnsiTheme="minorHAnsi"/>
          <w:szCs w:val="18"/>
          <w:lang w:val="en-US"/>
        </w:rPr>
        <w:t>.</w:t>
      </w:r>
    </w:p>
  </w:footnote>
  <w:footnote w:id="47">
    <w:p w14:paraId="07590BC9"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Australian Institute of Criminology</w:t>
      </w:r>
      <w:r>
        <w:rPr>
          <w:rFonts w:asciiTheme="minorHAnsi" w:hAnsiTheme="minorHAnsi"/>
          <w:szCs w:val="18"/>
        </w:rPr>
        <w:t>,</w:t>
      </w:r>
      <w:r w:rsidRPr="00D46A3A">
        <w:rPr>
          <w:rFonts w:asciiTheme="minorHAnsi" w:hAnsiTheme="minorHAnsi"/>
          <w:szCs w:val="18"/>
        </w:rPr>
        <w:t xml:space="preserve"> Kelly Richards 2011, </w:t>
      </w:r>
      <w:r w:rsidRPr="00D46A3A">
        <w:rPr>
          <w:rFonts w:asciiTheme="minorHAnsi" w:hAnsiTheme="minorHAnsi"/>
          <w:i/>
          <w:szCs w:val="18"/>
        </w:rPr>
        <w:t>Children’s Exposure to Domestic Violence in Australia</w:t>
      </w:r>
      <w:r>
        <w:rPr>
          <w:rFonts w:asciiTheme="minorHAnsi" w:hAnsiTheme="minorHAnsi"/>
          <w:szCs w:val="18"/>
        </w:rPr>
        <w:t>.</w:t>
      </w:r>
    </w:p>
  </w:footnote>
  <w:footnote w:id="48">
    <w:p w14:paraId="7E25D191" w14:textId="77777777" w:rsidR="00621BE2" w:rsidRPr="005D2D1C"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5D2D1C">
        <w:rPr>
          <w:rFonts w:asciiTheme="minorHAnsi" w:hAnsiTheme="minorHAnsi"/>
          <w:szCs w:val="18"/>
        </w:rPr>
        <w:t>Ibid.</w:t>
      </w:r>
    </w:p>
  </w:footnote>
  <w:footnote w:id="49">
    <w:p w14:paraId="0BE5A6AF" w14:textId="77777777" w:rsidR="00621BE2" w:rsidRPr="00D46A3A" w:rsidRDefault="00621BE2" w:rsidP="00ED6C12">
      <w:pPr>
        <w:pStyle w:val="FootnoteText"/>
        <w:rPr>
          <w:rFonts w:asciiTheme="minorHAnsi" w:hAnsiTheme="minorHAnsi"/>
          <w:szCs w:val="18"/>
          <w:lang w:val="en-US"/>
        </w:rPr>
      </w:pPr>
      <w:r w:rsidRPr="00D62823">
        <w:rPr>
          <w:rStyle w:val="FootnoteReference"/>
          <w:rFonts w:asciiTheme="minorHAnsi" w:hAnsiTheme="minorHAnsi"/>
          <w:szCs w:val="18"/>
        </w:rPr>
        <w:footnoteRef/>
      </w:r>
      <w:r w:rsidRPr="00D62823">
        <w:rPr>
          <w:rFonts w:asciiTheme="minorHAnsi" w:hAnsiTheme="minorHAnsi"/>
          <w:szCs w:val="18"/>
        </w:rPr>
        <w:t xml:space="preserve"> </w:t>
      </w:r>
      <w:r w:rsidRPr="005D2D1C">
        <w:rPr>
          <w:rFonts w:asciiTheme="minorHAnsi" w:hAnsiTheme="minorHAnsi"/>
          <w:szCs w:val="18"/>
        </w:rPr>
        <w:t>Ibid.</w:t>
      </w:r>
      <w:r w:rsidRPr="00D46A3A">
        <w:rPr>
          <w:rFonts w:asciiTheme="minorHAnsi" w:hAnsiTheme="minorHAnsi"/>
          <w:szCs w:val="18"/>
        </w:rPr>
        <w:t xml:space="preserve"> </w:t>
      </w:r>
    </w:p>
  </w:footnote>
  <w:footnote w:id="50">
    <w:p w14:paraId="0438368F"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Pr>
          <w:rFonts w:asciiTheme="minorHAnsi" w:hAnsiTheme="minorHAnsi"/>
          <w:szCs w:val="18"/>
        </w:rPr>
        <w:t xml:space="preserve"> Australian Human Rights Commision 2015, </w:t>
      </w:r>
      <w:r>
        <w:rPr>
          <w:rFonts w:asciiTheme="minorHAnsi" w:hAnsiTheme="minorHAnsi"/>
          <w:i/>
          <w:szCs w:val="18"/>
        </w:rPr>
        <w:t xml:space="preserve">Children’s Rights Report 2015: </w:t>
      </w:r>
      <w:r w:rsidRPr="00AF6DD0">
        <w:rPr>
          <w:rFonts w:asciiTheme="minorHAnsi" w:hAnsiTheme="minorHAnsi"/>
          <w:i/>
          <w:szCs w:val="18"/>
          <w:lang w:val="en-US"/>
        </w:rPr>
        <w:t>National Children’s Commissioner Annual Report</w:t>
      </w:r>
      <w:r>
        <w:rPr>
          <w:rFonts w:asciiTheme="minorHAnsi" w:hAnsiTheme="minorHAnsi"/>
          <w:i/>
          <w:szCs w:val="18"/>
          <w:lang w:val="en-US"/>
        </w:rPr>
        <w:t>.</w:t>
      </w:r>
    </w:p>
  </w:footnote>
  <w:footnote w:id="51">
    <w:p w14:paraId="7B91BB27"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Australian Institute of Criminology</w:t>
      </w:r>
      <w:r>
        <w:rPr>
          <w:rFonts w:asciiTheme="minorHAnsi" w:hAnsiTheme="minorHAnsi"/>
          <w:szCs w:val="18"/>
        </w:rPr>
        <w:t>,</w:t>
      </w:r>
      <w:r w:rsidRPr="00D46A3A">
        <w:rPr>
          <w:rFonts w:asciiTheme="minorHAnsi" w:hAnsiTheme="minorHAnsi"/>
          <w:szCs w:val="18"/>
        </w:rPr>
        <w:t xml:space="preserve"> Kelly Richards 2011, </w:t>
      </w:r>
      <w:r w:rsidRPr="00D46A3A">
        <w:rPr>
          <w:rFonts w:asciiTheme="minorHAnsi" w:hAnsiTheme="minorHAnsi"/>
          <w:i/>
          <w:szCs w:val="18"/>
        </w:rPr>
        <w:t>Children’s Exposure to Domestic Violence in Australia</w:t>
      </w:r>
      <w:r>
        <w:rPr>
          <w:rFonts w:asciiTheme="minorHAnsi" w:hAnsiTheme="minorHAnsi"/>
          <w:szCs w:val="18"/>
        </w:rPr>
        <w:t>.</w:t>
      </w:r>
    </w:p>
  </w:footnote>
  <w:footnote w:id="52">
    <w:p w14:paraId="20C5B1A5"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D46A3A">
        <w:rPr>
          <w:rFonts w:asciiTheme="minorHAnsi" w:hAnsiTheme="minorHAnsi"/>
          <w:szCs w:val="18"/>
          <w:lang w:val="en-US"/>
        </w:rPr>
        <w:t xml:space="preserve">Bagshaw et al. 2010, in the Australian Domestic and Family Violence Clearing House 2011, </w:t>
      </w:r>
      <w:r>
        <w:rPr>
          <w:rFonts w:asciiTheme="minorHAnsi" w:hAnsiTheme="minorHAnsi"/>
          <w:i/>
          <w:szCs w:val="18"/>
          <w:lang w:val="en-US"/>
        </w:rPr>
        <w:t>Th</w:t>
      </w:r>
      <w:r w:rsidRPr="005D2D1C">
        <w:rPr>
          <w:rFonts w:asciiTheme="minorHAnsi" w:hAnsiTheme="minorHAnsi"/>
          <w:i/>
          <w:szCs w:val="18"/>
          <w:lang w:val="en-US"/>
        </w:rPr>
        <w:t>e Impact of Domestic Violence on Children: A Literature Review</w:t>
      </w:r>
      <w:r w:rsidRPr="00D46A3A">
        <w:rPr>
          <w:rFonts w:asciiTheme="minorHAnsi" w:hAnsiTheme="minorHAnsi"/>
          <w:szCs w:val="18"/>
          <w:lang w:val="en-US"/>
        </w:rPr>
        <w:t>, The University of New South Wales</w:t>
      </w:r>
    </w:p>
  </w:footnote>
  <w:footnote w:id="53">
    <w:p w14:paraId="5B3CBEC3"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Australian Institute of Criminology</w:t>
      </w:r>
      <w:r>
        <w:rPr>
          <w:rFonts w:asciiTheme="minorHAnsi" w:hAnsiTheme="minorHAnsi"/>
          <w:szCs w:val="18"/>
        </w:rPr>
        <w:t>,</w:t>
      </w:r>
      <w:r w:rsidRPr="00D46A3A">
        <w:rPr>
          <w:rFonts w:asciiTheme="minorHAnsi" w:hAnsiTheme="minorHAnsi"/>
          <w:szCs w:val="18"/>
        </w:rPr>
        <w:t xml:space="preserve"> Kelly Richards 2011, </w:t>
      </w:r>
      <w:r w:rsidRPr="00D46A3A">
        <w:rPr>
          <w:rFonts w:asciiTheme="minorHAnsi" w:hAnsiTheme="minorHAnsi"/>
          <w:i/>
          <w:szCs w:val="18"/>
        </w:rPr>
        <w:t>Children’s Exposure to Domestic Violence in Australia</w:t>
      </w:r>
      <w:r>
        <w:rPr>
          <w:rFonts w:asciiTheme="minorHAnsi" w:hAnsiTheme="minorHAnsi"/>
          <w:szCs w:val="18"/>
        </w:rPr>
        <w:t>.</w:t>
      </w:r>
    </w:p>
  </w:footnote>
  <w:footnote w:id="54">
    <w:p w14:paraId="446F250B"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Pr>
          <w:rFonts w:asciiTheme="minorHAnsi" w:hAnsiTheme="minorHAnsi"/>
          <w:szCs w:val="18"/>
        </w:rPr>
        <w:t>Ibid.</w:t>
      </w:r>
    </w:p>
  </w:footnote>
  <w:footnote w:id="55">
    <w:p w14:paraId="76ECE78A" w14:textId="77777777" w:rsidR="00621BE2" w:rsidRPr="00D46A3A" w:rsidRDefault="00621BE2" w:rsidP="00ED6C12">
      <w:pPr>
        <w:pStyle w:val="FootnoteText"/>
        <w:rPr>
          <w:rFonts w:asciiTheme="minorHAnsi" w:hAnsiTheme="minorHAnsi"/>
          <w: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w:t>
      </w:r>
      <w:r w:rsidRPr="005D2D1C">
        <w:rPr>
          <w:rFonts w:asciiTheme="minorHAnsi" w:hAnsiTheme="minorHAnsi"/>
          <w:szCs w:val="18"/>
        </w:rPr>
        <w:t>Ibid.</w:t>
      </w:r>
    </w:p>
  </w:footnote>
  <w:footnote w:id="56">
    <w:p w14:paraId="797BA373" w14:textId="77777777" w:rsidR="00621BE2" w:rsidRPr="00D46A3A" w:rsidRDefault="00621BE2" w:rsidP="00ED6C12">
      <w:pPr>
        <w:pStyle w:val="FootnoteText"/>
        <w:rPr>
          <w:rFonts w:asciiTheme="minorHAnsi" w:hAnsiTheme="minorHAnsi"/>
          <w:szCs w:val="18"/>
          <w:lang w:val="en-US"/>
        </w:rPr>
      </w:pPr>
      <w:r w:rsidRPr="00D46A3A">
        <w:rPr>
          <w:rStyle w:val="FootnoteReference"/>
          <w:rFonts w:asciiTheme="minorHAnsi" w:hAnsiTheme="minorHAnsi"/>
          <w:szCs w:val="18"/>
        </w:rPr>
        <w:footnoteRef/>
      </w:r>
      <w:r w:rsidRPr="00D46A3A">
        <w:rPr>
          <w:rFonts w:asciiTheme="minorHAnsi" w:hAnsiTheme="minorHAnsi"/>
          <w:szCs w:val="18"/>
        </w:rPr>
        <w:t xml:space="preserve"> Victorian Government Department of Justice</w:t>
      </w:r>
      <w:r>
        <w:rPr>
          <w:rFonts w:asciiTheme="minorHAnsi" w:hAnsiTheme="minorHAnsi"/>
          <w:szCs w:val="18"/>
        </w:rPr>
        <w:t xml:space="preserve">, </w:t>
      </w:r>
      <w:r w:rsidRPr="00D46A3A">
        <w:rPr>
          <w:rFonts w:asciiTheme="minorHAnsi" w:hAnsiTheme="minorHAnsi"/>
          <w:szCs w:val="18"/>
        </w:rPr>
        <w:t xml:space="preserve">Victims Support Agency 2012 – </w:t>
      </w:r>
      <w:r w:rsidRPr="00D46A3A">
        <w:rPr>
          <w:rFonts w:asciiTheme="minorHAnsi" w:hAnsiTheme="minorHAnsi"/>
          <w:i/>
          <w:szCs w:val="18"/>
        </w:rPr>
        <w:t>The Victorian Family Violence Database Volume 5: Eleven-year Trend Report</w:t>
      </w:r>
      <w:r>
        <w:rPr>
          <w:rFonts w:asciiTheme="minorHAnsi" w:hAnsiTheme="minorHAnsi"/>
          <w:szCs w:val="18"/>
        </w:rPr>
        <w:t xml:space="preserve">. </w:t>
      </w:r>
    </w:p>
  </w:footnote>
  <w:footnote w:id="57">
    <w:p w14:paraId="173A589C" w14:textId="77777777" w:rsidR="00621BE2" w:rsidRPr="00AF6DD0" w:rsidRDefault="00621BE2" w:rsidP="00ED6C1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w:t>
      </w:r>
      <w:r>
        <w:rPr>
          <w:rFonts w:asciiTheme="minorHAnsi" w:hAnsiTheme="minorHAnsi"/>
          <w:szCs w:val="18"/>
        </w:rPr>
        <w:t xml:space="preserve">ustralian Institute of Health and Welfare (AIHW) 2015, </w:t>
      </w:r>
      <w:r w:rsidRPr="00ED6C12">
        <w:rPr>
          <w:rFonts w:asciiTheme="minorHAnsi" w:hAnsiTheme="minorHAnsi"/>
          <w:i/>
          <w:szCs w:val="18"/>
        </w:rPr>
        <w:t>Specialist Homelessness Services collection data cubes 2014-15</w:t>
      </w:r>
      <w:r>
        <w:rPr>
          <w:rFonts w:asciiTheme="minorHAnsi" w:hAnsiTheme="minorHAnsi"/>
          <w:szCs w:val="18"/>
        </w:rPr>
        <w:t>.</w:t>
      </w:r>
    </w:p>
  </w:footnote>
  <w:footnote w:id="58">
    <w:p w14:paraId="34660674" w14:textId="77777777" w:rsidR="00621BE2" w:rsidRPr="00AF6DD0" w:rsidRDefault="00621BE2" w:rsidP="00ED6C1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D46A3A">
        <w:rPr>
          <w:rFonts w:asciiTheme="minorHAnsi" w:hAnsiTheme="minorHAnsi" w:cs="Segoe UI"/>
          <w:szCs w:val="18"/>
        </w:rPr>
        <w:t>Australian Bureau of Statistics (ABS) 2012, </w:t>
      </w:r>
      <w:r w:rsidRPr="00D46A3A">
        <w:rPr>
          <w:rFonts w:asciiTheme="minorHAnsi" w:hAnsiTheme="minorHAnsi"/>
          <w:i/>
          <w:iCs/>
          <w:szCs w:val="18"/>
        </w:rPr>
        <w:t>Personal Safety Survey 2012</w:t>
      </w:r>
      <w:r>
        <w:rPr>
          <w:rFonts w:asciiTheme="minorHAnsi" w:hAnsiTheme="minorHAnsi"/>
          <w:iCs/>
          <w:szCs w:val="18"/>
        </w:rPr>
        <w:t>.</w:t>
      </w:r>
    </w:p>
  </w:footnote>
  <w:footnote w:id="59">
    <w:p w14:paraId="4912694E" w14:textId="77777777" w:rsidR="00621BE2" w:rsidRPr="00AF6DD0" w:rsidRDefault="00621BE2" w:rsidP="00ED6C1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w:t>
      </w:r>
      <w:r>
        <w:rPr>
          <w:rFonts w:asciiTheme="minorHAnsi" w:hAnsiTheme="minorHAnsi"/>
          <w:szCs w:val="18"/>
        </w:rPr>
        <w:t xml:space="preserve">ustralian Institute of Health and Welfare (AIHW) 2015, </w:t>
      </w:r>
      <w:r w:rsidRPr="00ED6C12">
        <w:rPr>
          <w:rFonts w:asciiTheme="minorHAnsi" w:hAnsiTheme="minorHAnsi"/>
          <w:i/>
          <w:szCs w:val="18"/>
        </w:rPr>
        <w:t>Specialist Homelessness Services collection data cubes 2014-15</w:t>
      </w:r>
      <w:r>
        <w:rPr>
          <w:rFonts w:asciiTheme="minorHAnsi" w:hAnsiTheme="minorHAnsi"/>
          <w:szCs w:val="18"/>
        </w:rPr>
        <w:t>.</w:t>
      </w:r>
    </w:p>
  </w:footnote>
  <w:footnote w:id="60">
    <w:p w14:paraId="625EB505" w14:textId="77777777" w:rsidR="00621BE2" w:rsidRPr="00ED6C12" w:rsidRDefault="00621BE2" w:rsidP="00ED6C1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rPr>
        <w:t xml:space="preserve">Ibid. </w:t>
      </w:r>
    </w:p>
  </w:footnote>
  <w:footnote w:id="61">
    <w:p w14:paraId="665358EE" w14:textId="77777777" w:rsidR="00621BE2" w:rsidRPr="00AF6DD0" w:rsidRDefault="00621BE2" w:rsidP="004A0298">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Australian Bureau of Statistics (ABS) 2012, </w:t>
      </w:r>
      <w:r w:rsidRPr="00AF6DD0">
        <w:rPr>
          <w:rFonts w:asciiTheme="minorHAnsi" w:hAnsiTheme="minorHAnsi"/>
          <w:i/>
          <w:szCs w:val="18"/>
          <w:lang w:val="en-US"/>
        </w:rPr>
        <w:t>Personal Safety Survey</w:t>
      </w:r>
      <w:r w:rsidRPr="00AF6DD0">
        <w:rPr>
          <w:rFonts w:asciiTheme="minorHAnsi" w:hAnsiTheme="minorHAnsi"/>
          <w:szCs w:val="18"/>
          <w:lang w:val="en-US"/>
        </w:rPr>
        <w:t>.</w:t>
      </w:r>
    </w:p>
  </w:footnote>
  <w:footnote w:id="62">
    <w:p w14:paraId="268793AE" w14:textId="77777777" w:rsidR="00621BE2" w:rsidRPr="00AF6DD0" w:rsidRDefault="00621BE2" w:rsidP="004A0298">
      <w:pPr>
        <w:pStyle w:val="BodyText0"/>
        <w:spacing w:after="0" w:line="240" w:lineRule="auto"/>
        <w:rPr>
          <w:rFonts w:asciiTheme="minorHAnsi" w:hAnsiTheme="minorHAnsi"/>
          <w:sz w:val="18"/>
          <w:szCs w:val="18"/>
        </w:rPr>
      </w:pPr>
      <w:r w:rsidRPr="00AF6DD0">
        <w:rPr>
          <w:rStyle w:val="FootnoteReference"/>
          <w:rFonts w:asciiTheme="minorHAnsi" w:hAnsiTheme="minorHAnsi"/>
          <w:sz w:val="18"/>
          <w:szCs w:val="18"/>
        </w:rPr>
        <w:footnoteRef/>
      </w:r>
      <w:r w:rsidRPr="00AF6DD0">
        <w:rPr>
          <w:rFonts w:asciiTheme="minorHAnsi" w:hAnsiTheme="minorHAnsi"/>
          <w:sz w:val="18"/>
          <w:szCs w:val="18"/>
        </w:rPr>
        <w:t xml:space="preserve"> Australian Bureau of Statistics (ABS) 2012, </w:t>
      </w:r>
      <w:r w:rsidRPr="00AF6DD0">
        <w:rPr>
          <w:rFonts w:asciiTheme="minorHAnsi" w:hAnsiTheme="minorHAnsi"/>
          <w:i/>
          <w:sz w:val="18"/>
          <w:szCs w:val="18"/>
        </w:rPr>
        <w:t>Personal Safety Survey</w:t>
      </w:r>
      <w:r w:rsidRPr="00AF6DD0">
        <w:rPr>
          <w:rFonts w:asciiTheme="minorHAnsi" w:hAnsiTheme="minorHAnsi"/>
          <w:sz w:val="18"/>
          <w:szCs w:val="18"/>
        </w:rPr>
        <w:t>.</w:t>
      </w:r>
    </w:p>
    <w:p w14:paraId="413E0C38" w14:textId="6D44D9D6" w:rsidR="00621BE2" w:rsidRPr="00E72EAD" w:rsidRDefault="00621BE2" w:rsidP="00E72EAD">
      <w:pPr>
        <w:pStyle w:val="FootnoteText"/>
        <w:tabs>
          <w:tab w:val="left" w:pos="1618"/>
        </w:tabs>
        <w:rPr>
          <w:rFonts w:asciiTheme="minorHAnsi" w:hAnsiTheme="minorHAnsi"/>
          <w:szCs w:val="18"/>
          <w:lang w:val="en-GB"/>
        </w:rPr>
      </w:pPr>
      <w:r>
        <w:rPr>
          <w:rFonts w:asciiTheme="minorHAnsi" w:hAnsiTheme="minorHAnsi"/>
          <w:szCs w:val="18"/>
          <w:lang w:val="en-GB"/>
        </w:rPr>
        <w:tab/>
      </w:r>
    </w:p>
  </w:footnote>
  <w:footnote w:id="63">
    <w:p w14:paraId="0467905F" w14:textId="64F8BD49" w:rsidR="00621BE2" w:rsidRPr="004A0298" w:rsidRDefault="00621BE2" w:rsidP="00403232">
      <w:pPr>
        <w:pStyle w:val="FootnoteText"/>
        <w:rPr>
          <w:rFonts w:ascii="Univers 45 Light" w:hAnsi="Univers 45 Light"/>
          <w:szCs w:val="18"/>
          <w:lang w:val="en-US"/>
        </w:rPr>
      </w:pPr>
      <w:r w:rsidRPr="004A0298">
        <w:rPr>
          <w:rStyle w:val="FootnoteReference"/>
          <w:rFonts w:ascii="Univers 45 Light" w:hAnsi="Univers 45 Light"/>
          <w:szCs w:val="18"/>
        </w:rPr>
        <w:footnoteRef/>
      </w:r>
      <w:r w:rsidRPr="004A0298">
        <w:rPr>
          <w:rFonts w:ascii="Univers 45 Light" w:hAnsi="Univers 45 Light"/>
          <w:szCs w:val="18"/>
        </w:rPr>
        <w:t xml:space="preserve"> </w:t>
      </w:r>
      <w:r w:rsidRPr="004A0298">
        <w:rPr>
          <w:rFonts w:ascii="Univers 45 Light" w:hAnsi="Univers 45 Light"/>
          <w:szCs w:val="18"/>
          <w:lang w:val="en-US"/>
        </w:rPr>
        <w:t xml:space="preserve">Janet Phillips 2006, </w:t>
      </w:r>
      <w:r w:rsidRPr="004A0298">
        <w:rPr>
          <w:rStyle w:val="Strong"/>
          <w:rFonts w:ascii="Univers 45 Light" w:hAnsi="Univers 45 Light"/>
          <w:b w:val="0"/>
          <w:i/>
          <w:szCs w:val="18"/>
        </w:rPr>
        <w:t>Measuring domestic violence and sexual assault against women: a review of the literature and statistics, Australian Parliamentary Library</w:t>
      </w:r>
      <w:r>
        <w:rPr>
          <w:rStyle w:val="Strong"/>
          <w:rFonts w:ascii="Univers 45 Light" w:hAnsi="Univers 45 Light"/>
          <w:b w:val="0"/>
          <w:szCs w:val="18"/>
        </w:rPr>
        <w:t xml:space="preserve">, </w:t>
      </w:r>
      <w:hyperlink r:id="rId1" w:history="1">
        <w:r w:rsidRPr="00F019D7">
          <w:rPr>
            <w:rStyle w:val="Hyperlink"/>
            <w:rFonts w:ascii="Univers 45 Light" w:hAnsi="Univers 45 Light"/>
            <w:szCs w:val="18"/>
          </w:rPr>
          <w:t>report</w:t>
        </w:r>
      </w:hyperlink>
      <w:r w:rsidRPr="004A0298">
        <w:rPr>
          <w:rFonts w:ascii="Univers 45 Light" w:hAnsi="Univers 45 Light"/>
          <w:szCs w:val="18"/>
          <w:lang w:val="en-US"/>
        </w:rPr>
        <w:t>, Accessed 18 March 2016.</w:t>
      </w:r>
    </w:p>
  </w:footnote>
  <w:footnote w:id="64">
    <w:p w14:paraId="141A3FB1" w14:textId="77777777" w:rsidR="00621BE2" w:rsidRPr="004A0298" w:rsidRDefault="00621BE2" w:rsidP="00403232">
      <w:pPr>
        <w:pStyle w:val="FootnoteText"/>
        <w:rPr>
          <w:rFonts w:ascii="Univers 45 Light" w:hAnsi="Univers 45 Light"/>
          <w:szCs w:val="18"/>
          <w:lang w:val="en-US"/>
        </w:rPr>
      </w:pPr>
      <w:r w:rsidRPr="004A0298">
        <w:rPr>
          <w:rStyle w:val="FootnoteReference"/>
          <w:rFonts w:ascii="Univers 45 Light" w:hAnsi="Univers 45 Light"/>
          <w:szCs w:val="18"/>
        </w:rPr>
        <w:footnoteRef/>
      </w:r>
      <w:r w:rsidRPr="004A0298">
        <w:rPr>
          <w:rFonts w:ascii="Univers 45 Light" w:hAnsi="Univers 45 Light"/>
          <w:szCs w:val="18"/>
        </w:rPr>
        <w:t xml:space="preserve"> ABS 2012, </w:t>
      </w:r>
      <w:r w:rsidRPr="004A0298">
        <w:rPr>
          <w:rFonts w:ascii="Univers 45 Light" w:hAnsi="Univers 45 Light"/>
          <w:i/>
          <w:szCs w:val="18"/>
          <w:lang w:val="en-US"/>
        </w:rPr>
        <w:t>Personal Safety Survey 2012</w:t>
      </w:r>
      <w:r>
        <w:rPr>
          <w:rFonts w:ascii="Univers 45 Light" w:hAnsi="Univers 45 Light"/>
          <w:szCs w:val="18"/>
          <w:lang w:val="en-US"/>
        </w:rPr>
        <w:t>.</w:t>
      </w:r>
    </w:p>
  </w:footnote>
  <w:footnote w:id="65">
    <w:p w14:paraId="4E0A1F19" w14:textId="77777777" w:rsidR="00621BE2" w:rsidRPr="004A0298" w:rsidRDefault="00621BE2" w:rsidP="00403232">
      <w:pPr>
        <w:pStyle w:val="FootnoteText"/>
        <w:rPr>
          <w:rFonts w:ascii="Univers 45 Light" w:hAnsi="Univers 45 Light"/>
          <w:szCs w:val="18"/>
          <w:lang w:val="en-US"/>
        </w:rPr>
      </w:pPr>
      <w:r w:rsidRPr="004A0298">
        <w:rPr>
          <w:rStyle w:val="FootnoteReference"/>
          <w:rFonts w:ascii="Univers 45 Light" w:hAnsi="Univers 45 Light"/>
          <w:szCs w:val="18"/>
        </w:rPr>
        <w:footnoteRef/>
      </w:r>
      <w:r w:rsidRPr="004A0298">
        <w:rPr>
          <w:rFonts w:ascii="Univers 45 Light" w:hAnsi="Univers 45 Light"/>
          <w:szCs w:val="18"/>
        </w:rPr>
        <w:t xml:space="preserve"> </w:t>
      </w:r>
      <w:r w:rsidRPr="004A0298">
        <w:rPr>
          <w:rFonts w:ascii="Univers 45 Light" w:hAnsi="Univers 45 Light"/>
          <w:szCs w:val="18"/>
          <w:lang w:val="en-US"/>
        </w:rPr>
        <w:t xml:space="preserve">Elder Abuse Prevention Unit 2014, </w:t>
      </w:r>
      <w:r w:rsidRPr="004A0298">
        <w:rPr>
          <w:rFonts w:ascii="Univers 45 Light" w:hAnsi="Univers 45 Light"/>
          <w:i/>
          <w:szCs w:val="18"/>
          <w:lang w:val="en-US"/>
        </w:rPr>
        <w:t>What is Elder Abuse?</w:t>
      </w:r>
      <w:r w:rsidRPr="004A0298">
        <w:rPr>
          <w:rFonts w:ascii="Univers 45 Light" w:hAnsi="Univers 45 Light"/>
          <w:szCs w:val="18"/>
          <w:lang w:val="en-US"/>
        </w:rPr>
        <w:t>, URL: www.eapu.com.au/elder-abuse, Accessed: 17 March 2016</w:t>
      </w:r>
    </w:p>
  </w:footnote>
  <w:footnote w:id="66">
    <w:p w14:paraId="7557EBF4" w14:textId="77777777" w:rsidR="00621BE2" w:rsidRPr="004A0298" w:rsidRDefault="00621BE2" w:rsidP="00403232">
      <w:pPr>
        <w:pStyle w:val="FootnoteText"/>
        <w:rPr>
          <w:rFonts w:ascii="Univers 45 Light" w:hAnsi="Univers 45 Light"/>
          <w:szCs w:val="18"/>
          <w:lang w:val="en-US"/>
        </w:rPr>
      </w:pPr>
      <w:r w:rsidRPr="004A0298">
        <w:rPr>
          <w:rStyle w:val="FootnoteReference"/>
          <w:rFonts w:ascii="Univers 45 Light" w:hAnsi="Univers 45 Light"/>
          <w:szCs w:val="18"/>
        </w:rPr>
        <w:footnoteRef/>
      </w:r>
      <w:r w:rsidRPr="004A0298">
        <w:rPr>
          <w:rFonts w:ascii="Univers 45 Light" w:hAnsi="Univers 45 Light"/>
          <w:szCs w:val="18"/>
        </w:rPr>
        <w:t xml:space="preserve"> Boldy et al. 2002, </w:t>
      </w:r>
      <w:r w:rsidRPr="004A0298">
        <w:rPr>
          <w:rFonts w:ascii="Univers 45 Light" w:hAnsi="Univers 45 Light"/>
          <w:i/>
          <w:szCs w:val="18"/>
        </w:rPr>
        <w:t>Elder Abuse in Western Australia</w:t>
      </w:r>
      <w:r w:rsidRPr="004A0298">
        <w:rPr>
          <w:rFonts w:ascii="Univers 45 Light" w:hAnsi="Univers 45 Light"/>
          <w:szCs w:val="18"/>
        </w:rPr>
        <w:t xml:space="preserve">, in </w:t>
      </w:r>
      <w:r w:rsidRPr="004A0298">
        <w:rPr>
          <w:rFonts w:ascii="Univers 45 Light" w:hAnsi="Univers 45 Light"/>
          <w:szCs w:val="18"/>
          <w:lang w:val="en-US"/>
        </w:rPr>
        <w:t xml:space="preserve">A. Morgan and H. Chadwick 2009, </w:t>
      </w:r>
      <w:r w:rsidRPr="004A0298">
        <w:rPr>
          <w:rFonts w:ascii="Univers 45 Light" w:hAnsi="Univers 45 Light"/>
          <w:i/>
          <w:szCs w:val="18"/>
          <w:lang w:val="en-US"/>
        </w:rPr>
        <w:t>Key issues in domestic violence</w:t>
      </w:r>
      <w:r w:rsidRPr="004A0298">
        <w:rPr>
          <w:rFonts w:ascii="Univers 45 Light" w:hAnsi="Univers 45 Light"/>
          <w:szCs w:val="18"/>
          <w:lang w:val="en-US"/>
        </w:rPr>
        <w:t>, Research in Practice no. 7, Australian Institute of Criminology</w:t>
      </w:r>
      <w:r>
        <w:rPr>
          <w:rFonts w:ascii="Univers 45 Light" w:hAnsi="Univers 45 Light"/>
          <w:szCs w:val="18"/>
          <w:lang w:val="en-US"/>
        </w:rPr>
        <w:t>.</w:t>
      </w:r>
    </w:p>
  </w:footnote>
  <w:footnote w:id="67">
    <w:p w14:paraId="4903E2BB" w14:textId="77777777" w:rsidR="00621BE2" w:rsidRPr="004A0298" w:rsidRDefault="00621BE2" w:rsidP="00403232">
      <w:pPr>
        <w:pStyle w:val="FootnoteText"/>
        <w:rPr>
          <w:rFonts w:ascii="Univers 45 Light" w:hAnsi="Univers 45 Light"/>
          <w:szCs w:val="18"/>
          <w:lang w:val="en-US"/>
        </w:rPr>
      </w:pPr>
      <w:r w:rsidRPr="004A0298">
        <w:rPr>
          <w:rStyle w:val="FootnoteReference"/>
          <w:rFonts w:ascii="Univers 45 Light" w:hAnsi="Univers 45 Light"/>
          <w:szCs w:val="18"/>
        </w:rPr>
        <w:footnoteRef/>
      </w:r>
      <w:r w:rsidRPr="004A0298">
        <w:rPr>
          <w:rFonts w:ascii="Univers 45 Light" w:hAnsi="Univers 45 Light"/>
          <w:szCs w:val="18"/>
        </w:rPr>
        <w:t xml:space="preserve"> Women’s Services Network (</w:t>
      </w:r>
      <w:r w:rsidRPr="004A0298">
        <w:rPr>
          <w:rFonts w:ascii="Univers 45 Light" w:hAnsi="Univers 45 Light"/>
          <w:szCs w:val="18"/>
          <w:lang w:val="en-US"/>
        </w:rPr>
        <w:t>WESNET) 2000</w:t>
      </w:r>
      <w:r w:rsidRPr="004A0298">
        <w:rPr>
          <w:rFonts w:ascii="Univers 45 Light" w:hAnsi="Univers 45 Light"/>
          <w:i/>
          <w:szCs w:val="18"/>
          <w:lang w:val="en-US"/>
        </w:rPr>
        <w:t>, Domestic Violence in Regional Australia: A Literature Review</w:t>
      </w:r>
      <w:r>
        <w:rPr>
          <w:rFonts w:ascii="Univers 45 Light" w:hAnsi="Univers 45 Light"/>
          <w:i/>
          <w:szCs w:val="18"/>
          <w:lang w:val="en-US"/>
        </w:rPr>
        <w:t>.</w:t>
      </w:r>
    </w:p>
  </w:footnote>
  <w:footnote w:id="68">
    <w:p w14:paraId="351DF9C6"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Dr Lorana Bartels 2010, Criminology Research Council Research Fellow, </w:t>
      </w:r>
      <w:r w:rsidRPr="00AF6DD0">
        <w:rPr>
          <w:rFonts w:asciiTheme="minorHAnsi" w:hAnsiTheme="minorHAnsi"/>
          <w:i/>
          <w:szCs w:val="18"/>
        </w:rPr>
        <w:t>Emerging issues in domestic/family violence research</w:t>
      </w:r>
      <w:r w:rsidRPr="00AF6DD0">
        <w:rPr>
          <w:rFonts w:asciiTheme="minorHAnsi" w:hAnsiTheme="minorHAnsi"/>
          <w:szCs w:val="18"/>
        </w:rPr>
        <w:t>, Research in Practice no. 10, Australian Institute of Criminology.</w:t>
      </w:r>
    </w:p>
  </w:footnote>
  <w:footnote w:id="69">
    <w:p w14:paraId="5A03F29A"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P. Kinnear and Adam Graycar</w:t>
      </w:r>
      <w:r w:rsidRPr="00AF6DD0">
        <w:rPr>
          <w:rFonts w:asciiTheme="minorHAnsi" w:hAnsiTheme="minorHAnsi"/>
          <w:szCs w:val="18"/>
          <w:lang w:val="en-US"/>
        </w:rPr>
        <w:t xml:space="preserve"> 1999, </w:t>
      </w:r>
      <w:r w:rsidRPr="00AF6DD0">
        <w:rPr>
          <w:rFonts w:asciiTheme="minorHAnsi" w:hAnsiTheme="minorHAnsi"/>
          <w:i/>
          <w:szCs w:val="18"/>
          <w:lang w:val="en-US"/>
        </w:rPr>
        <w:t>Abuse of Older People: Crime or Family Dynamics?,</w:t>
      </w:r>
      <w:r w:rsidRPr="00AF6DD0">
        <w:rPr>
          <w:rFonts w:asciiTheme="minorHAnsi" w:hAnsiTheme="minorHAnsi"/>
          <w:szCs w:val="18"/>
          <w:lang w:val="en-US"/>
        </w:rPr>
        <w:t xml:space="preserve"> Australian Institute of Criminology, trends and issues in crime and criminal justice </w:t>
      </w:r>
    </w:p>
  </w:footnote>
  <w:footnote w:id="70">
    <w:p w14:paraId="647ED755"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Dr Lorana Bartels 2010, Criminology Research Council Research Fellow, </w:t>
      </w:r>
      <w:r w:rsidRPr="00AF6DD0">
        <w:rPr>
          <w:rFonts w:asciiTheme="minorHAnsi" w:hAnsiTheme="minorHAnsi"/>
          <w:i/>
          <w:szCs w:val="18"/>
        </w:rPr>
        <w:t>Emerging issues in domestic/family violence research</w:t>
      </w:r>
      <w:r w:rsidRPr="00AF6DD0">
        <w:rPr>
          <w:rFonts w:asciiTheme="minorHAnsi" w:hAnsiTheme="minorHAnsi"/>
          <w:szCs w:val="18"/>
        </w:rPr>
        <w:t>, Research in Practice no. 10, Australian Institute of Criminology.</w:t>
      </w:r>
    </w:p>
  </w:footnote>
  <w:footnote w:id="71">
    <w:p w14:paraId="7117CC77" w14:textId="77777777" w:rsidR="00621BE2" w:rsidRPr="00AF6DD0" w:rsidRDefault="00621BE2" w:rsidP="00403232">
      <w:pPr>
        <w:pStyle w:val="FootnoteText"/>
        <w:rPr>
          <w:rFonts w:asciiTheme="minorHAnsi" w:hAnsiTheme="minorHAnsi"/>
          <w: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5D2D1C">
        <w:rPr>
          <w:rFonts w:asciiTheme="minorHAnsi" w:hAnsiTheme="minorHAnsi"/>
          <w:szCs w:val="18"/>
        </w:rPr>
        <w:t>Ibid</w:t>
      </w:r>
      <w:r w:rsidRPr="00AF6DD0">
        <w:rPr>
          <w:rFonts w:asciiTheme="minorHAnsi" w:hAnsiTheme="minorHAnsi"/>
          <w:i/>
          <w:szCs w:val="18"/>
        </w:rPr>
        <w:t>.</w:t>
      </w:r>
    </w:p>
  </w:footnote>
  <w:footnote w:id="72">
    <w:p w14:paraId="390BE359" w14:textId="77777777" w:rsidR="00621BE2" w:rsidRPr="00AF6DD0" w:rsidRDefault="00621BE2" w:rsidP="00403232">
      <w:pPr>
        <w:pStyle w:val="FootnoteText"/>
        <w:rPr>
          <w:rFonts w:asciiTheme="minorHAnsi" w:hAnsiTheme="minorHAnsi"/>
          <w: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Pamela Kinnear and Adam Graycar</w:t>
      </w:r>
      <w:r w:rsidRPr="00AF6DD0">
        <w:rPr>
          <w:rFonts w:asciiTheme="minorHAnsi" w:hAnsiTheme="minorHAnsi"/>
          <w:szCs w:val="18"/>
          <w:lang w:val="en-US"/>
        </w:rPr>
        <w:t xml:space="preserve"> 1999, </w:t>
      </w:r>
      <w:r w:rsidRPr="00AF6DD0">
        <w:rPr>
          <w:rFonts w:asciiTheme="minorHAnsi" w:hAnsiTheme="minorHAnsi"/>
          <w:i/>
          <w:szCs w:val="18"/>
          <w:lang w:val="en-US"/>
        </w:rPr>
        <w:t>Abuse of Older People: Crime or Family Dynamics?,</w:t>
      </w:r>
      <w:r w:rsidRPr="00AF6DD0">
        <w:rPr>
          <w:rFonts w:asciiTheme="minorHAnsi" w:hAnsiTheme="minorHAnsi"/>
          <w:szCs w:val="18"/>
          <w:lang w:val="en-US"/>
        </w:rPr>
        <w:t xml:space="preserve"> Australian Institute of Criminology, trends and issues in crime and criminal justice</w:t>
      </w:r>
    </w:p>
  </w:footnote>
  <w:footnote w:id="73">
    <w:p w14:paraId="181D9963"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Amanda George and Bridget Harris 2014, Landscapes of Violence: Women Surviving Family Violence in Regional and Rural Victoria, Centre for Rural and Regional Law and Justice, Deakin University. </w:t>
      </w:r>
    </w:p>
  </w:footnote>
  <w:footnote w:id="74">
    <w:p w14:paraId="42922C74"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Women’s Services Network (</w:t>
      </w:r>
      <w:r w:rsidRPr="00AF6DD0">
        <w:rPr>
          <w:rFonts w:asciiTheme="minorHAnsi" w:hAnsiTheme="minorHAnsi"/>
          <w:szCs w:val="18"/>
          <w:lang w:val="en-US"/>
        </w:rPr>
        <w:t>WESNET) 2000</w:t>
      </w:r>
      <w:r w:rsidRPr="00AF6DD0">
        <w:rPr>
          <w:rFonts w:asciiTheme="minorHAnsi" w:hAnsiTheme="minorHAnsi"/>
          <w:i/>
          <w:szCs w:val="18"/>
          <w:lang w:val="en-US"/>
        </w:rPr>
        <w:t>, Domestic Violence in Regional Australia: A Literature Review</w:t>
      </w:r>
    </w:p>
  </w:footnote>
  <w:footnote w:id="75">
    <w:p w14:paraId="7CC02E89"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 (ABS) 2005 and 2012, </w:t>
      </w:r>
      <w:r w:rsidRPr="00AF6DD0">
        <w:rPr>
          <w:rFonts w:asciiTheme="minorHAnsi" w:hAnsiTheme="minorHAnsi"/>
          <w:i/>
          <w:szCs w:val="18"/>
        </w:rPr>
        <w:t>Personal Safety Survey</w:t>
      </w:r>
      <w:r w:rsidRPr="00AF6DD0">
        <w:rPr>
          <w:rFonts w:asciiTheme="minorHAnsi" w:hAnsiTheme="minorHAnsi"/>
          <w:szCs w:val="18"/>
        </w:rPr>
        <w:t xml:space="preserve">.  </w:t>
      </w:r>
    </w:p>
  </w:footnote>
  <w:footnote w:id="76">
    <w:p w14:paraId="73C63A26"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Mishara, G. et al. 2014, </w:t>
      </w:r>
      <w:r w:rsidRPr="00AF6DD0">
        <w:rPr>
          <w:rFonts w:asciiTheme="minorHAnsi" w:hAnsiTheme="minorHAnsi"/>
          <w:i/>
          <w:szCs w:val="18"/>
        </w:rPr>
        <w:t>Health and wellbeing of women aged 18-23 in 2013 and 1996: Findings from the Australian Longitudinal Study on Women’s Health</w:t>
      </w:r>
      <w:r w:rsidRPr="00AF6DD0">
        <w:rPr>
          <w:rFonts w:asciiTheme="minorHAnsi" w:hAnsiTheme="minorHAnsi"/>
          <w:szCs w:val="18"/>
        </w:rPr>
        <w:t xml:space="preserve">. </w:t>
      </w:r>
    </w:p>
  </w:footnote>
  <w:footnote w:id="77">
    <w:p w14:paraId="16B1B1BA"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
        </w:rPr>
        <w:t xml:space="preserve">Gretch and Burgess, Trends and patterns in domestic violence assaults: 2001 to 2010, op. cit. in </w:t>
      </w:r>
      <w:r w:rsidRPr="00AF6DD0">
        <w:rPr>
          <w:rFonts w:asciiTheme="minorHAnsi" w:hAnsiTheme="minorHAnsi"/>
          <w:szCs w:val="18"/>
          <w:lang w:val="en-US"/>
        </w:rPr>
        <w:t xml:space="preserve">Department of Parliamentary Services, October 2014, </w:t>
      </w:r>
      <w:r w:rsidRPr="00AF6DD0">
        <w:rPr>
          <w:rFonts w:asciiTheme="minorHAnsi" w:hAnsiTheme="minorHAnsi"/>
          <w:i/>
          <w:szCs w:val="18"/>
          <w:lang w:val="en-US"/>
        </w:rPr>
        <w:t>Domestic, Family and Sexual Violence in Australia: an Overview of the Issues</w:t>
      </w:r>
      <w:r w:rsidRPr="00AF6DD0">
        <w:rPr>
          <w:rFonts w:asciiTheme="minorHAnsi" w:hAnsiTheme="minorHAnsi"/>
          <w:szCs w:val="18"/>
          <w:lang w:val="en-US"/>
        </w:rPr>
        <w:t xml:space="preserve">, URL: </w:t>
      </w:r>
      <w:r w:rsidRPr="00AF6DD0">
        <w:rPr>
          <w:rFonts w:asciiTheme="minorHAnsi" w:hAnsiTheme="minorHAnsi"/>
          <w:szCs w:val="18"/>
        </w:rPr>
        <w:t>parlinfo.aph.gov.au/parlInfo/download/library/prspub/3447585/upload_binary/3447585.pdf;fileType=application/pdf</w:t>
      </w:r>
      <w:r w:rsidRPr="00AF6DD0">
        <w:rPr>
          <w:rFonts w:asciiTheme="minorHAnsi" w:hAnsiTheme="minorHAnsi"/>
          <w:szCs w:val="18"/>
          <w:lang w:val="en-US"/>
        </w:rPr>
        <w:t>, Accessed: 10 March 2016.</w:t>
      </w:r>
    </w:p>
  </w:footnote>
  <w:footnote w:id="78">
    <w:p w14:paraId="39FBF208" w14:textId="77777777" w:rsidR="00621BE2" w:rsidRPr="00AF6DD0" w:rsidRDefault="00621BE2" w:rsidP="00403232">
      <w:pPr>
        <w:pStyle w:val="FootnoteText"/>
        <w:rPr>
          <w:rFonts w:asciiTheme="minorHAnsi" w:hAnsiTheme="minorHAnsi"/>
          <w:szCs w:val="18"/>
          <w:lang w:val="en-US"/>
        </w:rPr>
      </w:pPr>
      <w:r w:rsidRPr="00AF6DD0">
        <w:rPr>
          <w:rFonts w:asciiTheme="minorHAnsi" w:hAnsiTheme="minorHAnsi"/>
          <w:szCs w:val="18"/>
          <w:vertAlign w:val="superscript"/>
        </w:rPr>
        <w:footnoteRef/>
      </w:r>
      <w:r w:rsidRPr="00AF6DD0">
        <w:rPr>
          <w:rFonts w:asciiTheme="minorHAnsi" w:hAnsiTheme="minorHAnsi"/>
          <w:szCs w:val="18"/>
          <w:vertAlign w:val="superscript"/>
        </w:rPr>
        <w:t xml:space="preserve"> </w:t>
      </w:r>
      <w:r w:rsidRPr="00AF6DD0">
        <w:rPr>
          <w:rFonts w:asciiTheme="minorHAnsi" w:hAnsiTheme="minorHAnsi"/>
          <w:szCs w:val="18"/>
        </w:rPr>
        <w:t xml:space="preserve">Dr Lorana Bartels 2010, Criminology Research Council Research Fellow, </w:t>
      </w:r>
      <w:r w:rsidRPr="00AF6DD0">
        <w:rPr>
          <w:rFonts w:asciiTheme="minorHAnsi" w:hAnsiTheme="minorHAnsi"/>
          <w:i/>
          <w:szCs w:val="18"/>
        </w:rPr>
        <w:t>Emerging issues in domestic/family violence research</w:t>
      </w:r>
      <w:r w:rsidRPr="00AF6DD0">
        <w:rPr>
          <w:rFonts w:asciiTheme="minorHAnsi" w:hAnsiTheme="minorHAnsi"/>
          <w:szCs w:val="18"/>
        </w:rPr>
        <w:t>, Research in Practice no. 10, Australian Institute of Criminology.</w:t>
      </w:r>
    </w:p>
  </w:footnote>
  <w:footnote w:id="79">
    <w:p w14:paraId="1180DEFF" w14:textId="77777777" w:rsidR="00621BE2" w:rsidRPr="00AF6DD0" w:rsidRDefault="00621BE2" w:rsidP="00403232">
      <w:pPr>
        <w:pStyle w:val="FootnoteText"/>
        <w:rPr>
          <w:rFonts w:asciiTheme="minorHAnsi" w:hAnsiTheme="minorHAnsi"/>
          <w: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Women’s Services Network (</w:t>
      </w:r>
      <w:r w:rsidRPr="00AF6DD0">
        <w:rPr>
          <w:rFonts w:asciiTheme="minorHAnsi" w:hAnsiTheme="minorHAnsi"/>
          <w:szCs w:val="18"/>
          <w:lang w:val="en-US"/>
        </w:rPr>
        <w:t>WESNET) 2000</w:t>
      </w:r>
      <w:r w:rsidRPr="00AF6DD0">
        <w:rPr>
          <w:rFonts w:asciiTheme="minorHAnsi" w:hAnsiTheme="minorHAnsi"/>
          <w:i/>
          <w:szCs w:val="18"/>
          <w:lang w:val="en-US"/>
        </w:rPr>
        <w:t>, Domestic Violence in Regional Australia: A Literature Review</w:t>
      </w:r>
    </w:p>
  </w:footnote>
  <w:footnote w:id="80">
    <w:p w14:paraId="17F7980F" w14:textId="77777777" w:rsidR="00621BE2" w:rsidRPr="009A620C" w:rsidRDefault="00621BE2" w:rsidP="00403232">
      <w:pPr>
        <w:pStyle w:val="FootnoteText"/>
        <w:rPr>
          <w:rFonts w:asciiTheme="minorHAnsi" w:hAnsiTheme="minorHAnsi"/>
          <w:i/>
          <w:szCs w:val="18"/>
        </w:rPr>
      </w:pPr>
      <w:r w:rsidRPr="009A620C">
        <w:rPr>
          <w:rStyle w:val="FootnoteReference"/>
          <w:rFonts w:asciiTheme="minorHAnsi" w:hAnsiTheme="minorHAnsi"/>
          <w:szCs w:val="18"/>
        </w:rPr>
        <w:footnoteRef/>
      </w:r>
      <w:r w:rsidRPr="009A620C">
        <w:rPr>
          <w:rFonts w:asciiTheme="minorHAnsi" w:hAnsiTheme="minorHAnsi"/>
          <w:szCs w:val="18"/>
        </w:rPr>
        <w:t xml:space="preserve"> Monica Campo and Sarah Tayton 2015, </w:t>
      </w:r>
      <w:r w:rsidRPr="009A620C">
        <w:rPr>
          <w:rFonts w:asciiTheme="minorHAnsi" w:hAnsiTheme="minorHAnsi"/>
          <w:i/>
          <w:szCs w:val="18"/>
        </w:rPr>
        <w:t>Domestic and Family Violence in Regional, Rural and Remote Communities: An Overview of Key Issues</w:t>
      </w:r>
      <w:r w:rsidRPr="009A620C">
        <w:rPr>
          <w:rFonts w:asciiTheme="minorHAnsi" w:hAnsiTheme="minorHAnsi"/>
          <w:szCs w:val="18"/>
        </w:rPr>
        <w:t>, Child Family Community Australia, Australian Institute of Family Studies.</w:t>
      </w:r>
    </w:p>
  </w:footnote>
  <w:footnote w:id="81">
    <w:p w14:paraId="10912C80" w14:textId="77777777" w:rsidR="00621BE2" w:rsidRPr="009A620C" w:rsidRDefault="00621BE2" w:rsidP="00403232">
      <w:pPr>
        <w:pStyle w:val="FootnoteText"/>
        <w:rPr>
          <w:rFonts w:asciiTheme="minorHAnsi" w:hAnsiTheme="minorHAnsi"/>
          <w:i/>
          <w:szCs w:val="18"/>
        </w:rPr>
      </w:pPr>
      <w:r w:rsidRPr="009A620C">
        <w:rPr>
          <w:rStyle w:val="FootnoteReference"/>
          <w:rFonts w:asciiTheme="minorHAnsi" w:hAnsiTheme="minorHAnsi"/>
          <w:szCs w:val="18"/>
        </w:rPr>
        <w:footnoteRef/>
      </w:r>
      <w:r w:rsidRPr="009A620C">
        <w:rPr>
          <w:rFonts w:asciiTheme="minorHAnsi" w:hAnsiTheme="minorHAnsi"/>
          <w:szCs w:val="18"/>
        </w:rPr>
        <w:t xml:space="preserve"> </w:t>
      </w:r>
      <w:r w:rsidRPr="005D2D1C">
        <w:rPr>
          <w:rFonts w:asciiTheme="minorHAnsi" w:hAnsiTheme="minorHAnsi"/>
          <w:szCs w:val="18"/>
        </w:rPr>
        <w:t>Ibid</w:t>
      </w:r>
      <w:r w:rsidRPr="009A620C">
        <w:rPr>
          <w:rFonts w:asciiTheme="minorHAnsi" w:hAnsiTheme="minorHAnsi"/>
          <w:i/>
          <w:szCs w:val="18"/>
        </w:rPr>
        <w:t>.</w:t>
      </w:r>
    </w:p>
  </w:footnote>
  <w:footnote w:id="82">
    <w:p w14:paraId="2C64F50E" w14:textId="77777777" w:rsidR="00621BE2" w:rsidRPr="009A620C" w:rsidRDefault="00621BE2" w:rsidP="00403232">
      <w:pPr>
        <w:pStyle w:val="FootnoteText"/>
        <w:rPr>
          <w:rFonts w:asciiTheme="minorHAnsi" w:hAnsiTheme="minorHAnsi"/>
          <w:szCs w:val="18"/>
        </w:rPr>
      </w:pPr>
      <w:r w:rsidRPr="009A620C">
        <w:rPr>
          <w:rStyle w:val="FootnoteReference"/>
          <w:rFonts w:asciiTheme="minorHAnsi" w:hAnsiTheme="minorHAnsi"/>
          <w:szCs w:val="18"/>
        </w:rPr>
        <w:footnoteRef/>
      </w:r>
      <w:r w:rsidRPr="009A620C">
        <w:rPr>
          <w:rFonts w:asciiTheme="minorHAnsi" w:hAnsiTheme="minorHAnsi"/>
          <w:szCs w:val="18"/>
        </w:rPr>
        <w:t xml:space="preserve"> Elizabeth Broderick, Sex Discrimination Commissioner 2013,</w:t>
      </w:r>
      <w:r w:rsidRPr="009A620C">
        <w:rPr>
          <w:rFonts w:asciiTheme="minorHAnsi" w:hAnsiTheme="minorHAnsi"/>
          <w:i/>
          <w:szCs w:val="18"/>
        </w:rPr>
        <w:t xml:space="preserve"> Rural responses to rural challenges: the need for a contextualised response to family and domestic violence</w:t>
      </w:r>
      <w:r w:rsidRPr="009A620C">
        <w:rPr>
          <w:rFonts w:asciiTheme="minorHAnsi" w:hAnsiTheme="minorHAnsi"/>
          <w:szCs w:val="18"/>
        </w:rPr>
        <w:t>, Speech to the National Rural Women’s Conference, URL: www.humanrights.gov.au/news/speeches/rural-responses-rural-challenges-need-contextualised-response-family-and-domestic, Accessed: 16 March 2016.</w:t>
      </w:r>
    </w:p>
  </w:footnote>
  <w:footnote w:id="83">
    <w:p w14:paraId="3819E9A9" w14:textId="77777777" w:rsidR="00621BE2" w:rsidRPr="009A620C" w:rsidRDefault="00621BE2" w:rsidP="00403232">
      <w:pPr>
        <w:pStyle w:val="FootnoteText"/>
        <w:rPr>
          <w:rFonts w:asciiTheme="minorHAnsi" w:hAnsiTheme="minorHAnsi"/>
          <w:szCs w:val="18"/>
        </w:rPr>
      </w:pPr>
      <w:r w:rsidRPr="009A620C">
        <w:rPr>
          <w:rStyle w:val="FootnoteReference"/>
          <w:rFonts w:asciiTheme="minorHAnsi" w:hAnsiTheme="minorHAnsi"/>
          <w:szCs w:val="18"/>
        </w:rPr>
        <w:footnoteRef/>
      </w:r>
      <w:r w:rsidRPr="009A620C">
        <w:rPr>
          <w:rFonts w:asciiTheme="minorHAnsi" w:hAnsiTheme="minorHAnsi"/>
          <w:szCs w:val="18"/>
        </w:rPr>
        <w:t xml:space="preserve"> </w:t>
      </w:r>
      <w:r w:rsidRPr="005D2D1C">
        <w:rPr>
          <w:rFonts w:asciiTheme="minorHAnsi" w:hAnsiTheme="minorHAnsi"/>
          <w:szCs w:val="18"/>
        </w:rPr>
        <w:t>Ibid</w:t>
      </w:r>
      <w:r w:rsidRPr="009A620C">
        <w:rPr>
          <w:rFonts w:asciiTheme="minorHAnsi" w:hAnsiTheme="minorHAnsi"/>
          <w:i/>
          <w:szCs w:val="18"/>
        </w:rPr>
        <w:t>.</w:t>
      </w:r>
    </w:p>
  </w:footnote>
  <w:footnote w:id="84">
    <w:p w14:paraId="5525CE7C"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Monica Campo and Sarah Tayton 2015, </w:t>
      </w:r>
      <w:r w:rsidRPr="009A620C">
        <w:rPr>
          <w:rFonts w:asciiTheme="minorHAnsi" w:hAnsiTheme="minorHAnsi"/>
          <w:i/>
          <w:szCs w:val="18"/>
        </w:rPr>
        <w:t>Domestic and Family Violence in Regional, Rural and Remote Communities: An Overview of Key Issues</w:t>
      </w:r>
      <w:r w:rsidRPr="009A620C">
        <w:rPr>
          <w:rFonts w:asciiTheme="minorHAnsi" w:hAnsiTheme="minorHAnsi"/>
          <w:szCs w:val="18"/>
        </w:rPr>
        <w:t>, Child Family Community Australia, Australian Institute of Family Studies.</w:t>
      </w:r>
    </w:p>
  </w:footnote>
  <w:footnote w:id="85">
    <w:p w14:paraId="266F5FF0"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5D2D1C">
        <w:rPr>
          <w:rFonts w:asciiTheme="minorHAnsi" w:hAnsiTheme="minorHAnsi"/>
          <w:szCs w:val="18"/>
        </w:rPr>
        <w:t>Ibid</w:t>
      </w:r>
      <w:r w:rsidRPr="009A620C">
        <w:rPr>
          <w:rFonts w:asciiTheme="minorHAnsi" w:hAnsiTheme="minorHAnsi"/>
          <w:szCs w:val="18"/>
        </w:rPr>
        <w:t>.</w:t>
      </w:r>
    </w:p>
  </w:footnote>
  <w:footnote w:id="86">
    <w:p w14:paraId="19C03B74" w14:textId="77777777" w:rsidR="00621BE2" w:rsidRPr="009A620C" w:rsidRDefault="00621BE2" w:rsidP="00403232">
      <w:pPr>
        <w:pStyle w:val="FootnoteText"/>
        <w:rPr>
          <w:rFonts w:asciiTheme="minorHAnsi" w:hAnsiTheme="minorHAnsi"/>
          <w:szCs w:val="18"/>
        </w:rPr>
      </w:pPr>
      <w:r w:rsidRPr="009A620C">
        <w:rPr>
          <w:rStyle w:val="FootnoteReference"/>
          <w:rFonts w:asciiTheme="minorHAnsi" w:hAnsiTheme="minorHAnsi"/>
          <w:szCs w:val="18"/>
        </w:rPr>
        <w:footnoteRef/>
      </w:r>
      <w:r w:rsidRPr="009A620C">
        <w:rPr>
          <w:rFonts w:asciiTheme="minorHAnsi" w:hAnsiTheme="minorHAnsi"/>
          <w:szCs w:val="18"/>
        </w:rPr>
        <w:t xml:space="preserve"> Steering Committee for the Review of Government Service Provision 2014, </w:t>
      </w:r>
      <w:r w:rsidRPr="009A620C">
        <w:rPr>
          <w:rFonts w:asciiTheme="minorHAnsi" w:hAnsiTheme="minorHAnsi"/>
          <w:i/>
          <w:szCs w:val="18"/>
        </w:rPr>
        <w:t>Overcoming Indigenous Disadvantage Key Indicators 2014.</w:t>
      </w:r>
    </w:p>
  </w:footnote>
  <w:footnote w:id="87">
    <w:p w14:paraId="7EB58CA1"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w:t>
      </w:r>
      <w:r>
        <w:rPr>
          <w:rFonts w:asciiTheme="minorHAnsi" w:hAnsiTheme="minorHAnsi"/>
          <w:szCs w:val="18"/>
        </w:rPr>
        <w:t xml:space="preserve"> (ABS)</w:t>
      </w:r>
      <w:r w:rsidRPr="00AF6DD0">
        <w:rPr>
          <w:rFonts w:asciiTheme="minorHAnsi" w:hAnsiTheme="minorHAnsi"/>
          <w:szCs w:val="18"/>
        </w:rPr>
        <w:t xml:space="preserve"> 2013, </w:t>
      </w:r>
      <w:r w:rsidRPr="00AF6DD0">
        <w:rPr>
          <w:rFonts w:asciiTheme="minorHAnsi" w:hAnsiTheme="minorHAnsi"/>
          <w:szCs w:val="18"/>
          <w:lang w:val="en"/>
        </w:rPr>
        <w:t xml:space="preserve">4529.0 - </w:t>
      </w:r>
      <w:r w:rsidRPr="00AF6DD0">
        <w:rPr>
          <w:rFonts w:asciiTheme="minorHAnsi" w:hAnsiTheme="minorHAnsi"/>
          <w:i/>
          <w:szCs w:val="18"/>
          <w:lang w:val="en"/>
        </w:rPr>
        <w:t>Defining the Data Challenge for Family, Domestic and Sexual Violence</w:t>
      </w:r>
      <w:r>
        <w:rPr>
          <w:rFonts w:asciiTheme="minorHAnsi" w:hAnsiTheme="minorHAnsi"/>
          <w:i/>
          <w:szCs w:val="18"/>
          <w:lang w:val="en"/>
        </w:rPr>
        <w:t>.</w:t>
      </w:r>
      <w:r w:rsidRPr="00AF6DD0">
        <w:rPr>
          <w:rFonts w:asciiTheme="minorHAnsi" w:hAnsiTheme="minorHAnsi"/>
          <w:szCs w:val="18"/>
          <w:lang w:val="en"/>
        </w:rPr>
        <w:t> </w:t>
      </w:r>
    </w:p>
  </w:footnote>
  <w:footnote w:id="88">
    <w:p w14:paraId="15E1053C"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w:t>
      </w:r>
      <w:r>
        <w:rPr>
          <w:rFonts w:asciiTheme="minorHAnsi" w:hAnsiTheme="minorHAnsi"/>
          <w:szCs w:val="18"/>
        </w:rPr>
        <w:t xml:space="preserve"> (ABS)</w:t>
      </w:r>
      <w:r w:rsidRPr="00AF6DD0">
        <w:rPr>
          <w:rFonts w:asciiTheme="minorHAnsi" w:hAnsiTheme="minorHAnsi"/>
          <w:szCs w:val="18"/>
        </w:rPr>
        <w:t xml:space="preserve"> 2013, </w:t>
      </w:r>
      <w:r w:rsidRPr="00AF6DD0">
        <w:rPr>
          <w:rFonts w:asciiTheme="minorHAnsi" w:hAnsiTheme="minorHAnsi"/>
          <w:szCs w:val="18"/>
          <w:lang w:val="en"/>
        </w:rPr>
        <w:t xml:space="preserve">4529.0 - </w:t>
      </w:r>
      <w:r w:rsidRPr="00AF6DD0">
        <w:rPr>
          <w:rFonts w:asciiTheme="minorHAnsi" w:hAnsiTheme="minorHAnsi"/>
          <w:i/>
          <w:szCs w:val="18"/>
          <w:lang w:val="en"/>
        </w:rPr>
        <w:t>Defining the Data Challenge for Family, Domestic and Sexual Violence</w:t>
      </w:r>
      <w:r>
        <w:rPr>
          <w:rFonts w:asciiTheme="minorHAnsi" w:hAnsiTheme="minorHAnsi"/>
          <w:i/>
          <w:szCs w:val="18"/>
          <w:lang w:val="en"/>
        </w:rPr>
        <w:t>.</w:t>
      </w:r>
      <w:r w:rsidRPr="00AF6DD0">
        <w:rPr>
          <w:rFonts w:asciiTheme="minorHAnsi" w:hAnsiTheme="minorHAnsi"/>
          <w:szCs w:val="18"/>
          <w:lang w:val="en"/>
        </w:rPr>
        <w:t> </w:t>
      </w:r>
    </w:p>
  </w:footnote>
  <w:footnote w:id="89">
    <w:p w14:paraId="7492954D"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Our Watch, Australia’s National Research Organisation for Women’s Safety (ANROWS) and VicHealth, 2015, </w:t>
      </w:r>
      <w:r w:rsidRPr="009A620C">
        <w:rPr>
          <w:rFonts w:asciiTheme="minorHAnsi" w:hAnsiTheme="minorHAnsi"/>
          <w:i/>
          <w:szCs w:val="18"/>
        </w:rPr>
        <w:t xml:space="preserve">Change the Story: A Shared Framework for the Primary Prevention of Violence Against Women and Their Children in Australia. </w:t>
      </w:r>
    </w:p>
  </w:footnote>
  <w:footnote w:id="90">
    <w:p w14:paraId="3676A841"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Special Taskforce on Domestic and Family Violence in Queensland 2015, </w:t>
      </w:r>
      <w:r w:rsidRPr="00AF6DD0">
        <w:rPr>
          <w:rFonts w:asciiTheme="minorHAnsi" w:hAnsiTheme="minorHAnsi"/>
          <w:i/>
          <w:szCs w:val="18"/>
          <w:lang w:val="en-US"/>
        </w:rPr>
        <w:t>Appendix 3: Tell the taskforce: Domestic and Family Violence Survey.</w:t>
      </w:r>
    </w:p>
  </w:footnote>
  <w:footnote w:id="91">
    <w:p w14:paraId="01219411"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Enhance Research for </w:t>
      </w:r>
      <w:r w:rsidRPr="00AF6DD0">
        <w:rPr>
          <w:rFonts w:asciiTheme="minorHAnsi" w:hAnsiTheme="minorHAnsi"/>
          <w:szCs w:val="18"/>
          <w:lang w:val="en-US"/>
        </w:rPr>
        <w:t xml:space="preserve">Special Taskforce on Domestic and Family Violence in Queensland 2015, </w:t>
      </w:r>
      <w:r w:rsidRPr="00AF6DD0">
        <w:rPr>
          <w:rFonts w:asciiTheme="minorHAnsi" w:hAnsiTheme="minorHAnsi"/>
          <w:i/>
          <w:szCs w:val="18"/>
          <w:lang w:val="en-US"/>
        </w:rPr>
        <w:t xml:space="preserve">Appendix 4: Research Report on Community Focus Groups. </w:t>
      </w:r>
    </w:p>
  </w:footnote>
  <w:footnote w:id="92">
    <w:p w14:paraId="003A0A79" w14:textId="77777777" w:rsidR="00621BE2" w:rsidRPr="00AF6DD0" w:rsidRDefault="00621BE2" w:rsidP="00403232">
      <w:pPr>
        <w:pStyle w:val="FootnoteText"/>
        <w:rPr>
          <w:rFonts w:asciiTheme="minorHAnsi" w:hAnsiTheme="minorHAnsi"/>
          <w:szCs w:val="18"/>
          <w:lang w:val="en-US"/>
        </w:rPr>
      </w:pPr>
      <w:r w:rsidRPr="005D2D1C">
        <w:rPr>
          <w:rStyle w:val="FootnoteReference"/>
          <w:rFonts w:asciiTheme="minorHAnsi" w:hAnsiTheme="minorHAnsi"/>
          <w:szCs w:val="18"/>
        </w:rPr>
        <w:footnoteRef/>
      </w:r>
      <w:r w:rsidRPr="005D2D1C">
        <w:rPr>
          <w:rFonts w:asciiTheme="minorHAnsi" w:hAnsiTheme="minorHAnsi"/>
          <w:szCs w:val="18"/>
        </w:rPr>
        <w:t xml:space="preserve"> </w:t>
      </w:r>
      <w:r w:rsidRPr="00AF6DD0">
        <w:rPr>
          <w:rFonts w:asciiTheme="minorHAnsi" w:hAnsiTheme="minorHAnsi" w:cs="Arial"/>
          <w:szCs w:val="18"/>
          <w:lang w:val="en"/>
        </w:rPr>
        <w:t xml:space="preserve">VicHealth, September 2014, </w:t>
      </w:r>
      <w:r w:rsidRPr="00AF6DD0">
        <w:rPr>
          <w:rFonts w:asciiTheme="minorHAnsi" w:hAnsiTheme="minorHAnsi" w:cs="Arial"/>
          <w:i/>
          <w:szCs w:val="18"/>
          <w:lang w:val="en"/>
        </w:rPr>
        <w:t>Australians’ attitudes to violence against women: Findings from the 2013 National Community Attitudes towards Violence Against Women Survey (NCAS)</w:t>
      </w:r>
      <w:r w:rsidRPr="00AF6DD0">
        <w:rPr>
          <w:rFonts w:asciiTheme="minorHAnsi" w:hAnsiTheme="minorHAnsi" w:cs="Arial"/>
          <w:szCs w:val="18"/>
          <w:lang w:val="en"/>
        </w:rPr>
        <w:t>, URL: https://www.vichealth.vic.gov.au/media-and-resources/publications/2013-national-community-attitudes-towards-violence-against-women-survey, Accessed: 9 March 2016</w:t>
      </w:r>
      <w:r>
        <w:rPr>
          <w:rFonts w:asciiTheme="minorHAnsi" w:hAnsiTheme="minorHAnsi" w:cs="Arial"/>
          <w:szCs w:val="18"/>
          <w:lang w:val="en"/>
        </w:rPr>
        <w:t>.</w:t>
      </w:r>
    </w:p>
  </w:footnote>
  <w:footnote w:id="93">
    <w:p w14:paraId="4DB08392"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cs="Arial"/>
          <w:szCs w:val="18"/>
          <w:lang w:val="en"/>
        </w:rPr>
        <w:t>WIRE Women’s Information, August 2014</w:t>
      </w:r>
      <w:r w:rsidRPr="00AF6DD0">
        <w:rPr>
          <w:rFonts w:asciiTheme="minorHAnsi" w:hAnsiTheme="minorHAnsi" w:cs="Arial"/>
          <w:i/>
          <w:szCs w:val="18"/>
          <w:lang w:val="en"/>
        </w:rPr>
        <w:t>, WIRE Research Report: Relationship Problems and Money - Women talk about financial abuse</w:t>
      </w:r>
      <w:r w:rsidRPr="00AF6DD0">
        <w:rPr>
          <w:rFonts w:asciiTheme="minorHAnsi" w:hAnsiTheme="minorHAnsi" w:cs="Arial"/>
          <w:szCs w:val="18"/>
          <w:lang w:val="en"/>
        </w:rPr>
        <w:t>, URL: http://www.wire.org.au/wp-content/uploads/2014/08/WIRE-Research-Report_Relationship-Problems-and-Money-Women-talk-about-financial-abuse-August2014.pdf, Accessed: 9 March 2016.</w:t>
      </w:r>
    </w:p>
  </w:footnote>
  <w:footnote w:id="94">
    <w:p w14:paraId="07B4658C" w14:textId="77777777" w:rsidR="00621BE2" w:rsidRPr="00AF6DD0" w:rsidRDefault="00621BE2" w:rsidP="00403232">
      <w:pPr>
        <w:pStyle w:val="FootnoteText"/>
        <w:rPr>
          <w:rFonts w:asciiTheme="minorHAnsi" w:hAnsiTheme="minorHAnsi" w:cs="Arial"/>
          <w:szCs w:val="18"/>
          <w:lang w:val="en"/>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cs="Arial"/>
          <w:szCs w:val="18"/>
          <w:lang w:val="en"/>
        </w:rPr>
        <w:t xml:space="preserve">VicHealth, September 2014, </w:t>
      </w:r>
      <w:r w:rsidRPr="00AF6DD0">
        <w:rPr>
          <w:rFonts w:asciiTheme="minorHAnsi" w:hAnsiTheme="minorHAnsi" w:cs="Arial"/>
          <w:i/>
          <w:szCs w:val="18"/>
          <w:lang w:val="en"/>
        </w:rPr>
        <w:t>Australians’ attitudes to violence against women: Findings from the 2013 National Community Attitudes towards Violence Against Women Survey (NCAS)</w:t>
      </w:r>
      <w:r w:rsidRPr="00AF6DD0">
        <w:rPr>
          <w:rFonts w:asciiTheme="minorHAnsi" w:hAnsiTheme="minorHAnsi" w:cs="Arial"/>
          <w:szCs w:val="18"/>
          <w:lang w:val="en"/>
        </w:rPr>
        <w:t>, URL: https://www.vichealth.vic.gov.au/media-and-resources/publications/2013-national-community-attitudes-towards-violence-against-women-survey, Accessed: 9 March 2016</w:t>
      </w:r>
      <w:r>
        <w:rPr>
          <w:rFonts w:asciiTheme="minorHAnsi" w:hAnsiTheme="minorHAnsi" w:cs="Arial"/>
          <w:szCs w:val="18"/>
          <w:lang w:val="en"/>
        </w:rPr>
        <w:t>.</w:t>
      </w:r>
    </w:p>
  </w:footnote>
  <w:footnote w:id="95">
    <w:p w14:paraId="2EA87058"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 (ABS) 2008, </w:t>
      </w:r>
      <w:r w:rsidRPr="00AF6DD0">
        <w:rPr>
          <w:rFonts w:asciiTheme="minorHAnsi" w:hAnsiTheme="minorHAnsi"/>
          <w:i/>
          <w:szCs w:val="18"/>
        </w:rPr>
        <w:t>National Aboriginal and Torres Strait Islander Social Survey 2008</w:t>
      </w:r>
      <w:r w:rsidRPr="00AF6DD0">
        <w:rPr>
          <w:rFonts w:asciiTheme="minorHAnsi" w:hAnsiTheme="minorHAnsi"/>
          <w:szCs w:val="18"/>
        </w:rPr>
        <w:t>.</w:t>
      </w:r>
    </w:p>
  </w:footnote>
  <w:footnote w:id="96">
    <w:p w14:paraId="0EEABA8F" w14:textId="77777777" w:rsidR="00621BE2" w:rsidRPr="00AF6DD0" w:rsidRDefault="00621BE2" w:rsidP="00403232">
      <w:pPr>
        <w:pStyle w:val="FootnoteText"/>
        <w:rPr>
          <w:rFonts w:asciiTheme="minorHAnsi" w:eastAsiaTheme="minorHAnsi" w:hAnsiTheme="minorHAnsi" w:cs="Arial"/>
          <w:szCs w:val="18"/>
          <w:lang w:eastAsia="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eastAsiaTheme="minorHAnsi" w:hAnsiTheme="minorHAnsi" w:cs="Arial"/>
          <w:szCs w:val="18"/>
          <w:lang w:eastAsia="en-US"/>
        </w:rPr>
        <w:t xml:space="preserve">Australian Institute of Criminology 2003, </w:t>
      </w:r>
      <w:r w:rsidRPr="00AF6DD0">
        <w:rPr>
          <w:rFonts w:asciiTheme="minorHAnsi" w:eastAsiaTheme="minorHAnsi" w:hAnsiTheme="minorHAnsi" w:cs="Arial"/>
          <w:i/>
          <w:szCs w:val="18"/>
          <w:lang w:eastAsia="en-US"/>
        </w:rPr>
        <w:t>Non-recording and Hidden Recording of Sexual Assault</w:t>
      </w:r>
      <w:r w:rsidRPr="00AF6DD0">
        <w:rPr>
          <w:rFonts w:asciiTheme="minorHAnsi" w:eastAsiaTheme="minorHAnsi" w:hAnsiTheme="minorHAnsi" w:cs="Arial"/>
          <w:szCs w:val="18"/>
          <w:lang w:eastAsia="en-US"/>
        </w:rPr>
        <w:t>.</w:t>
      </w:r>
    </w:p>
  </w:footnote>
  <w:footnote w:id="97">
    <w:p w14:paraId="5E03CA94"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Cecilia Menjivar and Olivia Salcido 2002, </w:t>
      </w:r>
      <w:r w:rsidRPr="00AF6DD0">
        <w:rPr>
          <w:rFonts w:asciiTheme="minorHAnsi" w:hAnsiTheme="minorHAnsi"/>
          <w:i/>
          <w:szCs w:val="18"/>
        </w:rPr>
        <w:t>Immigrant Women and Domestic Violence: Common Experiences in Different Countries</w:t>
      </w:r>
      <w:r w:rsidRPr="00AF6DD0">
        <w:rPr>
          <w:rFonts w:asciiTheme="minorHAnsi" w:hAnsiTheme="minorHAnsi"/>
          <w:szCs w:val="18"/>
        </w:rPr>
        <w:t>.</w:t>
      </w:r>
    </w:p>
  </w:footnote>
  <w:footnote w:id="98">
    <w:p w14:paraId="527F664F"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Morgan, A. &amp; Chadwick, H. 2009. </w:t>
      </w:r>
      <w:r w:rsidRPr="005D2D1C">
        <w:rPr>
          <w:rFonts w:asciiTheme="minorHAnsi" w:hAnsiTheme="minorHAnsi"/>
          <w:i/>
          <w:szCs w:val="18"/>
        </w:rPr>
        <w:t>Key issues in domestic violence. </w:t>
      </w:r>
      <w:r w:rsidRPr="00666F72">
        <w:rPr>
          <w:rFonts w:asciiTheme="minorHAnsi" w:hAnsiTheme="minorHAnsi"/>
          <w:i/>
          <w:iCs/>
          <w:szCs w:val="18"/>
        </w:rPr>
        <w:t>Research in Practice</w:t>
      </w:r>
      <w:r w:rsidRPr="005D2D1C">
        <w:rPr>
          <w:rFonts w:asciiTheme="minorHAnsi" w:hAnsiTheme="minorHAnsi"/>
          <w:i/>
          <w:szCs w:val="18"/>
        </w:rPr>
        <w:t> no. 7.</w:t>
      </w:r>
      <w:r w:rsidRPr="00AF6DD0">
        <w:rPr>
          <w:rFonts w:asciiTheme="minorHAnsi" w:hAnsiTheme="minorHAnsi"/>
          <w:szCs w:val="18"/>
        </w:rPr>
        <w:t xml:space="preserve"> </w:t>
      </w:r>
    </w:p>
  </w:footnote>
  <w:footnote w:id="99">
    <w:p w14:paraId="7C84B6AB"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 (ABS) 2012, </w:t>
      </w:r>
      <w:r w:rsidRPr="00AF6DD0">
        <w:rPr>
          <w:rFonts w:asciiTheme="minorHAnsi" w:hAnsiTheme="minorHAnsi"/>
          <w:i/>
          <w:szCs w:val="18"/>
        </w:rPr>
        <w:t>Personal Safety Survey</w:t>
      </w:r>
      <w:r>
        <w:rPr>
          <w:rFonts w:asciiTheme="minorHAnsi" w:hAnsiTheme="minorHAnsi"/>
          <w:i/>
          <w:szCs w:val="18"/>
        </w:rPr>
        <w:t xml:space="preserve"> 2012</w:t>
      </w:r>
      <w:r w:rsidRPr="00AF6DD0">
        <w:rPr>
          <w:rFonts w:asciiTheme="minorHAnsi" w:hAnsiTheme="minorHAnsi"/>
          <w:szCs w:val="18"/>
        </w:rPr>
        <w:t>.</w:t>
      </w:r>
    </w:p>
  </w:footnote>
  <w:footnote w:id="100">
    <w:p w14:paraId="0A60B363" w14:textId="77777777" w:rsidR="00621BE2" w:rsidRPr="00353147" w:rsidRDefault="00621BE2" w:rsidP="00353147">
      <w:pPr>
        <w:shd w:val="clear" w:color="auto" w:fill="FFFFFF"/>
        <w:spacing w:before="0" w:after="0"/>
        <w:rPr>
          <w:rFonts w:eastAsia="Times New Roman"/>
          <w:color w:val="222222"/>
          <w:sz w:val="18"/>
          <w:szCs w:val="18"/>
          <w:lang w:eastAsia="zh-CN"/>
        </w:rPr>
      </w:pPr>
      <w:r w:rsidRPr="00AF6DD0">
        <w:rPr>
          <w:rStyle w:val="FootnoteReference"/>
          <w:sz w:val="18"/>
          <w:szCs w:val="18"/>
        </w:rPr>
        <w:footnoteRef/>
      </w:r>
      <w:r w:rsidRPr="00AF6DD0">
        <w:rPr>
          <w:sz w:val="18"/>
          <w:szCs w:val="18"/>
        </w:rPr>
        <w:t xml:space="preserve"> </w:t>
      </w:r>
      <w:r w:rsidRPr="00AF6DD0">
        <w:rPr>
          <w:rFonts w:eastAsia="Times New Roman"/>
          <w:color w:val="222222"/>
          <w:sz w:val="18"/>
          <w:szCs w:val="18"/>
          <w:lang w:eastAsia="zh-CN"/>
        </w:rPr>
        <w:t xml:space="preserve">Pease, B. &amp; Rees, S. 2007, </w:t>
      </w:r>
      <w:r w:rsidRPr="005D2D1C">
        <w:rPr>
          <w:rFonts w:eastAsia="Times New Roman"/>
          <w:i/>
          <w:color w:val="222222"/>
          <w:sz w:val="18"/>
          <w:szCs w:val="18"/>
          <w:lang w:eastAsia="zh-CN"/>
        </w:rPr>
        <w:t>Researching domestic violence in refugee families</w:t>
      </w:r>
      <w:r w:rsidRPr="00AF6DD0">
        <w:rPr>
          <w:rFonts w:eastAsia="Times New Roman"/>
          <w:color w:val="222222"/>
          <w:sz w:val="18"/>
          <w:szCs w:val="18"/>
          <w:lang w:eastAsia="zh-CN"/>
        </w:rPr>
        <w:t>. </w:t>
      </w:r>
      <w:r w:rsidRPr="00AF6DD0">
        <w:rPr>
          <w:rFonts w:eastAsia="Times New Roman"/>
          <w:i/>
          <w:iCs/>
          <w:color w:val="222222"/>
          <w:sz w:val="18"/>
          <w:szCs w:val="18"/>
          <w:lang w:eastAsia="zh-CN"/>
        </w:rPr>
        <w:t>DVIRC Quarterly</w:t>
      </w:r>
      <w:r>
        <w:rPr>
          <w:rFonts w:eastAsia="Times New Roman"/>
          <w:color w:val="222222"/>
          <w:sz w:val="18"/>
          <w:szCs w:val="18"/>
          <w:lang w:eastAsia="zh-CN"/>
        </w:rPr>
        <w:t> 1:</w:t>
      </w:r>
    </w:p>
  </w:footnote>
  <w:footnote w:id="101">
    <w:p w14:paraId="3ACE9AC8"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Australian Bureau of Statistics (ABS) 2012,</w:t>
      </w:r>
      <w:r w:rsidRPr="00AF6DD0">
        <w:rPr>
          <w:rFonts w:asciiTheme="minorHAnsi" w:hAnsiTheme="minorHAnsi"/>
          <w:i/>
          <w:szCs w:val="18"/>
          <w:lang w:val="en-US"/>
        </w:rPr>
        <w:t xml:space="preserve"> Personal Safety Survey</w:t>
      </w:r>
      <w:r>
        <w:rPr>
          <w:rFonts w:asciiTheme="minorHAnsi" w:hAnsiTheme="minorHAnsi"/>
          <w:i/>
          <w:szCs w:val="18"/>
          <w:lang w:val="en-US"/>
        </w:rPr>
        <w:t xml:space="preserve"> 2012</w:t>
      </w:r>
      <w:r w:rsidRPr="00AF6DD0">
        <w:rPr>
          <w:rFonts w:asciiTheme="minorHAnsi" w:hAnsiTheme="minorHAnsi"/>
          <w:szCs w:val="18"/>
          <w:lang w:val="en-US"/>
        </w:rPr>
        <w:t xml:space="preserve">. </w:t>
      </w:r>
    </w:p>
  </w:footnote>
  <w:footnote w:id="102">
    <w:p w14:paraId="2314BEE1"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lang w:val="en-US"/>
        </w:rPr>
        <w:t xml:space="preserve">Ibid. </w:t>
      </w:r>
    </w:p>
  </w:footnote>
  <w:footnote w:id="103">
    <w:p w14:paraId="6DEB7781"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cs="Arial"/>
          <w:szCs w:val="18"/>
          <w:lang w:val="en"/>
        </w:rPr>
        <w:t xml:space="preserve">VicHealth, September 2014, </w:t>
      </w:r>
      <w:r w:rsidRPr="00AF6DD0">
        <w:rPr>
          <w:rFonts w:asciiTheme="minorHAnsi" w:hAnsiTheme="minorHAnsi" w:cs="Arial"/>
          <w:i/>
          <w:szCs w:val="18"/>
          <w:lang w:val="en"/>
        </w:rPr>
        <w:t>Australians’ attitudes to violence against women: Findings from the 2013 National Community Attitudes towards Violence Against Women Survey (NCAS)</w:t>
      </w:r>
      <w:r w:rsidRPr="00AF6DD0">
        <w:rPr>
          <w:rFonts w:asciiTheme="minorHAnsi" w:hAnsiTheme="minorHAnsi" w:cs="Arial"/>
          <w:szCs w:val="18"/>
          <w:lang w:val="en"/>
        </w:rPr>
        <w:t>, URL: https://www.vichealth.vic.gov.au/media-and-resources/publications/2013-national-community-attitudes-towards-violence-against-women-survey, Accessed: 9 March 2016</w:t>
      </w:r>
      <w:r>
        <w:rPr>
          <w:rFonts w:asciiTheme="minorHAnsi" w:hAnsiTheme="minorHAnsi" w:cs="Arial"/>
          <w:szCs w:val="18"/>
          <w:lang w:val="en"/>
        </w:rPr>
        <w:t>.</w:t>
      </w:r>
    </w:p>
  </w:footnote>
  <w:footnote w:id="104">
    <w:p w14:paraId="7D5491C9"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lang w:val="en-US"/>
        </w:rPr>
        <w:t>Ibid.</w:t>
      </w:r>
    </w:p>
  </w:footnote>
  <w:footnote w:id="105">
    <w:p w14:paraId="3069CB06" w14:textId="77777777" w:rsidR="00621BE2" w:rsidRPr="009A620C"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D46A3A">
        <w:rPr>
          <w:rFonts w:asciiTheme="minorHAnsi" w:hAnsiTheme="minorHAnsi"/>
          <w:szCs w:val="18"/>
          <w:lang w:val="en-US"/>
        </w:rPr>
        <w:t>Ibid.</w:t>
      </w:r>
    </w:p>
    <w:p w14:paraId="659E7A85" w14:textId="77777777" w:rsidR="00621BE2" w:rsidRPr="00AF6DD0" w:rsidRDefault="00621BE2" w:rsidP="00403232">
      <w:pPr>
        <w:pStyle w:val="FootnoteText"/>
        <w:rPr>
          <w:rFonts w:asciiTheme="minorHAnsi" w:hAnsiTheme="minorHAnsi"/>
          <w:szCs w:val="18"/>
          <w:lang w:val="en-US"/>
        </w:rPr>
      </w:pPr>
      <w:r w:rsidRPr="009A620C">
        <w:rPr>
          <w:rStyle w:val="FootnoteReference"/>
          <w:szCs w:val="18"/>
        </w:rPr>
        <w:footnoteRef/>
      </w:r>
      <w:r w:rsidRPr="009A620C">
        <w:rPr>
          <w:szCs w:val="18"/>
        </w:rPr>
        <w:t xml:space="preserve"> </w:t>
      </w:r>
      <w:r w:rsidRPr="005D2D1C">
        <w:rPr>
          <w:rFonts w:asciiTheme="minorHAnsi" w:hAnsiTheme="minorHAnsi"/>
          <w:szCs w:val="18"/>
          <w:lang w:val="en-US"/>
        </w:rPr>
        <w:t>Australian Institute for Health and Welfare</w:t>
      </w:r>
      <w:r>
        <w:rPr>
          <w:rFonts w:asciiTheme="minorHAnsi" w:hAnsiTheme="minorHAnsi"/>
          <w:szCs w:val="18"/>
          <w:lang w:val="en-US"/>
        </w:rPr>
        <w:t xml:space="preserve"> (AIHW)</w:t>
      </w:r>
      <w:r w:rsidRPr="005D2D1C">
        <w:rPr>
          <w:rFonts w:asciiTheme="minorHAnsi" w:hAnsiTheme="minorHAnsi"/>
          <w:szCs w:val="18"/>
          <w:lang w:val="en-US"/>
        </w:rPr>
        <w:t xml:space="preserve">, 2015, </w:t>
      </w:r>
      <w:r w:rsidRPr="005D2D1C">
        <w:rPr>
          <w:rFonts w:asciiTheme="minorHAnsi" w:hAnsiTheme="minorHAnsi"/>
          <w:i/>
          <w:szCs w:val="18"/>
          <w:lang w:val="en-US"/>
        </w:rPr>
        <w:t>Screening for domestic violence during pregnancy: Options for future reporting in the National Perinatal Data Collection</w:t>
      </w:r>
      <w:r w:rsidRPr="005D2D1C">
        <w:rPr>
          <w:rFonts w:asciiTheme="minorHAnsi" w:hAnsiTheme="minorHAnsi"/>
          <w:szCs w:val="18"/>
          <w:lang w:val="en-US"/>
        </w:rPr>
        <w:t>, Cat. No. PER 71</w:t>
      </w:r>
    </w:p>
  </w:footnote>
  <w:footnote w:id="106">
    <w:p w14:paraId="0BCF3C40"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cs="Arial"/>
          <w:szCs w:val="18"/>
          <w:lang w:val="en"/>
        </w:rPr>
        <w:t xml:space="preserve">VicHealth, September 2014, </w:t>
      </w:r>
      <w:r w:rsidRPr="00AF6DD0">
        <w:rPr>
          <w:rFonts w:asciiTheme="minorHAnsi" w:hAnsiTheme="minorHAnsi" w:cs="Arial"/>
          <w:i/>
          <w:szCs w:val="18"/>
          <w:lang w:val="en"/>
        </w:rPr>
        <w:t>Australians’ attitudes to violence against women: Findings from the 2013 National Community Attitudes towards Violence Against Women Survey (NCAS)</w:t>
      </w:r>
      <w:r w:rsidRPr="00AF6DD0">
        <w:rPr>
          <w:rFonts w:asciiTheme="minorHAnsi" w:hAnsiTheme="minorHAnsi" w:cs="Arial"/>
          <w:szCs w:val="18"/>
          <w:lang w:val="en"/>
        </w:rPr>
        <w:t>, URL: https://www.vichealth.vic.gov.au/media-and-resources/publications/2013-national-community-attitudes-towards-violence-against-women-survey, Accessed: 9 March 2016</w:t>
      </w:r>
    </w:p>
  </w:footnote>
  <w:footnote w:id="107">
    <w:p w14:paraId="2847275D" w14:textId="77777777" w:rsidR="00621BE2" w:rsidRPr="009A620C" w:rsidRDefault="00621BE2" w:rsidP="00403232">
      <w:pPr>
        <w:pStyle w:val="FootnoteText"/>
        <w:rPr>
          <w:rFonts w:asciiTheme="minorHAnsi" w:hAnsiTheme="minorHAnsi"/>
          <w:i/>
          <w:szCs w:val="18"/>
          <w:lang w:val="en-US"/>
        </w:rPr>
      </w:pPr>
      <w:r w:rsidRPr="009A620C">
        <w:rPr>
          <w:rStyle w:val="FootnoteReference"/>
          <w:rFonts w:asciiTheme="minorHAnsi" w:hAnsiTheme="minorHAnsi"/>
          <w:szCs w:val="18"/>
        </w:rPr>
        <w:footnoteRef/>
      </w:r>
      <w:r w:rsidRPr="009A620C">
        <w:rPr>
          <w:rFonts w:asciiTheme="minorHAnsi" w:hAnsiTheme="minorHAnsi"/>
          <w:szCs w:val="18"/>
        </w:rPr>
        <w:t xml:space="preserve"> </w:t>
      </w:r>
      <w:r w:rsidRPr="00AF6DD0">
        <w:rPr>
          <w:rFonts w:asciiTheme="minorHAnsi" w:hAnsiTheme="minorHAnsi"/>
          <w:szCs w:val="18"/>
        </w:rPr>
        <w:t xml:space="preserve">Australian Human Rights Commission, 2015, </w:t>
      </w:r>
      <w:r w:rsidRPr="00AF6DD0">
        <w:rPr>
          <w:rFonts w:asciiTheme="minorHAnsi" w:hAnsiTheme="minorHAnsi"/>
          <w:i/>
          <w:szCs w:val="18"/>
          <w:lang w:val="en-US"/>
        </w:rPr>
        <w:t>Children’s Rights Report 2015: National Children’s Commissioner Annual Report</w:t>
      </w:r>
      <w:r>
        <w:rPr>
          <w:rFonts w:asciiTheme="minorHAnsi" w:hAnsiTheme="minorHAnsi"/>
          <w:i/>
          <w:szCs w:val="18"/>
          <w:lang w:val="en-US"/>
        </w:rPr>
        <w:t xml:space="preserve">. </w:t>
      </w:r>
    </w:p>
  </w:footnote>
  <w:footnote w:id="108">
    <w:p w14:paraId="4CBDD288" w14:textId="77777777" w:rsidR="00621BE2" w:rsidRPr="009A620C" w:rsidRDefault="00621BE2" w:rsidP="00403232">
      <w:pPr>
        <w:pStyle w:val="FootnoteText"/>
        <w:rPr>
          <w:rFonts w:asciiTheme="minorHAnsi" w:hAnsiTheme="minorHAnsi"/>
          <w:szCs w:val="18"/>
          <w:lang w:val="en-US"/>
        </w:rPr>
      </w:pPr>
      <w:r w:rsidRPr="009A620C">
        <w:rPr>
          <w:rStyle w:val="FootnoteReference"/>
          <w:rFonts w:asciiTheme="minorHAnsi" w:hAnsiTheme="minorHAnsi"/>
          <w:szCs w:val="18"/>
        </w:rPr>
        <w:footnoteRef/>
      </w:r>
      <w:r w:rsidRPr="009A620C">
        <w:rPr>
          <w:rFonts w:asciiTheme="minorHAnsi" w:hAnsiTheme="minorHAnsi"/>
          <w:szCs w:val="18"/>
        </w:rPr>
        <w:t xml:space="preserve"> </w:t>
      </w:r>
      <w:r w:rsidRPr="00AF6DD0">
        <w:rPr>
          <w:rFonts w:asciiTheme="minorHAnsi" w:hAnsiTheme="minorHAnsi" w:cs="Arial"/>
          <w:szCs w:val="18"/>
          <w:lang w:val="en"/>
        </w:rPr>
        <w:t xml:space="preserve">VicHealth, September 2014, </w:t>
      </w:r>
      <w:r w:rsidRPr="00AF6DD0">
        <w:rPr>
          <w:rFonts w:asciiTheme="minorHAnsi" w:hAnsiTheme="minorHAnsi" w:cs="Arial"/>
          <w:i/>
          <w:szCs w:val="18"/>
          <w:lang w:val="en"/>
        </w:rPr>
        <w:t>Australians’ attitudes to violence against women: Findings from the 2013 National Community Attitudes towards Violence Against Women Survey (NCAS)</w:t>
      </w:r>
      <w:r w:rsidRPr="00AF6DD0">
        <w:rPr>
          <w:rFonts w:asciiTheme="minorHAnsi" w:hAnsiTheme="minorHAnsi" w:cs="Arial"/>
          <w:szCs w:val="18"/>
          <w:lang w:val="en"/>
        </w:rPr>
        <w:t>, URL: https://www.vichealth.vic.gov.au/media-and-resources/publications/2013-national-community-attitudes-towards-violence-against-women-survey, Accessed: 9 March 2016</w:t>
      </w:r>
      <w:r>
        <w:rPr>
          <w:rFonts w:asciiTheme="minorHAnsi" w:hAnsiTheme="minorHAnsi" w:cs="Arial"/>
          <w:szCs w:val="18"/>
          <w:lang w:val="en"/>
        </w:rPr>
        <w:t>.</w:t>
      </w:r>
    </w:p>
  </w:footnote>
  <w:footnote w:id="109">
    <w:p w14:paraId="29428AA4" w14:textId="77777777" w:rsidR="00621BE2" w:rsidRPr="009A620C" w:rsidRDefault="00621BE2" w:rsidP="00403232">
      <w:pPr>
        <w:pStyle w:val="FootnoteText"/>
        <w:rPr>
          <w:rFonts w:asciiTheme="minorHAnsi" w:hAnsiTheme="minorHAnsi"/>
          <w:szCs w:val="18"/>
          <w:lang w:val="en-US"/>
        </w:rPr>
      </w:pPr>
      <w:r w:rsidRPr="009A620C">
        <w:rPr>
          <w:rStyle w:val="FootnoteReference"/>
          <w:rFonts w:asciiTheme="minorHAnsi" w:hAnsiTheme="minorHAnsi"/>
          <w:szCs w:val="18"/>
        </w:rPr>
        <w:footnoteRef/>
      </w:r>
      <w:r w:rsidRPr="009A620C">
        <w:rPr>
          <w:rFonts w:asciiTheme="minorHAnsi" w:hAnsiTheme="minorHAnsi"/>
          <w:szCs w:val="18"/>
        </w:rPr>
        <w:t xml:space="preserve"> </w:t>
      </w:r>
      <w:r w:rsidRPr="007566A5">
        <w:rPr>
          <w:rFonts w:asciiTheme="minorHAnsi" w:hAnsiTheme="minorHAnsi"/>
          <w:szCs w:val="18"/>
          <w:lang w:val="en-US"/>
        </w:rPr>
        <w:t>Ibid.</w:t>
      </w:r>
    </w:p>
  </w:footnote>
  <w:footnote w:id="110">
    <w:p w14:paraId="78CD8A3E" w14:textId="77777777" w:rsidR="00621BE2" w:rsidRPr="009A620C" w:rsidRDefault="00621BE2" w:rsidP="00403232">
      <w:pPr>
        <w:autoSpaceDE w:val="0"/>
        <w:autoSpaceDN w:val="0"/>
        <w:adjustRightInd w:val="0"/>
        <w:spacing w:before="0" w:after="0"/>
        <w:rPr>
          <w:sz w:val="18"/>
          <w:szCs w:val="18"/>
          <w:lang w:val="en-US"/>
        </w:rPr>
      </w:pPr>
      <w:r w:rsidRPr="009A620C">
        <w:rPr>
          <w:rStyle w:val="FootnoteReference"/>
          <w:sz w:val="18"/>
          <w:szCs w:val="18"/>
        </w:rPr>
        <w:footnoteRef/>
      </w:r>
      <w:r w:rsidRPr="009A620C">
        <w:rPr>
          <w:sz w:val="18"/>
          <w:szCs w:val="18"/>
        </w:rPr>
        <w:t xml:space="preserve"> </w:t>
      </w:r>
      <w:r w:rsidRPr="009A620C">
        <w:rPr>
          <w:sz w:val="18"/>
          <w:szCs w:val="18"/>
          <w:lang w:val="en-US"/>
        </w:rPr>
        <w:t>Australian Institute for Health and Welfare</w:t>
      </w:r>
      <w:r>
        <w:rPr>
          <w:sz w:val="18"/>
          <w:szCs w:val="18"/>
          <w:lang w:val="en-US"/>
        </w:rPr>
        <w:t xml:space="preserve"> (AIHW)</w:t>
      </w:r>
      <w:r w:rsidRPr="009A620C">
        <w:rPr>
          <w:sz w:val="18"/>
          <w:szCs w:val="18"/>
          <w:lang w:val="en-US"/>
        </w:rPr>
        <w:t xml:space="preserve"> 2015, </w:t>
      </w:r>
      <w:r w:rsidRPr="009A620C">
        <w:rPr>
          <w:i/>
          <w:sz w:val="18"/>
          <w:szCs w:val="18"/>
          <w:lang w:val="en-US"/>
        </w:rPr>
        <w:t>Screening for domestic violence during pregnancy: Options for future reporting in the National Perinatal Data Collection</w:t>
      </w:r>
      <w:r w:rsidRPr="009A620C">
        <w:rPr>
          <w:sz w:val="18"/>
          <w:szCs w:val="18"/>
          <w:lang w:val="en-US"/>
        </w:rPr>
        <w:t>, Cat. No. PER 71.</w:t>
      </w:r>
    </w:p>
  </w:footnote>
  <w:footnote w:id="111">
    <w:p w14:paraId="003D7678" w14:textId="77777777" w:rsidR="00621BE2" w:rsidRPr="005D2D1C" w:rsidRDefault="00621BE2" w:rsidP="00403232">
      <w:pPr>
        <w:pStyle w:val="FootnoteText"/>
        <w:rPr>
          <w:rFonts w:asciiTheme="minorHAnsi" w:hAnsiTheme="minorHAnsi"/>
          <w:i/>
          <w:szCs w:val="18"/>
          <w:lang w:val="en-US"/>
        </w:rPr>
      </w:pPr>
      <w:r w:rsidRPr="009A620C">
        <w:rPr>
          <w:rStyle w:val="FootnoteReference"/>
          <w:rFonts w:asciiTheme="minorHAnsi" w:hAnsiTheme="minorHAnsi"/>
          <w:szCs w:val="18"/>
        </w:rPr>
        <w:footnoteRef/>
      </w:r>
      <w:r w:rsidRPr="009A620C">
        <w:rPr>
          <w:rFonts w:asciiTheme="minorHAnsi" w:hAnsiTheme="minorHAnsi"/>
          <w:szCs w:val="18"/>
        </w:rPr>
        <w:t xml:space="preserve"> </w:t>
      </w:r>
      <w:r>
        <w:rPr>
          <w:rFonts w:asciiTheme="minorHAnsi" w:hAnsiTheme="minorHAnsi"/>
          <w:szCs w:val="18"/>
          <w:lang w:val="en-US"/>
        </w:rPr>
        <w:t xml:space="preserve">Royal Commision in Family Violence 2016, </w:t>
      </w:r>
      <w:r>
        <w:rPr>
          <w:rFonts w:asciiTheme="minorHAnsi" w:hAnsiTheme="minorHAnsi"/>
          <w:i/>
          <w:szCs w:val="18"/>
          <w:lang w:val="en-US"/>
        </w:rPr>
        <w:t xml:space="preserve">Summary and Recommendations. </w:t>
      </w:r>
    </w:p>
  </w:footnote>
  <w:footnote w:id="112">
    <w:p w14:paraId="50F69C81" w14:textId="77777777" w:rsidR="00621BE2" w:rsidRPr="009A620C" w:rsidRDefault="00621BE2" w:rsidP="00403232">
      <w:pPr>
        <w:pStyle w:val="FootnoteText"/>
        <w:rPr>
          <w:rFonts w:asciiTheme="minorHAnsi" w:hAnsiTheme="minorHAnsi"/>
          <w:szCs w:val="18"/>
          <w:lang w:val="en-US"/>
        </w:rPr>
      </w:pPr>
      <w:r w:rsidRPr="009A620C">
        <w:rPr>
          <w:rStyle w:val="FootnoteReference"/>
          <w:rFonts w:asciiTheme="minorHAnsi" w:hAnsiTheme="minorHAnsi"/>
          <w:szCs w:val="18"/>
        </w:rPr>
        <w:footnoteRef/>
      </w:r>
      <w:r w:rsidRPr="009A620C">
        <w:rPr>
          <w:rFonts w:asciiTheme="minorHAnsi" w:hAnsiTheme="minorHAnsi"/>
          <w:szCs w:val="18"/>
        </w:rPr>
        <w:t xml:space="preserve"> Gay and Lesbian Health Victoria and the Australian Research Centre in Sex, Health and Society</w:t>
      </w:r>
      <w:r>
        <w:rPr>
          <w:rFonts w:asciiTheme="minorHAnsi" w:hAnsiTheme="minorHAnsi"/>
          <w:szCs w:val="18"/>
        </w:rPr>
        <w:t>,</w:t>
      </w:r>
      <w:r w:rsidRPr="009A620C">
        <w:rPr>
          <w:rFonts w:asciiTheme="minorHAnsi" w:hAnsiTheme="minorHAnsi"/>
          <w:szCs w:val="18"/>
        </w:rPr>
        <w:t xml:space="preserve"> Leonard et al, 2006, </w:t>
      </w:r>
      <w:r w:rsidRPr="009A620C">
        <w:rPr>
          <w:rFonts w:asciiTheme="minorHAnsi" w:hAnsiTheme="minorHAnsi"/>
          <w:i/>
          <w:szCs w:val="18"/>
        </w:rPr>
        <w:t>Private Lives</w:t>
      </w:r>
      <w:r>
        <w:rPr>
          <w:rFonts w:asciiTheme="minorHAnsi" w:hAnsiTheme="minorHAnsi"/>
          <w:szCs w:val="18"/>
        </w:rPr>
        <w:t xml:space="preserve">. </w:t>
      </w:r>
    </w:p>
  </w:footnote>
  <w:footnote w:id="113">
    <w:p w14:paraId="1FDEE293"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Gay and Lesbian Health Victoria</w:t>
      </w:r>
      <w:r>
        <w:rPr>
          <w:rFonts w:asciiTheme="minorHAnsi" w:hAnsiTheme="minorHAnsi"/>
          <w:szCs w:val="18"/>
          <w:lang w:val="en-US"/>
        </w:rPr>
        <w:t>,</w:t>
      </w:r>
      <w:r w:rsidRPr="00AF6DD0">
        <w:rPr>
          <w:rFonts w:asciiTheme="minorHAnsi" w:hAnsiTheme="minorHAnsi"/>
          <w:szCs w:val="18"/>
          <w:lang w:val="en-US"/>
        </w:rPr>
        <w:t xml:space="preserve"> Leonard et al., 2008, </w:t>
      </w:r>
      <w:r w:rsidRPr="00AF6DD0">
        <w:rPr>
          <w:rFonts w:asciiTheme="minorHAnsi" w:hAnsiTheme="minorHAnsi"/>
          <w:i/>
          <w:szCs w:val="18"/>
          <w:lang w:val="en-US"/>
        </w:rPr>
        <w:t>Coming Forward: the underreporting of heterosexist violence and same sex partner abuse in Victoria</w:t>
      </w:r>
      <w:r>
        <w:rPr>
          <w:rFonts w:asciiTheme="minorHAnsi" w:hAnsiTheme="minorHAnsi"/>
          <w:szCs w:val="18"/>
          <w:lang w:val="en-US"/>
        </w:rPr>
        <w:t xml:space="preserve">. </w:t>
      </w:r>
    </w:p>
  </w:footnote>
  <w:footnote w:id="114">
    <w:p w14:paraId="44A6DDDF"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5D2D1C">
        <w:rPr>
          <w:rFonts w:asciiTheme="minorHAnsi" w:hAnsiTheme="minorHAnsi"/>
          <w:szCs w:val="18"/>
          <w:lang w:val="en-US"/>
        </w:rPr>
        <w:t>Ibid</w:t>
      </w:r>
      <w:r w:rsidRPr="00AF6DD0">
        <w:rPr>
          <w:rFonts w:asciiTheme="minorHAnsi" w:hAnsiTheme="minorHAnsi"/>
          <w:i/>
          <w:szCs w:val="18"/>
          <w:lang w:val="en-US"/>
        </w:rPr>
        <w:t>.</w:t>
      </w:r>
    </w:p>
  </w:footnote>
  <w:footnote w:id="115">
    <w:p w14:paraId="509A7DE4"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LGBTIQ Domestic and Family Violence Interagency and the Centre for Social Research in Health, University of NSW, 2014, </w:t>
      </w:r>
      <w:r w:rsidRPr="00AF6DD0">
        <w:rPr>
          <w:rFonts w:asciiTheme="minorHAnsi" w:hAnsiTheme="minorHAnsi"/>
          <w:i/>
          <w:szCs w:val="18"/>
        </w:rPr>
        <w:t>Calling it What it Really is: A Report into Lesbian, Gay, Bisexual, Transgender, Gender Diverse, Intersex and Queer Experiences of Domestic and Family Violence</w:t>
      </w:r>
      <w:r w:rsidRPr="00AF6DD0">
        <w:rPr>
          <w:rFonts w:asciiTheme="minorHAnsi" w:hAnsiTheme="minorHAnsi"/>
          <w:szCs w:val="18"/>
        </w:rPr>
        <w:t xml:space="preserve">. </w:t>
      </w:r>
    </w:p>
  </w:footnote>
  <w:footnote w:id="116">
    <w:p w14:paraId="51DC716A"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Leonard et al., 2008, </w:t>
      </w:r>
      <w:r w:rsidRPr="00AF6DD0">
        <w:rPr>
          <w:rFonts w:asciiTheme="minorHAnsi" w:hAnsiTheme="minorHAnsi"/>
          <w:i/>
          <w:szCs w:val="18"/>
          <w:lang w:val="en-US"/>
        </w:rPr>
        <w:t>Coming Forward: the underreporting of heterosexist violence and same sex partner abuse in Victoria</w:t>
      </w:r>
      <w:r w:rsidRPr="00AF6DD0">
        <w:rPr>
          <w:rFonts w:asciiTheme="minorHAnsi" w:hAnsiTheme="minorHAnsi"/>
          <w:szCs w:val="18"/>
          <w:lang w:val="en-US"/>
        </w:rPr>
        <w:t xml:space="preserve">, Gay and Lesbian Health Victoria. </w:t>
      </w:r>
    </w:p>
  </w:footnote>
  <w:footnote w:id="117">
    <w:p w14:paraId="10F7C454"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LGBTIQ Domestic and Family Violence Interagency and the Centre for Social Research in Health, University of NSW, 2014, </w:t>
      </w:r>
      <w:r w:rsidRPr="00AF6DD0">
        <w:rPr>
          <w:rFonts w:asciiTheme="minorHAnsi" w:hAnsiTheme="minorHAnsi"/>
          <w:i/>
          <w:szCs w:val="18"/>
        </w:rPr>
        <w:t>Calling it What it Really is: A Report into Lesbian, Gay, Bisexual, Transgender, Gender Diverse, Intersex and Queer Experiences of Domestic and Family Violence</w:t>
      </w:r>
      <w:r w:rsidRPr="00AF6DD0">
        <w:rPr>
          <w:rFonts w:asciiTheme="minorHAnsi" w:hAnsiTheme="minorHAnsi"/>
          <w:szCs w:val="18"/>
        </w:rPr>
        <w:t>.</w:t>
      </w:r>
    </w:p>
  </w:footnote>
  <w:footnote w:id="118">
    <w:p w14:paraId="0C3395AC" w14:textId="77777777" w:rsidR="00621BE2" w:rsidRPr="00AF6DD0" w:rsidRDefault="00621BE2" w:rsidP="00403232">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Australian Human Rights Commission, 2015, </w:t>
      </w:r>
      <w:r w:rsidRPr="00AF6DD0">
        <w:rPr>
          <w:rFonts w:asciiTheme="minorHAnsi" w:hAnsiTheme="minorHAnsi"/>
          <w:i/>
          <w:szCs w:val="18"/>
          <w:lang w:val="en-US"/>
        </w:rPr>
        <w:t>Children’s Rights Report 2015: National Children’s Commissioner Annual Report</w:t>
      </w:r>
      <w:r>
        <w:rPr>
          <w:rFonts w:asciiTheme="minorHAnsi" w:hAnsiTheme="minorHAnsi"/>
          <w:i/>
          <w:szCs w:val="18"/>
          <w:lang w:val="en-US"/>
        </w:rPr>
        <w:t xml:space="preserve">. </w:t>
      </w:r>
    </w:p>
  </w:footnote>
  <w:footnote w:id="119">
    <w:p w14:paraId="3201A214"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Brownridge, D. 2006, ‘Partner violence against women with disabilities: Prevalence, risks and explanations’, </w:t>
      </w:r>
      <w:r w:rsidRPr="00AF6DD0">
        <w:rPr>
          <w:rFonts w:asciiTheme="minorHAnsi" w:hAnsiTheme="minorHAnsi"/>
          <w:i/>
          <w:szCs w:val="18"/>
        </w:rPr>
        <w:t>Violence against Women</w:t>
      </w:r>
      <w:r>
        <w:rPr>
          <w:rFonts w:asciiTheme="minorHAnsi" w:hAnsiTheme="minorHAnsi"/>
          <w:szCs w:val="18"/>
        </w:rPr>
        <w:t xml:space="preserve"> </w:t>
      </w:r>
      <w:r w:rsidRPr="00AF6DD0">
        <w:rPr>
          <w:rFonts w:asciiTheme="minorHAnsi" w:hAnsiTheme="minorHAnsi"/>
          <w:szCs w:val="18"/>
        </w:rPr>
        <w:t xml:space="preserve">and Frohmader, C. 2014, </w:t>
      </w:r>
      <w:r w:rsidRPr="00AF6DD0">
        <w:rPr>
          <w:rFonts w:asciiTheme="minorHAnsi" w:hAnsiTheme="minorHAnsi"/>
          <w:i/>
          <w:szCs w:val="18"/>
        </w:rPr>
        <w:t>‘Gender Blind, Gender Neutral’: The effectiveness of the National Disability Strategy in improving the lives of women and girls with disabilities</w:t>
      </w:r>
      <w:r w:rsidRPr="00AF6DD0">
        <w:rPr>
          <w:rFonts w:asciiTheme="minorHAnsi" w:hAnsiTheme="minorHAnsi"/>
          <w:szCs w:val="18"/>
        </w:rPr>
        <w:t>.</w:t>
      </w:r>
    </w:p>
  </w:footnote>
  <w:footnote w:id="120">
    <w:p w14:paraId="03B3B4C2"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KPMG 2009, </w:t>
      </w:r>
      <w:r w:rsidRPr="00AF6DD0">
        <w:rPr>
          <w:rFonts w:asciiTheme="minorHAnsi" w:hAnsiTheme="minorHAnsi"/>
          <w:i/>
          <w:szCs w:val="18"/>
        </w:rPr>
        <w:t>Estimating the Cost of Violence Against Women and their Children</w:t>
      </w:r>
      <w:r w:rsidRPr="00AF6DD0">
        <w:rPr>
          <w:rFonts w:asciiTheme="minorHAnsi" w:hAnsiTheme="minorHAnsi"/>
          <w:szCs w:val="18"/>
        </w:rPr>
        <w:t>.</w:t>
      </w:r>
    </w:p>
  </w:footnote>
  <w:footnote w:id="121">
    <w:p w14:paraId="202A21A3"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 (ABS) 2012, </w:t>
      </w:r>
      <w:r w:rsidRPr="00AF6DD0">
        <w:rPr>
          <w:rFonts w:asciiTheme="minorHAnsi" w:hAnsiTheme="minorHAnsi"/>
          <w:i/>
          <w:szCs w:val="18"/>
        </w:rPr>
        <w:t>Personal Safety Survey</w:t>
      </w:r>
      <w:r>
        <w:rPr>
          <w:rFonts w:asciiTheme="minorHAnsi" w:hAnsiTheme="minorHAnsi"/>
          <w:i/>
          <w:szCs w:val="18"/>
        </w:rPr>
        <w:t xml:space="preserve"> 2012</w:t>
      </w:r>
      <w:r w:rsidRPr="00AF6DD0">
        <w:rPr>
          <w:rFonts w:asciiTheme="minorHAnsi" w:hAnsiTheme="minorHAnsi"/>
          <w:szCs w:val="18"/>
        </w:rPr>
        <w:t xml:space="preserve">. </w:t>
      </w:r>
    </w:p>
  </w:footnote>
  <w:footnote w:id="122">
    <w:p w14:paraId="0B5935AC"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Women with Disabilities Australia (WWDA) 2015, </w:t>
      </w:r>
      <w:r w:rsidRPr="00AF6DD0">
        <w:rPr>
          <w:rFonts w:asciiTheme="minorHAnsi" w:hAnsiTheme="minorHAnsi"/>
          <w:i/>
          <w:szCs w:val="18"/>
        </w:rPr>
        <w:t>Understanding Violence Against Women with Disabilities</w:t>
      </w:r>
      <w:r w:rsidRPr="00AF6DD0">
        <w:rPr>
          <w:rFonts w:asciiTheme="minorHAnsi" w:hAnsiTheme="minorHAnsi"/>
          <w:szCs w:val="18"/>
        </w:rPr>
        <w:t xml:space="preserve">. </w:t>
      </w:r>
    </w:p>
  </w:footnote>
  <w:footnote w:id="123">
    <w:p w14:paraId="786CB796" w14:textId="77777777" w:rsidR="00621BE2" w:rsidRPr="00FC29A3"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w:t>
      </w:r>
      <w:r>
        <w:rPr>
          <w:rFonts w:asciiTheme="minorHAnsi" w:hAnsiTheme="minorHAnsi"/>
          <w:szCs w:val="18"/>
        </w:rPr>
        <w:t xml:space="preserve">ustralian Institute of Health and Welfare (AIHW) 2015, </w:t>
      </w:r>
      <w:r w:rsidRPr="00FC29A3">
        <w:rPr>
          <w:rFonts w:asciiTheme="minorHAnsi" w:hAnsiTheme="minorHAnsi"/>
          <w:i/>
          <w:szCs w:val="18"/>
        </w:rPr>
        <w:t>Specialist Homelessness Services collection data cubes 2014-15</w:t>
      </w:r>
      <w:r>
        <w:rPr>
          <w:rFonts w:asciiTheme="minorHAnsi" w:hAnsiTheme="minorHAnsi"/>
          <w:szCs w:val="18"/>
        </w:rPr>
        <w:t>.</w:t>
      </w:r>
    </w:p>
  </w:footnote>
  <w:footnote w:id="124">
    <w:p w14:paraId="7DCBE6DB" w14:textId="77777777" w:rsidR="00621BE2" w:rsidRPr="00AF6DD0" w:rsidRDefault="00621BE2" w:rsidP="00403232">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Women with Disabilities (WWDA) 2014, </w:t>
      </w:r>
      <w:r w:rsidRPr="00AF6DD0">
        <w:rPr>
          <w:rFonts w:asciiTheme="minorHAnsi" w:hAnsiTheme="minorHAnsi"/>
          <w:i/>
          <w:szCs w:val="18"/>
        </w:rPr>
        <w:t>Violence against women with disabilities</w:t>
      </w:r>
      <w:r w:rsidRPr="00AF6DD0">
        <w:rPr>
          <w:rFonts w:asciiTheme="minorHAnsi" w:hAnsiTheme="minorHAnsi"/>
          <w:szCs w:val="18"/>
        </w:rPr>
        <w:t xml:space="preserve">. </w:t>
      </w:r>
    </w:p>
  </w:footnote>
  <w:footnote w:id="125">
    <w:p w14:paraId="12645905" w14:textId="77777777" w:rsidR="00621BE2" w:rsidRPr="00AF6DD0" w:rsidRDefault="00621BE2" w:rsidP="00B717E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CEDAW Committee, General Recommendation No. 19: Violence against Women, UN Doc. A/47/38 (1992), para 7</w:t>
      </w:r>
      <w:r w:rsidRPr="00AF6DD0">
        <w:rPr>
          <w:rFonts w:asciiTheme="minorHAnsi" w:hAnsiTheme="minorHAnsi"/>
          <w:szCs w:val="18"/>
          <w:lang w:val="en"/>
        </w:rPr>
        <w:t xml:space="preserve">, URL: </w:t>
      </w:r>
      <w:r w:rsidRPr="00AF6DD0">
        <w:rPr>
          <w:rFonts w:asciiTheme="minorHAnsi" w:hAnsiTheme="minorHAnsi"/>
          <w:szCs w:val="18"/>
        </w:rPr>
        <w:t>www.un.org/womenwatch/daw/cedaw/recommendations/recomm.htm</w:t>
      </w:r>
      <w:r w:rsidRPr="00AF6DD0">
        <w:rPr>
          <w:rFonts w:asciiTheme="minorHAnsi" w:hAnsiTheme="minorHAnsi"/>
          <w:szCs w:val="18"/>
          <w:lang w:val="en"/>
        </w:rPr>
        <w:t>, Accessed: 10 March 2016.</w:t>
      </w:r>
    </w:p>
  </w:footnote>
  <w:footnote w:id="126">
    <w:p w14:paraId="2EB7D93A" w14:textId="77777777" w:rsidR="00621BE2" w:rsidRPr="00C176AA" w:rsidRDefault="00621BE2" w:rsidP="00B717E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C176AA">
        <w:rPr>
          <w:rFonts w:asciiTheme="minorHAnsi" w:hAnsiTheme="minorHAnsi"/>
          <w:szCs w:val="18"/>
        </w:rPr>
        <w:t>Ibid.</w:t>
      </w:r>
    </w:p>
  </w:footnote>
  <w:footnote w:id="127">
    <w:p w14:paraId="5E1559B0" w14:textId="77777777" w:rsidR="00621BE2" w:rsidRPr="00AF6DD0" w:rsidRDefault="00621BE2" w:rsidP="00B717ED">
      <w:pPr>
        <w:pStyle w:val="FootnoteText"/>
        <w:rPr>
          <w:rFonts w:asciiTheme="minorHAnsi" w:hAnsiTheme="minorHAnsi"/>
          <w:szCs w:val="18"/>
          <w:lang w:val="en-US"/>
        </w:rPr>
      </w:pPr>
      <w:r w:rsidRPr="00C176AA">
        <w:rPr>
          <w:rStyle w:val="FootnoteReference"/>
          <w:rFonts w:asciiTheme="minorHAnsi" w:hAnsiTheme="minorHAnsi"/>
          <w:szCs w:val="18"/>
        </w:rPr>
        <w:footnoteRef/>
      </w:r>
      <w:r w:rsidRPr="00C176AA">
        <w:rPr>
          <w:rFonts w:asciiTheme="minorHAnsi" w:hAnsiTheme="minorHAnsi"/>
          <w:szCs w:val="18"/>
        </w:rPr>
        <w:t xml:space="preserve"> </w:t>
      </w:r>
      <w:r w:rsidRPr="00C176AA">
        <w:rPr>
          <w:rFonts w:asciiTheme="minorHAnsi" w:hAnsiTheme="minorHAnsi"/>
          <w:szCs w:val="18"/>
          <w:lang w:val="en-US"/>
        </w:rPr>
        <w:t>Ibid.</w:t>
      </w:r>
    </w:p>
  </w:footnote>
  <w:footnote w:id="128">
    <w:p w14:paraId="741EAA0C" w14:textId="77777777" w:rsidR="00621BE2" w:rsidRPr="00AF6DD0" w:rsidRDefault="00621BE2" w:rsidP="00B717E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Department of Parliamentary Services 2014, </w:t>
      </w:r>
      <w:r w:rsidRPr="00AF6DD0">
        <w:rPr>
          <w:rFonts w:asciiTheme="minorHAnsi" w:hAnsiTheme="minorHAnsi"/>
          <w:i/>
          <w:szCs w:val="18"/>
          <w:lang w:val="en-US"/>
        </w:rPr>
        <w:t>Domestic, Family and Sexual Violence in Australia: an Overview of the Issues</w:t>
      </w:r>
      <w:r w:rsidRPr="00AF6DD0">
        <w:rPr>
          <w:rFonts w:asciiTheme="minorHAnsi" w:hAnsiTheme="minorHAnsi"/>
          <w:szCs w:val="18"/>
          <w:lang w:val="en-US"/>
        </w:rPr>
        <w:t xml:space="preserve">, URL: </w:t>
      </w:r>
      <w:r w:rsidRPr="00AF6DD0">
        <w:rPr>
          <w:rFonts w:asciiTheme="minorHAnsi" w:hAnsiTheme="minorHAnsi"/>
          <w:szCs w:val="18"/>
        </w:rPr>
        <w:t>parlinfo.aph.gov.au/parlInfo/download/library/prspub/3447585/upload_binary/3447585.pdf;fileType=application/pdf</w:t>
      </w:r>
      <w:r w:rsidRPr="00AF6DD0">
        <w:rPr>
          <w:rFonts w:asciiTheme="minorHAnsi" w:hAnsiTheme="minorHAnsi"/>
          <w:szCs w:val="18"/>
          <w:lang w:val="en-US"/>
        </w:rPr>
        <w:t>, Accessed: 10 March 2016.</w:t>
      </w:r>
    </w:p>
  </w:footnote>
  <w:footnote w:id="129">
    <w:p w14:paraId="576E8AE4" w14:textId="77777777" w:rsidR="00621BE2" w:rsidRPr="00AF6DD0" w:rsidRDefault="00621BE2" w:rsidP="00B717E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Department of Social Services</w:t>
      </w:r>
      <w:r>
        <w:rPr>
          <w:rFonts w:asciiTheme="minorHAnsi" w:hAnsiTheme="minorHAnsi"/>
          <w:szCs w:val="18"/>
          <w:lang w:val="en-US"/>
        </w:rPr>
        <w:t xml:space="preserve"> (DSS)</w:t>
      </w:r>
      <w:r w:rsidRPr="00AF6DD0">
        <w:rPr>
          <w:rFonts w:asciiTheme="minorHAnsi" w:hAnsiTheme="minorHAnsi"/>
          <w:szCs w:val="18"/>
          <w:lang w:val="en-US"/>
        </w:rPr>
        <w:t xml:space="preserve"> 2011, </w:t>
      </w:r>
      <w:r w:rsidRPr="00AF6DD0">
        <w:rPr>
          <w:rFonts w:asciiTheme="minorHAnsi" w:hAnsiTheme="minorHAnsi"/>
          <w:i/>
          <w:szCs w:val="18"/>
          <w:lang w:val="en-US"/>
        </w:rPr>
        <w:t>Culturally and Linguistically Diverse Women and the National Plan to Reduce Violence against Women and their Children</w:t>
      </w:r>
      <w:r>
        <w:rPr>
          <w:rFonts w:asciiTheme="minorHAnsi" w:hAnsiTheme="minorHAnsi"/>
          <w:szCs w:val="18"/>
          <w:lang w:val="en-US"/>
        </w:rPr>
        <w:t>.</w:t>
      </w:r>
    </w:p>
  </w:footnote>
  <w:footnote w:id="130">
    <w:p w14:paraId="46D32279" w14:textId="77777777" w:rsidR="00621BE2" w:rsidRPr="00AF6DD0" w:rsidRDefault="00621BE2" w:rsidP="00B717ED">
      <w:pPr>
        <w:pStyle w:val="FootnoteText"/>
        <w:rPr>
          <w:rFonts w:asciiTheme="minorHAnsi" w:hAnsiTheme="minorHAnsi"/>
          <w: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C176AA">
        <w:rPr>
          <w:rFonts w:asciiTheme="minorHAnsi" w:hAnsiTheme="minorHAnsi"/>
          <w:szCs w:val="18"/>
          <w:lang w:val="en-US"/>
        </w:rPr>
        <w:t>Ibid.</w:t>
      </w:r>
    </w:p>
  </w:footnote>
  <w:footnote w:id="131">
    <w:p w14:paraId="2CDE4709" w14:textId="77777777" w:rsidR="00621BE2" w:rsidRPr="00AF6DD0" w:rsidRDefault="00621BE2" w:rsidP="00B717ED">
      <w:pPr>
        <w:pStyle w:val="FootnoteText"/>
        <w:rPr>
          <w:rFonts w:asciiTheme="minorHAnsi" w:hAnsiTheme="minorHAnsi"/>
          <w: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PwC 2015, </w:t>
      </w:r>
      <w:r w:rsidRPr="00AF6DD0">
        <w:rPr>
          <w:rFonts w:asciiTheme="minorHAnsi" w:hAnsiTheme="minorHAnsi"/>
          <w:i/>
          <w:szCs w:val="18"/>
          <w:lang w:val="en-US"/>
        </w:rPr>
        <w:t>A High Price to Pay, The economic case for preventing violence against women</w:t>
      </w:r>
      <w:r>
        <w:rPr>
          <w:rFonts w:asciiTheme="minorHAnsi" w:hAnsiTheme="minorHAnsi"/>
          <w:i/>
          <w:szCs w:val="18"/>
          <w:lang w:val="en-US"/>
        </w:rPr>
        <w:t>.</w:t>
      </w:r>
      <w:r w:rsidRPr="00AF6DD0">
        <w:rPr>
          <w:rFonts w:asciiTheme="minorHAnsi" w:hAnsiTheme="minorHAnsi"/>
          <w:szCs w:val="18"/>
          <w:lang w:val="en-US"/>
        </w:rPr>
        <w:t xml:space="preserve"> </w:t>
      </w:r>
    </w:p>
  </w:footnote>
  <w:footnote w:id="132">
    <w:p w14:paraId="6657FE42"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Royal Commission into Family Violence 2015, </w:t>
      </w:r>
      <w:r w:rsidRPr="00AF6DD0">
        <w:rPr>
          <w:rFonts w:asciiTheme="minorHAnsi" w:hAnsiTheme="minorHAnsi"/>
          <w:i/>
          <w:szCs w:val="18"/>
        </w:rPr>
        <w:t>Report and Recommendations</w:t>
      </w:r>
      <w:r>
        <w:rPr>
          <w:rFonts w:asciiTheme="minorHAnsi" w:hAnsiTheme="minorHAnsi"/>
          <w:i/>
          <w:szCs w:val="18"/>
        </w:rPr>
        <w:t xml:space="preserve">, </w:t>
      </w:r>
      <w:r w:rsidRPr="00AF6DD0">
        <w:rPr>
          <w:rFonts w:asciiTheme="minorHAnsi" w:hAnsiTheme="minorHAnsi"/>
          <w:szCs w:val="18"/>
        </w:rPr>
        <w:t>http://www.rcfv.com.au/Report-Recommendations</w:t>
      </w:r>
      <w:r>
        <w:rPr>
          <w:rFonts w:asciiTheme="minorHAnsi" w:hAnsiTheme="minorHAnsi"/>
          <w:szCs w:val="18"/>
        </w:rPr>
        <w:t xml:space="preserve">, Accessed: 30 March 2016. </w:t>
      </w:r>
    </w:p>
  </w:footnote>
  <w:footnote w:id="133">
    <w:p w14:paraId="58C20995" w14:textId="77777777" w:rsidR="00621BE2" w:rsidRPr="00AF6DD0" w:rsidRDefault="00621BE2" w:rsidP="00B717E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TNS Australia 2015, </w:t>
      </w:r>
      <w:r w:rsidRPr="00AF6DD0">
        <w:rPr>
          <w:rFonts w:asciiTheme="minorHAnsi" w:hAnsiTheme="minorHAnsi"/>
          <w:i/>
          <w:szCs w:val="18"/>
          <w:lang w:val="en-US"/>
        </w:rPr>
        <w:t>Reducing violence against women and their children: Research informing the development of a national campaign</w:t>
      </w:r>
      <w:r w:rsidRPr="00AF6DD0">
        <w:rPr>
          <w:rFonts w:asciiTheme="minorHAnsi" w:hAnsiTheme="minorHAnsi"/>
          <w:szCs w:val="18"/>
          <w:lang w:val="en-US"/>
        </w:rPr>
        <w:t xml:space="preserve">, URL: </w:t>
      </w:r>
      <w:r w:rsidRPr="00AF6DD0">
        <w:rPr>
          <w:rFonts w:asciiTheme="minorHAnsi" w:hAnsiTheme="minorHAnsi"/>
          <w:szCs w:val="18"/>
        </w:rPr>
        <w:t>www.dss.gov.au/sites/default/files/documents/11_2015/dss_violence_against_women_public_report.pdf</w:t>
      </w:r>
      <w:r w:rsidRPr="00AF6DD0">
        <w:rPr>
          <w:rFonts w:asciiTheme="minorHAnsi" w:hAnsiTheme="minorHAnsi"/>
          <w:szCs w:val="18"/>
          <w:lang w:val="en-US"/>
        </w:rPr>
        <w:t>, Accessed: 10 March 2016.</w:t>
      </w:r>
    </w:p>
  </w:footnote>
  <w:footnote w:id="134">
    <w:p w14:paraId="26F690A4" w14:textId="77777777" w:rsidR="00621BE2" w:rsidRPr="00AF6DD0" w:rsidRDefault="00621BE2" w:rsidP="00B717E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2C088F">
        <w:rPr>
          <w:rFonts w:asciiTheme="minorHAnsi" w:hAnsiTheme="minorHAnsi"/>
          <w:szCs w:val="18"/>
          <w:lang w:val="en-US"/>
        </w:rPr>
        <w:t>Ibid.</w:t>
      </w:r>
    </w:p>
  </w:footnote>
  <w:footnote w:id="135">
    <w:p w14:paraId="5C17B28D" w14:textId="77777777" w:rsidR="00621BE2" w:rsidRPr="00F8438D" w:rsidRDefault="00621BE2">
      <w:pPr>
        <w:pStyle w:val="FootnoteText"/>
        <w:rPr>
          <w:rFonts w:asciiTheme="minorHAnsi" w:hAnsiTheme="minorHAnsi"/>
          <w:szCs w:val="18"/>
        </w:rPr>
      </w:pPr>
      <w:r>
        <w:rPr>
          <w:rStyle w:val="FootnoteReference"/>
        </w:rPr>
        <w:footnoteRef/>
      </w:r>
      <w:r>
        <w:t xml:space="preserve"> </w:t>
      </w:r>
      <w:r w:rsidRPr="00F8438D">
        <w:rPr>
          <w:rFonts w:asciiTheme="minorHAnsi" w:hAnsiTheme="minorHAnsi"/>
          <w:szCs w:val="18"/>
        </w:rPr>
        <w:t>Crime Statistics Agency Victoria.</w:t>
      </w:r>
    </w:p>
  </w:footnote>
  <w:footnote w:id="136">
    <w:p w14:paraId="1429B64C" w14:textId="77777777" w:rsidR="00621BE2" w:rsidRPr="00F8438D" w:rsidRDefault="00621BE2">
      <w:pPr>
        <w:pStyle w:val="FootnoteText"/>
        <w:rPr>
          <w:rFonts w:asciiTheme="minorHAnsi" w:hAnsiTheme="minorHAnsi"/>
          <w:szCs w:val="18"/>
        </w:rPr>
      </w:pPr>
      <w:r>
        <w:rPr>
          <w:rStyle w:val="FootnoteReference"/>
        </w:rPr>
        <w:footnoteRef/>
      </w:r>
      <w:r>
        <w:t xml:space="preserve"> </w:t>
      </w:r>
      <w:r w:rsidRPr="00F8438D">
        <w:rPr>
          <w:rFonts w:asciiTheme="minorHAnsi" w:hAnsiTheme="minorHAnsi"/>
          <w:szCs w:val="18"/>
        </w:rPr>
        <w:t>NSW Bureau of Crime Statistics and Research.</w:t>
      </w:r>
    </w:p>
  </w:footnote>
  <w:footnote w:id="137">
    <w:p w14:paraId="1F434ABE" w14:textId="77777777" w:rsidR="00621BE2" w:rsidRDefault="00621BE2">
      <w:pPr>
        <w:pStyle w:val="FootnoteText"/>
      </w:pPr>
      <w:r>
        <w:rPr>
          <w:rStyle w:val="FootnoteReference"/>
        </w:rPr>
        <w:footnoteRef/>
      </w:r>
      <w:r>
        <w:t xml:space="preserve"> </w:t>
      </w:r>
      <w:r w:rsidRPr="00F8438D">
        <w:rPr>
          <w:rFonts w:asciiTheme="minorHAnsi" w:hAnsiTheme="minorHAnsi"/>
          <w:szCs w:val="18"/>
        </w:rPr>
        <w:t>Northern Territory Yearly Assault Statistics, Department of the Attorney General and Justice.</w:t>
      </w:r>
    </w:p>
  </w:footnote>
  <w:footnote w:id="138">
    <w:p w14:paraId="73971949"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Rowe, M. 2013, “Perceptions of Fear of Crime and Punitivity in New Zealand” in Kury, H. and Winterdyk, J. (eds), </w:t>
      </w:r>
      <w:r w:rsidRPr="00AF6DD0">
        <w:rPr>
          <w:rFonts w:asciiTheme="minorHAnsi" w:hAnsiTheme="minorHAnsi"/>
          <w:i/>
          <w:szCs w:val="18"/>
        </w:rPr>
        <w:t>Fear of Crime and Punitiveness</w:t>
      </w:r>
      <w:r w:rsidRPr="00AF6DD0">
        <w:rPr>
          <w:rFonts w:asciiTheme="minorHAnsi" w:hAnsiTheme="minorHAnsi"/>
          <w:szCs w:val="18"/>
        </w:rPr>
        <w:t xml:space="preserve">. </w:t>
      </w:r>
    </w:p>
  </w:footnote>
  <w:footnote w:id="139">
    <w:p w14:paraId="06B2038E" w14:textId="77777777" w:rsidR="00621BE2" w:rsidRPr="00E127F4" w:rsidRDefault="00621BE2" w:rsidP="00E127F4">
      <w:pPr>
        <w:pStyle w:val="FootnoteText"/>
        <w:rPr>
          <w:szCs w:val="18"/>
        </w:rPr>
      </w:pPr>
      <w:r w:rsidRPr="00AF6DD0">
        <w:rPr>
          <w:rFonts w:asciiTheme="minorHAnsi" w:hAnsiTheme="minorHAnsi"/>
          <w:szCs w:val="18"/>
          <w:vertAlign w:val="superscript"/>
        </w:rPr>
        <w:footnoteRef/>
      </w:r>
      <w:r w:rsidRPr="00AF6DD0">
        <w:rPr>
          <w:rFonts w:asciiTheme="minorHAnsi" w:hAnsiTheme="minorHAnsi"/>
          <w:szCs w:val="18"/>
        </w:rPr>
        <w:t xml:space="preserve"> </w:t>
      </w:r>
      <w:r w:rsidRPr="00E127F4">
        <w:rPr>
          <w:rFonts w:asciiTheme="minorHAnsi" w:hAnsiTheme="minorHAnsi"/>
          <w:szCs w:val="18"/>
        </w:rPr>
        <w:t xml:space="preserve">Australian Institute of Health and Wellbeing (AIHW) 2015, </w:t>
      </w:r>
      <w:r w:rsidRPr="00E127F4">
        <w:rPr>
          <w:rFonts w:asciiTheme="minorHAnsi" w:hAnsiTheme="minorHAnsi"/>
          <w:i/>
          <w:szCs w:val="18"/>
        </w:rPr>
        <w:t>Specialist Homelessness Services collection data cubes 2014-15</w:t>
      </w:r>
      <w:r w:rsidRPr="00E127F4">
        <w:rPr>
          <w:rFonts w:asciiTheme="minorHAnsi" w:hAnsiTheme="minorHAnsi"/>
          <w:szCs w:val="18"/>
        </w:rPr>
        <w:t>.</w:t>
      </w:r>
    </w:p>
    <w:p w14:paraId="763EFFC7" w14:textId="77777777" w:rsidR="00621BE2" w:rsidRPr="00AF6DD0" w:rsidRDefault="00621BE2" w:rsidP="00B717ED">
      <w:pPr>
        <w:pStyle w:val="FootnoteText"/>
        <w:rPr>
          <w:rFonts w:asciiTheme="minorHAnsi" w:hAnsiTheme="minorHAnsi"/>
          <w:szCs w:val="18"/>
        </w:rPr>
      </w:pPr>
    </w:p>
  </w:footnote>
  <w:footnote w:id="140">
    <w:p w14:paraId="69E7610A"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NSW Bureau of Crime Statistics and Research (BOCSAR) 2013, </w:t>
      </w:r>
      <w:r w:rsidRPr="00AF6DD0">
        <w:rPr>
          <w:rFonts w:asciiTheme="minorHAnsi" w:hAnsiTheme="minorHAnsi"/>
          <w:i/>
          <w:szCs w:val="18"/>
        </w:rPr>
        <w:t>Reporting Violence to Police: A Survey of victims attending domestic violence services.</w:t>
      </w:r>
      <w:r w:rsidRPr="00AF6DD0">
        <w:rPr>
          <w:rFonts w:asciiTheme="minorHAnsi" w:hAnsiTheme="minorHAnsi"/>
          <w:szCs w:val="18"/>
        </w:rPr>
        <w:t xml:space="preserve"> </w:t>
      </w:r>
    </w:p>
  </w:footnote>
  <w:footnote w:id="141">
    <w:p w14:paraId="6C829E43"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rPr>
        <w:t xml:space="preserve">Australian Bureau of Statistics (ABS) 2012, </w:t>
      </w:r>
      <w:r w:rsidRPr="00BB2CF6">
        <w:rPr>
          <w:rFonts w:asciiTheme="minorHAnsi" w:hAnsiTheme="minorHAnsi"/>
          <w:i/>
          <w:szCs w:val="18"/>
        </w:rPr>
        <w:t>Personal Safety Survey 2012</w:t>
      </w:r>
      <w:r>
        <w:rPr>
          <w:rFonts w:asciiTheme="minorHAnsi" w:hAnsiTheme="minorHAnsi"/>
          <w:szCs w:val="18"/>
        </w:rPr>
        <w:t>.</w:t>
      </w:r>
    </w:p>
  </w:footnote>
  <w:footnote w:id="142">
    <w:p w14:paraId="69FE642D" w14:textId="77777777" w:rsidR="00621BE2" w:rsidRPr="00BB2CF6"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w:t>
      </w:r>
      <w:r>
        <w:rPr>
          <w:rFonts w:asciiTheme="minorHAnsi" w:hAnsiTheme="minorHAnsi"/>
          <w:szCs w:val="18"/>
        </w:rPr>
        <w:t>ustralian Institute of Health and Wellbeing (AIHW) 2015,</w:t>
      </w:r>
      <w:r w:rsidRPr="00AF6DD0">
        <w:rPr>
          <w:rFonts w:asciiTheme="minorHAnsi" w:hAnsiTheme="minorHAnsi"/>
          <w:szCs w:val="18"/>
        </w:rPr>
        <w:t xml:space="preserve"> </w:t>
      </w:r>
      <w:r w:rsidRPr="00BB2CF6">
        <w:rPr>
          <w:rFonts w:asciiTheme="minorHAnsi" w:hAnsiTheme="minorHAnsi"/>
          <w:i/>
          <w:szCs w:val="18"/>
        </w:rPr>
        <w:t>Specialist Homelessness Services collection data cubes 2014-15</w:t>
      </w:r>
      <w:r>
        <w:rPr>
          <w:rFonts w:asciiTheme="minorHAnsi" w:hAnsiTheme="minorHAnsi"/>
          <w:szCs w:val="18"/>
        </w:rPr>
        <w:t>.</w:t>
      </w:r>
    </w:p>
  </w:footnote>
  <w:footnote w:id="143">
    <w:p w14:paraId="5F560BA8"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 (ABS) 2012, </w:t>
      </w:r>
      <w:r w:rsidRPr="00AF6DD0">
        <w:rPr>
          <w:rFonts w:asciiTheme="minorHAnsi" w:hAnsiTheme="minorHAnsi"/>
          <w:i/>
          <w:szCs w:val="18"/>
        </w:rPr>
        <w:t>Personal Safety Survey 2012</w:t>
      </w:r>
      <w:r w:rsidRPr="00AF6DD0">
        <w:rPr>
          <w:rFonts w:asciiTheme="minorHAnsi" w:hAnsiTheme="minorHAnsi"/>
          <w:szCs w:val="18"/>
        </w:rPr>
        <w:t xml:space="preserve">. </w:t>
      </w:r>
    </w:p>
  </w:footnote>
  <w:footnote w:id="144">
    <w:p w14:paraId="030A08CC"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Bureau of Statistics (ABS) 2008, </w:t>
      </w:r>
      <w:r w:rsidRPr="00AF6DD0">
        <w:rPr>
          <w:rFonts w:asciiTheme="minorHAnsi" w:hAnsiTheme="minorHAnsi"/>
          <w:i/>
          <w:szCs w:val="18"/>
        </w:rPr>
        <w:t>National Aboriginal and Torres Strait Islander Social Survey 2008</w:t>
      </w:r>
      <w:r w:rsidRPr="00AF6DD0">
        <w:rPr>
          <w:rFonts w:asciiTheme="minorHAnsi" w:hAnsiTheme="minorHAnsi"/>
          <w:szCs w:val="18"/>
        </w:rPr>
        <w:t>.</w:t>
      </w:r>
    </w:p>
  </w:footnote>
  <w:footnote w:id="145">
    <w:p w14:paraId="330028A4" w14:textId="77777777" w:rsidR="00621BE2" w:rsidRPr="00AF6DD0" w:rsidRDefault="00621BE2" w:rsidP="00B717ED">
      <w:pPr>
        <w:pStyle w:val="FootnoteText"/>
        <w:rPr>
          <w:rFonts w:asciiTheme="minorHAnsi" w:hAnsiTheme="minorHAnsi" w:cs="Circular Std Bold"/>
          <w:szCs w:val="18"/>
        </w:rPr>
      </w:pPr>
      <w:r w:rsidRPr="00AF6DD0">
        <w:rPr>
          <w:rStyle w:val="FootnoteReference"/>
          <w:rFonts w:asciiTheme="minorHAnsi" w:hAnsiTheme="minorHAnsi" w:cs="Circular Std Bold"/>
          <w:szCs w:val="18"/>
        </w:rPr>
        <w:footnoteRef/>
      </w:r>
      <w:r w:rsidRPr="00AF6DD0">
        <w:rPr>
          <w:rFonts w:asciiTheme="minorHAnsi" w:hAnsiTheme="minorHAnsi" w:cs="Circular Std Bold"/>
          <w:szCs w:val="18"/>
        </w:rPr>
        <w:t xml:space="preserve"> Australian Bureau of Statistics (ABS) 2013, </w:t>
      </w:r>
      <w:r w:rsidRPr="00AF6DD0">
        <w:rPr>
          <w:rFonts w:asciiTheme="minorHAnsi" w:hAnsiTheme="minorHAnsi" w:cs="Circular Std Bold"/>
          <w:i/>
          <w:szCs w:val="18"/>
        </w:rPr>
        <w:t>Personal Safety Survey</w:t>
      </w:r>
      <w:r>
        <w:rPr>
          <w:rFonts w:asciiTheme="minorHAnsi" w:hAnsiTheme="minorHAnsi" w:cs="Circular Std Bold"/>
          <w:i/>
          <w:szCs w:val="18"/>
        </w:rPr>
        <w:t xml:space="preserve"> 2012</w:t>
      </w:r>
      <w:r w:rsidRPr="00AF6DD0">
        <w:rPr>
          <w:rFonts w:asciiTheme="minorHAnsi" w:hAnsiTheme="minorHAnsi" w:cs="Circular Std Bold"/>
          <w:i/>
          <w:szCs w:val="18"/>
        </w:rPr>
        <w:t>.</w:t>
      </w:r>
      <w:r w:rsidRPr="00AF6DD0">
        <w:rPr>
          <w:rFonts w:asciiTheme="minorHAnsi" w:hAnsiTheme="minorHAnsi" w:cs="Circular Std Bold"/>
          <w:szCs w:val="18"/>
        </w:rPr>
        <w:t xml:space="preserve"> </w:t>
      </w:r>
    </w:p>
  </w:footnote>
  <w:footnote w:id="146">
    <w:p w14:paraId="2823EDB4"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Our Watch, VicHealth, ANROWS 2015, </w:t>
      </w:r>
      <w:r w:rsidRPr="00AF6DD0">
        <w:rPr>
          <w:rFonts w:asciiTheme="minorHAnsi" w:hAnsiTheme="minorHAnsi"/>
          <w:i/>
          <w:szCs w:val="18"/>
        </w:rPr>
        <w:t>Change the story: A shared framework for the primary prevention of violence against women and their children in Australia</w:t>
      </w:r>
      <w:r w:rsidRPr="00AF6DD0">
        <w:rPr>
          <w:rFonts w:asciiTheme="minorHAnsi" w:hAnsiTheme="minorHAnsi"/>
          <w:szCs w:val="18"/>
        </w:rPr>
        <w:t xml:space="preserve">. </w:t>
      </w:r>
    </w:p>
  </w:footnote>
  <w:footnote w:id="147">
    <w:p w14:paraId="0562DFDF" w14:textId="77777777" w:rsidR="00621BE2" w:rsidRPr="00AF6DD0" w:rsidRDefault="00621BE2" w:rsidP="00B717ED">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Ibid. </w:t>
      </w:r>
    </w:p>
  </w:footnote>
  <w:footnote w:id="148">
    <w:p w14:paraId="3D331A72" w14:textId="77777777" w:rsidR="00621BE2" w:rsidRPr="00AF6DD0" w:rsidRDefault="00621BE2" w:rsidP="00B717ED">
      <w:pPr>
        <w:pStyle w:val="FootnoteText"/>
        <w:rPr>
          <w:rFonts w:asciiTheme="minorHAnsi" w:hAnsiTheme="minorHAnsi"/>
          <w:szCs w:val="18"/>
          <w:lang w:val="en-US"/>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cs="Arial"/>
          <w:szCs w:val="18"/>
          <w:lang w:val="en"/>
        </w:rPr>
        <w:t>WIRE Women’s Information 2014</w:t>
      </w:r>
      <w:r w:rsidRPr="00AF6DD0">
        <w:rPr>
          <w:rFonts w:asciiTheme="minorHAnsi" w:hAnsiTheme="minorHAnsi" w:cs="Arial"/>
          <w:i/>
          <w:szCs w:val="18"/>
          <w:lang w:val="en"/>
        </w:rPr>
        <w:t>, WIRE Research Report: Relationship Problems and Money - Women talk about financial abuse</w:t>
      </w:r>
      <w:r w:rsidRPr="00AF6DD0">
        <w:rPr>
          <w:rFonts w:asciiTheme="minorHAnsi" w:hAnsiTheme="minorHAnsi" w:cs="Arial"/>
          <w:szCs w:val="18"/>
          <w:lang w:val="en"/>
        </w:rPr>
        <w:t>, URL: http://www.wire.org.au/wp-content/uploads/2014/08/WIRE-Research-Report_Relationship-Problems-and-Money-Women-talk-about-financial-abuse-August2014.pdf, Accessed: 9 March 2016.</w:t>
      </w:r>
    </w:p>
  </w:footnote>
  <w:footnote w:id="149">
    <w:p w14:paraId="6C8A563C" w14:textId="77777777" w:rsidR="00621BE2" w:rsidRPr="00AF6DD0" w:rsidRDefault="00621BE2" w:rsidP="00B717ED">
      <w:pPr>
        <w:pStyle w:val="FootnoteText"/>
        <w:rPr>
          <w:rFonts w:asciiTheme="minorHAnsi" w:hAnsiTheme="minorHAnsi" w:cs="Arial"/>
          <w:szCs w:val="18"/>
          <w:lang w:val="en"/>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szCs w:val="18"/>
          <w:lang w:val="en-US"/>
        </w:rPr>
        <w:t xml:space="preserve"> </w:t>
      </w:r>
      <w:r w:rsidRPr="00AF6DD0">
        <w:rPr>
          <w:rFonts w:asciiTheme="minorHAnsi" w:hAnsiTheme="minorHAnsi" w:cs="Arial"/>
          <w:szCs w:val="18"/>
          <w:lang w:val="en"/>
        </w:rPr>
        <w:t xml:space="preserve">VicHealth 2014, </w:t>
      </w:r>
      <w:r w:rsidRPr="00AF6DD0">
        <w:rPr>
          <w:rFonts w:asciiTheme="minorHAnsi" w:hAnsiTheme="minorHAnsi" w:cs="Arial"/>
          <w:i/>
          <w:szCs w:val="18"/>
          <w:lang w:val="en"/>
        </w:rPr>
        <w:t>Australians’ attitudes to violence against women: Findings from the 2013 National Community Attitudes towards Violence Against Women Survey (NCAS)</w:t>
      </w:r>
      <w:r w:rsidRPr="00AF6DD0">
        <w:rPr>
          <w:rFonts w:asciiTheme="minorHAnsi" w:hAnsiTheme="minorHAnsi" w:cs="Arial"/>
          <w:szCs w:val="18"/>
          <w:lang w:val="en"/>
        </w:rPr>
        <w:t>, URL: https://www.vichealth.vic.gov.au/media-and-resources/publications/2013-national-community-attitudes-towards-violence-against-women-survey, Accessed: 9 March 2016</w:t>
      </w:r>
      <w:r>
        <w:rPr>
          <w:rFonts w:asciiTheme="minorHAnsi" w:hAnsiTheme="minorHAnsi" w:cs="Arial"/>
          <w:szCs w:val="18"/>
          <w:lang w:val="en"/>
        </w:rPr>
        <w:t xml:space="preserve">. </w:t>
      </w:r>
    </w:p>
  </w:footnote>
  <w:footnote w:id="150">
    <w:p w14:paraId="363E79D4" w14:textId="77777777" w:rsidR="00F06ABF" w:rsidRPr="00AF6DD0" w:rsidRDefault="00F06ABF" w:rsidP="00F06AB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Campo, Monica 2015, </w:t>
      </w:r>
      <w:r w:rsidRPr="00AF6DD0">
        <w:rPr>
          <w:rFonts w:asciiTheme="minorHAnsi" w:hAnsiTheme="minorHAnsi"/>
          <w:i/>
          <w:iCs/>
          <w:szCs w:val="18"/>
        </w:rPr>
        <w:t>Children’s exposure to domestic and family violence</w:t>
      </w:r>
      <w:r w:rsidRPr="00AF6DD0">
        <w:rPr>
          <w:rFonts w:asciiTheme="minorHAnsi" w:hAnsiTheme="minorHAnsi"/>
          <w:szCs w:val="18"/>
        </w:rPr>
        <w:t xml:space="preserve"> – </w:t>
      </w:r>
      <w:r w:rsidRPr="00AF6DD0">
        <w:rPr>
          <w:rFonts w:asciiTheme="minorHAnsi" w:hAnsiTheme="minorHAnsi"/>
          <w:i/>
          <w:iCs/>
          <w:szCs w:val="18"/>
        </w:rPr>
        <w:t>key issues and responses</w:t>
      </w:r>
      <w:r w:rsidRPr="00AF6DD0">
        <w:rPr>
          <w:rFonts w:asciiTheme="minorHAnsi" w:hAnsiTheme="minorHAnsi"/>
          <w:szCs w:val="18"/>
        </w:rPr>
        <w:t>, Australian Institute of Family Studies.</w:t>
      </w:r>
    </w:p>
  </w:footnote>
  <w:footnote w:id="151">
    <w:p w14:paraId="15D49D73" w14:textId="77777777" w:rsidR="00F06ABF" w:rsidRPr="00AF6DD0" w:rsidRDefault="00F06ABF" w:rsidP="00F06AB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Bromfield, L., Lamont</w:t>
      </w:r>
      <w:r>
        <w:rPr>
          <w:rFonts w:asciiTheme="minorHAnsi" w:hAnsiTheme="minorHAnsi"/>
          <w:szCs w:val="18"/>
        </w:rPr>
        <w:t>, A., Parker, R. &amp; Horsfall, B.</w:t>
      </w:r>
      <w:r w:rsidRPr="00AF6DD0">
        <w:rPr>
          <w:rFonts w:asciiTheme="minorHAnsi" w:hAnsiTheme="minorHAnsi"/>
          <w:szCs w:val="18"/>
        </w:rPr>
        <w:t xml:space="preserve"> 2010, </w:t>
      </w:r>
      <w:r w:rsidRPr="00AF6DD0">
        <w:rPr>
          <w:rFonts w:asciiTheme="minorHAnsi" w:hAnsiTheme="minorHAnsi"/>
          <w:i/>
          <w:szCs w:val="18"/>
        </w:rPr>
        <w:t>Issues for the safety and wellbeing of children in families with multiple and complex problems</w:t>
      </w:r>
      <w:r w:rsidRPr="00AF6DD0">
        <w:rPr>
          <w:rFonts w:asciiTheme="minorHAnsi" w:hAnsiTheme="minorHAnsi"/>
          <w:szCs w:val="18"/>
        </w:rPr>
        <w:t xml:space="preserve">, Australian Institute of Family Studies. </w:t>
      </w:r>
    </w:p>
  </w:footnote>
  <w:footnote w:id="152">
    <w:p w14:paraId="18A8F9AE" w14:textId="77777777" w:rsidR="00F06ABF" w:rsidRPr="00AF6DD0" w:rsidRDefault="00F06ABF" w:rsidP="00F06AB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Ibid. </w:t>
      </w:r>
    </w:p>
  </w:footnote>
  <w:footnote w:id="153">
    <w:p w14:paraId="257F44D4" w14:textId="77777777" w:rsidR="00F06ABF" w:rsidRPr="00AF6DD0" w:rsidRDefault="00F06ABF" w:rsidP="00F06AB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Cou</w:t>
      </w:r>
      <w:r>
        <w:rPr>
          <w:rFonts w:asciiTheme="minorHAnsi" w:hAnsiTheme="minorHAnsi"/>
          <w:szCs w:val="18"/>
        </w:rPr>
        <w:t xml:space="preserve">ncil of Australian Governments </w:t>
      </w:r>
      <w:r w:rsidRPr="00AF6DD0">
        <w:rPr>
          <w:rFonts w:asciiTheme="minorHAnsi" w:hAnsiTheme="minorHAnsi"/>
          <w:szCs w:val="18"/>
        </w:rPr>
        <w:t xml:space="preserve">2009, </w:t>
      </w:r>
      <w:r w:rsidRPr="00AF6DD0">
        <w:rPr>
          <w:rFonts w:asciiTheme="minorHAnsi" w:hAnsiTheme="minorHAnsi"/>
          <w:i/>
          <w:szCs w:val="18"/>
        </w:rPr>
        <w:t>National Framework for Protecting Australia’s Children 2009-2020: Protecting Children is Everyone’s Business</w:t>
      </w:r>
      <w:r>
        <w:rPr>
          <w:rFonts w:asciiTheme="minorHAnsi" w:hAnsiTheme="minorHAnsi"/>
          <w:szCs w:val="18"/>
        </w:rPr>
        <w:t>.</w:t>
      </w:r>
    </w:p>
  </w:footnote>
  <w:footnote w:id="154">
    <w:p w14:paraId="3E052D9E" w14:textId="77777777" w:rsidR="007D175F" w:rsidRPr="00AF6DD0" w:rsidRDefault="007D175F" w:rsidP="007D175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t>
      </w:r>
      <w:r w:rsidRPr="00AF6DD0">
        <w:rPr>
          <w:rFonts w:asciiTheme="minorHAnsi" w:hAnsiTheme="minorHAnsi" w:cs="Arial"/>
          <w:color w:val="222222"/>
          <w:szCs w:val="18"/>
        </w:rPr>
        <w:t>NSW Population Health Survey (SAPHaRI) NSW 2014, Centre for Epidemiology and Evidence, NSW Ministry of Health.</w:t>
      </w:r>
    </w:p>
  </w:footnote>
  <w:footnote w:id="155">
    <w:p w14:paraId="67B3E51B" w14:textId="77777777" w:rsidR="007D175F" w:rsidRPr="00AF6DD0" w:rsidRDefault="007D175F" w:rsidP="007D175F">
      <w:pPr>
        <w:spacing w:before="0" w:after="0"/>
        <w:rPr>
          <w:sz w:val="18"/>
          <w:szCs w:val="18"/>
        </w:rPr>
      </w:pPr>
      <w:r w:rsidRPr="00AF6DD0">
        <w:rPr>
          <w:rStyle w:val="FootnoteReference"/>
          <w:sz w:val="18"/>
          <w:szCs w:val="18"/>
        </w:rPr>
        <w:footnoteRef/>
      </w:r>
      <w:r w:rsidRPr="00AF6DD0">
        <w:rPr>
          <w:sz w:val="18"/>
          <w:szCs w:val="18"/>
        </w:rPr>
        <w:t xml:space="preserve"> Campo, M. &amp; Tayton, S., 2015, </w:t>
      </w:r>
      <w:r w:rsidRPr="00AF6DD0">
        <w:rPr>
          <w:i/>
          <w:sz w:val="18"/>
          <w:szCs w:val="18"/>
        </w:rPr>
        <w:t>Domestic and family violence in regional, rural and remote communities</w:t>
      </w:r>
      <w:r w:rsidRPr="00AF6DD0">
        <w:rPr>
          <w:sz w:val="18"/>
          <w:szCs w:val="18"/>
        </w:rPr>
        <w:t xml:space="preserve">, Australian Institute of Family Studies. </w:t>
      </w:r>
    </w:p>
  </w:footnote>
  <w:footnote w:id="156">
    <w:p w14:paraId="7B692D6C" w14:textId="77777777" w:rsidR="007D175F" w:rsidRPr="00AF6DD0" w:rsidRDefault="007D175F" w:rsidP="007D175F">
      <w:pPr>
        <w:spacing w:before="0" w:after="0"/>
        <w:rPr>
          <w:sz w:val="18"/>
          <w:szCs w:val="18"/>
        </w:rPr>
      </w:pPr>
      <w:r w:rsidRPr="00AF6DD0">
        <w:rPr>
          <w:rStyle w:val="FootnoteReference"/>
          <w:sz w:val="18"/>
          <w:szCs w:val="18"/>
        </w:rPr>
        <w:footnoteRef/>
      </w:r>
      <w:r w:rsidRPr="00AF6DD0">
        <w:rPr>
          <w:sz w:val="18"/>
          <w:szCs w:val="18"/>
        </w:rPr>
        <w:t xml:space="preserve"> </w:t>
      </w:r>
      <w:r>
        <w:rPr>
          <w:sz w:val="18"/>
          <w:szCs w:val="18"/>
        </w:rPr>
        <w:t>Ibid.</w:t>
      </w:r>
    </w:p>
  </w:footnote>
  <w:footnote w:id="157">
    <w:p w14:paraId="0D0088AA" w14:textId="77777777" w:rsidR="007D175F" w:rsidRPr="00AF6DD0" w:rsidRDefault="007D175F" w:rsidP="007D175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Ministerial Council on Drug Strategy 2011, </w:t>
      </w:r>
      <w:r w:rsidRPr="00AF6DD0">
        <w:rPr>
          <w:rFonts w:asciiTheme="minorHAnsi" w:hAnsiTheme="minorHAnsi"/>
          <w:i/>
          <w:szCs w:val="18"/>
        </w:rPr>
        <w:t>National Drug Strategy 2010 to 2015</w:t>
      </w:r>
      <w:r w:rsidRPr="00AF6DD0">
        <w:rPr>
          <w:rFonts w:asciiTheme="minorHAnsi" w:hAnsiTheme="minorHAnsi"/>
          <w:szCs w:val="18"/>
        </w:rPr>
        <w:t>.</w:t>
      </w:r>
    </w:p>
  </w:footnote>
  <w:footnote w:id="158">
    <w:p w14:paraId="6887A1F8" w14:textId="77777777" w:rsidR="007D175F" w:rsidRPr="00AF6DD0" w:rsidRDefault="007D175F" w:rsidP="007D175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Australian Institute of Health and Welfare</w:t>
      </w:r>
      <w:r>
        <w:rPr>
          <w:rFonts w:asciiTheme="minorHAnsi" w:hAnsiTheme="minorHAnsi"/>
          <w:szCs w:val="18"/>
        </w:rPr>
        <w:t xml:space="preserve"> (AIHW)</w:t>
      </w:r>
      <w:r w:rsidRPr="00AF6DD0">
        <w:rPr>
          <w:rFonts w:asciiTheme="minorHAnsi" w:hAnsiTheme="minorHAnsi"/>
          <w:szCs w:val="18"/>
        </w:rPr>
        <w:t xml:space="preserve"> 2015, </w:t>
      </w:r>
      <w:r w:rsidRPr="00AF6DD0">
        <w:rPr>
          <w:rFonts w:asciiTheme="minorHAnsi" w:hAnsiTheme="minorHAnsi"/>
          <w:i/>
          <w:szCs w:val="18"/>
        </w:rPr>
        <w:t>National Drug Strategy Household Survey detailed report: 2013</w:t>
      </w:r>
      <w:r w:rsidRPr="00AF6DD0">
        <w:rPr>
          <w:rFonts w:asciiTheme="minorHAnsi" w:hAnsiTheme="minorHAnsi"/>
          <w:szCs w:val="18"/>
        </w:rPr>
        <w:t xml:space="preserve">. </w:t>
      </w:r>
    </w:p>
  </w:footnote>
  <w:footnote w:id="159">
    <w:p w14:paraId="365D9A7C" w14:textId="77777777" w:rsidR="007D175F" w:rsidRPr="00AF6DD0" w:rsidRDefault="007D175F" w:rsidP="007D175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Ibid. </w:t>
      </w:r>
    </w:p>
  </w:footnote>
  <w:footnote w:id="160">
    <w:p w14:paraId="3FFC5665" w14:textId="77777777" w:rsidR="007D175F" w:rsidRPr="00AF6DD0" w:rsidRDefault="007D175F" w:rsidP="007D175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w:t>
      </w:r>
      <w:r>
        <w:rPr>
          <w:rFonts w:asciiTheme="minorHAnsi" w:hAnsiTheme="minorHAnsi"/>
          <w:szCs w:val="18"/>
        </w:rPr>
        <w:t xml:space="preserve">NSW HealthStats 2016. </w:t>
      </w:r>
    </w:p>
  </w:footnote>
  <w:footnote w:id="161">
    <w:p w14:paraId="4E8B483E" w14:textId="77777777" w:rsidR="007D175F" w:rsidRPr="00AF6DD0" w:rsidRDefault="007D175F" w:rsidP="007D175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NSW Health 2015, </w:t>
      </w:r>
      <w:r w:rsidRPr="00AF6DD0">
        <w:rPr>
          <w:rFonts w:asciiTheme="minorHAnsi" w:hAnsiTheme="minorHAnsi"/>
          <w:i/>
          <w:szCs w:val="18"/>
        </w:rPr>
        <w:t>Crystalline Methamphetamine: Background Paper – NSW Data</w:t>
      </w:r>
      <w:r w:rsidRPr="00AF6DD0">
        <w:rPr>
          <w:rFonts w:asciiTheme="minorHAnsi" w:hAnsiTheme="minorHAnsi"/>
          <w:szCs w:val="18"/>
        </w:rPr>
        <w:t xml:space="preserve">, September 2015. </w:t>
      </w:r>
    </w:p>
  </w:footnote>
  <w:footnote w:id="162">
    <w:p w14:paraId="505F4D69" w14:textId="77777777" w:rsidR="007D175F" w:rsidRPr="00AF6DD0" w:rsidRDefault="007D175F" w:rsidP="007D175F">
      <w:pPr>
        <w:pStyle w:val="FootnoteText"/>
        <w:rPr>
          <w:rFonts w:asciiTheme="minorHAnsi" w:hAnsiTheme="minorHAnsi"/>
          <w:szCs w:val="18"/>
        </w:rPr>
      </w:pPr>
      <w:r w:rsidRPr="00AF6DD0">
        <w:rPr>
          <w:rStyle w:val="FootnoteReference"/>
          <w:rFonts w:asciiTheme="minorHAnsi" w:hAnsiTheme="minorHAnsi"/>
          <w:szCs w:val="18"/>
        </w:rPr>
        <w:footnoteRef/>
      </w:r>
      <w:r w:rsidRPr="00AF6DD0">
        <w:rPr>
          <w:rFonts w:asciiTheme="minorHAnsi" w:hAnsiTheme="minorHAnsi"/>
          <w:szCs w:val="18"/>
        </w:rPr>
        <w:t xml:space="preserve"> NSW HealthStats 2016, Illawarra Shoalhaven LHD.</w:t>
      </w:r>
    </w:p>
  </w:footnote>
  <w:footnote w:id="163">
    <w:p w14:paraId="0A500AA7" w14:textId="77777777" w:rsidR="007D175F" w:rsidRPr="00AF6DD0" w:rsidRDefault="007D175F" w:rsidP="007D175F">
      <w:pPr>
        <w:spacing w:before="0" w:after="0"/>
        <w:rPr>
          <w:sz w:val="18"/>
          <w:szCs w:val="18"/>
        </w:rPr>
      </w:pPr>
      <w:r w:rsidRPr="00AF6DD0">
        <w:rPr>
          <w:rStyle w:val="FootnoteReference"/>
          <w:sz w:val="18"/>
          <w:szCs w:val="18"/>
        </w:rPr>
        <w:footnoteRef/>
      </w:r>
      <w:r w:rsidRPr="00AF6DD0">
        <w:rPr>
          <w:sz w:val="18"/>
          <w:szCs w:val="18"/>
        </w:rPr>
        <w:t xml:space="preserve"> Ministerial Council on Drug Strategy 2011, </w:t>
      </w:r>
      <w:r w:rsidRPr="00AF6DD0">
        <w:rPr>
          <w:i/>
          <w:sz w:val="18"/>
          <w:szCs w:val="18"/>
        </w:rPr>
        <w:t>National Drug Strategy 2010 to 2015</w:t>
      </w:r>
      <w:r w:rsidRPr="00AF6DD0">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86E74" w14:textId="4BEEECF3" w:rsidR="00621BE2" w:rsidRDefault="00621BE2">
    <w:pPr>
      <w:pStyle w:val="Header"/>
    </w:pPr>
    <w:r>
      <w:rPr>
        <w:noProof/>
        <w:lang w:eastAsia="en-AU"/>
      </w:rPr>
      <mc:AlternateContent>
        <mc:Choice Requires="wps">
          <w:drawing>
            <wp:anchor distT="0" distB="0" distL="114300" distR="114300" simplePos="0" relativeHeight="251649536" behindDoc="1" locked="0" layoutInCell="1" allowOverlap="1" wp14:anchorId="3332C46F" wp14:editId="3DA6AB71">
              <wp:simplePos x="0" y="0"/>
              <wp:positionH relativeFrom="page">
                <wp:align>center</wp:align>
              </wp:positionH>
              <wp:positionV relativeFrom="page">
                <wp:align>center</wp:align>
              </wp:positionV>
              <wp:extent cx="4964430" cy="1724025"/>
              <wp:effectExtent l="0" t="1517015" r="0" b="1521460"/>
              <wp:wrapNone/>
              <wp:docPr id="9" name="Text Box 9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0C26D918"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KISDraft" o:spid="_x0000_s1030" type="#_x0000_t202" style="position:absolute;left:0;text-align:left;margin-left:0;margin-top:0;width:390.9pt;height:135.75pt;rotation:-45;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" filled="f" stroked="f">
              <o:lock v:ext="edit" shapetype="t"/>
              <v:textbox style="mso-fit-shape-to-text:t">
                <w:txbxContent>
                  <w:p w14:paraId="0C26D918"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0F33C" w14:textId="77777777" w:rsidR="00621BE2" w:rsidRDefault="00621BE2">
    <w:pPr>
      <w:pStyle w:val="Header"/>
    </w:pPr>
    <w:r>
      <w:rPr>
        <w:noProof/>
        <w:lang w:eastAsia="en-AU"/>
      </w:rPr>
      <mc:AlternateContent>
        <mc:Choice Requires="wps">
          <w:drawing>
            <wp:anchor distT="0" distB="0" distL="114300" distR="114300" simplePos="0" relativeHeight="251661824" behindDoc="1" locked="0" layoutInCell="0" allowOverlap="1" wp14:anchorId="1859A46A" wp14:editId="42052676">
              <wp:simplePos x="0" y="0"/>
              <wp:positionH relativeFrom="margin">
                <wp:align>center</wp:align>
              </wp:positionH>
              <wp:positionV relativeFrom="margin">
                <wp:align>center</wp:align>
              </wp:positionV>
              <wp:extent cx="5772150" cy="2308860"/>
              <wp:effectExtent l="0" t="1638300" r="0" b="118681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87187" w14:textId="77777777" w:rsidR="00621BE2" w:rsidRDefault="00621BE2" w:rsidP="00780563">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37" type="#_x0000_t202" style="position:absolute;left:0;text-align:left;margin-left:0;margin-top:0;width:454.5pt;height:181.8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5Pck+o0CAAAI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14:paraId="52687187" w14:textId="77777777" w:rsidR="00621BE2" w:rsidRDefault="00621BE2" w:rsidP="00780563">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2848" behindDoc="1" locked="0" layoutInCell="1" allowOverlap="1" wp14:anchorId="5AA1604C" wp14:editId="7BF81EDE">
              <wp:simplePos x="0" y="0"/>
              <wp:positionH relativeFrom="page">
                <wp:align>center</wp:align>
              </wp:positionH>
              <wp:positionV relativeFrom="page">
                <wp:align>center</wp:align>
              </wp:positionV>
              <wp:extent cx="4964430" cy="1724025"/>
              <wp:effectExtent l="0" t="1517015" r="0" b="1521460"/>
              <wp:wrapNone/>
              <wp:docPr id="1009" name="Text Box 1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7EDD2225"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0;margin-top:0;width:390.9pt;height:135.75pt;rotation:-45;z-index:-251653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" filled="f" stroked="f">
              <o:lock v:ext="edit" shapetype="t"/>
              <v:textbox style="mso-fit-shape-to-text:t">
                <w:txbxContent>
                  <w:p w14:paraId="7EDD2225"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D04D1" w14:textId="574E311C" w:rsidR="00621BE2" w:rsidRPr="0078163E" w:rsidRDefault="00621BE2" w:rsidP="00E15EF3">
    <w:pPr>
      <w:pStyle w:val="Header"/>
      <w:tabs>
        <w:tab w:val="left" w:pos="4242"/>
        <w:tab w:val="right" w:pos="13958"/>
      </w:tabs>
      <w:jc w:val="left"/>
      <w:rPr>
        <w:rFonts w:ascii="Arial" w:hAnsi="Arial" w:cs="Arial"/>
        <w:b/>
        <w:i w:val="0"/>
        <w:color w:val="FF0000"/>
        <w:sz w:val="24"/>
        <w:szCs w:val="21"/>
      </w:rPr>
    </w:pPr>
    <w:r>
      <w:rPr>
        <w:rFonts w:asciiTheme="minorHAnsi" w:hAnsiTheme="minorHAnsi" w:cs="Arial"/>
        <w:sz w:val="26"/>
        <w:szCs w:val="21"/>
      </w:rPr>
      <w:tab/>
    </w:r>
    <w:r>
      <w:rPr>
        <w:rFonts w:asciiTheme="minorHAnsi" w:hAnsiTheme="minorHAnsi" w:cs="Arial"/>
        <w:sz w:val="26"/>
        <w:szCs w:val="21"/>
      </w:rPr>
      <w:tab/>
      <w:t xml:space="preserve">May </w:t>
    </w:r>
    <w:r w:rsidRPr="00F9216F">
      <w:rPr>
        <w:rFonts w:asciiTheme="minorHAnsi" w:hAnsiTheme="minorHAnsi" w:cs="Arial"/>
        <w:sz w:val="26"/>
        <w:szCs w:val="21"/>
      </w:rPr>
      <w:t>201</w:t>
    </w:r>
    <w:r>
      <w:rPr>
        <w:rFonts w:asciiTheme="minorHAnsi" w:hAnsiTheme="minorHAnsi" w:cs="Arial"/>
        <w:sz w:val="26"/>
        <w:szCs w:val="21"/>
      </w:rPr>
      <w:t>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18A48" w14:textId="1B0F5FEB" w:rsidR="00621BE2" w:rsidRPr="00292434" w:rsidRDefault="00621BE2" w:rsidP="00292434">
    <w:pPr>
      <w:pStyle w:val="Header"/>
      <w:rPr>
        <w:rFonts w:ascii="Arial" w:hAnsi="Arial" w:cs="Arial"/>
        <w:b/>
        <w:i w:val="0"/>
        <w:color w:val="FF0000"/>
        <w:sz w:val="24"/>
        <w:szCs w:val="21"/>
      </w:rPr>
    </w:pPr>
    <w:r>
      <w:rPr>
        <w:rFonts w:asciiTheme="minorHAnsi" w:hAnsiTheme="minorHAnsi" w:cs="Arial"/>
        <w:sz w:val="26"/>
        <w:szCs w:val="21"/>
      </w:rPr>
      <w:t xml:space="preserve">May </w:t>
    </w:r>
    <w:r w:rsidRPr="00F9216F">
      <w:rPr>
        <w:rFonts w:asciiTheme="minorHAnsi" w:hAnsiTheme="minorHAnsi" w:cs="Arial"/>
        <w:sz w:val="26"/>
        <w:szCs w:val="21"/>
      </w:rPr>
      <w:t>201</w:t>
    </w:r>
    <w:r>
      <w:rPr>
        <w:rFonts w:asciiTheme="minorHAnsi" w:hAnsiTheme="minorHAnsi" w:cs="Arial"/>
        <w:sz w:val="26"/>
        <w:szCs w:val="21"/>
      </w:rPr>
      <w:t>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ACE37" w14:textId="77777777" w:rsidR="00621BE2" w:rsidRDefault="00621BE2">
    <w:pPr>
      <w:pStyle w:val="Header"/>
    </w:pPr>
    <w:r>
      <w:rPr>
        <w:noProof/>
        <w:lang w:eastAsia="en-AU"/>
      </w:rPr>
      <mc:AlternateContent>
        <mc:Choice Requires="wps">
          <w:drawing>
            <wp:anchor distT="0" distB="0" distL="114300" distR="114300" simplePos="0" relativeHeight="251653632" behindDoc="1" locked="0" layoutInCell="0" allowOverlap="1" wp14:anchorId="60035DC9" wp14:editId="7C31CE71">
              <wp:simplePos x="0" y="0"/>
              <wp:positionH relativeFrom="margin">
                <wp:align>center</wp:align>
              </wp:positionH>
              <wp:positionV relativeFrom="margin">
                <wp:align>center</wp:align>
              </wp:positionV>
              <wp:extent cx="5772150" cy="2308860"/>
              <wp:effectExtent l="0" t="1638300" r="0" b="11868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4FCC40" w14:textId="77777777" w:rsidR="00621BE2" w:rsidRDefault="00621BE2" w:rsidP="003B2011">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left:0;text-align:left;margin-left:0;margin-top:0;width:454.5pt;height:181.8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zYJQiI0CAAAG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14:paraId="4C4FCC40" w14:textId="77777777" w:rsidR="00621BE2" w:rsidRDefault="00621BE2" w:rsidP="003B2011">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55680" behindDoc="1" locked="0" layoutInCell="1" allowOverlap="1" wp14:anchorId="1DC9D0DF" wp14:editId="625EAC63">
              <wp:simplePos x="0" y="0"/>
              <wp:positionH relativeFrom="page">
                <wp:align>center</wp:align>
              </wp:positionH>
              <wp:positionV relativeFrom="page">
                <wp:align>center</wp:align>
              </wp:positionV>
              <wp:extent cx="4964430" cy="1724025"/>
              <wp:effectExtent l="0" t="1517015" r="0" b="1521460"/>
              <wp:wrapNone/>
              <wp:docPr id="19" name="Text Box 1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515A04D8"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0;margin-top:0;width:390.9pt;height:135.75pt;rotation:-45;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" filled="f" stroked="f">
              <o:lock v:ext="edit" shapetype="t"/>
              <v:textbox style="mso-fit-shape-to-text:t">
                <w:txbxContent>
                  <w:p w14:paraId="515A04D8"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B9EB6" w14:textId="698C7DF2" w:rsidR="00621BE2" w:rsidRPr="0078163E" w:rsidRDefault="00621BE2" w:rsidP="00414040">
    <w:pPr>
      <w:pStyle w:val="Header"/>
      <w:rPr>
        <w:rFonts w:ascii="Arial" w:hAnsi="Arial" w:cs="Arial"/>
        <w:b/>
        <w:i w:val="0"/>
        <w:color w:val="FF0000"/>
        <w:sz w:val="24"/>
        <w:szCs w:val="21"/>
      </w:rPr>
    </w:pPr>
    <w:r>
      <w:rPr>
        <w:rFonts w:asciiTheme="minorHAnsi" w:hAnsiTheme="minorHAnsi" w:cs="Arial"/>
        <w:sz w:val="26"/>
        <w:szCs w:val="21"/>
      </w:rPr>
      <w:tab/>
    </w:r>
    <w:r>
      <w:rPr>
        <w:rFonts w:asciiTheme="minorHAnsi" w:hAnsiTheme="minorHAnsi" w:cs="Arial"/>
        <w:sz w:val="26"/>
        <w:szCs w:val="21"/>
      </w:rPr>
      <w:tab/>
      <w:t xml:space="preserve">May </w:t>
    </w:r>
    <w:r w:rsidRPr="00F9216F">
      <w:rPr>
        <w:rFonts w:asciiTheme="minorHAnsi" w:hAnsiTheme="minorHAnsi" w:cs="Arial"/>
        <w:sz w:val="26"/>
        <w:szCs w:val="21"/>
      </w:rPr>
      <w:t>201</w:t>
    </w:r>
    <w:r>
      <w:rPr>
        <w:rFonts w:asciiTheme="minorHAnsi" w:hAnsiTheme="minorHAnsi" w:cs="Arial"/>
        <w:sz w:val="26"/>
        <w:szCs w:val="21"/>
      </w:rPr>
      <w:t>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DBC03" w14:textId="77777777" w:rsidR="00621BE2" w:rsidRDefault="00621BE2" w:rsidP="00292434">
    <w:pPr>
      <w:pStyle w:val="Header"/>
      <w:rPr>
        <w:rFonts w:asciiTheme="minorHAnsi" w:hAnsiTheme="minorHAnsi" w:cs="Arial"/>
        <w:b/>
        <w:i w:val="0"/>
        <w:color w:val="FF0000"/>
        <w:sz w:val="26"/>
        <w:szCs w:val="21"/>
      </w:rPr>
    </w:pPr>
    <w:r>
      <w:rPr>
        <w:rFonts w:asciiTheme="minorHAnsi" w:hAnsiTheme="minorHAnsi" w:cs="Arial"/>
        <w:b/>
        <w:i w:val="0"/>
        <w:color w:val="FF0000"/>
        <w:sz w:val="26"/>
        <w:szCs w:val="21"/>
      </w:rPr>
      <w:t xml:space="preserve">WORKING </w:t>
    </w:r>
    <w:r w:rsidRPr="00ED6282">
      <w:rPr>
        <w:rFonts w:asciiTheme="minorHAnsi" w:hAnsiTheme="minorHAnsi" w:cs="Arial"/>
        <w:b/>
        <w:i w:val="0"/>
        <w:color w:val="FF0000"/>
        <w:sz w:val="26"/>
        <w:szCs w:val="21"/>
      </w:rPr>
      <w:t>DRAFT– NOT FOR CIRCU</w:t>
    </w:r>
    <w:r>
      <w:rPr>
        <w:rFonts w:asciiTheme="minorHAnsi" w:hAnsiTheme="minorHAnsi" w:cs="Arial"/>
        <w:b/>
        <w:i w:val="0"/>
        <w:color w:val="FF0000"/>
        <w:sz w:val="26"/>
        <w:szCs w:val="21"/>
      </w:rPr>
      <w:t>LA</w:t>
    </w:r>
    <w:r w:rsidRPr="00ED6282">
      <w:rPr>
        <w:rFonts w:asciiTheme="minorHAnsi" w:hAnsiTheme="minorHAnsi" w:cs="Arial"/>
        <w:b/>
        <w:i w:val="0"/>
        <w:color w:val="FF0000"/>
        <w:sz w:val="26"/>
        <w:szCs w:val="21"/>
      </w:rPr>
      <w:t>TION</w:t>
    </w:r>
  </w:p>
  <w:p w14:paraId="5EE2B1CE" w14:textId="77777777" w:rsidR="00621BE2" w:rsidRPr="00292434" w:rsidRDefault="00621BE2" w:rsidP="00292434">
    <w:pPr>
      <w:pStyle w:val="Header"/>
      <w:rPr>
        <w:rFonts w:ascii="Arial" w:hAnsi="Arial" w:cs="Arial"/>
        <w:b/>
        <w:i w:val="0"/>
        <w:color w:val="FF0000"/>
        <w:sz w:val="24"/>
        <w:szCs w:val="21"/>
      </w:rPr>
    </w:pPr>
    <w:r>
      <w:rPr>
        <w:rFonts w:asciiTheme="minorHAnsi" w:hAnsiTheme="minorHAnsi" w:cs="Arial"/>
        <w:sz w:val="26"/>
        <w:szCs w:val="21"/>
      </w:rPr>
      <w:t xml:space="preserve">March </w:t>
    </w:r>
    <w:r w:rsidRPr="00F9216F">
      <w:rPr>
        <w:rFonts w:asciiTheme="minorHAnsi" w:hAnsiTheme="minorHAnsi" w:cs="Arial"/>
        <w:sz w:val="26"/>
        <w:szCs w:val="21"/>
      </w:rPr>
      <w:t>201</w:t>
    </w:r>
    <w:r>
      <w:rPr>
        <w:rFonts w:asciiTheme="minorHAnsi" w:hAnsiTheme="minorHAnsi" w:cs="Arial"/>
        <w:sz w:val="26"/>
        <w:szCs w:val="21"/>
      </w:rPr>
      <w:t>6</w:t>
    </w:r>
    <w:r w:rsidRPr="00292434">
      <w:rPr>
        <w:rFonts w:asciiTheme="minorHAnsi" w:hAnsiTheme="minorHAnsi" w:cs="Arial"/>
        <w:noProof/>
        <w:sz w:val="26"/>
        <w:szCs w:val="21"/>
        <w:lang w:eastAsia="en-AU"/>
      </w:rPr>
      <mc:AlternateContent>
        <mc:Choice Requires="wps">
          <w:drawing>
            <wp:anchor distT="0" distB="0" distL="114300" distR="114300" simplePos="0" relativeHeight="251654656" behindDoc="1" locked="0" layoutInCell="1" allowOverlap="1" wp14:anchorId="0B06865E" wp14:editId="145D7F6B">
              <wp:simplePos x="0" y="0"/>
              <wp:positionH relativeFrom="page">
                <wp:align>center</wp:align>
              </wp:positionH>
              <wp:positionV relativeFrom="page">
                <wp:align>center</wp:align>
              </wp:positionV>
              <wp:extent cx="4964430" cy="1724025"/>
              <wp:effectExtent l="0" t="1517015" r="0" b="1521460"/>
              <wp:wrapNone/>
              <wp:docPr id="21" name="Text Box 11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490F56CE"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0;margin-top:0;width:390.9pt;height:135.75pt;rotation:-45;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" filled="f" stroked="f">
              <o:lock v:ext="edit" shapetype="t"/>
              <v:textbox style="mso-fit-shape-to-text:t">
                <w:txbxContent>
                  <w:p w14:paraId="490F56CE"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9A970" w14:textId="77777777" w:rsidR="00621BE2" w:rsidRDefault="00621BE2">
    <w:pPr>
      <w:pStyle w:val="Header"/>
    </w:pPr>
    <w:r>
      <w:rPr>
        <w:noProof/>
        <w:lang w:eastAsia="en-AU"/>
      </w:rPr>
      <mc:AlternateContent>
        <mc:Choice Requires="wps">
          <w:drawing>
            <wp:anchor distT="0" distB="0" distL="114300" distR="114300" simplePos="0" relativeHeight="251658752" behindDoc="1" locked="0" layoutInCell="0" allowOverlap="1" wp14:anchorId="61EDF958" wp14:editId="01839E22">
              <wp:simplePos x="0" y="0"/>
              <wp:positionH relativeFrom="margin">
                <wp:align>center</wp:align>
              </wp:positionH>
              <wp:positionV relativeFrom="margin">
                <wp:align>center</wp:align>
              </wp:positionV>
              <wp:extent cx="5772150" cy="2308860"/>
              <wp:effectExtent l="0" t="1638300" r="0" b="11868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A7F620" w14:textId="77777777" w:rsidR="00621BE2" w:rsidRDefault="00621BE2" w:rsidP="0086037E">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left:0;text-align:left;margin-left:0;margin-top:0;width:454.5pt;height:181.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Birb3o0CAAAH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14:paraId="4EA7F620" w14:textId="77777777" w:rsidR="00621BE2" w:rsidRDefault="00621BE2" w:rsidP="0086037E">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0800" behindDoc="1" locked="0" layoutInCell="1" allowOverlap="1" wp14:anchorId="315626D0" wp14:editId="511BD6B3">
              <wp:simplePos x="0" y="0"/>
              <wp:positionH relativeFrom="page">
                <wp:align>center</wp:align>
              </wp:positionH>
              <wp:positionV relativeFrom="page">
                <wp:align>center</wp:align>
              </wp:positionV>
              <wp:extent cx="4964430" cy="1724025"/>
              <wp:effectExtent l="0" t="1517015" r="0" b="1521460"/>
              <wp:wrapNone/>
              <wp:docPr id="23" name="Text Box 1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5CFF2CD4"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0;margin-top:0;width:390.9pt;height:135.75pt;rotation:-45;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" filled="f" stroked="f">
              <o:lock v:ext="edit" shapetype="t"/>
              <v:textbox style="mso-fit-shape-to-text:t">
                <w:txbxContent>
                  <w:p w14:paraId="5CFF2CD4"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51647" w14:textId="079294F3" w:rsidR="00621BE2" w:rsidRPr="0078163E" w:rsidRDefault="00621BE2" w:rsidP="0078163E">
    <w:pPr>
      <w:pStyle w:val="Header"/>
      <w:rPr>
        <w:rFonts w:ascii="Arial" w:hAnsi="Arial" w:cs="Arial"/>
        <w:b/>
        <w:i w:val="0"/>
        <w:color w:val="FF0000"/>
        <w:sz w:val="24"/>
        <w:szCs w:val="21"/>
      </w:rPr>
    </w:pPr>
    <w:r>
      <w:rPr>
        <w:rFonts w:asciiTheme="minorHAnsi" w:hAnsiTheme="minorHAnsi" w:cs="Arial"/>
        <w:sz w:val="26"/>
        <w:szCs w:val="21"/>
      </w:rPr>
      <w:t xml:space="preserve">May </w:t>
    </w:r>
    <w:r w:rsidRPr="00F9216F">
      <w:rPr>
        <w:rFonts w:asciiTheme="minorHAnsi" w:hAnsiTheme="minorHAnsi" w:cs="Arial"/>
        <w:sz w:val="26"/>
        <w:szCs w:val="21"/>
      </w:rPr>
      <w:t>201</w:t>
    </w:r>
    <w:r>
      <w:rPr>
        <w:rFonts w:asciiTheme="minorHAnsi" w:hAnsiTheme="minorHAnsi" w:cs="Arial"/>
        <w:sz w:val="26"/>
        <w:szCs w:val="21"/>
      </w:rPr>
      <w:t>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C6D65" w14:textId="77777777" w:rsidR="00621BE2" w:rsidRDefault="00621BE2" w:rsidP="00292434">
    <w:pPr>
      <w:pStyle w:val="Header"/>
      <w:rPr>
        <w:rFonts w:asciiTheme="minorHAnsi" w:hAnsiTheme="minorHAnsi" w:cs="Arial"/>
        <w:b/>
        <w:i w:val="0"/>
        <w:color w:val="FF0000"/>
        <w:sz w:val="26"/>
        <w:szCs w:val="21"/>
      </w:rPr>
    </w:pPr>
    <w:r>
      <w:rPr>
        <w:rFonts w:asciiTheme="minorHAnsi" w:hAnsiTheme="minorHAnsi" w:cs="Arial"/>
        <w:b/>
        <w:i w:val="0"/>
        <w:color w:val="FF0000"/>
        <w:sz w:val="26"/>
        <w:szCs w:val="21"/>
      </w:rPr>
      <w:t xml:space="preserve">WORKING </w:t>
    </w:r>
    <w:r w:rsidRPr="00ED6282">
      <w:rPr>
        <w:rFonts w:asciiTheme="minorHAnsi" w:hAnsiTheme="minorHAnsi" w:cs="Arial"/>
        <w:b/>
        <w:i w:val="0"/>
        <w:color w:val="FF0000"/>
        <w:sz w:val="26"/>
        <w:szCs w:val="21"/>
      </w:rPr>
      <w:t>DRAFT– NOT FOR CIRCU</w:t>
    </w:r>
    <w:r>
      <w:rPr>
        <w:rFonts w:asciiTheme="minorHAnsi" w:hAnsiTheme="minorHAnsi" w:cs="Arial"/>
        <w:b/>
        <w:i w:val="0"/>
        <w:color w:val="FF0000"/>
        <w:sz w:val="26"/>
        <w:szCs w:val="21"/>
      </w:rPr>
      <w:t>LA</w:t>
    </w:r>
    <w:r w:rsidRPr="00ED6282">
      <w:rPr>
        <w:rFonts w:asciiTheme="minorHAnsi" w:hAnsiTheme="minorHAnsi" w:cs="Arial"/>
        <w:b/>
        <w:i w:val="0"/>
        <w:color w:val="FF0000"/>
        <w:sz w:val="26"/>
        <w:szCs w:val="21"/>
      </w:rPr>
      <w:t>TION</w:t>
    </w:r>
  </w:p>
  <w:p w14:paraId="60CDC6FB" w14:textId="77777777" w:rsidR="00621BE2" w:rsidRPr="00292434" w:rsidRDefault="00621BE2" w:rsidP="00292434">
    <w:pPr>
      <w:pStyle w:val="Header"/>
      <w:rPr>
        <w:rFonts w:ascii="Arial" w:hAnsi="Arial" w:cs="Arial"/>
        <w:b/>
        <w:i w:val="0"/>
        <w:color w:val="FF0000"/>
        <w:sz w:val="24"/>
        <w:szCs w:val="21"/>
      </w:rPr>
    </w:pPr>
    <w:r>
      <w:rPr>
        <w:rFonts w:asciiTheme="minorHAnsi" w:hAnsiTheme="minorHAnsi" w:cs="Arial"/>
        <w:sz w:val="26"/>
        <w:szCs w:val="21"/>
      </w:rPr>
      <w:t xml:space="preserve">March </w:t>
    </w:r>
    <w:r w:rsidRPr="00F9216F">
      <w:rPr>
        <w:rFonts w:asciiTheme="minorHAnsi" w:hAnsiTheme="minorHAnsi" w:cs="Arial"/>
        <w:sz w:val="26"/>
        <w:szCs w:val="21"/>
      </w:rPr>
      <w:t>201</w:t>
    </w:r>
    <w:r>
      <w:rPr>
        <w:rFonts w:asciiTheme="minorHAnsi" w:hAnsiTheme="minorHAnsi" w:cs="Arial"/>
        <w:sz w:val="26"/>
        <w:szCs w:val="21"/>
      </w:rPr>
      <w:t>6</w:t>
    </w:r>
    <w:r w:rsidRPr="00292434">
      <w:rPr>
        <w:rFonts w:asciiTheme="minorHAnsi" w:hAnsiTheme="minorHAnsi" w:cs="Arial"/>
        <w:noProof/>
        <w:sz w:val="26"/>
        <w:szCs w:val="21"/>
        <w:lang w:eastAsia="en-AU"/>
      </w:rPr>
      <mc:AlternateContent>
        <mc:Choice Requires="wps">
          <w:drawing>
            <wp:anchor distT="0" distB="0" distL="114300" distR="114300" simplePos="0" relativeHeight="251659776" behindDoc="1" locked="0" layoutInCell="1" allowOverlap="1" wp14:anchorId="6B1AABD0" wp14:editId="793E3D33">
              <wp:simplePos x="0" y="0"/>
              <wp:positionH relativeFrom="page">
                <wp:align>center</wp:align>
              </wp:positionH>
              <wp:positionV relativeFrom="page">
                <wp:align>center</wp:align>
              </wp:positionV>
              <wp:extent cx="4964430" cy="1724025"/>
              <wp:effectExtent l="0" t="1517015" r="0" b="1521460"/>
              <wp:wrapNone/>
              <wp:docPr id="994" name="Text Box 11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59190DD2"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0;margin-top:0;width:390.9pt;height:135.75pt;rotation:-45;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" filled="f" stroked="f">
              <o:lock v:ext="edit" shapetype="t"/>
              <v:textbox style="mso-fit-shape-to-text:t">
                <w:txbxContent>
                  <w:p w14:paraId="59190DD2"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83C5E" w14:textId="77777777" w:rsidR="00621BE2" w:rsidRDefault="00621BE2">
    <w:pPr>
      <w:pStyle w:val="Header"/>
    </w:pPr>
    <w:r>
      <w:rPr>
        <w:noProof/>
        <w:lang w:eastAsia="en-AU"/>
      </w:rPr>
      <mc:AlternateContent>
        <mc:Choice Requires="wps">
          <w:drawing>
            <wp:anchor distT="0" distB="0" distL="114300" distR="114300" simplePos="0" relativeHeight="251650560" behindDoc="1" locked="0" layoutInCell="0" allowOverlap="1" wp14:anchorId="63BECA6E" wp14:editId="2968D65F">
              <wp:simplePos x="0" y="0"/>
              <wp:positionH relativeFrom="margin">
                <wp:align>center</wp:align>
              </wp:positionH>
              <wp:positionV relativeFrom="margin">
                <wp:align>center</wp:align>
              </wp:positionV>
              <wp:extent cx="5772150" cy="2308860"/>
              <wp:effectExtent l="0" t="1638300" r="0" b="1186815"/>
              <wp:wrapNone/>
              <wp:docPr id="101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395905" w14:textId="77777777" w:rsidR="00621BE2" w:rsidRDefault="00621BE2" w:rsidP="0086037E">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8" o:spid="_x0000_s1045" type="#_x0000_t202" style="position:absolute;left:0;text-align:left;margin-left:0;margin-top:0;width:454.5pt;height:181.8pt;rotation:-45;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Pej/L6OAgAACw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14:paraId="38395905" w14:textId="77777777" w:rsidR="00621BE2" w:rsidRDefault="00621BE2" w:rsidP="0086037E">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52608" behindDoc="1" locked="0" layoutInCell="1" allowOverlap="1" wp14:anchorId="35F4D061" wp14:editId="0BEAF93A">
              <wp:simplePos x="0" y="0"/>
              <wp:positionH relativeFrom="page">
                <wp:align>center</wp:align>
              </wp:positionH>
              <wp:positionV relativeFrom="page">
                <wp:align>center</wp:align>
              </wp:positionV>
              <wp:extent cx="4964430" cy="1724025"/>
              <wp:effectExtent l="0" t="1517015" r="0" b="1521460"/>
              <wp:wrapNone/>
              <wp:docPr id="10" name="Text Box 1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53131C89"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0;margin-top:0;width:390.9pt;height:135.75pt;rotation:-45;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" filled="f" stroked="f">
              <o:lock v:ext="edit" shapetype="t"/>
              <v:textbox style="mso-fit-shape-to-text:t">
                <w:txbxContent>
                  <w:p w14:paraId="53131C89"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2EF2E" w14:textId="77777777" w:rsidR="00621BE2" w:rsidRPr="00F15095" w:rsidRDefault="00621BE2" w:rsidP="00F15095">
    <w:pPr>
      <w:pStyle w:val="Header"/>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49988" w14:textId="2D70AEB2" w:rsidR="00621BE2" w:rsidRPr="00D00E36" w:rsidRDefault="00621BE2" w:rsidP="00D00E36">
    <w:pPr>
      <w:jc w:val="right"/>
    </w:pPr>
    <w:r w:rsidRPr="00D00E36">
      <w:tab/>
    </w:r>
    <w:r w:rsidRPr="00D00E36">
      <w:tab/>
      <w:t>May 2016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0FAF7" w14:textId="77777777" w:rsidR="00621BE2" w:rsidRDefault="00621BE2" w:rsidP="00292434">
    <w:pPr>
      <w:pStyle w:val="Header"/>
      <w:rPr>
        <w:rFonts w:asciiTheme="minorHAnsi" w:hAnsiTheme="minorHAnsi" w:cs="Arial"/>
        <w:b/>
        <w:i w:val="0"/>
        <w:color w:val="FF0000"/>
        <w:sz w:val="26"/>
        <w:szCs w:val="21"/>
      </w:rPr>
    </w:pPr>
    <w:r>
      <w:rPr>
        <w:rFonts w:asciiTheme="minorHAnsi" w:hAnsiTheme="minorHAnsi" w:cs="Arial"/>
        <w:b/>
        <w:i w:val="0"/>
        <w:color w:val="FF0000"/>
        <w:sz w:val="26"/>
        <w:szCs w:val="21"/>
      </w:rPr>
      <w:t xml:space="preserve">WORKING </w:t>
    </w:r>
    <w:r w:rsidRPr="00ED6282">
      <w:rPr>
        <w:rFonts w:asciiTheme="minorHAnsi" w:hAnsiTheme="minorHAnsi" w:cs="Arial"/>
        <w:b/>
        <w:i w:val="0"/>
        <w:color w:val="FF0000"/>
        <w:sz w:val="26"/>
        <w:szCs w:val="21"/>
      </w:rPr>
      <w:t>DRAFT– NOT FOR CIRCU</w:t>
    </w:r>
    <w:r>
      <w:rPr>
        <w:rFonts w:asciiTheme="minorHAnsi" w:hAnsiTheme="minorHAnsi" w:cs="Arial"/>
        <w:b/>
        <w:i w:val="0"/>
        <w:color w:val="FF0000"/>
        <w:sz w:val="26"/>
        <w:szCs w:val="21"/>
      </w:rPr>
      <w:t>LA</w:t>
    </w:r>
    <w:r w:rsidRPr="00ED6282">
      <w:rPr>
        <w:rFonts w:asciiTheme="minorHAnsi" w:hAnsiTheme="minorHAnsi" w:cs="Arial"/>
        <w:b/>
        <w:i w:val="0"/>
        <w:color w:val="FF0000"/>
        <w:sz w:val="26"/>
        <w:szCs w:val="21"/>
      </w:rPr>
      <w:t>TION</w:t>
    </w:r>
  </w:p>
  <w:p w14:paraId="5458AE72" w14:textId="77777777" w:rsidR="00621BE2" w:rsidRPr="00292434" w:rsidRDefault="00621BE2" w:rsidP="00292434">
    <w:pPr>
      <w:pStyle w:val="Header"/>
      <w:rPr>
        <w:rFonts w:ascii="Arial" w:hAnsi="Arial" w:cs="Arial"/>
        <w:b/>
        <w:i w:val="0"/>
        <w:color w:val="FF0000"/>
        <w:sz w:val="24"/>
        <w:szCs w:val="21"/>
      </w:rPr>
    </w:pPr>
    <w:r>
      <w:rPr>
        <w:rFonts w:asciiTheme="minorHAnsi" w:hAnsiTheme="minorHAnsi" w:cs="Arial"/>
        <w:sz w:val="26"/>
        <w:szCs w:val="21"/>
      </w:rPr>
      <w:t xml:space="preserve">March </w:t>
    </w:r>
    <w:r w:rsidRPr="00F9216F">
      <w:rPr>
        <w:rFonts w:asciiTheme="minorHAnsi" w:hAnsiTheme="minorHAnsi" w:cs="Arial"/>
        <w:sz w:val="26"/>
        <w:szCs w:val="21"/>
      </w:rPr>
      <w:t>201</w:t>
    </w:r>
    <w:r>
      <w:rPr>
        <w:rFonts w:asciiTheme="minorHAnsi" w:hAnsiTheme="minorHAnsi" w:cs="Arial"/>
        <w:sz w:val="26"/>
        <w:szCs w:val="21"/>
      </w:rPr>
      <w:t>6</w:t>
    </w:r>
    <w:r w:rsidRPr="00292434">
      <w:rPr>
        <w:rFonts w:asciiTheme="minorHAnsi" w:hAnsiTheme="minorHAnsi" w:cs="Arial"/>
        <w:noProof/>
        <w:sz w:val="26"/>
        <w:szCs w:val="21"/>
        <w:lang w:eastAsia="en-AU"/>
      </w:rPr>
      <mc:AlternateContent>
        <mc:Choice Requires="wps">
          <w:drawing>
            <wp:anchor distT="0" distB="0" distL="114300" distR="114300" simplePos="0" relativeHeight="251651584" behindDoc="1" locked="0" layoutInCell="1" allowOverlap="1" wp14:anchorId="77994B9D" wp14:editId="4EF6CA48">
              <wp:simplePos x="0" y="0"/>
              <wp:positionH relativeFrom="page">
                <wp:align>center</wp:align>
              </wp:positionH>
              <wp:positionV relativeFrom="page">
                <wp:align>center</wp:align>
              </wp:positionV>
              <wp:extent cx="4964430" cy="1724025"/>
              <wp:effectExtent l="0" t="1517015" r="0" b="1521460"/>
              <wp:wrapNone/>
              <wp:docPr id="15" name="Text Box 11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35DBC75A"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0;margin-top:0;width:390.9pt;height:135.75pt;rotation:-45;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" filled="f" stroked="f">
              <o:lock v:ext="edit" shapetype="t"/>
              <v:textbox style="mso-fit-shape-to-text:t">
                <w:txbxContent>
                  <w:p w14:paraId="35DBC75A"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5945" w14:textId="348ACD33" w:rsidR="00621BE2" w:rsidRDefault="00621BE2">
    <w:pPr>
      <w:pStyle w:val="Header"/>
    </w:pPr>
    <w:r>
      <w:rPr>
        <w:noProof/>
        <w:lang w:eastAsia="en-AU"/>
      </w:rPr>
      <mc:AlternateContent>
        <mc:Choice Requires="wps">
          <w:drawing>
            <wp:anchor distT="0" distB="0" distL="114300" distR="114300" simplePos="0" relativeHeight="251648512" behindDoc="1" locked="0" layoutInCell="1" allowOverlap="1" wp14:anchorId="6F704CA6" wp14:editId="42397C82">
              <wp:simplePos x="0" y="0"/>
              <wp:positionH relativeFrom="page">
                <wp:align>center</wp:align>
              </wp:positionH>
              <wp:positionV relativeFrom="page">
                <wp:align>center</wp:align>
              </wp:positionV>
              <wp:extent cx="4964430" cy="1724025"/>
              <wp:effectExtent l="0" t="1517015" r="0" b="1521460"/>
              <wp:wrapNone/>
              <wp:docPr id="7" name="Text Box 7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770789FB"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KISDraft" o:spid="_x0000_s1031" type="#_x0000_t202" style="position:absolute;left:0;text-align:left;margin-left:0;margin-top:0;width:390.9pt;height:135.75pt;rotation:-45;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" filled="f" stroked="f">
              <o:lock v:ext="edit" shapetype="t"/>
              <v:textbox style="mso-fit-shape-to-text:t">
                <w:txbxContent>
                  <w:p w14:paraId="770789FB"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BA0F" w14:textId="77777777" w:rsidR="00621BE2" w:rsidRDefault="00621BE2">
    <w:pPr>
      <w:pStyle w:val="Header"/>
    </w:pPr>
    <w:r>
      <w:rPr>
        <w:noProof/>
        <w:lang w:eastAsia="en-AU"/>
      </w:rPr>
      <mc:AlternateContent>
        <mc:Choice Requires="wps">
          <w:drawing>
            <wp:anchor distT="0" distB="0" distL="114300" distR="114300" simplePos="0" relativeHeight="251656704" behindDoc="1" locked="0" layoutInCell="0" allowOverlap="1" wp14:anchorId="326A58F9" wp14:editId="34E428D1">
              <wp:simplePos x="0" y="0"/>
              <wp:positionH relativeFrom="margin">
                <wp:align>center</wp:align>
              </wp:positionH>
              <wp:positionV relativeFrom="margin">
                <wp:align>center</wp:align>
              </wp:positionV>
              <wp:extent cx="5772150" cy="2308860"/>
              <wp:effectExtent l="0" t="1638300" r="0" b="11868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B42EF5" w14:textId="77777777" w:rsidR="00621BE2" w:rsidRDefault="00621BE2" w:rsidP="003B2011">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left:0;text-align:left;margin-left:0;margin-top:0;width:454.5pt;height:181.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AN5yipjAIAAAY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14:paraId="3AB42EF5" w14:textId="77777777" w:rsidR="00621BE2" w:rsidRDefault="00621BE2" w:rsidP="003B2011">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57728" behindDoc="1" locked="0" layoutInCell="1" allowOverlap="1" wp14:anchorId="2FFEA408" wp14:editId="56E79308">
              <wp:simplePos x="0" y="0"/>
              <wp:positionH relativeFrom="page">
                <wp:align>center</wp:align>
              </wp:positionH>
              <wp:positionV relativeFrom="page">
                <wp:align>center</wp:align>
              </wp:positionV>
              <wp:extent cx="4964430" cy="1724025"/>
              <wp:effectExtent l="0" t="1517015" r="0" b="1521460"/>
              <wp:wrapNone/>
              <wp:docPr id="28" name="Text Box 1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474D1A85"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2 KISDraft" o:spid="_x0000_s1033" type="#_x0000_t202" style="position:absolute;left:0;text-align:left;margin-left:0;margin-top:0;width:390.9pt;height:135.75pt;rotation:-45;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" filled="f" stroked="f">
              <o:lock v:ext="edit" shapetype="t"/>
              <v:textbox style="mso-fit-shape-to-text:t">
                <w:txbxContent>
                  <w:p w14:paraId="474D1A85"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BC96B" w14:textId="2836DA6A" w:rsidR="00621BE2" w:rsidRPr="0078163E" w:rsidRDefault="00621BE2" w:rsidP="00414040">
    <w:pPr>
      <w:pStyle w:val="Header"/>
      <w:rPr>
        <w:rFonts w:ascii="Arial" w:hAnsi="Arial" w:cs="Arial"/>
        <w:b/>
        <w:i w:val="0"/>
        <w:color w:val="FF0000"/>
        <w:sz w:val="24"/>
        <w:szCs w:val="21"/>
      </w:rPr>
    </w:pPr>
    <w:r>
      <w:rPr>
        <w:rFonts w:asciiTheme="minorHAnsi" w:hAnsiTheme="minorHAnsi" w:cs="Arial"/>
        <w:sz w:val="26"/>
        <w:szCs w:val="21"/>
      </w:rPr>
      <w:tab/>
    </w:r>
    <w:r>
      <w:rPr>
        <w:rFonts w:asciiTheme="minorHAnsi" w:hAnsiTheme="minorHAnsi" w:cs="Arial"/>
        <w:sz w:val="26"/>
        <w:szCs w:val="21"/>
      </w:rPr>
      <w:tab/>
      <w:t xml:space="preserve">May </w:t>
    </w:r>
    <w:r w:rsidRPr="00F9216F">
      <w:rPr>
        <w:rFonts w:asciiTheme="minorHAnsi" w:hAnsiTheme="minorHAnsi" w:cs="Arial"/>
        <w:sz w:val="26"/>
        <w:szCs w:val="21"/>
      </w:rPr>
      <w:t>201</w:t>
    </w:r>
    <w:r>
      <w:rPr>
        <w:rFonts w:asciiTheme="minorHAnsi" w:hAnsiTheme="minorHAnsi" w:cs="Arial"/>
        <w:sz w:val="26"/>
        <w:szCs w:val="21"/>
      </w:rPr>
      <w:t>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1269C" w14:textId="7487D560" w:rsidR="00621BE2" w:rsidRPr="00292434" w:rsidRDefault="00621BE2" w:rsidP="00414040">
    <w:pPr>
      <w:pStyle w:val="Header"/>
      <w:rPr>
        <w:rFonts w:ascii="Arial" w:hAnsi="Arial" w:cs="Arial"/>
        <w:b/>
        <w:i w:val="0"/>
        <w:color w:val="FF0000"/>
        <w:sz w:val="24"/>
        <w:szCs w:val="21"/>
      </w:rPr>
    </w:pPr>
    <w:r>
      <w:rPr>
        <w:rFonts w:asciiTheme="minorHAnsi" w:hAnsiTheme="minorHAnsi" w:cs="Arial"/>
        <w:sz w:val="26"/>
        <w:szCs w:val="21"/>
      </w:rPr>
      <w:tab/>
    </w:r>
    <w:r>
      <w:rPr>
        <w:rFonts w:asciiTheme="minorHAnsi" w:hAnsiTheme="minorHAnsi" w:cs="Arial"/>
        <w:sz w:val="26"/>
        <w:szCs w:val="21"/>
      </w:rPr>
      <w:tab/>
      <w:t xml:space="preserve">May </w:t>
    </w:r>
    <w:r w:rsidRPr="00F9216F">
      <w:rPr>
        <w:rFonts w:asciiTheme="minorHAnsi" w:hAnsiTheme="minorHAnsi" w:cs="Arial"/>
        <w:sz w:val="26"/>
        <w:szCs w:val="21"/>
      </w:rPr>
      <w:t>201</w:t>
    </w:r>
    <w:r>
      <w:rPr>
        <w:rFonts w:asciiTheme="minorHAnsi" w:hAnsiTheme="minorHAnsi" w:cs="Arial"/>
        <w:sz w:val="26"/>
        <w:szCs w:val="21"/>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73B14" w14:textId="77777777" w:rsidR="00621BE2" w:rsidRDefault="00621BE2">
    <w:pPr>
      <w:pStyle w:val="Header"/>
    </w:pPr>
    <w:r>
      <w:rPr>
        <w:noProof/>
        <w:lang w:eastAsia="en-AU"/>
      </w:rPr>
      <mc:AlternateContent>
        <mc:Choice Requires="wps">
          <w:drawing>
            <wp:anchor distT="0" distB="0" distL="114300" distR="114300" simplePos="0" relativeHeight="251663872" behindDoc="1" locked="0" layoutInCell="0" allowOverlap="1" wp14:anchorId="6B9035F3" wp14:editId="16728EA3">
              <wp:simplePos x="0" y="0"/>
              <wp:positionH relativeFrom="margin">
                <wp:align>center</wp:align>
              </wp:positionH>
              <wp:positionV relativeFrom="margin">
                <wp:align>center</wp:align>
              </wp:positionV>
              <wp:extent cx="5772150" cy="2308860"/>
              <wp:effectExtent l="0" t="1638300" r="0" b="11868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8B8EFA" w14:textId="77777777" w:rsidR="00621BE2" w:rsidRDefault="00621BE2" w:rsidP="003B2011">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0;margin-top:0;width:454.5pt;height:181.8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AzVW+1jAIAAAY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14:paraId="0A8B8EFA" w14:textId="77777777" w:rsidR="00621BE2" w:rsidRDefault="00621BE2" w:rsidP="003B2011">
                    <w:pPr>
                      <w:pStyle w:val="NormalWeb"/>
                      <w:jc w:val="center"/>
                    </w:pPr>
                    <w:r>
                      <w:rPr>
                        <w:rFonts w:ascii="Univers 45 Light" w:hAnsi="Univers 45 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5920" behindDoc="1" locked="0" layoutInCell="1" allowOverlap="1" wp14:anchorId="43D6B14C" wp14:editId="1E5C7F49">
              <wp:simplePos x="0" y="0"/>
              <wp:positionH relativeFrom="page">
                <wp:align>center</wp:align>
              </wp:positionH>
              <wp:positionV relativeFrom="page">
                <wp:align>center</wp:align>
              </wp:positionV>
              <wp:extent cx="4964430" cy="1724025"/>
              <wp:effectExtent l="0" t="1517015" r="0" b="1521460"/>
              <wp:wrapNone/>
              <wp:docPr id="13" name="Text Box 1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2E358975"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0;margin-top:0;width:390.9pt;height:135.75pt;rotation:-45;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" filled="f" stroked="f">
              <o:lock v:ext="edit" shapetype="t"/>
              <v:textbox style="mso-fit-shape-to-text:t">
                <w:txbxContent>
                  <w:p w14:paraId="2E358975"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6AC48" w14:textId="62FB8707" w:rsidR="00621BE2" w:rsidRPr="0078163E" w:rsidRDefault="00621BE2" w:rsidP="00414040">
    <w:pPr>
      <w:pStyle w:val="Header"/>
      <w:rPr>
        <w:rFonts w:ascii="Arial" w:hAnsi="Arial" w:cs="Arial"/>
        <w:b/>
        <w:i w:val="0"/>
        <w:color w:val="FF0000"/>
        <w:sz w:val="24"/>
        <w:szCs w:val="21"/>
      </w:rPr>
    </w:pPr>
    <w:r>
      <w:rPr>
        <w:rFonts w:asciiTheme="minorHAnsi" w:hAnsiTheme="minorHAnsi" w:cs="Arial"/>
        <w:sz w:val="26"/>
        <w:szCs w:val="21"/>
      </w:rPr>
      <w:tab/>
    </w:r>
    <w:r>
      <w:rPr>
        <w:rFonts w:asciiTheme="minorHAnsi" w:hAnsiTheme="minorHAnsi" w:cs="Arial"/>
        <w:sz w:val="26"/>
        <w:szCs w:val="21"/>
      </w:rPr>
      <w:tab/>
      <w:t xml:space="preserve">May </w:t>
    </w:r>
    <w:r w:rsidRPr="00F9216F">
      <w:rPr>
        <w:rFonts w:asciiTheme="minorHAnsi" w:hAnsiTheme="minorHAnsi" w:cs="Arial"/>
        <w:sz w:val="26"/>
        <w:szCs w:val="21"/>
      </w:rPr>
      <w:t>201</w:t>
    </w:r>
    <w:r>
      <w:rPr>
        <w:rFonts w:asciiTheme="minorHAnsi" w:hAnsiTheme="minorHAnsi" w:cs="Arial"/>
        <w:sz w:val="26"/>
        <w:szCs w:val="21"/>
      </w:rPr>
      <w:t>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7D48B" w14:textId="77777777" w:rsidR="00621BE2" w:rsidRDefault="00621BE2" w:rsidP="00292434">
    <w:pPr>
      <w:pStyle w:val="Header"/>
      <w:rPr>
        <w:rFonts w:asciiTheme="minorHAnsi" w:hAnsiTheme="minorHAnsi" w:cs="Arial"/>
        <w:b/>
        <w:i w:val="0"/>
        <w:color w:val="FF0000"/>
        <w:sz w:val="26"/>
        <w:szCs w:val="21"/>
      </w:rPr>
    </w:pPr>
    <w:r>
      <w:rPr>
        <w:rFonts w:asciiTheme="minorHAnsi" w:hAnsiTheme="minorHAnsi" w:cs="Arial"/>
        <w:b/>
        <w:i w:val="0"/>
        <w:color w:val="FF0000"/>
        <w:sz w:val="26"/>
        <w:szCs w:val="21"/>
      </w:rPr>
      <w:t xml:space="preserve">WORKING </w:t>
    </w:r>
    <w:r w:rsidRPr="00ED6282">
      <w:rPr>
        <w:rFonts w:asciiTheme="minorHAnsi" w:hAnsiTheme="minorHAnsi" w:cs="Arial"/>
        <w:b/>
        <w:i w:val="0"/>
        <w:color w:val="FF0000"/>
        <w:sz w:val="26"/>
        <w:szCs w:val="21"/>
      </w:rPr>
      <w:t>DRAFT– NOT FOR CIRCU</w:t>
    </w:r>
    <w:r>
      <w:rPr>
        <w:rFonts w:asciiTheme="minorHAnsi" w:hAnsiTheme="minorHAnsi" w:cs="Arial"/>
        <w:b/>
        <w:i w:val="0"/>
        <w:color w:val="FF0000"/>
        <w:sz w:val="26"/>
        <w:szCs w:val="21"/>
      </w:rPr>
      <w:t>LA</w:t>
    </w:r>
    <w:r w:rsidRPr="00ED6282">
      <w:rPr>
        <w:rFonts w:asciiTheme="minorHAnsi" w:hAnsiTheme="minorHAnsi" w:cs="Arial"/>
        <w:b/>
        <w:i w:val="0"/>
        <w:color w:val="FF0000"/>
        <w:sz w:val="26"/>
        <w:szCs w:val="21"/>
      </w:rPr>
      <w:t>TION</w:t>
    </w:r>
  </w:p>
  <w:p w14:paraId="0DB1C7B1" w14:textId="77777777" w:rsidR="00621BE2" w:rsidRPr="00292434" w:rsidRDefault="00621BE2" w:rsidP="00292434">
    <w:pPr>
      <w:pStyle w:val="Header"/>
      <w:rPr>
        <w:rFonts w:ascii="Arial" w:hAnsi="Arial" w:cs="Arial"/>
        <w:b/>
        <w:i w:val="0"/>
        <w:color w:val="FF0000"/>
        <w:sz w:val="24"/>
        <w:szCs w:val="21"/>
      </w:rPr>
    </w:pPr>
    <w:r>
      <w:rPr>
        <w:rFonts w:asciiTheme="minorHAnsi" w:hAnsiTheme="minorHAnsi" w:cs="Arial"/>
        <w:sz w:val="26"/>
        <w:szCs w:val="21"/>
      </w:rPr>
      <w:t xml:space="preserve">March </w:t>
    </w:r>
    <w:r w:rsidRPr="00F9216F">
      <w:rPr>
        <w:rFonts w:asciiTheme="minorHAnsi" w:hAnsiTheme="minorHAnsi" w:cs="Arial"/>
        <w:sz w:val="26"/>
        <w:szCs w:val="21"/>
      </w:rPr>
      <w:t>201</w:t>
    </w:r>
    <w:r>
      <w:rPr>
        <w:rFonts w:asciiTheme="minorHAnsi" w:hAnsiTheme="minorHAnsi" w:cs="Arial"/>
        <w:sz w:val="26"/>
        <w:szCs w:val="21"/>
      </w:rPr>
      <w:t>6</w:t>
    </w:r>
    <w:r w:rsidRPr="00292434">
      <w:rPr>
        <w:rFonts w:asciiTheme="minorHAnsi" w:hAnsiTheme="minorHAnsi" w:cs="Arial"/>
        <w:noProof/>
        <w:sz w:val="26"/>
        <w:szCs w:val="21"/>
        <w:lang w:eastAsia="en-AU"/>
      </w:rPr>
      <mc:AlternateContent>
        <mc:Choice Requires="wps">
          <w:drawing>
            <wp:anchor distT="0" distB="0" distL="114300" distR="114300" simplePos="0" relativeHeight="251664896" behindDoc="1" locked="0" layoutInCell="1" allowOverlap="1" wp14:anchorId="4F8419A2" wp14:editId="19D8419B">
              <wp:simplePos x="0" y="0"/>
              <wp:positionH relativeFrom="page">
                <wp:align>center</wp:align>
              </wp:positionH>
              <wp:positionV relativeFrom="page">
                <wp:align>center</wp:align>
              </wp:positionV>
              <wp:extent cx="4964430" cy="1724025"/>
              <wp:effectExtent l="0" t="1517015" r="0" b="1521460"/>
              <wp:wrapNone/>
              <wp:docPr id="26" name="Text Box 11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0035060A"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KISDraft" o:spid="_x0000_s1036" type="#_x0000_t202" style="position:absolute;left:0;text-align:left;margin-left:0;margin-top:0;width:390.9pt;height:135.75pt;rotation:-45;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" filled="f" stroked="f">
              <o:lock v:ext="edit" shapetype="t"/>
              <v:textbox style="mso-fit-shape-to-text:t">
                <w:txbxContent>
                  <w:p w14:paraId="0035060A" w14:textId="77777777" w:rsidR="00621BE2" w:rsidRDefault="00621BE2" w:rsidP="00292434">
                    <w:pPr>
                      <w:pStyle w:val="NormalWeb"/>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nsid w:val="FFFFFF83"/>
    <w:multiLevelType w:val="singleLevel"/>
    <w:tmpl w:val="4EFEF360"/>
    <w:lvl w:ilvl="0">
      <w:start w:val="1"/>
      <w:numFmt w:val="bullet"/>
      <w:lvlText w:val=""/>
      <w:lvlJc w:val="left"/>
      <w:pPr>
        <w:tabs>
          <w:tab w:val="num" w:pos="643"/>
        </w:tabs>
        <w:ind w:left="643" w:hanging="360"/>
      </w:pPr>
      <w:rPr>
        <w:rFonts w:ascii="Symbol" w:hAnsi="Symbol" w:hint="default"/>
      </w:rPr>
    </w:lvl>
  </w:abstractNum>
  <w:abstractNum w:abstractNumId="2">
    <w:nsid w:val="087A6203"/>
    <w:multiLevelType w:val="singleLevel"/>
    <w:tmpl w:val="980EDFB0"/>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AC97052"/>
    <w:multiLevelType w:val="singleLevel"/>
    <w:tmpl w:val="2B2A4868"/>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108E3D81"/>
    <w:multiLevelType w:val="hybridMultilevel"/>
    <w:tmpl w:val="6A302A9C"/>
    <w:lvl w:ilvl="0" w:tplc="71CADFB2">
      <w:start w:val="1"/>
      <w:numFmt w:val="bullet"/>
      <w:pStyle w:val="ListBullet2"/>
      <w:lvlText w:val="-"/>
      <w:lvlJc w:val="left"/>
      <w:pPr>
        <w:tabs>
          <w:tab w:val="num" w:pos="1664"/>
        </w:tabs>
        <w:ind w:left="1664" w:hanging="340"/>
      </w:pPr>
      <w:rPr>
        <w:rFonts w:ascii="9999999" w:hAnsi="9999999" w:cs="Courier New"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3144" w:hanging="360"/>
      </w:pPr>
      <w:rPr>
        <w:rFonts w:ascii="Wingdings" w:hAnsi="Wingdings" w:hint="default"/>
      </w:rPr>
    </w:lvl>
    <w:lvl w:ilvl="3" w:tplc="0C090001" w:tentative="1">
      <w:start w:val="1"/>
      <w:numFmt w:val="bullet"/>
      <w:lvlText w:val=""/>
      <w:lvlJc w:val="left"/>
      <w:pPr>
        <w:ind w:left="3864" w:hanging="360"/>
      </w:pPr>
      <w:rPr>
        <w:rFonts w:ascii="Symbol" w:hAnsi="Symbol" w:hint="default"/>
      </w:rPr>
    </w:lvl>
    <w:lvl w:ilvl="4" w:tplc="0C090003" w:tentative="1">
      <w:start w:val="1"/>
      <w:numFmt w:val="bullet"/>
      <w:lvlText w:val="o"/>
      <w:lvlJc w:val="left"/>
      <w:pPr>
        <w:ind w:left="4584" w:hanging="360"/>
      </w:pPr>
      <w:rPr>
        <w:rFonts w:ascii="Courier New" w:hAnsi="Courier New" w:cs="Courier New" w:hint="default"/>
      </w:rPr>
    </w:lvl>
    <w:lvl w:ilvl="5" w:tplc="0C090005" w:tentative="1">
      <w:start w:val="1"/>
      <w:numFmt w:val="bullet"/>
      <w:lvlText w:val=""/>
      <w:lvlJc w:val="left"/>
      <w:pPr>
        <w:ind w:left="5304" w:hanging="360"/>
      </w:pPr>
      <w:rPr>
        <w:rFonts w:ascii="Wingdings" w:hAnsi="Wingdings" w:hint="default"/>
      </w:rPr>
    </w:lvl>
    <w:lvl w:ilvl="6" w:tplc="0C090001" w:tentative="1">
      <w:start w:val="1"/>
      <w:numFmt w:val="bullet"/>
      <w:lvlText w:val=""/>
      <w:lvlJc w:val="left"/>
      <w:pPr>
        <w:ind w:left="6024" w:hanging="360"/>
      </w:pPr>
      <w:rPr>
        <w:rFonts w:ascii="Symbol" w:hAnsi="Symbol" w:hint="default"/>
      </w:rPr>
    </w:lvl>
    <w:lvl w:ilvl="7" w:tplc="0C090003" w:tentative="1">
      <w:start w:val="1"/>
      <w:numFmt w:val="bullet"/>
      <w:lvlText w:val="o"/>
      <w:lvlJc w:val="left"/>
      <w:pPr>
        <w:ind w:left="6744" w:hanging="360"/>
      </w:pPr>
      <w:rPr>
        <w:rFonts w:ascii="Courier New" w:hAnsi="Courier New" w:cs="Courier New" w:hint="default"/>
      </w:rPr>
    </w:lvl>
    <w:lvl w:ilvl="8" w:tplc="0C090005" w:tentative="1">
      <w:start w:val="1"/>
      <w:numFmt w:val="bullet"/>
      <w:lvlText w:val=""/>
      <w:lvlJc w:val="left"/>
      <w:pPr>
        <w:ind w:left="7464" w:hanging="360"/>
      </w:pPr>
      <w:rPr>
        <w:rFonts w:ascii="Wingdings" w:hAnsi="Wingdings" w:hint="default"/>
      </w:rPr>
    </w:lvl>
  </w:abstractNum>
  <w:abstractNum w:abstractNumId="5">
    <w:nsid w:val="16D81716"/>
    <w:multiLevelType w:val="singleLevel"/>
    <w:tmpl w:val="0410407C"/>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7F72647"/>
    <w:multiLevelType w:val="singleLevel"/>
    <w:tmpl w:val="08166D04"/>
    <w:lvl w:ilvl="0">
      <w:start w:val="1"/>
      <w:numFmt w:val="bullet"/>
      <w:lvlText w:val=""/>
      <w:lvlJc w:val="left"/>
      <w:pPr>
        <w:tabs>
          <w:tab w:val="num" w:pos="340"/>
        </w:tabs>
        <w:ind w:left="340" w:hanging="340"/>
      </w:pPr>
      <w:rPr>
        <w:rFonts w:ascii="Symbol" w:hAnsi="Symbol" w:hint="default"/>
        <w:color w:val="6D2077"/>
        <w:sz w:val="22"/>
      </w:rPr>
    </w:lvl>
  </w:abstractNum>
  <w:abstractNum w:abstractNumId="7">
    <w:nsid w:val="190F7D5D"/>
    <w:multiLevelType w:val="multilevel"/>
    <w:tmpl w:val="ED044950"/>
    <w:lvl w:ilvl="0">
      <w:start w:val="2"/>
      <w:numFmt w:val="decimal"/>
      <w:lvlText w:val="%1"/>
      <w:lvlJc w:val="left"/>
      <w:pPr>
        <w:ind w:left="413" w:hanging="413"/>
      </w:pPr>
      <w:rPr>
        <w:rFonts w:ascii="KPMG Extralight" w:hAnsi="KPMG Extralight" w:hint="default"/>
        <w:color w:val="6D2077"/>
        <w:sz w:val="76"/>
        <w:szCs w:val="76"/>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19215DE"/>
    <w:multiLevelType w:val="hybridMultilevel"/>
    <w:tmpl w:val="1368EFA8"/>
    <w:lvl w:ilvl="0" w:tplc="AA54ED14">
      <w:start w:val="1"/>
      <w:numFmt w:val="bullet"/>
      <w:pStyle w:val="BodyBullet"/>
      <w:lvlText w:val=""/>
      <w:lvlJc w:val="left"/>
      <w:pPr>
        <w:ind w:left="360" w:hanging="360"/>
      </w:pPr>
      <w:rPr>
        <w:rFonts w:ascii="Symbol" w:hAnsi="Symbol" w:hint="default"/>
        <w:color w:val="6D2077"/>
        <w:sz w:val="18"/>
      </w:rPr>
    </w:lvl>
    <w:lvl w:ilvl="1" w:tplc="EFBCBE76">
      <w:start w:val="1"/>
      <w:numFmt w:val="bullet"/>
      <w:lvlText w:val="o"/>
      <w:lvlJc w:val="left"/>
      <w:pPr>
        <w:tabs>
          <w:tab w:val="num" w:pos="644"/>
        </w:tabs>
        <w:ind w:left="644" w:hanging="360"/>
      </w:pPr>
      <w:rPr>
        <w:rFonts w:ascii="Courier New" w:hAnsi="Courier New" w:cs="Courier New" w:hint="default"/>
      </w:rPr>
    </w:lvl>
    <w:lvl w:ilvl="2" w:tplc="5E38DFCA" w:tentative="1">
      <w:start w:val="1"/>
      <w:numFmt w:val="bullet"/>
      <w:lvlText w:val=""/>
      <w:lvlJc w:val="left"/>
      <w:pPr>
        <w:tabs>
          <w:tab w:val="num" w:pos="2160"/>
        </w:tabs>
        <w:ind w:left="2160" w:hanging="360"/>
      </w:pPr>
      <w:rPr>
        <w:rFonts w:ascii="Wingdings" w:hAnsi="Wingdings" w:hint="default"/>
      </w:rPr>
    </w:lvl>
    <w:lvl w:ilvl="3" w:tplc="06A40976">
      <w:start w:val="1"/>
      <w:numFmt w:val="bullet"/>
      <w:lvlText w:val=""/>
      <w:lvlJc w:val="left"/>
      <w:pPr>
        <w:tabs>
          <w:tab w:val="num" w:pos="2880"/>
        </w:tabs>
        <w:ind w:left="2880" w:hanging="360"/>
      </w:pPr>
      <w:rPr>
        <w:rFonts w:ascii="Symbol" w:hAnsi="Symbol" w:hint="default"/>
      </w:rPr>
    </w:lvl>
    <w:lvl w:ilvl="4" w:tplc="2F16EBF4" w:tentative="1">
      <w:start w:val="1"/>
      <w:numFmt w:val="bullet"/>
      <w:lvlText w:val="o"/>
      <w:lvlJc w:val="left"/>
      <w:pPr>
        <w:tabs>
          <w:tab w:val="num" w:pos="3600"/>
        </w:tabs>
        <w:ind w:left="3600" w:hanging="360"/>
      </w:pPr>
      <w:rPr>
        <w:rFonts w:ascii="Courier New" w:hAnsi="Courier New" w:cs="Courier New" w:hint="default"/>
      </w:rPr>
    </w:lvl>
    <w:lvl w:ilvl="5" w:tplc="B36A5EF2" w:tentative="1">
      <w:start w:val="1"/>
      <w:numFmt w:val="bullet"/>
      <w:lvlText w:val=""/>
      <w:lvlJc w:val="left"/>
      <w:pPr>
        <w:tabs>
          <w:tab w:val="num" w:pos="4320"/>
        </w:tabs>
        <w:ind w:left="4320" w:hanging="360"/>
      </w:pPr>
      <w:rPr>
        <w:rFonts w:ascii="Wingdings" w:hAnsi="Wingdings" w:hint="default"/>
      </w:rPr>
    </w:lvl>
    <w:lvl w:ilvl="6" w:tplc="C0BEBA80" w:tentative="1">
      <w:start w:val="1"/>
      <w:numFmt w:val="bullet"/>
      <w:lvlText w:val=""/>
      <w:lvlJc w:val="left"/>
      <w:pPr>
        <w:tabs>
          <w:tab w:val="num" w:pos="5040"/>
        </w:tabs>
        <w:ind w:left="5040" w:hanging="360"/>
      </w:pPr>
      <w:rPr>
        <w:rFonts w:ascii="Symbol" w:hAnsi="Symbol" w:hint="default"/>
      </w:rPr>
    </w:lvl>
    <w:lvl w:ilvl="7" w:tplc="4AD2CEF2" w:tentative="1">
      <w:start w:val="1"/>
      <w:numFmt w:val="bullet"/>
      <w:lvlText w:val="o"/>
      <w:lvlJc w:val="left"/>
      <w:pPr>
        <w:tabs>
          <w:tab w:val="num" w:pos="5760"/>
        </w:tabs>
        <w:ind w:left="5760" w:hanging="360"/>
      </w:pPr>
      <w:rPr>
        <w:rFonts w:ascii="Courier New" w:hAnsi="Courier New" w:cs="Courier New" w:hint="default"/>
      </w:rPr>
    </w:lvl>
    <w:lvl w:ilvl="8" w:tplc="A47CA594" w:tentative="1">
      <w:start w:val="1"/>
      <w:numFmt w:val="bullet"/>
      <w:lvlText w:val=""/>
      <w:lvlJc w:val="left"/>
      <w:pPr>
        <w:tabs>
          <w:tab w:val="num" w:pos="6480"/>
        </w:tabs>
        <w:ind w:left="6480" w:hanging="360"/>
      </w:pPr>
      <w:rPr>
        <w:rFonts w:ascii="Wingdings" w:hAnsi="Wingdings" w:hint="default"/>
      </w:rPr>
    </w:lvl>
  </w:abstractNum>
  <w:abstractNum w:abstractNumId="9">
    <w:nsid w:val="29F60EF5"/>
    <w:multiLevelType w:val="hybridMultilevel"/>
    <w:tmpl w:val="1B90BD4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D803A6E"/>
    <w:multiLevelType w:val="singleLevel"/>
    <w:tmpl w:val="3ADC885E"/>
    <w:lvl w:ilvl="0">
      <w:start w:val="1"/>
      <w:numFmt w:val="bullet"/>
      <w:pStyle w:val="Tablebullet1"/>
      <w:lvlText w:val=""/>
      <w:lvlJc w:val="left"/>
      <w:pPr>
        <w:tabs>
          <w:tab w:val="num" w:pos="2609"/>
        </w:tabs>
        <w:ind w:left="2609" w:hanging="340"/>
      </w:pPr>
      <w:rPr>
        <w:rFonts w:ascii="Symbol" w:hAnsi="Symbol" w:hint="default"/>
        <w:color w:val="000080"/>
        <w:sz w:val="18"/>
        <w:szCs w:val="16"/>
      </w:rPr>
    </w:lvl>
  </w:abstractNum>
  <w:abstractNum w:abstractNumId="11">
    <w:nsid w:val="32ED6332"/>
    <w:multiLevelType w:val="hybridMultilevel"/>
    <w:tmpl w:val="8FF41CE0"/>
    <w:lvl w:ilvl="0" w:tplc="5134A9B8">
      <w:start w:val="1"/>
      <w:numFmt w:val="bullet"/>
      <w:pStyle w:val="StyleBodyText10ptBoldItalic"/>
      <w:lvlText w:val=""/>
      <w:lvlJc w:val="left"/>
      <w:pPr>
        <w:tabs>
          <w:tab w:val="num" w:pos="737"/>
        </w:tabs>
        <w:ind w:left="737" w:hanging="737"/>
      </w:pPr>
      <w:rPr>
        <w:rFonts w:ascii="Wingdings" w:hAnsi="Wingdings" w:hint="default"/>
        <w:color w:val="0000FF"/>
        <w:sz w:val="24"/>
        <w:szCs w:val="24"/>
      </w:rPr>
    </w:lvl>
    <w:lvl w:ilvl="1" w:tplc="A032423C">
      <w:start w:val="1"/>
      <w:numFmt w:val="bullet"/>
      <w:lvlText w:val="o"/>
      <w:lvlJc w:val="left"/>
      <w:pPr>
        <w:tabs>
          <w:tab w:val="num" w:pos="1440"/>
        </w:tabs>
        <w:ind w:left="1440" w:hanging="360"/>
      </w:pPr>
      <w:rPr>
        <w:rFonts w:ascii="Courier New" w:hAnsi="Courier New" w:cs="Arial" w:hint="default"/>
      </w:rPr>
    </w:lvl>
    <w:lvl w:ilvl="2" w:tplc="75829382" w:tentative="1">
      <w:start w:val="1"/>
      <w:numFmt w:val="bullet"/>
      <w:lvlText w:val=""/>
      <w:lvlJc w:val="left"/>
      <w:pPr>
        <w:tabs>
          <w:tab w:val="num" w:pos="2160"/>
        </w:tabs>
        <w:ind w:left="2160" w:hanging="360"/>
      </w:pPr>
      <w:rPr>
        <w:rFonts w:ascii="Wingdings" w:hAnsi="Wingdings" w:hint="default"/>
      </w:rPr>
    </w:lvl>
    <w:lvl w:ilvl="3" w:tplc="87D8CB90" w:tentative="1">
      <w:start w:val="1"/>
      <w:numFmt w:val="bullet"/>
      <w:lvlText w:val=""/>
      <w:lvlJc w:val="left"/>
      <w:pPr>
        <w:tabs>
          <w:tab w:val="num" w:pos="2880"/>
        </w:tabs>
        <w:ind w:left="2880" w:hanging="360"/>
      </w:pPr>
      <w:rPr>
        <w:rFonts w:ascii="Symbol" w:hAnsi="Symbol" w:hint="default"/>
      </w:rPr>
    </w:lvl>
    <w:lvl w:ilvl="4" w:tplc="D75A4CC0" w:tentative="1">
      <w:start w:val="1"/>
      <w:numFmt w:val="bullet"/>
      <w:lvlText w:val="o"/>
      <w:lvlJc w:val="left"/>
      <w:pPr>
        <w:tabs>
          <w:tab w:val="num" w:pos="3600"/>
        </w:tabs>
        <w:ind w:left="3600" w:hanging="360"/>
      </w:pPr>
      <w:rPr>
        <w:rFonts w:ascii="Courier New" w:hAnsi="Courier New" w:cs="Arial" w:hint="default"/>
      </w:rPr>
    </w:lvl>
    <w:lvl w:ilvl="5" w:tplc="F606FC64" w:tentative="1">
      <w:start w:val="1"/>
      <w:numFmt w:val="bullet"/>
      <w:lvlText w:val=""/>
      <w:lvlJc w:val="left"/>
      <w:pPr>
        <w:tabs>
          <w:tab w:val="num" w:pos="4320"/>
        </w:tabs>
        <w:ind w:left="4320" w:hanging="360"/>
      </w:pPr>
      <w:rPr>
        <w:rFonts w:ascii="Wingdings" w:hAnsi="Wingdings" w:hint="default"/>
      </w:rPr>
    </w:lvl>
    <w:lvl w:ilvl="6" w:tplc="0E18F5B8" w:tentative="1">
      <w:start w:val="1"/>
      <w:numFmt w:val="bullet"/>
      <w:lvlText w:val=""/>
      <w:lvlJc w:val="left"/>
      <w:pPr>
        <w:tabs>
          <w:tab w:val="num" w:pos="5040"/>
        </w:tabs>
        <w:ind w:left="5040" w:hanging="360"/>
      </w:pPr>
      <w:rPr>
        <w:rFonts w:ascii="Symbol" w:hAnsi="Symbol" w:hint="default"/>
      </w:rPr>
    </w:lvl>
    <w:lvl w:ilvl="7" w:tplc="2A822256" w:tentative="1">
      <w:start w:val="1"/>
      <w:numFmt w:val="bullet"/>
      <w:lvlText w:val="o"/>
      <w:lvlJc w:val="left"/>
      <w:pPr>
        <w:tabs>
          <w:tab w:val="num" w:pos="5760"/>
        </w:tabs>
        <w:ind w:left="5760" w:hanging="360"/>
      </w:pPr>
      <w:rPr>
        <w:rFonts w:ascii="Courier New" w:hAnsi="Courier New" w:cs="Arial" w:hint="default"/>
      </w:rPr>
    </w:lvl>
    <w:lvl w:ilvl="8" w:tplc="90684D62" w:tentative="1">
      <w:start w:val="1"/>
      <w:numFmt w:val="bullet"/>
      <w:lvlText w:val=""/>
      <w:lvlJc w:val="left"/>
      <w:pPr>
        <w:tabs>
          <w:tab w:val="num" w:pos="6480"/>
        </w:tabs>
        <w:ind w:left="6480" w:hanging="360"/>
      </w:pPr>
      <w:rPr>
        <w:rFonts w:ascii="Wingdings" w:hAnsi="Wingdings" w:hint="default"/>
      </w:rPr>
    </w:lvl>
  </w:abstractNum>
  <w:abstractNum w:abstractNumId="12">
    <w:nsid w:val="334A6B22"/>
    <w:multiLevelType w:val="singleLevel"/>
    <w:tmpl w:val="C1C2B59A"/>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389D2AE3"/>
    <w:multiLevelType w:val="hybridMultilevel"/>
    <w:tmpl w:val="E77E8D86"/>
    <w:lvl w:ilvl="0" w:tplc="79E2405E">
      <w:start w:val="1"/>
      <w:numFmt w:val="bullet"/>
      <w:pStyle w:val="ListBullet"/>
      <w:lvlText w:val=""/>
      <w:lvlJc w:val="left"/>
      <w:pPr>
        <w:tabs>
          <w:tab w:val="num" w:pos="700"/>
        </w:tabs>
        <w:ind w:left="700" w:hanging="340"/>
      </w:pPr>
      <w:rPr>
        <w:rFonts w:ascii="Symbol" w:hAnsi="Symbol" w:hint="default"/>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9733C78"/>
    <w:multiLevelType w:val="singleLevel"/>
    <w:tmpl w:val="315CF908"/>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3A1278D8"/>
    <w:multiLevelType w:val="hybridMultilevel"/>
    <w:tmpl w:val="067658F0"/>
    <w:lvl w:ilvl="0" w:tplc="5DBC915A">
      <w:start w:val="1"/>
      <w:numFmt w:val="bullet"/>
      <w:pStyle w:val="Bullet1stlevel"/>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D157F7"/>
    <w:multiLevelType w:val="hybridMultilevel"/>
    <w:tmpl w:val="E36E992C"/>
    <w:lvl w:ilvl="0" w:tplc="A3AECD2C">
      <w:start w:val="1"/>
      <w:numFmt w:val="bullet"/>
      <w:pStyle w:val="Bullet2ndlevel"/>
      <w:lvlText w:val="–"/>
      <w:lvlJc w:val="left"/>
      <w:pPr>
        <w:ind w:left="1344" w:hanging="360"/>
      </w:pPr>
      <w:rPr>
        <w:rFonts w:ascii="Arial" w:hAnsi="Arial" w:hint="default"/>
        <w:sz w:val="18"/>
      </w:rPr>
    </w:lvl>
    <w:lvl w:ilvl="1" w:tplc="0C090003">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17">
    <w:nsid w:val="48BF1459"/>
    <w:multiLevelType w:val="hybridMultilevel"/>
    <w:tmpl w:val="5F92BC52"/>
    <w:lvl w:ilvl="0" w:tplc="33D25F3A">
      <w:start w:val="1"/>
      <w:numFmt w:val="bullet"/>
      <w:pStyle w:val="Bullet3rdlevel"/>
      <w:lvlText w:val=""/>
      <w:lvlJc w:val="left"/>
      <w:pPr>
        <w:ind w:left="153" w:hanging="360"/>
      </w:pPr>
      <w:rPr>
        <w:rFonts w:ascii="Symbol" w:hAnsi="Symbol" w:hint="default"/>
        <w:sz w:val="18"/>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8">
    <w:nsid w:val="4CB325B9"/>
    <w:multiLevelType w:val="singleLevel"/>
    <w:tmpl w:val="778EF384"/>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4F774087"/>
    <w:multiLevelType w:val="singleLevel"/>
    <w:tmpl w:val="8158809A"/>
    <w:lvl w:ilvl="0">
      <w:start w:val="1"/>
      <w:numFmt w:val="bullet"/>
      <w:pStyle w:val="Listbullet1"/>
      <w:lvlText w:val=""/>
      <w:lvlJc w:val="left"/>
      <w:pPr>
        <w:tabs>
          <w:tab w:val="num" w:pos="340"/>
        </w:tabs>
        <w:ind w:left="340" w:hanging="340"/>
      </w:pPr>
      <w:rPr>
        <w:rFonts w:ascii="Symbol" w:hAnsi="Symbol" w:hint="default"/>
        <w:color w:val="auto"/>
        <w:sz w:val="22"/>
      </w:rPr>
    </w:lvl>
  </w:abstractNum>
  <w:abstractNum w:abstractNumId="20">
    <w:nsid w:val="4FC33178"/>
    <w:multiLevelType w:val="singleLevel"/>
    <w:tmpl w:val="E48C8714"/>
    <w:lvl w:ilvl="0">
      <w:start w:val="1"/>
      <w:numFmt w:val="bullet"/>
      <w:lvlText w:val=""/>
      <w:lvlJc w:val="left"/>
      <w:pPr>
        <w:tabs>
          <w:tab w:val="num" w:pos="340"/>
        </w:tabs>
        <w:ind w:left="340" w:hanging="340"/>
      </w:pPr>
      <w:rPr>
        <w:rFonts w:ascii="Symbol" w:hAnsi="Symbol" w:hint="default"/>
        <w:color w:val="6D2077"/>
        <w:sz w:val="22"/>
      </w:rPr>
    </w:lvl>
  </w:abstractNum>
  <w:abstractNum w:abstractNumId="21">
    <w:nsid w:val="579705FB"/>
    <w:multiLevelType w:val="hybridMultilevel"/>
    <w:tmpl w:val="2F309976"/>
    <w:lvl w:ilvl="0" w:tplc="AF76E4E6">
      <w:start w:val="1"/>
      <w:numFmt w:val="decimal"/>
      <w:lvlText w:val="%1"/>
      <w:lvlJc w:val="left"/>
      <w:pPr>
        <w:ind w:left="720" w:hanging="360"/>
      </w:pPr>
      <w:rPr>
        <w:rFonts w:hint="default"/>
        <w:b/>
        <w:color w:val="6D207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C545F3A"/>
    <w:multiLevelType w:val="multilevel"/>
    <w:tmpl w:val="15E42840"/>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b/>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7"/>
      <w:lvlJc w:val="left"/>
      <w:pPr>
        <w:ind w:left="0" w:firstLine="0"/>
      </w:pPr>
      <w:rPr>
        <w:rFonts w:hint="default"/>
      </w:rPr>
    </w:lvl>
    <w:lvl w:ilvl="7">
      <w:start w:val="1"/>
      <w:numFmt w:val="none"/>
      <w:pStyle w:val="Heading8"/>
      <w:suff w:val="nothing"/>
      <w:lvlText w:val="%8"/>
      <w:lvlJc w:val="left"/>
      <w:pPr>
        <w:ind w:left="0" w:firstLine="0"/>
      </w:pPr>
      <w:rPr>
        <w:rFonts w:hint="default"/>
      </w:rPr>
    </w:lvl>
    <w:lvl w:ilvl="8">
      <w:start w:val="1"/>
      <w:numFmt w:val="none"/>
      <w:pStyle w:val="Heading9"/>
      <w:suff w:val="nothing"/>
      <w:lvlText w:val="%9"/>
      <w:lvlJc w:val="left"/>
      <w:pPr>
        <w:ind w:left="0" w:firstLine="0"/>
      </w:pPr>
      <w:rPr>
        <w:rFonts w:hint="default"/>
      </w:rPr>
    </w:lvl>
  </w:abstractNum>
  <w:abstractNum w:abstractNumId="23">
    <w:nsid w:val="63644C6B"/>
    <w:multiLevelType w:val="multilevel"/>
    <w:tmpl w:val="AFEEC62C"/>
    <w:lvl w:ilvl="0">
      <w:start w:val="1"/>
      <w:numFmt w:val="decimal"/>
      <w:lvlText w:val="%1"/>
      <w:lvlJc w:val="left"/>
      <w:pPr>
        <w:ind w:left="432" w:hanging="432"/>
      </w:pPr>
      <w:rPr>
        <w:rFonts w:ascii="KPMG Extralight" w:hAnsi="KPMG Extralight" w:hint="default"/>
        <w:b/>
        <w:color w:val="6D2077"/>
        <w:sz w:val="76"/>
        <w:szCs w:val="7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5A81AB8"/>
    <w:multiLevelType w:val="singleLevel"/>
    <w:tmpl w:val="AC3E386C"/>
    <w:lvl w:ilvl="0">
      <w:start w:val="1"/>
      <w:numFmt w:val="bullet"/>
      <w:lvlText w:val=""/>
      <w:lvlJc w:val="left"/>
      <w:pPr>
        <w:tabs>
          <w:tab w:val="num" w:pos="340"/>
        </w:tabs>
        <w:ind w:left="340" w:hanging="340"/>
      </w:pPr>
      <w:rPr>
        <w:rFonts w:ascii="Symbol" w:hAnsi="Symbol" w:hint="default"/>
        <w:color w:val="6D2077"/>
        <w:sz w:val="22"/>
      </w:rPr>
    </w:lvl>
  </w:abstractNum>
  <w:abstractNum w:abstractNumId="25">
    <w:nsid w:val="66301A00"/>
    <w:multiLevelType w:val="multilevel"/>
    <w:tmpl w:val="FF94860A"/>
    <w:lvl w:ilvl="0">
      <w:start w:val="1"/>
      <w:numFmt w:val="decimal"/>
      <w:pStyle w:val="Number1stlevel"/>
      <w:lvlText w:val="%1)"/>
      <w:lvlJc w:val="left"/>
      <w:pPr>
        <w:ind w:left="360" w:hanging="360"/>
      </w:pPr>
      <w:rPr>
        <w:rFonts w:hint="default"/>
      </w:rPr>
    </w:lvl>
    <w:lvl w:ilvl="1">
      <w:start w:val="1"/>
      <w:numFmt w:val="lowerLetter"/>
      <w:pStyle w:val="Number2ndlevel"/>
      <w:lvlText w:val="%2)"/>
      <w:lvlJc w:val="left"/>
      <w:pPr>
        <w:ind w:left="720" w:hanging="360"/>
      </w:pPr>
      <w:rPr>
        <w:rFonts w:hint="default"/>
        <w:sz w:val="22"/>
      </w:rPr>
    </w:lvl>
    <w:lvl w:ilvl="2">
      <w:start w:val="1"/>
      <w:numFmt w:val="lowerRoman"/>
      <w:pStyle w:val="Number1stlevel"/>
      <w:lvlText w:val="%3)"/>
      <w:lvlJc w:val="left"/>
      <w:pPr>
        <w:ind w:left="1080" w:hanging="360"/>
      </w:pPr>
      <w:rPr>
        <w:rFonts w:hint="default"/>
      </w:rPr>
    </w:lvl>
    <w:lvl w:ilvl="3">
      <w:start w:val="1"/>
      <w:numFmt w:val="decimal"/>
      <w:lvlText w:val="(%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B2953A5"/>
    <w:multiLevelType w:val="hybridMultilevel"/>
    <w:tmpl w:val="A2121234"/>
    <w:lvl w:ilvl="0" w:tplc="B164F980">
      <w:start w:val="1"/>
      <w:numFmt w:val="decimal"/>
      <w:pStyle w:val="Numbering"/>
      <w:lvlText w:val="%1."/>
      <w:lvlJc w:val="left"/>
      <w:pPr>
        <w:tabs>
          <w:tab w:val="num" w:pos="357"/>
        </w:tabs>
        <w:ind w:left="357" w:hanging="357"/>
      </w:pPr>
      <w:rPr>
        <w:rFonts w:ascii="Times New Roman" w:hAnsi="Times New Roman" w:hint="default"/>
      </w:rPr>
    </w:lvl>
    <w:lvl w:ilvl="1" w:tplc="5CA82E18" w:tentative="1">
      <w:start w:val="1"/>
      <w:numFmt w:val="lowerLetter"/>
      <w:lvlText w:val="%2."/>
      <w:lvlJc w:val="left"/>
      <w:pPr>
        <w:tabs>
          <w:tab w:val="num" w:pos="1440"/>
        </w:tabs>
        <w:ind w:left="1440" w:hanging="360"/>
      </w:pPr>
    </w:lvl>
    <w:lvl w:ilvl="2" w:tplc="C0ACF972" w:tentative="1">
      <w:start w:val="1"/>
      <w:numFmt w:val="lowerRoman"/>
      <w:lvlText w:val="%3."/>
      <w:lvlJc w:val="right"/>
      <w:pPr>
        <w:tabs>
          <w:tab w:val="num" w:pos="2160"/>
        </w:tabs>
        <w:ind w:left="2160" w:hanging="180"/>
      </w:pPr>
    </w:lvl>
    <w:lvl w:ilvl="3" w:tplc="0EAACDA0" w:tentative="1">
      <w:start w:val="1"/>
      <w:numFmt w:val="decimal"/>
      <w:lvlText w:val="%4."/>
      <w:lvlJc w:val="left"/>
      <w:pPr>
        <w:tabs>
          <w:tab w:val="num" w:pos="2880"/>
        </w:tabs>
        <w:ind w:left="2880" w:hanging="360"/>
      </w:pPr>
    </w:lvl>
    <w:lvl w:ilvl="4" w:tplc="2A4287DE" w:tentative="1">
      <w:start w:val="1"/>
      <w:numFmt w:val="lowerLetter"/>
      <w:lvlText w:val="%5."/>
      <w:lvlJc w:val="left"/>
      <w:pPr>
        <w:tabs>
          <w:tab w:val="num" w:pos="3600"/>
        </w:tabs>
        <w:ind w:left="3600" w:hanging="360"/>
      </w:pPr>
    </w:lvl>
    <w:lvl w:ilvl="5" w:tplc="E2E2A62E" w:tentative="1">
      <w:start w:val="1"/>
      <w:numFmt w:val="lowerRoman"/>
      <w:lvlText w:val="%6."/>
      <w:lvlJc w:val="right"/>
      <w:pPr>
        <w:tabs>
          <w:tab w:val="num" w:pos="4320"/>
        </w:tabs>
        <w:ind w:left="4320" w:hanging="180"/>
      </w:pPr>
    </w:lvl>
    <w:lvl w:ilvl="6" w:tplc="C4C4375A" w:tentative="1">
      <w:start w:val="1"/>
      <w:numFmt w:val="decimal"/>
      <w:lvlText w:val="%7."/>
      <w:lvlJc w:val="left"/>
      <w:pPr>
        <w:tabs>
          <w:tab w:val="num" w:pos="5040"/>
        </w:tabs>
        <w:ind w:left="5040" w:hanging="360"/>
      </w:pPr>
    </w:lvl>
    <w:lvl w:ilvl="7" w:tplc="E160B29C" w:tentative="1">
      <w:start w:val="1"/>
      <w:numFmt w:val="lowerLetter"/>
      <w:lvlText w:val="%8."/>
      <w:lvlJc w:val="left"/>
      <w:pPr>
        <w:tabs>
          <w:tab w:val="num" w:pos="5760"/>
        </w:tabs>
        <w:ind w:left="5760" w:hanging="360"/>
      </w:pPr>
    </w:lvl>
    <w:lvl w:ilvl="8" w:tplc="7AEAE9EC" w:tentative="1">
      <w:start w:val="1"/>
      <w:numFmt w:val="lowerRoman"/>
      <w:lvlText w:val="%9."/>
      <w:lvlJc w:val="right"/>
      <w:pPr>
        <w:tabs>
          <w:tab w:val="num" w:pos="6480"/>
        </w:tabs>
        <w:ind w:left="6480" w:hanging="180"/>
      </w:pPr>
    </w:lvl>
  </w:abstractNum>
  <w:abstractNum w:abstractNumId="27">
    <w:nsid w:val="76E918E7"/>
    <w:multiLevelType w:val="singleLevel"/>
    <w:tmpl w:val="07662BFC"/>
    <w:lvl w:ilvl="0">
      <w:start w:val="1"/>
      <w:numFmt w:val="bullet"/>
      <w:lvlText w:val=""/>
      <w:lvlJc w:val="left"/>
      <w:pPr>
        <w:tabs>
          <w:tab w:val="num" w:pos="340"/>
        </w:tabs>
        <w:ind w:left="340" w:hanging="340"/>
      </w:pPr>
      <w:rPr>
        <w:rFonts w:ascii="Symbol" w:hAnsi="Symbol" w:hint="default"/>
        <w:color w:val="auto"/>
        <w:sz w:val="22"/>
      </w:rPr>
    </w:lvl>
  </w:abstractNum>
  <w:abstractNum w:abstractNumId="28">
    <w:nsid w:val="777E5F97"/>
    <w:multiLevelType w:val="multilevel"/>
    <w:tmpl w:val="4192F034"/>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1106"/>
        </w:tabs>
        <w:ind w:left="1106" w:hanging="964"/>
      </w:pPr>
      <w:rPr>
        <w:rFonts w:hint="default"/>
      </w:rPr>
    </w:lvl>
    <w:lvl w:ilvl="2">
      <w:start w:val="1"/>
      <w:numFmt w:val="decimal"/>
      <w:pStyle w:val="AppendixHeading3"/>
      <w:lvlText w:val="%1.%2.%3"/>
      <w:lvlJc w:val="left"/>
      <w:pPr>
        <w:tabs>
          <w:tab w:val="num" w:pos="0"/>
        </w:tabs>
        <w:ind w:left="0" w:hanging="964"/>
      </w:pPr>
      <w:rPr>
        <w:rFonts w:hint="default"/>
      </w:rPr>
    </w:lvl>
    <w:lvl w:ilvl="3">
      <w:start w:val="1"/>
      <w:numFmt w:val="decimal"/>
      <w:pStyle w:val="AppendixHeading4"/>
      <w:lvlText w:val="%1.%2.%3.%4"/>
      <w:lvlJc w:val="left"/>
      <w:pPr>
        <w:tabs>
          <w:tab w:val="num" w:pos="0"/>
        </w:tabs>
        <w:ind w:left="0" w:hanging="964"/>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25"/>
  </w:num>
  <w:num w:numId="2">
    <w:abstractNumId w:val="15"/>
  </w:num>
  <w:num w:numId="3">
    <w:abstractNumId w:val="16"/>
  </w:num>
  <w:num w:numId="4">
    <w:abstractNumId w:val="17"/>
  </w:num>
  <w:num w:numId="5">
    <w:abstractNumId w:val="22"/>
  </w:num>
  <w:num w:numId="6">
    <w:abstractNumId w:val="28"/>
  </w:num>
  <w:num w:numId="7">
    <w:abstractNumId w:val="0"/>
  </w:num>
  <w:num w:numId="8">
    <w:abstractNumId w:val="11"/>
  </w:num>
  <w:num w:numId="9">
    <w:abstractNumId w:val="26"/>
  </w:num>
  <w:num w:numId="10">
    <w:abstractNumId w:val="10"/>
  </w:num>
  <w:num w:numId="11">
    <w:abstractNumId w:val="4"/>
  </w:num>
  <w:num w:numId="12">
    <w:abstractNumId w:val="13"/>
  </w:num>
  <w:num w:numId="13">
    <w:abstractNumId w:val="19"/>
  </w:num>
  <w:num w:numId="14">
    <w:abstractNumId w:val="23"/>
  </w:num>
  <w:num w:numId="15">
    <w:abstractNumId w:val="20"/>
  </w:num>
  <w:num w:numId="16">
    <w:abstractNumId w:val="24"/>
  </w:num>
  <w:num w:numId="17">
    <w:abstractNumId w:val="6"/>
  </w:num>
  <w:num w:numId="18">
    <w:abstractNumId w:val="8"/>
  </w:num>
  <w:num w:numId="19">
    <w:abstractNumId w:val="7"/>
  </w:num>
  <w:num w:numId="20">
    <w:abstractNumId w:val="22"/>
  </w:num>
  <w:num w:numId="21">
    <w:abstractNumId w:val="21"/>
  </w:num>
  <w:num w:numId="22">
    <w:abstractNumId w:val="14"/>
  </w:num>
  <w:num w:numId="23">
    <w:abstractNumId w:val="5"/>
  </w:num>
  <w:num w:numId="24">
    <w:abstractNumId w:val="27"/>
  </w:num>
  <w:num w:numId="25">
    <w:abstractNumId w:val="3"/>
  </w:num>
  <w:num w:numId="26">
    <w:abstractNumId w:val="18"/>
  </w:num>
  <w:num w:numId="27">
    <w:abstractNumId w:val="12"/>
  </w:num>
  <w:num w:numId="28">
    <w:abstractNumId w:val="2"/>
  </w:num>
  <w:num w:numId="29">
    <w:abstractNumId w:val="1"/>
  </w:num>
  <w:num w:numId="30">
    <w:abstractNumId w:val="9"/>
  </w:num>
  <w:num w:numId="31">
    <w:abstractNumId w:val="22"/>
  </w:num>
  <w:num w:numId="32">
    <w:abstractNumId w:val="8"/>
  </w:num>
  <w:num w:numId="33">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5"/>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raftWatermark" w:val="1"/>
  </w:docVars>
  <w:rsids>
    <w:rsidRoot w:val="0022299B"/>
    <w:rsid w:val="00001802"/>
    <w:rsid w:val="000032C2"/>
    <w:rsid w:val="0000339D"/>
    <w:rsid w:val="00003618"/>
    <w:rsid w:val="00006DAD"/>
    <w:rsid w:val="000072B6"/>
    <w:rsid w:val="000104DC"/>
    <w:rsid w:val="000104EA"/>
    <w:rsid w:val="00010622"/>
    <w:rsid w:val="0001131E"/>
    <w:rsid w:val="0001152B"/>
    <w:rsid w:val="00011618"/>
    <w:rsid w:val="00011AF6"/>
    <w:rsid w:val="00011D90"/>
    <w:rsid w:val="00011E3A"/>
    <w:rsid w:val="00011F87"/>
    <w:rsid w:val="00012FD3"/>
    <w:rsid w:val="00013041"/>
    <w:rsid w:val="000131E6"/>
    <w:rsid w:val="00013205"/>
    <w:rsid w:val="000136DB"/>
    <w:rsid w:val="00015737"/>
    <w:rsid w:val="00015FFA"/>
    <w:rsid w:val="000161CD"/>
    <w:rsid w:val="00016577"/>
    <w:rsid w:val="00017149"/>
    <w:rsid w:val="00017574"/>
    <w:rsid w:val="000208D5"/>
    <w:rsid w:val="00020CDD"/>
    <w:rsid w:val="0002233D"/>
    <w:rsid w:val="00022784"/>
    <w:rsid w:val="00022920"/>
    <w:rsid w:val="000229DD"/>
    <w:rsid w:val="00023114"/>
    <w:rsid w:val="000234AD"/>
    <w:rsid w:val="000235F5"/>
    <w:rsid w:val="0002472F"/>
    <w:rsid w:val="000251D4"/>
    <w:rsid w:val="00025261"/>
    <w:rsid w:val="000257EB"/>
    <w:rsid w:val="00025869"/>
    <w:rsid w:val="00025CDC"/>
    <w:rsid w:val="00025E4C"/>
    <w:rsid w:val="00026449"/>
    <w:rsid w:val="00027ACD"/>
    <w:rsid w:val="0003037C"/>
    <w:rsid w:val="00030D03"/>
    <w:rsid w:val="0003185A"/>
    <w:rsid w:val="000318A6"/>
    <w:rsid w:val="0003212F"/>
    <w:rsid w:val="00032256"/>
    <w:rsid w:val="0003317F"/>
    <w:rsid w:val="00034372"/>
    <w:rsid w:val="000347C6"/>
    <w:rsid w:val="000349FD"/>
    <w:rsid w:val="00034A66"/>
    <w:rsid w:val="00036345"/>
    <w:rsid w:val="00037841"/>
    <w:rsid w:val="00037AB9"/>
    <w:rsid w:val="00040A80"/>
    <w:rsid w:val="0004187A"/>
    <w:rsid w:val="000436EA"/>
    <w:rsid w:val="00044ABC"/>
    <w:rsid w:val="00044DEC"/>
    <w:rsid w:val="000451B8"/>
    <w:rsid w:val="000464F6"/>
    <w:rsid w:val="00046D34"/>
    <w:rsid w:val="00047ACB"/>
    <w:rsid w:val="00050AC6"/>
    <w:rsid w:val="00050E1C"/>
    <w:rsid w:val="00050FF9"/>
    <w:rsid w:val="0005173C"/>
    <w:rsid w:val="0005174E"/>
    <w:rsid w:val="00051A34"/>
    <w:rsid w:val="00052E3D"/>
    <w:rsid w:val="000534ED"/>
    <w:rsid w:val="00053B56"/>
    <w:rsid w:val="00055166"/>
    <w:rsid w:val="00055750"/>
    <w:rsid w:val="00057E8B"/>
    <w:rsid w:val="00057F79"/>
    <w:rsid w:val="00060487"/>
    <w:rsid w:val="00061281"/>
    <w:rsid w:val="0006134A"/>
    <w:rsid w:val="00062318"/>
    <w:rsid w:val="00062FED"/>
    <w:rsid w:val="00063487"/>
    <w:rsid w:val="00063F0B"/>
    <w:rsid w:val="000641ED"/>
    <w:rsid w:val="00064332"/>
    <w:rsid w:val="0006491E"/>
    <w:rsid w:val="00064AB8"/>
    <w:rsid w:val="00065D03"/>
    <w:rsid w:val="000674A1"/>
    <w:rsid w:val="00067B42"/>
    <w:rsid w:val="000713C8"/>
    <w:rsid w:val="0007199D"/>
    <w:rsid w:val="00072D6A"/>
    <w:rsid w:val="000737D1"/>
    <w:rsid w:val="00073CA5"/>
    <w:rsid w:val="00074936"/>
    <w:rsid w:val="00075842"/>
    <w:rsid w:val="00076037"/>
    <w:rsid w:val="00077B81"/>
    <w:rsid w:val="00077BF1"/>
    <w:rsid w:val="00077BFF"/>
    <w:rsid w:val="00077FE6"/>
    <w:rsid w:val="00080E94"/>
    <w:rsid w:val="0008115D"/>
    <w:rsid w:val="000812EC"/>
    <w:rsid w:val="00082276"/>
    <w:rsid w:val="00082B15"/>
    <w:rsid w:val="00082BB5"/>
    <w:rsid w:val="000849B9"/>
    <w:rsid w:val="00084AC7"/>
    <w:rsid w:val="000860CE"/>
    <w:rsid w:val="00087FEA"/>
    <w:rsid w:val="00090028"/>
    <w:rsid w:val="00091858"/>
    <w:rsid w:val="00091AC7"/>
    <w:rsid w:val="00091C83"/>
    <w:rsid w:val="00092352"/>
    <w:rsid w:val="0009298A"/>
    <w:rsid w:val="000936CA"/>
    <w:rsid w:val="00093B1F"/>
    <w:rsid w:val="00093CE8"/>
    <w:rsid w:val="000948D6"/>
    <w:rsid w:val="00095462"/>
    <w:rsid w:val="00096105"/>
    <w:rsid w:val="00096506"/>
    <w:rsid w:val="00096E73"/>
    <w:rsid w:val="000976CA"/>
    <w:rsid w:val="000976EC"/>
    <w:rsid w:val="00097BD7"/>
    <w:rsid w:val="000A06AC"/>
    <w:rsid w:val="000A0BF2"/>
    <w:rsid w:val="000A27FE"/>
    <w:rsid w:val="000A3B6E"/>
    <w:rsid w:val="000A41FC"/>
    <w:rsid w:val="000A444A"/>
    <w:rsid w:val="000A4881"/>
    <w:rsid w:val="000A5F20"/>
    <w:rsid w:val="000A7A93"/>
    <w:rsid w:val="000A7CEF"/>
    <w:rsid w:val="000B12C6"/>
    <w:rsid w:val="000B171D"/>
    <w:rsid w:val="000B20EA"/>
    <w:rsid w:val="000B2761"/>
    <w:rsid w:val="000B29F4"/>
    <w:rsid w:val="000B2DF3"/>
    <w:rsid w:val="000B482A"/>
    <w:rsid w:val="000B49B3"/>
    <w:rsid w:val="000B4A9C"/>
    <w:rsid w:val="000B4F53"/>
    <w:rsid w:val="000B50FD"/>
    <w:rsid w:val="000B6E60"/>
    <w:rsid w:val="000B6F3A"/>
    <w:rsid w:val="000C00F7"/>
    <w:rsid w:val="000C0DE2"/>
    <w:rsid w:val="000C1635"/>
    <w:rsid w:val="000C184E"/>
    <w:rsid w:val="000C2F02"/>
    <w:rsid w:val="000C3722"/>
    <w:rsid w:val="000C3DCF"/>
    <w:rsid w:val="000C5466"/>
    <w:rsid w:val="000C5596"/>
    <w:rsid w:val="000C55A3"/>
    <w:rsid w:val="000C5D71"/>
    <w:rsid w:val="000C5E2B"/>
    <w:rsid w:val="000C5F3D"/>
    <w:rsid w:val="000C6222"/>
    <w:rsid w:val="000C63DA"/>
    <w:rsid w:val="000C67C4"/>
    <w:rsid w:val="000C6A86"/>
    <w:rsid w:val="000C6EC5"/>
    <w:rsid w:val="000C7F41"/>
    <w:rsid w:val="000D0A99"/>
    <w:rsid w:val="000D0C20"/>
    <w:rsid w:val="000D1146"/>
    <w:rsid w:val="000D1196"/>
    <w:rsid w:val="000D14BA"/>
    <w:rsid w:val="000D1AA6"/>
    <w:rsid w:val="000D211D"/>
    <w:rsid w:val="000D2B9C"/>
    <w:rsid w:val="000D3A93"/>
    <w:rsid w:val="000D5718"/>
    <w:rsid w:val="000D596B"/>
    <w:rsid w:val="000D5D18"/>
    <w:rsid w:val="000D60E1"/>
    <w:rsid w:val="000D72CB"/>
    <w:rsid w:val="000D74D2"/>
    <w:rsid w:val="000D7FA4"/>
    <w:rsid w:val="000E0F53"/>
    <w:rsid w:val="000E11DA"/>
    <w:rsid w:val="000E1569"/>
    <w:rsid w:val="000E1D4C"/>
    <w:rsid w:val="000E1F2E"/>
    <w:rsid w:val="000E201F"/>
    <w:rsid w:val="000E20B4"/>
    <w:rsid w:val="000E31DB"/>
    <w:rsid w:val="000E37F2"/>
    <w:rsid w:val="000E4BBD"/>
    <w:rsid w:val="000E58CD"/>
    <w:rsid w:val="000E59D8"/>
    <w:rsid w:val="000E5A97"/>
    <w:rsid w:val="000E5FE9"/>
    <w:rsid w:val="000E61D9"/>
    <w:rsid w:val="000E6B97"/>
    <w:rsid w:val="000E7741"/>
    <w:rsid w:val="000E7B17"/>
    <w:rsid w:val="000F052E"/>
    <w:rsid w:val="000F092C"/>
    <w:rsid w:val="000F2F89"/>
    <w:rsid w:val="000F2FF5"/>
    <w:rsid w:val="000F351D"/>
    <w:rsid w:val="000F39E7"/>
    <w:rsid w:val="000F4BA3"/>
    <w:rsid w:val="000F4F83"/>
    <w:rsid w:val="000F6894"/>
    <w:rsid w:val="000F6CD1"/>
    <w:rsid w:val="0010080A"/>
    <w:rsid w:val="00100A0A"/>
    <w:rsid w:val="00100BDF"/>
    <w:rsid w:val="00101087"/>
    <w:rsid w:val="001011CC"/>
    <w:rsid w:val="00101C6F"/>
    <w:rsid w:val="00101E65"/>
    <w:rsid w:val="00103090"/>
    <w:rsid w:val="00103596"/>
    <w:rsid w:val="00103B5D"/>
    <w:rsid w:val="00103D04"/>
    <w:rsid w:val="00104B15"/>
    <w:rsid w:val="00104F36"/>
    <w:rsid w:val="00104FAB"/>
    <w:rsid w:val="001066A7"/>
    <w:rsid w:val="00107DF1"/>
    <w:rsid w:val="00110E6B"/>
    <w:rsid w:val="001113E3"/>
    <w:rsid w:val="0011176D"/>
    <w:rsid w:val="001118C0"/>
    <w:rsid w:val="0011237C"/>
    <w:rsid w:val="0011288A"/>
    <w:rsid w:val="00112F22"/>
    <w:rsid w:val="001132CF"/>
    <w:rsid w:val="00113E44"/>
    <w:rsid w:val="00114471"/>
    <w:rsid w:val="00114607"/>
    <w:rsid w:val="001149C5"/>
    <w:rsid w:val="00114E8E"/>
    <w:rsid w:val="0011740A"/>
    <w:rsid w:val="001231A1"/>
    <w:rsid w:val="001242BF"/>
    <w:rsid w:val="001242FE"/>
    <w:rsid w:val="00124764"/>
    <w:rsid w:val="00125319"/>
    <w:rsid w:val="00125D57"/>
    <w:rsid w:val="00125F2F"/>
    <w:rsid w:val="001264F0"/>
    <w:rsid w:val="00126745"/>
    <w:rsid w:val="00126A67"/>
    <w:rsid w:val="00126C1B"/>
    <w:rsid w:val="00127117"/>
    <w:rsid w:val="001273F6"/>
    <w:rsid w:val="00127598"/>
    <w:rsid w:val="00127692"/>
    <w:rsid w:val="0013029E"/>
    <w:rsid w:val="00130C02"/>
    <w:rsid w:val="00131529"/>
    <w:rsid w:val="001318AC"/>
    <w:rsid w:val="00131A5C"/>
    <w:rsid w:val="00131B28"/>
    <w:rsid w:val="00131D99"/>
    <w:rsid w:val="00131EAC"/>
    <w:rsid w:val="00131F84"/>
    <w:rsid w:val="00132CD9"/>
    <w:rsid w:val="001333F9"/>
    <w:rsid w:val="00133472"/>
    <w:rsid w:val="001335B6"/>
    <w:rsid w:val="0013512D"/>
    <w:rsid w:val="00135C6E"/>
    <w:rsid w:val="00135D05"/>
    <w:rsid w:val="00136091"/>
    <w:rsid w:val="00141EAD"/>
    <w:rsid w:val="00142117"/>
    <w:rsid w:val="001423D7"/>
    <w:rsid w:val="0014352E"/>
    <w:rsid w:val="00143EC0"/>
    <w:rsid w:val="001445AF"/>
    <w:rsid w:val="001447E7"/>
    <w:rsid w:val="0014519E"/>
    <w:rsid w:val="00145F4B"/>
    <w:rsid w:val="00146062"/>
    <w:rsid w:val="00146D19"/>
    <w:rsid w:val="001472D1"/>
    <w:rsid w:val="0014750B"/>
    <w:rsid w:val="00147B3A"/>
    <w:rsid w:val="001518C0"/>
    <w:rsid w:val="0015237E"/>
    <w:rsid w:val="00152DA9"/>
    <w:rsid w:val="00153510"/>
    <w:rsid w:val="001535FE"/>
    <w:rsid w:val="00155210"/>
    <w:rsid w:val="00155FCF"/>
    <w:rsid w:val="00156D31"/>
    <w:rsid w:val="001579DB"/>
    <w:rsid w:val="00160599"/>
    <w:rsid w:val="00161406"/>
    <w:rsid w:val="00161B8F"/>
    <w:rsid w:val="00161E1A"/>
    <w:rsid w:val="00162788"/>
    <w:rsid w:val="00162873"/>
    <w:rsid w:val="0016393B"/>
    <w:rsid w:val="00163BA6"/>
    <w:rsid w:val="00165282"/>
    <w:rsid w:val="00165907"/>
    <w:rsid w:val="00165F40"/>
    <w:rsid w:val="00166008"/>
    <w:rsid w:val="0016637C"/>
    <w:rsid w:val="001700FE"/>
    <w:rsid w:val="0017052F"/>
    <w:rsid w:val="00171B2A"/>
    <w:rsid w:val="00172555"/>
    <w:rsid w:val="00173120"/>
    <w:rsid w:val="001742B6"/>
    <w:rsid w:val="001748AF"/>
    <w:rsid w:val="00174AD3"/>
    <w:rsid w:val="001755AC"/>
    <w:rsid w:val="00175D46"/>
    <w:rsid w:val="001774C1"/>
    <w:rsid w:val="00180B66"/>
    <w:rsid w:val="001829CB"/>
    <w:rsid w:val="00182B92"/>
    <w:rsid w:val="001830BF"/>
    <w:rsid w:val="001847CF"/>
    <w:rsid w:val="00184967"/>
    <w:rsid w:val="00185AA1"/>
    <w:rsid w:val="00187079"/>
    <w:rsid w:val="0018781A"/>
    <w:rsid w:val="001904DB"/>
    <w:rsid w:val="00190782"/>
    <w:rsid w:val="00190E8F"/>
    <w:rsid w:val="00191354"/>
    <w:rsid w:val="001924AA"/>
    <w:rsid w:val="00193775"/>
    <w:rsid w:val="00194B67"/>
    <w:rsid w:val="001962E8"/>
    <w:rsid w:val="0019671C"/>
    <w:rsid w:val="00197867"/>
    <w:rsid w:val="001A09E6"/>
    <w:rsid w:val="001A16FC"/>
    <w:rsid w:val="001A208F"/>
    <w:rsid w:val="001A2730"/>
    <w:rsid w:val="001A2EED"/>
    <w:rsid w:val="001A2F1F"/>
    <w:rsid w:val="001A3508"/>
    <w:rsid w:val="001A3745"/>
    <w:rsid w:val="001A4286"/>
    <w:rsid w:val="001A45C5"/>
    <w:rsid w:val="001A45FD"/>
    <w:rsid w:val="001A5016"/>
    <w:rsid w:val="001A6A37"/>
    <w:rsid w:val="001A72D5"/>
    <w:rsid w:val="001A732C"/>
    <w:rsid w:val="001A76D8"/>
    <w:rsid w:val="001B08B9"/>
    <w:rsid w:val="001B0E22"/>
    <w:rsid w:val="001B1C10"/>
    <w:rsid w:val="001B47AC"/>
    <w:rsid w:val="001B7129"/>
    <w:rsid w:val="001B7407"/>
    <w:rsid w:val="001C093A"/>
    <w:rsid w:val="001C0DAE"/>
    <w:rsid w:val="001C0FD9"/>
    <w:rsid w:val="001C2E5A"/>
    <w:rsid w:val="001C31E4"/>
    <w:rsid w:val="001C350C"/>
    <w:rsid w:val="001C47B6"/>
    <w:rsid w:val="001C514E"/>
    <w:rsid w:val="001C625C"/>
    <w:rsid w:val="001C7169"/>
    <w:rsid w:val="001C74A2"/>
    <w:rsid w:val="001C796F"/>
    <w:rsid w:val="001D0330"/>
    <w:rsid w:val="001D0C4F"/>
    <w:rsid w:val="001D1465"/>
    <w:rsid w:val="001D213D"/>
    <w:rsid w:val="001D2958"/>
    <w:rsid w:val="001D299D"/>
    <w:rsid w:val="001D48AA"/>
    <w:rsid w:val="001D5043"/>
    <w:rsid w:val="001D5EE0"/>
    <w:rsid w:val="001D6CCC"/>
    <w:rsid w:val="001D6D43"/>
    <w:rsid w:val="001D7387"/>
    <w:rsid w:val="001D759C"/>
    <w:rsid w:val="001E0A8C"/>
    <w:rsid w:val="001E3069"/>
    <w:rsid w:val="001E392A"/>
    <w:rsid w:val="001E3BD8"/>
    <w:rsid w:val="001E3D91"/>
    <w:rsid w:val="001E3FE2"/>
    <w:rsid w:val="001E5890"/>
    <w:rsid w:val="001E618F"/>
    <w:rsid w:val="001E6B80"/>
    <w:rsid w:val="001E7086"/>
    <w:rsid w:val="001E74B3"/>
    <w:rsid w:val="001F09EA"/>
    <w:rsid w:val="001F0B5C"/>
    <w:rsid w:val="001F0F24"/>
    <w:rsid w:val="001F18CE"/>
    <w:rsid w:val="001F1DA2"/>
    <w:rsid w:val="001F24F0"/>
    <w:rsid w:val="001F2F18"/>
    <w:rsid w:val="001F396A"/>
    <w:rsid w:val="001F39F1"/>
    <w:rsid w:val="001F4BDB"/>
    <w:rsid w:val="001F644F"/>
    <w:rsid w:val="001F75B0"/>
    <w:rsid w:val="001F7BD3"/>
    <w:rsid w:val="00200CB2"/>
    <w:rsid w:val="0020122E"/>
    <w:rsid w:val="00202044"/>
    <w:rsid w:val="00202115"/>
    <w:rsid w:val="002021A2"/>
    <w:rsid w:val="00202CCA"/>
    <w:rsid w:val="00203A3C"/>
    <w:rsid w:val="0020465B"/>
    <w:rsid w:val="002048E2"/>
    <w:rsid w:val="00204D10"/>
    <w:rsid w:val="002052D3"/>
    <w:rsid w:val="002052D9"/>
    <w:rsid w:val="00205624"/>
    <w:rsid w:val="00205798"/>
    <w:rsid w:val="002058F5"/>
    <w:rsid w:val="00206928"/>
    <w:rsid w:val="00207002"/>
    <w:rsid w:val="002071F6"/>
    <w:rsid w:val="002110C3"/>
    <w:rsid w:val="002113A6"/>
    <w:rsid w:val="002114E2"/>
    <w:rsid w:val="00211669"/>
    <w:rsid w:val="00211695"/>
    <w:rsid w:val="002116B7"/>
    <w:rsid w:val="00211B6B"/>
    <w:rsid w:val="00211C9A"/>
    <w:rsid w:val="002133E5"/>
    <w:rsid w:val="002135D1"/>
    <w:rsid w:val="00213998"/>
    <w:rsid w:val="002145FE"/>
    <w:rsid w:val="00214D06"/>
    <w:rsid w:val="002150E9"/>
    <w:rsid w:val="00215154"/>
    <w:rsid w:val="002153B3"/>
    <w:rsid w:val="00216044"/>
    <w:rsid w:val="00217106"/>
    <w:rsid w:val="0021728E"/>
    <w:rsid w:val="0021767A"/>
    <w:rsid w:val="00220798"/>
    <w:rsid w:val="002208A1"/>
    <w:rsid w:val="00220FD0"/>
    <w:rsid w:val="0022287F"/>
    <w:rsid w:val="0022299B"/>
    <w:rsid w:val="00222E0B"/>
    <w:rsid w:val="00223B6B"/>
    <w:rsid w:val="00224ADF"/>
    <w:rsid w:val="00225217"/>
    <w:rsid w:val="002257B7"/>
    <w:rsid w:val="00226AD2"/>
    <w:rsid w:val="00227AE9"/>
    <w:rsid w:val="0023008C"/>
    <w:rsid w:val="002305C0"/>
    <w:rsid w:val="002308FD"/>
    <w:rsid w:val="00230CD1"/>
    <w:rsid w:val="002320B7"/>
    <w:rsid w:val="002324DC"/>
    <w:rsid w:val="002329D9"/>
    <w:rsid w:val="00232AA6"/>
    <w:rsid w:val="00232C55"/>
    <w:rsid w:val="00233780"/>
    <w:rsid w:val="00233ED6"/>
    <w:rsid w:val="0023404C"/>
    <w:rsid w:val="00235366"/>
    <w:rsid w:val="00235868"/>
    <w:rsid w:val="002369B0"/>
    <w:rsid w:val="00236DBB"/>
    <w:rsid w:val="00237059"/>
    <w:rsid w:val="00237A77"/>
    <w:rsid w:val="00237D51"/>
    <w:rsid w:val="00240ABD"/>
    <w:rsid w:val="00241533"/>
    <w:rsid w:val="00241796"/>
    <w:rsid w:val="00242448"/>
    <w:rsid w:val="00244551"/>
    <w:rsid w:val="0024539C"/>
    <w:rsid w:val="002455EC"/>
    <w:rsid w:val="00245F68"/>
    <w:rsid w:val="0024640A"/>
    <w:rsid w:val="0024691D"/>
    <w:rsid w:val="00247574"/>
    <w:rsid w:val="00247727"/>
    <w:rsid w:val="00247ADD"/>
    <w:rsid w:val="00250D6F"/>
    <w:rsid w:val="0025133B"/>
    <w:rsid w:val="00251621"/>
    <w:rsid w:val="00251996"/>
    <w:rsid w:val="00253648"/>
    <w:rsid w:val="002553E4"/>
    <w:rsid w:val="002554D3"/>
    <w:rsid w:val="0025661C"/>
    <w:rsid w:val="002568AB"/>
    <w:rsid w:val="00257244"/>
    <w:rsid w:val="00257635"/>
    <w:rsid w:val="002578E4"/>
    <w:rsid w:val="002602F9"/>
    <w:rsid w:val="00260970"/>
    <w:rsid w:val="002611F5"/>
    <w:rsid w:val="00261693"/>
    <w:rsid w:val="00261C2E"/>
    <w:rsid w:val="00262A8D"/>
    <w:rsid w:val="002641D9"/>
    <w:rsid w:val="002654B2"/>
    <w:rsid w:val="00265C85"/>
    <w:rsid w:val="0026602D"/>
    <w:rsid w:val="00266A88"/>
    <w:rsid w:val="00266BF7"/>
    <w:rsid w:val="00267694"/>
    <w:rsid w:val="00267A3F"/>
    <w:rsid w:val="002707AD"/>
    <w:rsid w:val="00270EEC"/>
    <w:rsid w:val="002718BE"/>
    <w:rsid w:val="00271DA1"/>
    <w:rsid w:val="002732B6"/>
    <w:rsid w:val="0027399D"/>
    <w:rsid w:val="00274906"/>
    <w:rsid w:val="00276325"/>
    <w:rsid w:val="002765FC"/>
    <w:rsid w:val="002773F3"/>
    <w:rsid w:val="0027798C"/>
    <w:rsid w:val="002779CB"/>
    <w:rsid w:val="00277C25"/>
    <w:rsid w:val="00281348"/>
    <w:rsid w:val="002817E2"/>
    <w:rsid w:val="00281C7E"/>
    <w:rsid w:val="00282C7B"/>
    <w:rsid w:val="00283B9D"/>
    <w:rsid w:val="00283DCC"/>
    <w:rsid w:val="0028488A"/>
    <w:rsid w:val="00285C80"/>
    <w:rsid w:val="002869DC"/>
    <w:rsid w:val="00287D9B"/>
    <w:rsid w:val="0029002A"/>
    <w:rsid w:val="0029054B"/>
    <w:rsid w:val="002907FD"/>
    <w:rsid w:val="00290E79"/>
    <w:rsid w:val="00291065"/>
    <w:rsid w:val="00292434"/>
    <w:rsid w:val="00292AB9"/>
    <w:rsid w:val="00293285"/>
    <w:rsid w:val="00293D7F"/>
    <w:rsid w:val="002944EC"/>
    <w:rsid w:val="00294B60"/>
    <w:rsid w:val="00294F11"/>
    <w:rsid w:val="00294FF7"/>
    <w:rsid w:val="00295526"/>
    <w:rsid w:val="002958C9"/>
    <w:rsid w:val="00295916"/>
    <w:rsid w:val="00295DE1"/>
    <w:rsid w:val="00296479"/>
    <w:rsid w:val="002A06FB"/>
    <w:rsid w:val="002A1F16"/>
    <w:rsid w:val="002A2A81"/>
    <w:rsid w:val="002A3161"/>
    <w:rsid w:val="002A377B"/>
    <w:rsid w:val="002A4532"/>
    <w:rsid w:val="002A46EF"/>
    <w:rsid w:val="002A4B30"/>
    <w:rsid w:val="002A4FE3"/>
    <w:rsid w:val="002A5818"/>
    <w:rsid w:val="002A58A5"/>
    <w:rsid w:val="002A6336"/>
    <w:rsid w:val="002A641F"/>
    <w:rsid w:val="002A665D"/>
    <w:rsid w:val="002A6B84"/>
    <w:rsid w:val="002A7444"/>
    <w:rsid w:val="002A7C7D"/>
    <w:rsid w:val="002B180E"/>
    <w:rsid w:val="002B1C63"/>
    <w:rsid w:val="002B2569"/>
    <w:rsid w:val="002B25ED"/>
    <w:rsid w:val="002B2C97"/>
    <w:rsid w:val="002B2D46"/>
    <w:rsid w:val="002B3FB2"/>
    <w:rsid w:val="002B4065"/>
    <w:rsid w:val="002B4297"/>
    <w:rsid w:val="002B56DA"/>
    <w:rsid w:val="002B6603"/>
    <w:rsid w:val="002B7382"/>
    <w:rsid w:val="002B7774"/>
    <w:rsid w:val="002C088F"/>
    <w:rsid w:val="002C1227"/>
    <w:rsid w:val="002C16B9"/>
    <w:rsid w:val="002C18CE"/>
    <w:rsid w:val="002C1B03"/>
    <w:rsid w:val="002C22BA"/>
    <w:rsid w:val="002C2927"/>
    <w:rsid w:val="002C3236"/>
    <w:rsid w:val="002C37A6"/>
    <w:rsid w:val="002C3B26"/>
    <w:rsid w:val="002C3C75"/>
    <w:rsid w:val="002C4608"/>
    <w:rsid w:val="002C594F"/>
    <w:rsid w:val="002C71E3"/>
    <w:rsid w:val="002C7747"/>
    <w:rsid w:val="002C78E1"/>
    <w:rsid w:val="002C7A8A"/>
    <w:rsid w:val="002C7B4D"/>
    <w:rsid w:val="002C7D37"/>
    <w:rsid w:val="002D179C"/>
    <w:rsid w:val="002D1E11"/>
    <w:rsid w:val="002D28EC"/>
    <w:rsid w:val="002D2ACF"/>
    <w:rsid w:val="002D3391"/>
    <w:rsid w:val="002D504B"/>
    <w:rsid w:val="002D6BB5"/>
    <w:rsid w:val="002D6D18"/>
    <w:rsid w:val="002D72A1"/>
    <w:rsid w:val="002D773E"/>
    <w:rsid w:val="002D7B82"/>
    <w:rsid w:val="002D7F02"/>
    <w:rsid w:val="002E05A8"/>
    <w:rsid w:val="002E22CC"/>
    <w:rsid w:val="002E235D"/>
    <w:rsid w:val="002E2718"/>
    <w:rsid w:val="002E3A90"/>
    <w:rsid w:val="002E3E5B"/>
    <w:rsid w:val="002E4084"/>
    <w:rsid w:val="002E450A"/>
    <w:rsid w:val="002E492F"/>
    <w:rsid w:val="002E4DBD"/>
    <w:rsid w:val="002E6361"/>
    <w:rsid w:val="002E699E"/>
    <w:rsid w:val="002E6B20"/>
    <w:rsid w:val="002E732E"/>
    <w:rsid w:val="002E7E3E"/>
    <w:rsid w:val="002F0F52"/>
    <w:rsid w:val="002F102D"/>
    <w:rsid w:val="002F114A"/>
    <w:rsid w:val="002F1AD4"/>
    <w:rsid w:val="002F2191"/>
    <w:rsid w:val="002F284E"/>
    <w:rsid w:val="002F28A4"/>
    <w:rsid w:val="002F3948"/>
    <w:rsid w:val="002F453C"/>
    <w:rsid w:val="002F4888"/>
    <w:rsid w:val="002F57CB"/>
    <w:rsid w:val="002F7B78"/>
    <w:rsid w:val="00300282"/>
    <w:rsid w:val="00300D91"/>
    <w:rsid w:val="00300DAE"/>
    <w:rsid w:val="00300F63"/>
    <w:rsid w:val="003011CF"/>
    <w:rsid w:val="00301BAF"/>
    <w:rsid w:val="00301CF1"/>
    <w:rsid w:val="0030261D"/>
    <w:rsid w:val="00302756"/>
    <w:rsid w:val="00303107"/>
    <w:rsid w:val="00303421"/>
    <w:rsid w:val="003037DA"/>
    <w:rsid w:val="00304022"/>
    <w:rsid w:val="00306F7E"/>
    <w:rsid w:val="00307E41"/>
    <w:rsid w:val="003101A0"/>
    <w:rsid w:val="003105EF"/>
    <w:rsid w:val="003116E0"/>
    <w:rsid w:val="00311837"/>
    <w:rsid w:val="00313163"/>
    <w:rsid w:val="0031342C"/>
    <w:rsid w:val="00313C3D"/>
    <w:rsid w:val="00313D4B"/>
    <w:rsid w:val="003144B2"/>
    <w:rsid w:val="00314CE8"/>
    <w:rsid w:val="0031517F"/>
    <w:rsid w:val="00316CC3"/>
    <w:rsid w:val="00317EF9"/>
    <w:rsid w:val="003200C9"/>
    <w:rsid w:val="003202A2"/>
    <w:rsid w:val="00320768"/>
    <w:rsid w:val="00320D48"/>
    <w:rsid w:val="00320ED0"/>
    <w:rsid w:val="00321242"/>
    <w:rsid w:val="003218CD"/>
    <w:rsid w:val="0032207B"/>
    <w:rsid w:val="00322385"/>
    <w:rsid w:val="00324936"/>
    <w:rsid w:val="00324A22"/>
    <w:rsid w:val="00324C1F"/>
    <w:rsid w:val="00324F19"/>
    <w:rsid w:val="00325E78"/>
    <w:rsid w:val="003262E9"/>
    <w:rsid w:val="00326324"/>
    <w:rsid w:val="00327348"/>
    <w:rsid w:val="003308D7"/>
    <w:rsid w:val="00331482"/>
    <w:rsid w:val="00332852"/>
    <w:rsid w:val="00333402"/>
    <w:rsid w:val="003339BA"/>
    <w:rsid w:val="00333B2E"/>
    <w:rsid w:val="003344FC"/>
    <w:rsid w:val="00334C87"/>
    <w:rsid w:val="00335776"/>
    <w:rsid w:val="00335870"/>
    <w:rsid w:val="0033596F"/>
    <w:rsid w:val="00335BF7"/>
    <w:rsid w:val="00336179"/>
    <w:rsid w:val="0033714B"/>
    <w:rsid w:val="003375BC"/>
    <w:rsid w:val="00337DFC"/>
    <w:rsid w:val="0034013D"/>
    <w:rsid w:val="00340CAF"/>
    <w:rsid w:val="00340D6E"/>
    <w:rsid w:val="003428EA"/>
    <w:rsid w:val="00342F44"/>
    <w:rsid w:val="00343FD3"/>
    <w:rsid w:val="0034490C"/>
    <w:rsid w:val="00344B73"/>
    <w:rsid w:val="00344D34"/>
    <w:rsid w:val="003461EB"/>
    <w:rsid w:val="003462A6"/>
    <w:rsid w:val="0034689E"/>
    <w:rsid w:val="00347DD7"/>
    <w:rsid w:val="00347ED2"/>
    <w:rsid w:val="00350B9E"/>
    <w:rsid w:val="00350C64"/>
    <w:rsid w:val="00350DE0"/>
    <w:rsid w:val="0035248C"/>
    <w:rsid w:val="00353147"/>
    <w:rsid w:val="00353530"/>
    <w:rsid w:val="00353AD7"/>
    <w:rsid w:val="00353BFB"/>
    <w:rsid w:val="003540C6"/>
    <w:rsid w:val="00355121"/>
    <w:rsid w:val="00356228"/>
    <w:rsid w:val="00357019"/>
    <w:rsid w:val="00357DB5"/>
    <w:rsid w:val="00360087"/>
    <w:rsid w:val="00360095"/>
    <w:rsid w:val="003605BB"/>
    <w:rsid w:val="00360B58"/>
    <w:rsid w:val="00362FE9"/>
    <w:rsid w:val="003630FC"/>
    <w:rsid w:val="00363153"/>
    <w:rsid w:val="00364152"/>
    <w:rsid w:val="003644A2"/>
    <w:rsid w:val="0036451C"/>
    <w:rsid w:val="00364979"/>
    <w:rsid w:val="00366EB0"/>
    <w:rsid w:val="0036705C"/>
    <w:rsid w:val="00367ADF"/>
    <w:rsid w:val="00367B00"/>
    <w:rsid w:val="00370151"/>
    <w:rsid w:val="00370927"/>
    <w:rsid w:val="00370BB0"/>
    <w:rsid w:val="00371129"/>
    <w:rsid w:val="00371787"/>
    <w:rsid w:val="00371BF4"/>
    <w:rsid w:val="00372D0D"/>
    <w:rsid w:val="003737AB"/>
    <w:rsid w:val="003745E4"/>
    <w:rsid w:val="003746BB"/>
    <w:rsid w:val="00374EF5"/>
    <w:rsid w:val="00377F58"/>
    <w:rsid w:val="00380432"/>
    <w:rsid w:val="00380B0A"/>
    <w:rsid w:val="003822FE"/>
    <w:rsid w:val="0038249D"/>
    <w:rsid w:val="00382808"/>
    <w:rsid w:val="00383196"/>
    <w:rsid w:val="003836B0"/>
    <w:rsid w:val="00384745"/>
    <w:rsid w:val="00384C6E"/>
    <w:rsid w:val="00384D62"/>
    <w:rsid w:val="00385387"/>
    <w:rsid w:val="0038567C"/>
    <w:rsid w:val="00385D71"/>
    <w:rsid w:val="00386765"/>
    <w:rsid w:val="00386A9A"/>
    <w:rsid w:val="003871FB"/>
    <w:rsid w:val="003903E0"/>
    <w:rsid w:val="003909A1"/>
    <w:rsid w:val="0039149C"/>
    <w:rsid w:val="00392052"/>
    <w:rsid w:val="00392801"/>
    <w:rsid w:val="00392CA5"/>
    <w:rsid w:val="00393EA2"/>
    <w:rsid w:val="003941A6"/>
    <w:rsid w:val="00394265"/>
    <w:rsid w:val="00394B33"/>
    <w:rsid w:val="003964BA"/>
    <w:rsid w:val="00396D6C"/>
    <w:rsid w:val="0039746B"/>
    <w:rsid w:val="00397836"/>
    <w:rsid w:val="00397DF5"/>
    <w:rsid w:val="003A0443"/>
    <w:rsid w:val="003A0646"/>
    <w:rsid w:val="003A0DDF"/>
    <w:rsid w:val="003A1F5A"/>
    <w:rsid w:val="003A2347"/>
    <w:rsid w:val="003A38DB"/>
    <w:rsid w:val="003A5437"/>
    <w:rsid w:val="003A57C2"/>
    <w:rsid w:val="003A57D9"/>
    <w:rsid w:val="003A62B7"/>
    <w:rsid w:val="003A68C6"/>
    <w:rsid w:val="003A6D0F"/>
    <w:rsid w:val="003B05DB"/>
    <w:rsid w:val="003B1C7B"/>
    <w:rsid w:val="003B2011"/>
    <w:rsid w:val="003B2978"/>
    <w:rsid w:val="003B31B1"/>
    <w:rsid w:val="003B4111"/>
    <w:rsid w:val="003B4710"/>
    <w:rsid w:val="003B5502"/>
    <w:rsid w:val="003B5B6C"/>
    <w:rsid w:val="003B6430"/>
    <w:rsid w:val="003B65D8"/>
    <w:rsid w:val="003B714A"/>
    <w:rsid w:val="003B7517"/>
    <w:rsid w:val="003B77E9"/>
    <w:rsid w:val="003B7BCE"/>
    <w:rsid w:val="003C1431"/>
    <w:rsid w:val="003C1CE4"/>
    <w:rsid w:val="003C1F9F"/>
    <w:rsid w:val="003C21C2"/>
    <w:rsid w:val="003C33AB"/>
    <w:rsid w:val="003C3AE9"/>
    <w:rsid w:val="003C4DB2"/>
    <w:rsid w:val="003C57F2"/>
    <w:rsid w:val="003C63C5"/>
    <w:rsid w:val="003C68AC"/>
    <w:rsid w:val="003C68F5"/>
    <w:rsid w:val="003C6FBB"/>
    <w:rsid w:val="003C7F68"/>
    <w:rsid w:val="003D02E0"/>
    <w:rsid w:val="003D04C2"/>
    <w:rsid w:val="003D1339"/>
    <w:rsid w:val="003D23FA"/>
    <w:rsid w:val="003D2746"/>
    <w:rsid w:val="003D41F3"/>
    <w:rsid w:val="003D6034"/>
    <w:rsid w:val="003D7433"/>
    <w:rsid w:val="003E0084"/>
    <w:rsid w:val="003E0B13"/>
    <w:rsid w:val="003E0F22"/>
    <w:rsid w:val="003E1190"/>
    <w:rsid w:val="003E1EA2"/>
    <w:rsid w:val="003E1F1E"/>
    <w:rsid w:val="003E2C9A"/>
    <w:rsid w:val="003E3002"/>
    <w:rsid w:val="003E37DC"/>
    <w:rsid w:val="003E3E4A"/>
    <w:rsid w:val="003E4C18"/>
    <w:rsid w:val="003E4D29"/>
    <w:rsid w:val="003E4D77"/>
    <w:rsid w:val="003E56CE"/>
    <w:rsid w:val="003E5779"/>
    <w:rsid w:val="003E5A62"/>
    <w:rsid w:val="003E78C6"/>
    <w:rsid w:val="003E7B5C"/>
    <w:rsid w:val="003E7E08"/>
    <w:rsid w:val="003E7F6D"/>
    <w:rsid w:val="003F0516"/>
    <w:rsid w:val="003F0586"/>
    <w:rsid w:val="003F150F"/>
    <w:rsid w:val="003F28B5"/>
    <w:rsid w:val="003F301C"/>
    <w:rsid w:val="003F357B"/>
    <w:rsid w:val="003F3B78"/>
    <w:rsid w:val="003F4A34"/>
    <w:rsid w:val="003F5217"/>
    <w:rsid w:val="003F67AC"/>
    <w:rsid w:val="003F700A"/>
    <w:rsid w:val="0040054B"/>
    <w:rsid w:val="0040099B"/>
    <w:rsid w:val="00400A03"/>
    <w:rsid w:val="0040136D"/>
    <w:rsid w:val="00401C33"/>
    <w:rsid w:val="00402009"/>
    <w:rsid w:val="00402874"/>
    <w:rsid w:val="00403232"/>
    <w:rsid w:val="00404962"/>
    <w:rsid w:val="00404EB2"/>
    <w:rsid w:val="00406407"/>
    <w:rsid w:val="00406664"/>
    <w:rsid w:val="00407145"/>
    <w:rsid w:val="00410202"/>
    <w:rsid w:val="004121F4"/>
    <w:rsid w:val="0041231C"/>
    <w:rsid w:val="00412977"/>
    <w:rsid w:val="00412F5B"/>
    <w:rsid w:val="004137C0"/>
    <w:rsid w:val="00414040"/>
    <w:rsid w:val="00415031"/>
    <w:rsid w:val="00415FF7"/>
    <w:rsid w:val="004167DD"/>
    <w:rsid w:val="00416D69"/>
    <w:rsid w:val="00416F55"/>
    <w:rsid w:val="00417237"/>
    <w:rsid w:val="004175C0"/>
    <w:rsid w:val="00417C43"/>
    <w:rsid w:val="00420D25"/>
    <w:rsid w:val="0042177A"/>
    <w:rsid w:val="00421A89"/>
    <w:rsid w:val="00421DB0"/>
    <w:rsid w:val="0042225D"/>
    <w:rsid w:val="00422847"/>
    <w:rsid w:val="00422E03"/>
    <w:rsid w:val="004234DA"/>
    <w:rsid w:val="00424416"/>
    <w:rsid w:val="00424712"/>
    <w:rsid w:val="00424A48"/>
    <w:rsid w:val="00424BAE"/>
    <w:rsid w:val="00424EA4"/>
    <w:rsid w:val="00425EAF"/>
    <w:rsid w:val="004271B8"/>
    <w:rsid w:val="0042747D"/>
    <w:rsid w:val="004274D6"/>
    <w:rsid w:val="00427A32"/>
    <w:rsid w:val="00427A67"/>
    <w:rsid w:val="00427CF8"/>
    <w:rsid w:val="0043009C"/>
    <w:rsid w:val="0043188F"/>
    <w:rsid w:val="004324E7"/>
    <w:rsid w:val="004327F3"/>
    <w:rsid w:val="004328AA"/>
    <w:rsid w:val="00432E07"/>
    <w:rsid w:val="0043300F"/>
    <w:rsid w:val="0043390E"/>
    <w:rsid w:val="00433E82"/>
    <w:rsid w:val="00434DB7"/>
    <w:rsid w:val="0043662A"/>
    <w:rsid w:val="0043670F"/>
    <w:rsid w:val="00436A54"/>
    <w:rsid w:val="00436A58"/>
    <w:rsid w:val="004371D5"/>
    <w:rsid w:val="004372EE"/>
    <w:rsid w:val="004374D5"/>
    <w:rsid w:val="00437FEC"/>
    <w:rsid w:val="0044044F"/>
    <w:rsid w:val="00440E06"/>
    <w:rsid w:val="00440F8F"/>
    <w:rsid w:val="004411BF"/>
    <w:rsid w:val="00441AF3"/>
    <w:rsid w:val="00441E1E"/>
    <w:rsid w:val="004420DE"/>
    <w:rsid w:val="004432A0"/>
    <w:rsid w:val="004434C6"/>
    <w:rsid w:val="00444066"/>
    <w:rsid w:val="0044480A"/>
    <w:rsid w:val="00445B6E"/>
    <w:rsid w:val="00445D25"/>
    <w:rsid w:val="00445D6D"/>
    <w:rsid w:val="00446140"/>
    <w:rsid w:val="0044799C"/>
    <w:rsid w:val="00450AB2"/>
    <w:rsid w:val="00451078"/>
    <w:rsid w:val="0045135B"/>
    <w:rsid w:val="00452172"/>
    <w:rsid w:val="00452437"/>
    <w:rsid w:val="0045321C"/>
    <w:rsid w:val="00454394"/>
    <w:rsid w:val="00455227"/>
    <w:rsid w:val="00456547"/>
    <w:rsid w:val="00457447"/>
    <w:rsid w:val="00457B9E"/>
    <w:rsid w:val="00461968"/>
    <w:rsid w:val="00461E5B"/>
    <w:rsid w:val="00462736"/>
    <w:rsid w:val="00463082"/>
    <w:rsid w:val="00463365"/>
    <w:rsid w:val="00463E24"/>
    <w:rsid w:val="0046481B"/>
    <w:rsid w:val="00464CC1"/>
    <w:rsid w:val="0046507E"/>
    <w:rsid w:val="00465D9B"/>
    <w:rsid w:val="00465F36"/>
    <w:rsid w:val="0046618E"/>
    <w:rsid w:val="004663E6"/>
    <w:rsid w:val="00470D94"/>
    <w:rsid w:val="004713AC"/>
    <w:rsid w:val="004717F5"/>
    <w:rsid w:val="00471F9B"/>
    <w:rsid w:val="00472767"/>
    <w:rsid w:val="00472841"/>
    <w:rsid w:val="004729AF"/>
    <w:rsid w:val="004731E9"/>
    <w:rsid w:val="004746BC"/>
    <w:rsid w:val="004750BA"/>
    <w:rsid w:val="004753F3"/>
    <w:rsid w:val="00475536"/>
    <w:rsid w:val="004758BF"/>
    <w:rsid w:val="00475AC1"/>
    <w:rsid w:val="00477394"/>
    <w:rsid w:val="00480339"/>
    <w:rsid w:val="00480611"/>
    <w:rsid w:val="004819C8"/>
    <w:rsid w:val="004819F8"/>
    <w:rsid w:val="00481F1C"/>
    <w:rsid w:val="004821A0"/>
    <w:rsid w:val="00482A42"/>
    <w:rsid w:val="00482DE3"/>
    <w:rsid w:val="00485D5B"/>
    <w:rsid w:val="00486257"/>
    <w:rsid w:val="00486D7F"/>
    <w:rsid w:val="00486F9C"/>
    <w:rsid w:val="00487EBC"/>
    <w:rsid w:val="00491224"/>
    <w:rsid w:val="00491C8B"/>
    <w:rsid w:val="004923A1"/>
    <w:rsid w:val="0049363C"/>
    <w:rsid w:val="004936D9"/>
    <w:rsid w:val="00493726"/>
    <w:rsid w:val="00493834"/>
    <w:rsid w:val="00494CFC"/>
    <w:rsid w:val="00494E7C"/>
    <w:rsid w:val="004950D0"/>
    <w:rsid w:val="004956CF"/>
    <w:rsid w:val="004956F1"/>
    <w:rsid w:val="00496F25"/>
    <w:rsid w:val="0049746E"/>
    <w:rsid w:val="00497ECD"/>
    <w:rsid w:val="004A014B"/>
    <w:rsid w:val="004A026C"/>
    <w:rsid w:val="004A0298"/>
    <w:rsid w:val="004A0566"/>
    <w:rsid w:val="004A0B14"/>
    <w:rsid w:val="004A2406"/>
    <w:rsid w:val="004A35C1"/>
    <w:rsid w:val="004A4105"/>
    <w:rsid w:val="004A412A"/>
    <w:rsid w:val="004A4C82"/>
    <w:rsid w:val="004A4F1A"/>
    <w:rsid w:val="004A4FD8"/>
    <w:rsid w:val="004A6068"/>
    <w:rsid w:val="004A6712"/>
    <w:rsid w:val="004A7DA1"/>
    <w:rsid w:val="004A7DC3"/>
    <w:rsid w:val="004B0EE6"/>
    <w:rsid w:val="004B379F"/>
    <w:rsid w:val="004B38A6"/>
    <w:rsid w:val="004B3F77"/>
    <w:rsid w:val="004B5664"/>
    <w:rsid w:val="004B57B3"/>
    <w:rsid w:val="004B6204"/>
    <w:rsid w:val="004B67FC"/>
    <w:rsid w:val="004B6C63"/>
    <w:rsid w:val="004B7614"/>
    <w:rsid w:val="004B77D7"/>
    <w:rsid w:val="004C01E5"/>
    <w:rsid w:val="004C0327"/>
    <w:rsid w:val="004C0700"/>
    <w:rsid w:val="004C0827"/>
    <w:rsid w:val="004C0C6C"/>
    <w:rsid w:val="004C1893"/>
    <w:rsid w:val="004C1E23"/>
    <w:rsid w:val="004C1E81"/>
    <w:rsid w:val="004C2273"/>
    <w:rsid w:val="004C24BD"/>
    <w:rsid w:val="004C2572"/>
    <w:rsid w:val="004C2BB9"/>
    <w:rsid w:val="004C39D0"/>
    <w:rsid w:val="004C573C"/>
    <w:rsid w:val="004C6136"/>
    <w:rsid w:val="004C648E"/>
    <w:rsid w:val="004C666F"/>
    <w:rsid w:val="004C6E34"/>
    <w:rsid w:val="004C7104"/>
    <w:rsid w:val="004C755C"/>
    <w:rsid w:val="004D09AF"/>
    <w:rsid w:val="004D0F3F"/>
    <w:rsid w:val="004D1D76"/>
    <w:rsid w:val="004D2A86"/>
    <w:rsid w:val="004D2B13"/>
    <w:rsid w:val="004D3257"/>
    <w:rsid w:val="004D3AB1"/>
    <w:rsid w:val="004D3EA7"/>
    <w:rsid w:val="004D4CEB"/>
    <w:rsid w:val="004D5091"/>
    <w:rsid w:val="004D59A2"/>
    <w:rsid w:val="004D64DA"/>
    <w:rsid w:val="004D71EE"/>
    <w:rsid w:val="004D7A4F"/>
    <w:rsid w:val="004D7DCF"/>
    <w:rsid w:val="004E04D6"/>
    <w:rsid w:val="004E0BF9"/>
    <w:rsid w:val="004E1D41"/>
    <w:rsid w:val="004E22BB"/>
    <w:rsid w:val="004E23E5"/>
    <w:rsid w:val="004E26C2"/>
    <w:rsid w:val="004E28A2"/>
    <w:rsid w:val="004E3054"/>
    <w:rsid w:val="004E3391"/>
    <w:rsid w:val="004E3F12"/>
    <w:rsid w:val="004E54C7"/>
    <w:rsid w:val="004E5B81"/>
    <w:rsid w:val="004E6506"/>
    <w:rsid w:val="004E6E0B"/>
    <w:rsid w:val="004E78CE"/>
    <w:rsid w:val="004F0B6B"/>
    <w:rsid w:val="004F0DEF"/>
    <w:rsid w:val="004F1B46"/>
    <w:rsid w:val="004F298C"/>
    <w:rsid w:val="004F2FEE"/>
    <w:rsid w:val="004F3668"/>
    <w:rsid w:val="004F480F"/>
    <w:rsid w:val="004F5F07"/>
    <w:rsid w:val="004F7233"/>
    <w:rsid w:val="004F73ED"/>
    <w:rsid w:val="005003D9"/>
    <w:rsid w:val="00500F3A"/>
    <w:rsid w:val="005014C3"/>
    <w:rsid w:val="00501EF6"/>
    <w:rsid w:val="00502D4D"/>
    <w:rsid w:val="00503814"/>
    <w:rsid w:val="00503B56"/>
    <w:rsid w:val="00503C95"/>
    <w:rsid w:val="005040F4"/>
    <w:rsid w:val="005041B4"/>
    <w:rsid w:val="00504985"/>
    <w:rsid w:val="00504A5B"/>
    <w:rsid w:val="0050577D"/>
    <w:rsid w:val="00505EB8"/>
    <w:rsid w:val="0051146E"/>
    <w:rsid w:val="00511BCD"/>
    <w:rsid w:val="00512213"/>
    <w:rsid w:val="00512222"/>
    <w:rsid w:val="0051256D"/>
    <w:rsid w:val="0051284F"/>
    <w:rsid w:val="00512C4D"/>
    <w:rsid w:val="00513724"/>
    <w:rsid w:val="00514DAC"/>
    <w:rsid w:val="00514E0A"/>
    <w:rsid w:val="00515578"/>
    <w:rsid w:val="005159B3"/>
    <w:rsid w:val="005167B8"/>
    <w:rsid w:val="005167CB"/>
    <w:rsid w:val="00517DBC"/>
    <w:rsid w:val="0052075E"/>
    <w:rsid w:val="005208B5"/>
    <w:rsid w:val="00520CCE"/>
    <w:rsid w:val="0052198E"/>
    <w:rsid w:val="00521D91"/>
    <w:rsid w:val="00521EEB"/>
    <w:rsid w:val="00521F93"/>
    <w:rsid w:val="005230A4"/>
    <w:rsid w:val="00523CD8"/>
    <w:rsid w:val="00525049"/>
    <w:rsid w:val="00526CF4"/>
    <w:rsid w:val="00527617"/>
    <w:rsid w:val="00527FF7"/>
    <w:rsid w:val="0053093F"/>
    <w:rsid w:val="005309A2"/>
    <w:rsid w:val="00531C25"/>
    <w:rsid w:val="005329FA"/>
    <w:rsid w:val="00533D40"/>
    <w:rsid w:val="00534098"/>
    <w:rsid w:val="0053413D"/>
    <w:rsid w:val="005344A8"/>
    <w:rsid w:val="00534B5C"/>
    <w:rsid w:val="0053509B"/>
    <w:rsid w:val="00536126"/>
    <w:rsid w:val="0053644D"/>
    <w:rsid w:val="00536649"/>
    <w:rsid w:val="005367EE"/>
    <w:rsid w:val="005413E0"/>
    <w:rsid w:val="00542187"/>
    <w:rsid w:val="0054254C"/>
    <w:rsid w:val="0054319E"/>
    <w:rsid w:val="0054351F"/>
    <w:rsid w:val="005439A2"/>
    <w:rsid w:val="005447BB"/>
    <w:rsid w:val="0054548B"/>
    <w:rsid w:val="00546763"/>
    <w:rsid w:val="00546764"/>
    <w:rsid w:val="00546BD7"/>
    <w:rsid w:val="005477D2"/>
    <w:rsid w:val="00547F54"/>
    <w:rsid w:val="00550107"/>
    <w:rsid w:val="00550642"/>
    <w:rsid w:val="005508F1"/>
    <w:rsid w:val="005517B7"/>
    <w:rsid w:val="00551AC0"/>
    <w:rsid w:val="005527FA"/>
    <w:rsid w:val="005528B2"/>
    <w:rsid w:val="00552ADF"/>
    <w:rsid w:val="00552CC6"/>
    <w:rsid w:val="005540F6"/>
    <w:rsid w:val="00554164"/>
    <w:rsid w:val="00554B91"/>
    <w:rsid w:val="005556A1"/>
    <w:rsid w:val="00555C50"/>
    <w:rsid w:val="0055625D"/>
    <w:rsid w:val="00557446"/>
    <w:rsid w:val="0055746E"/>
    <w:rsid w:val="00557A34"/>
    <w:rsid w:val="005603F5"/>
    <w:rsid w:val="00560774"/>
    <w:rsid w:val="00561B41"/>
    <w:rsid w:val="00563681"/>
    <w:rsid w:val="0056470A"/>
    <w:rsid w:val="00565210"/>
    <w:rsid w:val="005658C3"/>
    <w:rsid w:val="005659F1"/>
    <w:rsid w:val="00565D1D"/>
    <w:rsid w:val="0056692F"/>
    <w:rsid w:val="00566FC1"/>
    <w:rsid w:val="005674D0"/>
    <w:rsid w:val="005674EF"/>
    <w:rsid w:val="005706D8"/>
    <w:rsid w:val="00570EAE"/>
    <w:rsid w:val="00571033"/>
    <w:rsid w:val="00571D1E"/>
    <w:rsid w:val="00572513"/>
    <w:rsid w:val="00573111"/>
    <w:rsid w:val="00573799"/>
    <w:rsid w:val="00575EEC"/>
    <w:rsid w:val="0057617D"/>
    <w:rsid w:val="0057694F"/>
    <w:rsid w:val="00580FEB"/>
    <w:rsid w:val="0058114D"/>
    <w:rsid w:val="0058116A"/>
    <w:rsid w:val="00581EC5"/>
    <w:rsid w:val="005823BD"/>
    <w:rsid w:val="00582ABC"/>
    <w:rsid w:val="00582E4D"/>
    <w:rsid w:val="005836D0"/>
    <w:rsid w:val="00583FBA"/>
    <w:rsid w:val="0058402D"/>
    <w:rsid w:val="00584488"/>
    <w:rsid w:val="005845C9"/>
    <w:rsid w:val="0058488D"/>
    <w:rsid w:val="005857A0"/>
    <w:rsid w:val="00586247"/>
    <w:rsid w:val="00586C4F"/>
    <w:rsid w:val="00587D7E"/>
    <w:rsid w:val="00590A55"/>
    <w:rsid w:val="00590D6C"/>
    <w:rsid w:val="0059127B"/>
    <w:rsid w:val="005912C2"/>
    <w:rsid w:val="005915D3"/>
    <w:rsid w:val="00591A11"/>
    <w:rsid w:val="00591DF9"/>
    <w:rsid w:val="00593877"/>
    <w:rsid w:val="00593A45"/>
    <w:rsid w:val="005951A2"/>
    <w:rsid w:val="00596385"/>
    <w:rsid w:val="0059640F"/>
    <w:rsid w:val="00596A27"/>
    <w:rsid w:val="00596C58"/>
    <w:rsid w:val="005A07A2"/>
    <w:rsid w:val="005A11CA"/>
    <w:rsid w:val="005A1830"/>
    <w:rsid w:val="005A20EE"/>
    <w:rsid w:val="005A2F99"/>
    <w:rsid w:val="005A3ECE"/>
    <w:rsid w:val="005A508C"/>
    <w:rsid w:val="005A547F"/>
    <w:rsid w:val="005A6F07"/>
    <w:rsid w:val="005A7224"/>
    <w:rsid w:val="005A7280"/>
    <w:rsid w:val="005A7392"/>
    <w:rsid w:val="005A7A5D"/>
    <w:rsid w:val="005B0258"/>
    <w:rsid w:val="005B0DF5"/>
    <w:rsid w:val="005B133A"/>
    <w:rsid w:val="005B1352"/>
    <w:rsid w:val="005B18E8"/>
    <w:rsid w:val="005B1954"/>
    <w:rsid w:val="005B1A54"/>
    <w:rsid w:val="005B1EA5"/>
    <w:rsid w:val="005B2DD1"/>
    <w:rsid w:val="005B317B"/>
    <w:rsid w:val="005B3B5A"/>
    <w:rsid w:val="005B3F42"/>
    <w:rsid w:val="005B42B5"/>
    <w:rsid w:val="005B4324"/>
    <w:rsid w:val="005B4854"/>
    <w:rsid w:val="005B505E"/>
    <w:rsid w:val="005B7724"/>
    <w:rsid w:val="005B7787"/>
    <w:rsid w:val="005B7B7A"/>
    <w:rsid w:val="005B7CA9"/>
    <w:rsid w:val="005B7F1E"/>
    <w:rsid w:val="005B7F4A"/>
    <w:rsid w:val="005C0385"/>
    <w:rsid w:val="005C0C53"/>
    <w:rsid w:val="005C101C"/>
    <w:rsid w:val="005C19F2"/>
    <w:rsid w:val="005C1BBC"/>
    <w:rsid w:val="005C2845"/>
    <w:rsid w:val="005C37B9"/>
    <w:rsid w:val="005C41B8"/>
    <w:rsid w:val="005C43EE"/>
    <w:rsid w:val="005C47EB"/>
    <w:rsid w:val="005C58E1"/>
    <w:rsid w:val="005C5AFE"/>
    <w:rsid w:val="005C6A21"/>
    <w:rsid w:val="005C7691"/>
    <w:rsid w:val="005C7A6E"/>
    <w:rsid w:val="005D0A54"/>
    <w:rsid w:val="005D0B72"/>
    <w:rsid w:val="005D124C"/>
    <w:rsid w:val="005D144E"/>
    <w:rsid w:val="005D1828"/>
    <w:rsid w:val="005D1E76"/>
    <w:rsid w:val="005D24D8"/>
    <w:rsid w:val="005D2AE2"/>
    <w:rsid w:val="005D2DAB"/>
    <w:rsid w:val="005D2E75"/>
    <w:rsid w:val="005D43D8"/>
    <w:rsid w:val="005D45D7"/>
    <w:rsid w:val="005D4D20"/>
    <w:rsid w:val="005D5977"/>
    <w:rsid w:val="005D6180"/>
    <w:rsid w:val="005D668D"/>
    <w:rsid w:val="005D7098"/>
    <w:rsid w:val="005E00BD"/>
    <w:rsid w:val="005E00CE"/>
    <w:rsid w:val="005E042B"/>
    <w:rsid w:val="005E0C22"/>
    <w:rsid w:val="005E0CED"/>
    <w:rsid w:val="005E13C8"/>
    <w:rsid w:val="005E161C"/>
    <w:rsid w:val="005E1C81"/>
    <w:rsid w:val="005E3C00"/>
    <w:rsid w:val="005E449D"/>
    <w:rsid w:val="005E4E54"/>
    <w:rsid w:val="005E504A"/>
    <w:rsid w:val="005E56DC"/>
    <w:rsid w:val="005E6DF4"/>
    <w:rsid w:val="005F0284"/>
    <w:rsid w:val="005F1977"/>
    <w:rsid w:val="005F1AB4"/>
    <w:rsid w:val="005F1E0F"/>
    <w:rsid w:val="005F249D"/>
    <w:rsid w:val="005F4FA4"/>
    <w:rsid w:val="005F558C"/>
    <w:rsid w:val="005F7621"/>
    <w:rsid w:val="006008E4"/>
    <w:rsid w:val="00600CFC"/>
    <w:rsid w:val="006011A4"/>
    <w:rsid w:val="00601574"/>
    <w:rsid w:val="00601882"/>
    <w:rsid w:val="00603DFA"/>
    <w:rsid w:val="00604DE7"/>
    <w:rsid w:val="006055DE"/>
    <w:rsid w:val="0060581A"/>
    <w:rsid w:val="00605B54"/>
    <w:rsid w:val="00607361"/>
    <w:rsid w:val="0060755A"/>
    <w:rsid w:val="00610456"/>
    <w:rsid w:val="006104BB"/>
    <w:rsid w:val="00613283"/>
    <w:rsid w:val="006137D3"/>
    <w:rsid w:val="00613958"/>
    <w:rsid w:val="00613CBD"/>
    <w:rsid w:val="00614618"/>
    <w:rsid w:val="0061492B"/>
    <w:rsid w:val="00615010"/>
    <w:rsid w:val="00616810"/>
    <w:rsid w:val="0061689C"/>
    <w:rsid w:val="006171F2"/>
    <w:rsid w:val="0061720F"/>
    <w:rsid w:val="006172B3"/>
    <w:rsid w:val="006172D9"/>
    <w:rsid w:val="006177E4"/>
    <w:rsid w:val="00617B88"/>
    <w:rsid w:val="00617F23"/>
    <w:rsid w:val="00620406"/>
    <w:rsid w:val="006205C7"/>
    <w:rsid w:val="00621141"/>
    <w:rsid w:val="00621BE2"/>
    <w:rsid w:val="00621EF7"/>
    <w:rsid w:val="0062220E"/>
    <w:rsid w:val="006226E2"/>
    <w:rsid w:val="00623689"/>
    <w:rsid w:val="0062382F"/>
    <w:rsid w:val="00623A93"/>
    <w:rsid w:val="00624F5C"/>
    <w:rsid w:val="00625833"/>
    <w:rsid w:val="00625A84"/>
    <w:rsid w:val="006266EB"/>
    <w:rsid w:val="00626A4E"/>
    <w:rsid w:val="006279BA"/>
    <w:rsid w:val="00630874"/>
    <w:rsid w:val="00630B06"/>
    <w:rsid w:val="006319EE"/>
    <w:rsid w:val="00631FAC"/>
    <w:rsid w:val="00632641"/>
    <w:rsid w:val="006329B7"/>
    <w:rsid w:val="0063335D"/>
    <w:rsid w:val="006336CB"/>
    <w:rsid w:val="00635157"/>
    <w:rsid w:val="00636426"/>
    <w:rsid w:val="0063664C"/>
    <w:rsid w:val="00637342"/>
    <w:rsid w:val="0063751F"/>
    <w:rsid w:val="00640228"/>
    <w:rsid w:val="00640DEE"/>
    <w:rsid w:val="006412BB"/>
    <w:rsid w:val="0064194F"/>
    <w:rsid w:val="00642357"/>
    <w:rsid w:val="00642A3F"/>
    <w:rsid w:val="006437A2"/>
    <w:rsid w:val="006440E4"/>
    <w:rsid w:val="006449ED"/>
    <w:rsid w:val="00644C73"/>
    <w:rsid w:val="00645191"/>
    <w:rsid w:val="0064556B"/>
    <w:rsid w:val="0064633E"/>
    <w:rsid w:val="006464DE"/>
    <w:rsid w:val="0064673E"/>
    <w:rsid w:val="006471DF"/>
    <w:rsid w:val="00650E98"/>
    <w:rsid w:val="00651126"/>
    <w:rsid w:val="00651751"/>
    <w:rsid w:val="006528CB"/>
    <w:rsid w:val="006530A1"/>
    <w:rsid w:val="00653262"/>
    <w:rsid w:val="006542DD"/>
    <w:rsid w:val="0065437F"/>
    <w:rsid w:val="00654381"/>
    <w:rsid w:val="00654720"/>
    <w:rsid w:val="00654ADA"/>
    <w:rsid w:val="00654B7D"/>
    <w:rsid w:val="00654DAA"/>
    <w:rsid w:val="00654F72"/>
    <w:rsid w:val="00655E38"/>
    <w:rsid w:val="00656C48"/>
    <w:rsid w:val="00656D42"/>
    <w:rsid w:val="00656EF5"/>
    <w:rsid w:val="0065762C"/>
    <w:rsid w:val="0065793C"/>
    <w:rsid w:val="006602B5"/>
    <w:rsid w:val="00661338"/>
    <w:rsid w:val="0066240F"/>
    <w:rsid w:val="00662990"/>
    <w:rsid w:val="00663581"/>
    <w:rsid w:val="00664258"/>
    <w:rsid w:val="00664AC6"/>
    <w:rsid w:val="006661F2"/>
    <w:rsid w:val="00666579"/>
    <w:rsid w:val="00667B5C"/>
    <w:rsid w:val="00667BB3"/>
    <w:rsid w:val="00670420"/>
    <w:rsid w:val="0067090A"/>
    <w:rsid w:val="00670FF7"/>
    <w:rsid w:val="00671812"/>
    <w:rsid w:val="00671930"/>
    <w:rsid w:val="006719FA"/>
    <w:rsid w:val="00672054"/>
    <w:rsid w:val="006723F8"/>
    <w:rsid w:val="00675999"/>
    <w:rsid w:val="00675F1E"/>
    <w:rsid w:val="0067601E"/>
    <w:rsid w:val="006761C0"/>
    <w:rsid w:val="00676BD6"/>
    <w:rsid w:val="006777B5"/>
    <w:rsid w:val="00677C8C"/>
    <w:rsid w:val="00677E0B"/>
    <w:rsid w:val="00677EDC"/>
    <w:rsid w:val="00681031"/>
    <w:rsid w:val="00681901"/>
    <w:rsid w:val="00681AE1"/>
    <w:rsid w:val="00682947"/>
    <w:rsid w:val="006829D7"/>
    <w:rsid w:val="006838BC"/>
    <w:rsid w:val="00683C73"/>
    <w:rsid w:val="006846F0"/>
    <w:rsid w:val="00685CD2"/>
    <w:rsid w:val="006864AE"/>
    <w:rsid w:val="006879ED"/>
    <w:rsid w:val="00687B6B"/>
    <w:rsid w:val="006905F8"/>
    <w:rsid w:val="00690CF3"/>
    <w:rsid w:val="00691EBB"/>
    <w:rsid w:val="0069205D"/>
    <w:rsid w:val="00692CD9"/>
    <w:rsid w:val="0069318D"/>
    <w:rsid w:val="0069368B"/>
    <w:rsid w:val="00693745"/>
    <w:rsid w:val="0069399E"/>
    <w:rsid w:val="00693B0B"/>
    <w:rsid w:val="0069554F"/>
    <w:rsid w:val="0069564C"/>
    <w:rsid w:val="00695F5E"/>
    <w:rsid w:val="0069684F"/>
    <w:rsid w:val="00696ACD"/>
    <w:rsid w:val="006A0146"/>
    <w:rsid w:val="006A0220"/>
    <w:rsid w:val="006A0CBC"/>
    <w:rsid w:val="006A0D11"/>
    <w:rsid w:val="006A167C"/>
    <w:rsid w:val="006A1741"/>
    <w:rsid w:val="006A2C4A"/>
    <w:rsid w:val="006A3066"/>
    <w:rsid w:val="006A35C5"/>
    <w:rsid w:val="006A551B"/>
    <w:rsid w:val="006A5990"/>
    <w:rsid w:val="006A6280"/>
    <w:rsid w:val="006A62F9"/>
    <w:rsid w:val="006A708D"/>
    <w:rsid w:val="006A7666"/>
    <w:rsid w:val="006A7D64"/>
    <w:rsid w:val="006B05A2"/>
    <w:rsid w:val="006B1252"/>
    <w:rsid w:val="006B37B8"/>
    <w:rsid w:val="006B39A3"/>
    <w:rsid w:val="006B39F8"/>
    <w:rsid w:val="006B4054"/>
    <w:rsid w:val="006B5391"/>
    <w:rsid w:val="006B5BF4"/>
    <w:rsid w:val="006B611C"/>
    <w:rsid w:val="006B69A3"/>
    <w:rsid w:val="006B6E91"/>
    <w:rsid w:val="006B6F99"/>
    <w:rsid w:val="006B7057"/>
    <w:rsid w:val="006C01AE"/>
    <w:rsid w:val="006C0854"/>
    <w:rsid w:val="006C2098"/>
    <w:rsid w:val="006C2E43"/>
    <w:rsid w:val="006C4503"/>
    <w:rsid w:val="006C4E97"/>
    <w:rsid w:val="006C4F6E"/>
    <w:rsid w:val="006C56D2"/>
    <w:rsid w:val="006C6CA3"/>
    <w:rsid w:val="006C7270"/>
    <w:rsid w:val="006C734B"/>
    <w:rsid w:val="006D039F"/>
    <w:rsid w:val="006D0507"/>
    <w:rsid w:val="006D054A"/>
    <w:rsid w:val="006D057C"/>
    <w:rsid w:val="006D067D"/>
    <w:rsid w:val="006D0882"/>
    <w:rsid w:val="006D0990"/>
    <w:rsid w:val="006D18D1"/>
    <w:rsid w:val="006D1D98"/>
    <w:rsid w:val="006D1E80"/>
    <w:rsid w:val="006D269C"/>
    <w:rsid w:val="006D2ED5"/>
    <w:rsid w:val="006D3904"/>
    <w:rsid w:val="006D4777"/>
    <w:rsid w:val="006D56B3"/>
    <w:rsid w:val="006D5C1E"/>
    <w:rsid w:val="006D6D4F"/>
    <w:rsid w:val="006D720B"/>
    <w:rsid w:val="006D7D9C"/>
    <w:rsid w:val="006E038F"/>
    <w:rsid w:val="006E0B45"/>
    <w:rsid w:val="006E1371"/>
    <w:rsid w:val="006E158D"/>
    <w:rsid w:val="006E16B7"/>
    <w:rsid w:val="006E2315"/>
    <w:rsid w:val="006E23A6"/>
    <w:rsid w:val="006E2EC9"/>
    <w:rsid w:val="006E30D9"/>
    <w:rsid w:val="006E3D1A"/>
    <w:rsid w:val="006E44A4"/>
    <w:rsid w:val="006E5A98"/>
    <w:rsid w:val="006E79E9"/>
    <w:rsid w:val="006F1418"/>
    <w:rsid w:val="006F1AC1"/>
    <w:rsid w:val="006F1B92"/>
    <w:rsid w:val="006F33CD"/>
    <w:rsid w:val="006F3839"/>
    <w:rsid w:val="006F451F"/>
    <w:rsid w:val="006F4931"/>
    <w:rsid w:val="006F59B9"/>
    <w:rsid w:val="006F5AAA"/>
    <w:rsid w:val="006F5DAF"/>
    <w:rsid w:val="006F6129"/>
    <w:rsid w:val="006F6D95"/>
    <w:rsid w:val="0070058E"/>
    <w:rsid w:val="00701062"/>
    <w:rsid w:val="007013D7"/>
    <w:rsid w:val="00701715"/>
    <w:rsid w:val="007021A0"/>
    <w:rsid w:val="007028DE"/>
    <w:rsid w:val="00702998"/>
    <w:rsid w:val="00703C88"/>
    <w:rsid w:val="0070400E"/>
    <w:rsid w:val="00704E93"/>
    <w:rsid w:val="00705DF9"/>
    <w:rsid w:val="00706319"/>
    <w:rsid w:val="007075DC"/>
    <w:rsid w:val="00707D1C"/>
    <w:rsid w:val="0071002A"/>
    <w:rsid w:val="007100BC"/>
    <w:rsid w:val="0071069C"/>
    <w:rsid w:val="00710FFC"/>
    <w:rsid w:val="0071191C"/>
    <w:rsid w:val="00711AE5"/>
    <w:rsid w:val="00711C86"/>
    <w:rsid w:val="00712E6C"/>
    <w:rsid w:val="00714218"/>
    <w:rsid w:val="0071487A"/>
    <w:rsid w:val="00714C6B"/>
    <w:rsid w:val="00714D08"/>
    <w:rsid w:val="00715184"/>
    <w:rsid w:val="0071589F"/>
    <w:rsid w:val="0071608E"/>
    <w:rsid w:val="00716F87"/>
    <w:rsid w:val="007173E9"/>
    <w:rsid w:val="00717712"/>
    <w:rsid w:val="00717FC7"/>
    <w:rsid w:val="0072064D"/>
    <w:rsid w:val="00720BDC"/>
    <w:rsid w:val="00721ADC"/>
    <w:rsid w:val="00721F76"/>
    <w:rsid w:val="0072201D"/>
    <w:rsid w:val="0072240F"/>
    <w:rsid w:val="00722D69"/>
    <w:rsid w:val="00723172"/>
    <w:rsid w:val="00723E67"/>
    <w:rsid w:val="0072455F"/>
    <w:rsid w:val="0072461D"/>
    <w:rsid w:val="00724BE4"/>
    <w:rsid w:val="00724C56"/>
    <w:rsid w:val="00724FC1"/>
    <w:rsid w:val="00725339"/>
    <w:rsid w:val="007258CB"/>
    <w:rsid w:val="00726EF7"/>
    <w:rsid w:val="0072706B"/>
    <w:rsid w:val="00727EEA"/>
    <w:rsid w:val="00730A24"/>
    <w:rsid w:val="00731AC7"/>
    <w:rsid w:val="00732042"/>
    <w:rsid w:val="007325E7"/>
    <w:rsid w:val="007331BB"/>
    <w:rsid w:val="007337D7"/>
    <w:rsid w:val="007355E6"/>
    <w:rsid w:val="007357DA"/>
    <w:rsid w:val="00735801"/>
    <w:rsid w:val="00735BAB"/>
    <w:rsid w:val="00735D44"/>
    <w:rsid w:val="007365F3"/>
    <w:rsid w:val="0073672D"/>
    <w:rsid w:val="00736C79"/>
    <w:rsid w:val="007377C2"/>
    <w:rsid w:val="0074065C"/>
    <w:rsid w:val="00741101"/>
    <w:rsid w:val="00741E7E"/>
    <w:rsid w:val="007427FE"/>
    <w:rsid w:val="00742CA2"/>
    <w:rsid w:val="00742D49"/>
    <w:rsid w:val="0074388A"/>
    <w:rsid w:val="00743A96"/>
    <w:rsid w:val="00743EE1"/>
    <w:rsid w:val="0074461E"/>
    <w:rsid w:val="0074478C"/>
    <w:rsid w:val="00744EEE"/>
    <w:rsid w:val="0074571F"/>
    <w:rsid w:val="00745729"/>
    <w:rsid w:val="0074607F"/>
    <w:rsid w:val="0074620F"/>
    <w:rsid w:val="00746B54"/>
    <w:rsid w:val="00747285"/>
    <w:rsid w:val="00747E86"/>
    <w:rsid w:val="007504B4"/>
    <w:rsid w:val="00750890"/>
    <w:rsid w:val="007509FE"/>
    <w:rsid w:val="00750E90"/>
    <w:rsid w:val="00751CDD"/>
    <w:rsid w:val="00751DD7"/>
    <w:rsid w:val="007552D5"/>
    <w:rsid w:val="007557A0"/>
    <w:rsid w:val="00755A74"/>
    <w:rsid w:val="00755C99"/>
    <w:rsid w:val="00756F90"/>
    <w:rsid w:val="00757086"/>
    <w:rsid w:val="0075756F"/>
    <w:rsid w:val="00761AF6"/>
    <w:rsid w:val="00761B7C"/>
    <w:rsid w:val="00761D21"/>
    <w:rsid w:val="00763103"/>
    <w:rsid w:val="00764BC2"/>
    <w:rsid w:val="00765B10"/>
    <w:rsid w:val="00766259"/>
    <w:rsid w:val="007665E3"/>
    <w:rsid w:val="007666D6"/>
    <w:rsid w:val="00766BF4"/>
    <w:rsid w:val="0076734B"/>
    <w:rsid w:val="00767613"/>
    <w:rsid w:val="007678C7"/>
    <w:rsid w:val="00767B59"/>
    <w:rsid w:val="00770FA1"/>
    <w:rsid w:val="007728FF"/>
    <w:rsid w:val="00775ED6"/>
    <w:rsid w:val="0077623D"/>
    <w:rsid w:val="00776731"/>
    <w:rsid w:val="00776742"/>
    <w:rsid w:val="00776ACC"/>
    <w:rsid w:val="00776F03"/>
    <w:rsid w:val="00777030"/>
    <w:rsid w:val="007773F2"/>
    <w:rsid w:val="00777E5A"/>
    <w:rsid w:val="0078033D"/>
    <w:rsid w:val="00780563"/>
    <w:rsid w:val="0078086C"/>
    <w:rsid w:val="00780C59"/>
    <w:rsid w:val="0078132F"/>
    <w:rsid w:val="007813E6"/>
    <w:rsid w:val="0078163E"/>
    <w:rsid w:val="007827AD"/>
    <w:rsid w:val="007829AE"/>
    <w:rsid w:val="00782F46"/>
    <w:rsid w:val="007831DC"/>
    <w:rsid w:val="0078334C"/>
    <w:rsid w:val="0078348F"/>
    <w:rsid w:val="00783D21"/>
    <w:rsid w:val="00784955"/>
    <w:rsid w:val="00784A62"/>
    <w:rsid w:val="00784EA2"/>
    <w:rsid w:val="00785345"/>
    <w:rsid w:val="00785387"/>
    <w:rsid w:val="00786194"/>
    <w:rsid w:val="0078658E"/>
    <w:rsid w:val="007868A7"/>
    <w:rsid w:val="00786937"/>
    <w:rsid w:val="00790F19"/>
    <w:rsid w:val="00791B43"/>
    <w:rsid w:val="0079212B"/>
    <w:rsid w:val="007928AD"/>
    <w:rsid w:val="00792BB4"/>
    <w:rsid w:val="007933E5"/>
    <w:rsid w:val="00793ADC"/>
    <w:rsid w:val="00794150"/>
    <w:rsid w:val="00795D06"/>
    <w:rsid w:val="00795F37"/>
    <w:rsid w:val="0079694A"/>
    <w:rsid w:val="00796AB0"/>
    <w:rsid w:val="00796BB2"/>
    <w:rsid w:val="00797014"/>
    <w:rsid w:val="007979F1"/>
    <w:rsid w:val="007A1128"/>
    <w:rsid w:val="007A332A"/>
    <w:rsid w:val="007A3A68"/>
    <w:rsid w:val="007A4276"/>
    <w:rsid w:val="007A483E"/>
    <w:rsid w:val="007A5437"/>
    <w:rsid w:val="007A5994"/>
    <w:rsid w:val="007A6240"/>
    <w:rsid w:val="007A6538"/>
    <w:rsid w:val="007A69E3"/>
    <w:rsid w:val="007A6C98"/>
    <w:rsid w:val="007A6CAC"/>
    <w:rsid w:val="007B0589"/>
    <w:rsid w:val="007B26F4"/>
    <w:rsid w:val="007B2721"/>
    <w:rsid w:val="007B2E15"/>
    <w:rsid w:val="007B3697"/>
    <w:rsid w:val="007B3B25"/>
    <w:rsid w:val="007B3F55"/>
    <w:rsid w:val="007B4095"/>
    <w:rsid w:val="007B42BE"/>
    <w:rsid w:val="007B44AA"/>
    <w:rsid w:val="007B49C2"/>
    <w:rsid w:val="007B61D6"/>
    <w:rsid w:val="007B6804"/>
    <w:rsid w:val="007B7EE7"/>
    <w:rsid w:val="007C0760"/>
    <w:rsid w:val="007C2351"/>
    <w:rsid w:val="007C2F9D"/>
    <w:rsid w:val="007C3084"/>
    <w:rsid w:val="007C3457"/>
    <w:rsid w:val="007C4115"/>
    <w:rsid w:val="007C463C"/>
    <w:rsid w:val="007C4A03"/>
    <w:rsid w:val="007C63D3"/>
    <w:rsid w:val="007C6639"/>
    <w:rsid w:val="007C687F"/>
    <w:rsid w:val="007C6898"/>
    <w:rsid w:val="007C76AD"/>
    <w:rsid w:val="007D06AC"/>
    <w:rsid w:val="007D095C"/>
    <w:rsid w:val="007D175F"/>
    <w:rsid w:val="007D18EC"/>
    <w:rsid w:val="007D1C7C"/>
    <w:rsid w:val="007D3715"/>
    <w:rsid w:val="007D429E"/>
    <w:rsid w:val="007D432A"/>
    <w:rsid w:val="007D4372"/>
    <w:rsid w:val="007D4500"/>
    <w:rsid w:val="007D46BE"/>
    <w:rsid w:val="007D5EB2"/>
    <w:rsid w:val="007D6153"/>
    <w:rsid w:val="007D6816"/>
    <w:rsid w:val="007D721A"/>
    <w:rsid w:val="007D7643"/>
    <w:rsid w:val="007D7C7B"/>
    <w:rsid w:val="007E011F"/>
    <w:rsid w:val="007E046B"/>
    <w:rsid w:val="007E07A0"/>
    <w:rsid w:val="007E08D4"/>
    <w:rsid w:val="007E08D7"/>
    <w:rsid w:val="007E0AC2"/>
    <w:rsid w:val="007E0F6D"/>
    <w:rsid w:val="007E14F0"/>
    <w:rsid w:val="007E1896"/>
    <w:rsid w:val="007E1973"/>
    <w:rsid w:val="007E2114"/>
    <w:rsid w:val="007E2AEA"/>
    <w:rsid w:val="007E2B87"/>
    <w:rsid w:val="007E2E6C"/>
    <w:rsid w:val="007E3EEE"/>
    <w:rsid w:val="007E41EC"/>
    <w:rsid w:val="007E42B1"/>
    <w:rsid w:val="007E51DE"/>
    <w:rsid w:val="007E599D"/>
    <w:rsid w:val="007E5F59"/>
    <w:rsid w:val="007E6003"/>
    <w:rsid w:val="007E6ACD"/>
    <w:rsid w:val="007E747D"/>
    <w:rsid w:val="007E7C9F"/>
    <w:rsid w:val="007E7FD6"/>
    <w:rsid w:val="007F070A"/>
    <w:rsid w:val="007F0849"/>
    <w:rsid w:val="007F0AB2"/>
    <w:rsid w:val="007F0C93"/>
    <w:rsid w:val="007F144F"/>
    <w:rsid w:val="007F22D0"/>
    <w:rsid w:val="007F2738"/>
    <w:rsid w:val="007F29E1"/>
    <w:rsid w:val="007F3C96"/>
    <w:rsid w:val="007F5DA9"/>
    <w:rsid w:val="007F5FD4"/>
    <w:rsid w:val="007F62E2"/>
    <w:rsid w:val="007F67B6"/>
    <w:rsid w:val="007F6C7B"/>
    <w:rsid w:val="00800F16"/>
    <w:rsid w:val="00801046"/>
    <w:rsid w:val="008032AC"/>
    <w:rsid w:val="008033EE"/>
    <w:rsid w:val="00803C24"/>
    <w:rsid w:val="0080430F"/>
    <w:rsid w:val="008043A9"/>
    <w:rsid w:val="008054C1"/>
    <w:rsid w:val="008062F0"/>
    <w:rsid w:val="008066C6"/>
    <w:rsid w:val="00806D73"/>
    <w:rsid w:val="00807300"/>
    <w:rsid w:val="00807A13"/>
    <w:rsid w:val="00807D4C"/>
    <w:rsid w:val="008102AF"/>
    <w:rsid w:val="0081040C"/>
    <w:rsid w:val="008107AD"/>
    <w:rsid w:val="008114F7"/>
    <w:rsid w:val="00811983"/>
    <w:rsid w:val="00812D8A"/>
    <w:rsid w:val="008133D1"/>
    <w:rsid w:val="00813EDA"/>
    <w:rsid w:val="00814831"/>
    <w:rsid w:val="00814A8C"/>
    <w:rsid w:val="008154EB"/>
    <w:rsid w:val="008154FD"/>
    <w:rsid w:val="00815CE3"/>
    <w:rsid w:val="0081614D"/>
    <w:rsid w:val="008161D3"/>
    <w:rsid w:val="0081639A"/>
    <w:rsid w:val="0081764C"/>
    <w:rsid w:val="008209E1"/>
    <w:rsid w:val="00821E03"/>
    <w:rsid w:val="0082497E"/>
    <w:rsid w:val="008253B0"/>
    <w:rsid w:val="008257E9"/>
    <w:rsid w:val="008264C0"/>
    <w:rsid w:val="00826B36"/>
    <w:rsid w:val="00826C3E"/>
    <w:rsid w:val="00827491"/>
    <w:rsid w:val="00827AF6"/>
    <w:rsid w:val="00827D90"/>
    <w:rsid w:val="00827D97"/>
    <w:rsid w:val="008305FC"/>
    <w:rsid w:val="008308BA"/>
    <w:rsid w:val="00830CE2"/>
    <w:rsid w:val="00830E55"/>
    <w:rsid w:val="0083142F"/>
    <w:rsid w:val="00831F91"/>
    <w:rsid w:val="00833690"/>
    <w:rsid w:val="008340FC"/>
    <w:rsid w:val="008353E4"/>
    <w:rsid w:val="008358FB"/>
    <w:rsid w:val="00835DA0"/>
    <w:rsid w:val="00835E6F"/>
    <w:rsid w:val="008375B1"/>
    <w:rsid w:val="008379B0"/>
    <w:rsid w:val="008401D2"/>
    <w:rsid w:val="00841A72"/>
    <w:rsid w:val="00842562"/>
    <w:rsid w:val="00842AD0"/>
    <w:rsid w:val="00845430"/>
    <w:rsid w:val="008459ED"/>
    <w:rsid w:val="00845C28"/>
    <w:rsid w:val="00846010"/>
    <w:rsid w:val="008460DF"/>
    <w:rsid w:val="00846687"/>
    <w:rsid w:val="0084671B"/>
    <w:rsid w:val="00846959"/>
    <w:rsid w:val="008469F6"/>
    <w:rsid w:val="00846AA3"/>
    <w:rsid w:val="00846E29"/>
    <w:rsid w:val="00847F8C"/>
    <w:rsid w:val="0085018C"/>
    <w:rsid w:val="008505A5"/>
    <w:rsid w:val="00850730"/>
    <w:rsid w:val="008509D6"/>
    <w:rsid w:val="00850D43"/>
    <w:rsid w:val="0085192F"/>
    <w:rsid w:val="0085235D"/>
    <w:rsid w:val="00852EE9"/>
    <w:rsid w:val="00853384"/>
    <w:rsid w:val="008533FA"/>
    <w:rsid w:val="00853656"/>
    <w:rsid w:val="00854A17"/>
    <w:rsid w:val="00855605"/>
    <w:rsid w:val="00855AD5"/>
    <w:rsid w:val="0085608C"/>
    <w:rsid w:val="00856BDE"/>
    <w:rsid w:val="00856E9B"/>
    <w:rsid w:val="00857543"/>
    <w:rsid w:val="0086037E"/>
    <w:rsid w:val="0086079F"/>
    <w:rsid w:val="00860A62"/>
    <w:rsid w:val="00861430"/>
    <w:rsid w:val="008622DE"/>
    <w:rsid w:val="00862FA0"/>
    <w:rsid w:val="00863E9A"/>
    <w:rsid w:val="00863F81"/>
    <w:rsid w:val="008644DC"/>
    <w:rsid w:val="00864E54"/>
    <w:rsid w:val="00865119"/>
    <w:rsid w:val="008653F0"/>
    <w:rsid w:val="008656A9"/>
    <w:rsid w:val="00865FDB"/>
    <w:rsid w:val="00866022"/>
    <w:rsid w:val="008676DF"/>
    <w:rsid w:val="00867D28"/>
    <w:rsid w:val="00867FE5"/>
    <w:rsid w:val="00870504"/>
    <w:rsid w:val="008711BA"/>
    <w:rsid w:val="00872555"/>
    <w:rsid w:val="008732E4"/>
    <w:rsid w:val="00873A61"/>
    <w:rsid w:val="00873A69"/>
    <w:rsid w:val="00873E0D"/>
    <w:rsid w:val="00873EA3"/>
    <w:rsid w:val="008744AC"/>
    <w:rsid w:val="00874884"/>
    <w:rsid w:val="00874BD4"/>
    <w:rsid w:val="00874E5C"/>
    <w:rsid w:val="0087585D"/>
    <w:rsid w:val="00875DDD"/>
    <w:rsid w:val="00876464"/>
    <w:rsid w:val="008765D6"/>
    <w:rsid w:val="00876836"/>
    <w:rsid w:val="00877285"/>
    <w:rsid w:val="00877810"/>
    <w:rsid w:val="00877FD4"/>
    <w:rsid w:val="00880B3F"/>
    <w:rsid w:val="00880DD9"/>
    <w:rsid w:val="00882865"/>
    <w:rsid w:val="008828F3"/>
    <w:rsid w:val="00882D88"/>
    <w:rsid w:val="00883737"/>
    <w:rsid w:val="00884A43"/>
    <w:rsid w:val="00884F3D"/>
    <w:rsid w:val="00885A84"/>
    <w:rsid w:val="00885DA3"/>
    <w:rsid w:val="00886854"/>
    <w:rsid w:val="00886DCB"/>
    <w:rsid w:val="008871F1"/>
    <w:rsid w:val="0088771D"/>
    <w:rsid w:val="00890FD8"/>
    <w:rsid w:val="00891C70"/>
    <w:rsid w:val="008927C0"/>
    <w:rsid w:val="00892B2B"/>
    <w:rsid w:val="00892B2F"/>
    <w:rsid w:val="0089463B"/>
    <w:rsid w:val="00894770"/>
    <w:rsid w:val="00895A01"/>
    <w:rsid w:val="00897B38"/>
    <w:rsid w:val="008A0980"/>
    <w:rsid w:val="008A0C81"/>
    <w:rsid w:val="008A179F"/>
    <w:rsid w:val="008A1F5B"/>
    <w:rsid w:val="008A2697"/>
    <w:rsid w:val="008A3631"/>
    <w:rsid w:val="008A3B72"/>
    <w:rsid w:val="008A3F6B"/>
    <w:rsid w:val="008A4920"/>
    <w:rsid w:val="008A5314"/>
    <w:rsid w:val="008A56A2"/>
    <w:rsid w:val="008A5BEB"/>
    <w:rsid w:val="008A5D45"/>
    <w:rsid w:val="008A631B"/>
    <w:rsid w:val="008A6ECD"/>
    <w:rsid w:val="008A7050"/>
    <w:rsid w:val="008A79C0"/>
    <w:rsid w:val="008B0A1F"/>
    <w:rsid w:val="008B0E44"/>
    <w:rsid w:val="008B0EEE"/>
    <w:rsid w:val="008B313B"/>
    <w:rsid w:val="008B38FF"/>
    <w:rsid w:val="008B3A7A"/>
    <w:rsid w:val="008B3C36"/>
    <w:rsid w:val="008B449E"/>
    <w:rsid w:val="008B4588"/>
    <w:rsid w:val="008B4834"/>
    <w:rsid w:val="008B4878"/>
    <w:rsid w:val="008B5327"/>
    <w:rsid w:val="008B5C03"/>
    <w:rsid w:val="008B6567"/>
    <w:rsid w:val="008B674A"/>
    <w:rsid w:val="008B6A9D"/>
    <w:rsid w:val="008B6D8D"/>
    <w:rsid w:val="008B6FB4"/>
    <w:rsid w:val="008B7A7E"/>
    <w:rsid w:val="008B7ADB"/>
    <w:rsid w:val="008C032F"/>
    <w:rsid w:val="008C099F"/>
    <w:rsid w:val="008C0BF5"/>
    <w:rsid w:val="008C0C91"/>
    <w:rsid w:val="008C0E71"/>
    <w:rsid w:val="008C1937"/>
    <w:rsid w:val="008C1C91"/>
    <w:rsid w:val="008C255D"/>
    <w:rsid w:val="008C2634"/>
    <w:rsid w:val="008C3577"/>
    <w:rsid w:val="008C3B02"/>
    <w:rsid w:val="008C3C6E"/>
    <w:rsid w:val="008C4207"/>
    <w:rsid w:val="008C49C9"/>
    <w:rsid w:val="008C521A"/>
    <w:rsid w:val="008C529F"/>
    <w:rsid w:val="008C5C51"/>
    <w:rsid w:val="008C64AD"/>
    <w:rsid w:val="008C747D"/>
    <w:rsid w:val="008D10B8"/>
    <w:rsid w:val="008D116B"/>
    <w:rsid w:val="008D1552"/>
    <w:rsid w:val="008D2137"/>
    <w:rsid w:val="008D23E7"/>
    <w:rsid w:val="008D2C33"/>
    <w:rsid w:val="008D2E70"/>
    <w:rsid w:val="008D2EE0"/>
    <w:rsid w:val="008D401F"/>
    <w:rsid w:val="008D4B28"/>
    <w:rsid w:val="008D5E72"/>
    <w:rsid w:val="008D6776"/>
    <w:rsid w:val="008D6ED4"/>
    <w:rsid w:val="008D7148"/>
    <w:rsid w:val="008D7494"/>
    <w:rsid w:val="008D7724"/>
    <w:rsid w:val="008E08F6"/>
    <w:rsid w:val="008E204B"/>
    <w:rsid w:val="008E25D7"/>
    <w:rsid w:val="008E2603"/>
    <w:rsid w:val="008E34B0"/>
    <w:rsid w:val="008E3704"/>
    <w:rsid w:val="008E37D4"/>
    <w:rsid w:val="008E4063"/>
    <w:rsid w:val="008E552E"/>
    <w:rsid w:val="008E5956"/>
    <w:rsid w:val="008E77AE"/>
    <w:rsid w:val="008E7806"/>
    <w:rsid w:val="008E7F20"/>
    <w:rsid w:val="008F0A20"/>
    <w:rsid w:val="008F11FA"/>
    <w:rsid w:val="008F1242"/>
    <w:rsid w:val="008F130B"/>
    <w:rsid w:val="008F1548"/>
    <w:rsid w:val="008F1D84"/>
    <w:rsid w:val="008F1F44"/>
    <w:rsid w:val="008F257A"/>
    <w:rsid w:val="008F2E30"/>
    <w:rsid w:val="008F30DC"/>
    <w:rsid w:val="008F31ED"/>
    <w:rsid w:val="008F409D"/>
    <w:rsid w:val="008F4AC5"/>
    <w:rsid w:val="008F4D78"/>
    <w:rsid w:val="008F5C27"/>
    <w:rsid w:val="008F6EAA"/>
    <w:rsid w:val="00900861"/>
    <w:rsid w:val="00900959"/>
    <w:rsid w:val="00900B6A"/>
    <w:rsid w:val="00900F41"/>
    <w:rsid w:val="00902403"/>
    <w:rsid w:val="009024BB"/>
    <w:rsid w:val="009028E8"/>
    <w:rsid w:val="009029D2"/>
    <w:rsid w:val="00903730"/>
    <w:rsid w:val="009041CD"/>
    <w:rsid w:val="009046DB"/>
    <w:rsid w:val="00904F7F"/>
    <w:rsid w:val="00905561"/>
    <w:rsid w:val="00905F0F"/>
    <w:rsid w:val="00906FE0"/>
    <w:rsid w:val="00907EA8"/>
    <w:rsid w:val="00911604"/>
    <w:rsid w:val="00911F3B"/>
    <w:rsid w:val="00912C43"/>
    <w:rsid w:val="009132A1"/>
    <w:rsid w:val="009136CB"/>
    <w:rsid w:val="00914D2C"/>
    <w:rsid w:val="0091532B"/>
    <w:rsid w:val="00915526"/>
    <w:rsid w:val="00915F1E"/>
    <w:rsid w:val="00916C3F"/>
    <w:rsid w:val="00917A1A"/>
    <w:rsid w:val="00917CD5"/>
    <w:rsid w:val="00917FF4"/>
    <w:rsid w:val="00920BAC"/>
    <w:rsid w:val="00921632"/>
    <w:rsid w:val="00921732"/>
    <w:rsid w:val="00921ECD"/>
    <w:rsid w:val="00922ECB"/>
    <w:rsid w:val="00923743"/>
    <w:rsid w:val="00923927"/>
    <w:rsid w:val="00923981"/>
    <w:rsid w:val="00925445"/>
    <w:rsid w:val="009257B8"/>
    <w:rsid w:val="009264A1"/>
    <w:rsid w:val="00926B30"/>
    <w:rsid w:val="00926C24"/>
    <w:rsid w:val="00930472"/>
    <w:rsid w:val="00930622"/>
    <w:rsid w:val="00930A05"/>
    <w:rsid w:val="00930A0F"/>
    <w:rsid w:val="00930BD2"/>
    <w:rsid w:val="00931BE0"/>
    <w:rsid w:val="0093229A"/>
    <w:rsid w:val="00932729"/>
    <w:rsid w:val="00932C08"/>
    <w:rsid w:val="00933602"/>
    <w:rsid w:val="00933B44"/>
    <w:rsid w:val="00934564"/>
    <w:rsid w:val="00934F99"/>
    <w:rsid w:val="009351DF"/>
    <w:rsid w:val="00935318"/>
    <w:rsid w:val="00935924"/>
    <w:rsid w:val="00935D4A"/>
    <w:rsid w:val="009361DA"/>
    <w:rsid w:val="00936579"/>
    <w:rsid w:val="0094061E"/>
    <w:rsid w:val="0094068D"/>
    <w:rsid w:val="00940BCD"/>
    <w:rsid w:val="009410B3"/>
    <w:rsid w:val="00941A03"/>
    <w:rsid w:val="00941FE2"/>
    <w:rsid w:val="00943F82"/>
    <w:rsid w:val="00945EE4"/>
    <w:rsid w:val="0094644D"/>
    <w:rsid w:val="00946DA9"/>
    <w:rsid w:val="00946EE9"/>
    <w:rsid w:val="009479DA"/>
    <w:rsid w:val="009509A5"/>
    <w:rsid w:val="00950AE7"/>
    <w:rsid w:val="00950C34"/>
    <w:rsid w:val="00950F4B"/>
    <w:rsid w:val="0095186D"/>
    <w:rsid w:val="00951F22"/>
    <w:rsid w:val="009524D7"/>
    <w:rsid w:val="00952AFA"/>
    <w:rsid w:val="00952B00"/>
    <w:rsid w:val="00952D85"/>
    <w:rsid w:val="00953055"/>
    <w:rsid w:val="0095314C"/>
    <w:rsid w:val="00953A7E"/>
    <w:rsid w:val="00954C82"/>
    <w:rsid w:val="0095508F"/>
    <w:rsid w:val="0095510B"/>
    <w:rsid w:val="00955863"/>
    <w:rsid w:val="00955CDB"/>
    <w:rsid w:val="00956BE6"/>
    <w:rsid w:val="00956DD5"/>
    <w:rsid w:val="009577CD"/>
    <w:rsid w:val="00960737"/>
    <w:rsid w:val="00960878"/>
    <w:rsid w:val="00960E7A"/>
    <w:rsid w:val="00961127"/>
    <w:rsid w:val="00961E6A"/>
    <w:rsid w:val="009623A1"/>
    <w:rsid w:val="00962691"/>
    <w:rsid w:val="00962EB8"/>
    <w:rsid w:val="0096326C"/>
    <w:rsid w:val="00963377"/>
    <w:rsid w:val="009635CE"/>
    <w:rsid w:val="00963C35"/>
    <w:rsid w:val="00964A9F"/>
    <w:rsid w:val="00964D70"/>
    <w:rsid w:val="00965570"/>
    <w:rsid w:val="00965F59"/>
    <w:rsid w:val="0096616D"/>
    <w:rsid w:val="00966418"/>
    <w:rsid w:val="00966A13"/>
    <w:rsid w:val="00966B3A"/>
    <w:rsid w:val="00966B91"/>
    <w:rsid w:val="00966C79"/>
    <w:rsid w:val="00966E25"/>
    <w:rsid w:val="00966EA5"/>
    <w:rsid w:val="00966F35"/>
    <w:rsid w:val="009670E4"/>
    <w:rsid w:val="009679F7"/>
    <w:rsid w:val="00970058"/>
    <w:rsid w:val="00972D45"/>
    <w:rsid w:val="00972ED5"/>
    <w:rsid w:val="0097404A"/>
    <w:rsid w:val="0097661C"/>
    <w:rsid w:val="009769D2"/>
    <w:rsid w:val="0097728E"/>
    <w:rsid w:val="0097791B"/>
    <w:rsid w:val="00977B0C"/>
    <w:rsid w:val="00977B48"/>
    <w:rsid w:val="009810C8"/>
    <w:rsid w:val="00981139"/>
    <w:rsid w:val="00981C41"/>
    <w:rsid w:val="009824D5"/>
    <w:rsid w:val="00985164"/>
    <w:rsid w:val="0098539D"/>
    <w:rsid w:val="00985901"/>
    <w:rsid w:val="00986F3C"/>
    <w:rsid w:val="009876B4"/>
    <w:rsid w:val="009915C3"/>
    <w:rsid w:val="00991D14"/>
    <w:rsid w:val="00991E0D"/>
    <w:rsid w:val="00992024"/>
    <w:rsid w:val="009922AB"/>
    <w:rsid w:val="00993312"/>
    <w:rsid w:val="009933DF"/>
    <w:rsid w:val="00994661"/>
    <w:rsid w:val="00994E7C"/>
    <w:rsid w:val="00994F09"/>
    <w:rsid w:val="00995BB0"/>
    <w:rsid w:val="009962A1"/>
    <w:rsid w:val="00997327"/>
    <w:rsid w:val="009973F2"/>
    <w:rsid w:val="0099745D"/>
    <w:rsid w:val="00997B7C"/>
    <w:rsid w:val="009A0A52"/>
    <w:rsid w:val="009A0BAA"/>
    <w:rsid w:val="009A0F13"/>
    <w:rsid w:val="009A15B2"/>
    <w:rsid w:val="009A1DB7"/>
    <w:rsid w:val="009A2E7D"/>
    <w:rsid w:val="009A2F49"/>
    <w:rsid w:val="009A3F41"/>
    <w:rsid w:val="009A45D9"/>
    <w:rsid w:val="009A498A"/>
    <w:rsid w:val="009A56D1"/>
    <w:rsid w:val="009A58ED"/>
    <w:rsid w:val="009A60F5"/>
    <w:rsid w:val="009A620C"/>
    <w:rsid w:val="009A6D46"/>
    <w:rsid w:val="009A72B6"/>
    <w:rsid w:val="009A7CAD"/>
    <w:rsid w:val="009A7FED"/>
    <w:rsid w:val="009B0258"/>
    <w:rsid w:val="009B085B"/>
    <w:rsid w:val="009B11A8"/>
    <w:rsid w:val="009B12EB"/>
    <w:rsid w:val="009B1C0F"/>
    <w:rsid w:val="009B29C7"/>
    <w:rsid w:val="009B3164"/>
    <w:rsid w:val="009B3A41"/>
    <w:rsid w:val="009B4A47"/>
    <w:rsid w:val="009B6056"/>
    <w:rsid w:val="009B649E"/>
    <w:rsid w:val="009B6505"/>
    <w:rsid w:val="009B6A77"/>
    <w:rsid w:val="009B723E"/>
    <w:rsid w:val="009B73F1"/>
    <w:rsid w:val="009B78A0"/>
    <w:rsid w:val="009C09B7"/>
    <w:rsid w:val="009C2B51"/>
    <w:rsid w:val="009C2CE3"/>
    <w:rsid w:val="009C3BFA"/>
    <w:rsid w:val="009C4679"/>
    <w:rsid w:val="009C4697"/>
    <w:rsid w:val="009C481C"/>
    <w:rsid w:val="009C52AC"/>
    <w:rsid w:val="009C5A76"/>
    <w:rsid w:val="009C5BDA"/>
    <w:rsid w:val="009C60AC"/>
    <w:rsid w:val="009C690A"/>
    <w:rsid w:val="009C76B6"/>
    <w:rsid w:val="009C7853"/>
    <w:rsid w:val="009C78AB"/>
    <w:rsid w:val="009D03A9"/>
    <w:rsid w:val="009D12EE"/>
    <w:rsid w:val="009D17B5"/>
    <w:rsid w:val="009D24B0"/>
    <w:rsid w:val="009D26DE"/>
    <w:rsid w:val="009D2870"/>
    <w:rsid w:val="009D3D51"/>
    <w:rsid w:val="009D45C2"/>
    <w:rsid w:val="009D4837"/>
    <w:rsid w:val="009D4C93"/>
    <w:rsid w:val="009D5103"/>
    <w:rsid w:val="009D512F"/>
    <w:rsid w:val="009D5C67"/>
    <w:rsid w:val="009D7073"/>
    <w:rsid w:val="009D76D3"/>
    <w:rsid w:val="009E15A3"/>
    <w:rsid w:val="009E18D3"/>
    <w:rsid w:val="009E2479"/>
    <w:rsid w:val="009E2B03"/>
    <w:rsid w:val="009E2CC0"/>
    <w:rsid w:val="009E37E3"/>
    <w:rsid w:val="009E41D8"/>
    <w:rsid w:val="009E4AD2"/>
    <w:rsid w:val="009E4B33"/>
    <w:rsid w:val="009E4DFA"/>
    <w:rsid w:val="009E4E23"/>
    <w:rsid w:val="009E4EDB"/>
    <w:rsid w:val="009E5636"/>
    <w:rsid w:val="009E6E16"/>
    <w:rsid w:val="009E6EC0"/>
    <w:rsid w:val="009E73C6"/>
    <w:rsid w:val="009E743F"/>
    <w:rsid w:val="009E7AF0"/>
    <w:rsid w:val="009F203B"/>
    <w:rsid w:val="009F2799"/>
    <w:rsid w:val="009F2ABC"/>
    <w:rsid w:val="009F2D84"/>
    <w:rsid w:val="009F338D"/>
    <w:rsid w:val="009F3EB3"/>
    <w:rsid w:val="009F46EF"/>
    <w:rsid w:val="009F471A"/>
    <w:rsid w:val="009F4CCD"/>
    <w:rsid w:val="009F4FD9"/>
    <w:rsid w:val="009F51DB"/>
    <w:rsid w:val="009F5508"/>
    <w:rsid w:val="009F62B8"/>
    <w:rsid w:val="009F6456"/>
    <w:rsid w:val="009F72A7"/>
    <w:rsid w:val="009F7680"/>
    <w:rsid w:val="009F7E3C"/>
    <w:rsid w:val="00A004C1"/>
    <w:rsid w:val="00A01179"/>
    <w:rsid w:val="00A0258D"/>
    <w:rsid w:val="00A039AE"/>
    <w:rsid w:val="00A0482D"/>
    <w:rsid w:val="00A05631"/>
    <w:rsid w:val="00A06FD2"/>
    <w:rsid w:val="00A07AD0"/>
    <w:rsid w:val="00A07C31"/>
    <w:rsid w:val="00A10216"/>
    <w:rsid w:val="00A11F30"/>
    <w:rsid w:val="00A12464"/>
    <w:rsid w:val="00A12ECE"/>
    <w:rsid w:val="00A147B6"/>
    <w:rsid w:val="00A15B1B"/>
    <w:rsid w:val="00A16F71"/>
    <w:rsid w:val="00A172FD"/>
    <w:rsid w:val="00A173FF"/>
    <w:rsid w:val="00A17FC4"/>
    <w:rsid w:val="00A2022B"/>
    <w:rsid w:val="00A20A90"/>
    <w:rsid w:val="00A20B9A"/>
    <w:rsid w:val="00A20D40"/>
    <w:rsid w:val="00A20EE3"/>
    <w:rsid w:val="00A21061"/>
    <w:rsid w:val="00A21D91"/>
    <w:rsid w:val="00A221E0"/>
    <w:rsid w:val="00A227E1"/>
    <w:rsid w:val="00A22875"/>
    <w:rsid w:val="00A232E5"/>
    <w:rsid w:val="00A23527"/>
    <w:rsid w:val="00A238A1"/>
    <w:rsid w:val="00A23D78"/>
    <w:rsid w:val="00A23E4D"/>
    <w:rsid w:val="00A23F39"/>
    <w:rsid w:val="00A24476"/>
    <w:rsid w:val="00A2499B"/>
    <w:rsid w:val="00A24BE9"/>
    <w:rsid w:val="00A2537E"/>
    <w:rsid w:val="00A2591B"/>
    <w:rsid w:val="00A25A86"/>
    <w:rsid w:val="00A25F84"/>
    <w:rsid w:val="00A26487"/>
    <w:rsid w:val="00A26742"/>
    <w:rsid w:val="00A274F8"/>
    <w:rsid w:val="00A30366"/>
    <w:rsid w:val="00A30B63"/>
    <w:rsid w:val="00A30FDE"/>
    <w:rsid w:val="00A310F1"/>
    <w:rsid w:val="00A313E8"/>
    <w:rsid w:val="00A320EF"/>
    <w:rsid w:val="00A323A8"/>
    <w:rsid w:val="00A32D88"/>
    <w:rsid w:val="00A32E43"/>
    <w:rsid w:val="00A330FC"/>
    <w:rsid w:val="00A33916"/>
    <w:rsid w:val="00A33B25"/>
    <w:rsid w:val="00A33E17"/>
    <w:rsid w:val="00A342CA"/>
    <w:rsid w:val="00A35027"/>
    <w:rsid w:val="00A3562D"/>
    <w:rsid w:val="00A36424"/>
    <w:rsid w:val="00A37913"/>
    <w:rsid w:val="00A40127"/>
    <w:rsid w:val="00A404DF"/>
    <w:rsid w:val="00A405B2"/>
    <w:rsid w:val="00A40A19"/>
    <w:rsid w:val="00A40AD0"/>
    <w:rsid w:val="00A413E3"/>
    <w:rsid w:val="00A4167C"/>
    <w:rsid w:val="00A419C1"/>
    <w:rsid w:val="00A42797"/>
    <w:rsid w:val="00A42A16"/>
    <w:rsid w:val="00A43191"/>
    <w:rsid w:val="00A44253"/>
    <w:rsid w:val="00A453AE"/>
    <w:rsid w:val="00A460D1"/>
    <w:rsid w:val="00A46538"/>
    <w:rsid w:val="00A4681A"/>
    <w:rsid w:val="00A4743E"/>
    <w:rsid w:val="00A4795E"/>
    <w:rsid w:val="00A47C0E"/>
    <w:rsid w:val="00A50A9C"/>
    <w:rsid w:val="00A50FBC"/>
    <w:rsid w:val="00A53BA0"/>
    <w:rsid w:val="00A543A0"/>
    <w:rsid w:val="00A54D66"/>
    <w:rsid w:val="00A55352"/>
    <w:rsid w:val="00A55441"/>
    <w:rsid w:val="00A56EC1"/>
    <w:rsid w:val="00A57967"/>
    <w:rsid w:val="00A60864"/>
    <w:rsid w:val="00A60A45"/>
    <w:rsid w:val="00A6110E"/>
    <w:rsid w:val="00A62080"/>
    <w:rsid w:val="00A62115"/>
    <w:rsid w:val="00A6291D"/>
    <w:rsid w:val="00A63D15"/>
    <w:rsid w:val="00A643E7"/>
    <w:rsid w:val="00A64659"/>
    <w:rsid w:val="00A64A37"/>
    <w:rsid w:val="00A64DC1"/>
    <w:rsid w:val="00A65171"/>
    <w:rsid w:val="00A66057"/>
    <w:rsid w:val="00A66212"/>
    <w:rsid w:val="00A66D21"/>
    <w:rsid w:val="00A67435"/>
    <w:rsid w:val="00A71AC2"/>
    <w:rsid w:val="00A723BE"/>
    <w:rsid w:val="00A72ADA"/>
    <w:rsid w:val="00A733A1"/>
    <w:rsid w:val="00A73426"/>
    <w:rsid w:val="00A73446"/>
    <w:rsid w:val="00A76A21"/>
    <w:rsid w:val="00A774EC"/>
    <w:rsid w:val="00A7775A"/>
    <w:rsid w:val="00A806AF"/>
    <w:rsid w:val="00A81171"/>
    <w:rsid w:val="00A813A6"/>
    <w:rsid w:val="00A81402"/>
    <w:rsid w:val="00A8268B"/>
    <w:rsid w:val="00A82E24"/>
    <w:rsid w:val="00A8307C"/>
    <w:rsid w:val="00A83556"/>
    <w:rsid w:val="00A83F1A"/>
    <w:rsid w:val="00A8419E"/>
    <w:rsid w:val="00A8454C"/>
    <w:rsid w:val="00A84ED8"/>
    <w:rsid w:val="00A8544C"/>
    <w:rsid w:val="00A855F3"/>
    <w:rsid w:val="00A85908"/>
    <w:rsid w:val="00A865D1"/>
    <w:rsid w:val="00A86743"/>
    <w:rsid w:val="00A86CE6"/>
    <w:rsid w:val="00A8754A"/>
    <w:rsid w:val="00A87E62"/>
    <w:rsid w:val="00A90CA9"/>
    <w:rsid w:val="00A90E8B"/>
    <w:rsid w:val="00A9113F"/>
    <w:rsid w:val="00A913FC"/>
    <w:rsid w:val="00A920A8"/>
    <w:rsid w:val="00A929B8"/>
    <w:rsid w:val="00A93D2B"/>
    <w:rsid w:val="00A9499B"/>
    <w:rsid w:val="00A94E31"/>
    <w:rsid w:val="00A9540D"/>
    <w:rsid w:val="00A961E0"/>
    <w:rsid w:val="00AA01E1"/>
    <w:rsid w:val="00AA04E6"/>
    <w:rsid w:val="00AA0F6B"/>
    <w:rsid w:val="00AA124C"/>
    <w:rsid w:val="00AA1F7D"/>
    <w:rsid w:val="00AA1F9B"/>
    <w:rsid w:val="00AA4CFF"/>
    <w:rsid w:val="00AA4FFC"/>
    <w:rsid w:val="00AA65E7"/>
    <w:rsid w:val="00AA6A7F"/>
    <w:rsid w:val="00AA6BD1"/>
    <w:rsid w:val="00AA6ECE"/>
    <w:rsid w:val="00AA6F6B"/>
    <w:rsid w:val="00AB022F"/>
    <w:rsid w:val="00AB0EB2"/>
    <w:rsid w:val="00AB10E2"/>
    <w:rsid w:val="00AB1A08"/>
    <w:rsid w:val="00AB26E5"/>
    <w:rsid w:val="00AB29B1"/>
    <w:rsid w:val="00AB2D16"/>
    <w:rsid w:val="00AB3813"/>
    <w:rsid w:val="00AB3936"/>
    <w:rsid w:val="00AB3CCC"/>
    <w:rsid w:val="00AB46AF"/>
    <w:rsid w:val="00AB4D5E"/>
    <w:rsid w:val="00AB557A"/>
    <w:rsid w:val="00AB5B93"/>
    <w:rsid w:val="00AB60AB"/>
    <w:rsid w:val="00AB6B78"/>
    <w:rsid w:val="00AB6EB5"/>
    <w:rsid w:val="00AB74B8"/>
    <w:rsid w:val="00AC0EB6"/>
    <w:rsid w:val="00AC0FDC"/>
    <w:rsid w:val="00AC180D"/>
    <w:rsid w:val="00AC2451"/>
    <w:rsid w:val="00AC2AD8"/>
    <w:rsid w:val="00AC347A"/>
    <w:rsid w:val="00AC3F59"/>
    <w:rsid w:val="00AC421B"/>
    <w:rsid w:val="00AC493D"/>
    <w:rsid w:val="00AC5477"/>
    <w:rsid w:val="00AC574F"/>
    <w:rsid w:val="00AC66BD"/>
    <w:rsid w:val="00AC676E"/>
    <w:rsid w:val="00AC6C91"/>
    <w:rsid w:val="00AD000F"/>
    <w:rsid w:val="00AD06C5"/>
    <w:rsid w:val="00AD0BE5"/>
    <w:rsid w:val="00AD0C40"/>
    <w:rsid w:val="00AD15AE"/>
    <w:rsid w:val="00AD1D1F"/>
    <w:rsid w:val="00AD1DA9"/>
    <w:rsid w:val="00AD1F5F"/>
    <w:rsid w:val="00AD2245"/>
    <w:rsid w:val="00AD2522"/>
    <w:rsid w:val="00AD2608"/>
    <w:rsid w:val="00AD321B"/>
    <w:rsid w:val="00AD3898"/>
    <w:rsid w:val="00AD3959"/>
    <w:rsid w:val="00AD3CED"/>
    <w:rsid w:val="00AD4D6D"/>
    <w:rsid w:val="00AD4E4F"/>
    <w:rsid w:val="00AD4E5F"/>
    <w:rsid w:val="00AD50CF"/>
    <w:rsid w:val="00AD583E"/>
    <w:rsid w:val="00AD5C50"/>
    <w:rsid w:val="00AD5D29"/>
    <w:rsid w:val="00AD611C"/>
    <w:rsid w:val="00AD65E7"/>
    <w:rsid w:val="00AD6E6F"/>
    <w:rsid w:val="00AD70FA"/>
    <w:rsid w:val="00AD7719"/>
    <w:rsid w:val="00AE0F36"/>
    <w:rsid w:val="00AE1802"/>
    <w:rsid w:val="00AE2A7A"/>
    <w:rsid w:val="00AE2C03"/>
    <w:rsid w:val="00AE2D2E"/>
    <w:rsid w:val="00AE308C"/>
    <w:rsid w:val="00AE3345"/>
    <w:rsid w:val="00AE395E"/>
    <w:rsid w:val="00AE46DF"/>
    <w:rsid w:val="00AE5AEB"/>
    <w:rsid w:val="00AE6478"/>
    <w:rsid w:val="00AE6C61"/>
    <w:rsid w:val="00AE71B3"/>
    <w:rsid w:val="00AF039A"/>
    <w:rsid w:val="00AF04EF"/>
    <w:rsid w:val="00AF05E4"/>
    <w:rsid w:val="00AF0633"/>
    <w:rsid w:val="00AF0FC3"/>
    <w:rsid w:val="00AF10B9"/>
    <w:rsid w:val="00AF1F23"/>
    <w:rsid w:val="00AF2BB1"/>
    <w:rsid w:val="00AF5648"/>
    <w:rsid w:val="00AF5D21"/>
    <w:rsid w:val="00AF6D96"/>
    <w:rsid w:val="00AF6DD0"/>
    <w:rsid w:val="00AF732A"/>
    <w:rsid w:val="00AF78E5"/>
    <w:rsid w:val="00AF7948"/>
    <w:rsid w:val="00AF7F50"/>
    <w:rsid w:val="00B0021D"/>
    <w:rsid w:val="00B0194C"/>
    <w:rsid w:val="00B01B15"/>
    <w:rsid w:val="00B02111"/>
    <w:rsid w:val="00B0312E"/>
    <w:rsid w:val="00B036F1"/>
    <w:rsid w:val="00B03890"/>
    <w:rsid w:val="00B04BF8"/>
    <w:rsid w:val="00B04D10"/>
    <w:rsid w:val="00B0592D"/>
    <w:rsid w:val="00B05DEB"/>
    <w:rsid w:val="00B05F25"/>
    <w:rsid w:val="00B05F54"/>
    <w:rsid w:val="00B076E0"/>
    <w:rsid w:val="00B10AE9"/>
    <w:rsid w:val="00B10BB4"/>
    <w:rsid w:val="00B11120"/>
    <w:rsid w:val="00B117B7"/>
    <w:rsid w:val="00B13192"/>
    <w:rsid w:val="00B13D20"/>
    <w:rsid w:val="00B14188"/>
    <w:rsid w:val="00B145B2"/>
    <w:rsid w:val="00B14686"/>
    <w:rsid w:val="00B14A3B"/>
    <w:rsid w:val="00B14EFB"/>
    <w:rsid w:val="00B14F31"/>
    <w:rsid w:val="00B1533A"/>
    <w:rsid w:val="00B156C9"/>
    <w:rsid w:val="00B16F8D"/>
    <w:rsid w:val="00B17A77"/>
    <w:rsid w:val="00B17B08"/>
    <w:rsid w:val="00B17BC0"/>
    <w:rsid w:val="00B20601"/>
    <w:rsid w:val="00B20663"/>
    <w:rsid w:val="00B20834"/>
    <w:rsid w:val="00B20F00"/>
    <w:rsid w:val="00B21702"/>
    <w:rsid w:val="00B21B09"/>
    <w:rsid w:val="00B21C89"/>
    <w:rsid w:val="00B22858"/>
    <w:rsid w:val="00B22DF3"/>
    <w:rsid w:val="00B22E74"/>
    <w:rsid w:val="00B22FD8"/>
    <w:rsid w:val="00B23748"/>
    <w:rsid w:val="00B23C12"/>
    <w:rsid w:val="00B23E68"/>
    <w:rsid w:val="00B2550A"/>
    <w:rsid w:val="00B267B4"/>
    <w:rsid w:val="00B26D2A"/>
    <w:rsid w:val="00B27336"/>
    <w:rsid w:val="00B274D8"/>
    <w:rsid w:val="00B274E7"/>
    <w:rsid w:val="00B27CFC"/>
    <w:rsid w:val="00B27FD6"/>
    <w:rsid w:val="00B30166"/>
    <w:rsid w:val="00B30626"/>
    <w:rsid w:val="00B313E5"/>
    <w:rsid w:val="00B32446"/>
    <w:rsid w:val="00B336DD"/>
    <w:rsid w:val="00B33F03"/>
    <w:rsid w:val="00B35159"/>
    <w:rsid w:val="00B35346"/>
    <w:rsid w:val="00B35C6F"/>
    <w:rsid w:val="00B3617E"/>
    <w:rsid w:val="00B36FF9"/>
    <w:rsid w:val="00B3732D"/>
    <w:rsid w:val="00B3735C"/>
    <w:rsid w:val="00B3744F"/>
    <w:rsid w:val="00B37983"/>
    <w:rsid w:val="00B37B86"/>
    <w:rsid w:val="00B37E11"/>
    <w:rsid w:val="00B40345"/>
    <w:rsid w:val="00B40BB4"/>
    <w:rsid w:val="00B40CA3"/>
    <w:rsid w:val="00B41182"/>
    <w:rsid w:val="00B4144A"/>
    <w:rsid w:val="00B417FE"/>
    <w:rsid w:val="00B4339B"/>
    <w:rsid w:val="00B43444"/>
    <w:rsid w:val="00B43753"/>
    <w:rsid w:val="00B4423F"/>
    <w:rsid w:val="00B45251"/>
    <w:rsid w:val="00B457DE"/>
    <w:rsid w:val="00B46DC9"/>
    <w:rsid w:val="00B473F2"/>
    <w:rsid w:val="00B4771B"/>
    <w:rsid w:val="00B47C4A"/>
    <w:rsid w:val="00B507AC"/>
    <w:rsid w:val="00B50E80"/>
    <w:rsid w:val="00B51AD3"/>
    <w:rsid w:val="00B51D51"/>
    <w:rsid w:val="00B51FCA"/>
    <w:rsid w:val="00B53719"/>
    <w:rsid w:val="00B53815"/>
    <w:rsid w:val="00B5484D"/>
    <w:rsid w:val="00B55282"/>
    <w:rsid w:val="00B567AB"/>
    <w:rsid w:val="00B56A57"/>
    <w:rsid w:val="00B56CB8"/>
    <w:rsid w:val="00B56F84"/>
    <w:rsid w:val="00B5784E"/>
    <w:rsid w:val="00B6017C"/>
    <w:rsid w:val="00B605FE"/>
    <w:rsid w:val="00B60F57"/>
    <w:rsid w:val="00B61FBF"/>
    <w:rsid w:val="00B62A25"/>
    <w:rsid w:val="00B62A6D"/>
    <w:rsid w:val="00B63827"/>
    <w:rsid w:val="00B64E07"/>
    <w:rsid w:val="00B655E9"/>
    <w:rsid w:val="00B65FC6"/>
    <w:rsid w:val="00B665F3"/>
    <w:rsid w:val="00B67459"/>
    <w:rsid w:val="00B67A70"/>
    <w:rsid w:val="00B67C6F"/>
    <w:rsid w:val="00B70427"/>
    <w:rsid w:val="00B71001"/>
    <w:rsid w:val="00B717ED"/>
    <w:rsid w:val="00B7185F"/>
    <w:rsid w:val="00B72387"/>
    <w:rsid w:val="00B7247F"/>
    <w:rsid w:val="00B7252A"/>
    <w:rsid w:val="00B72D22"/>
    <w:rsid w:val="00B72E92"/>
    <w:rsid w:val="00B73B68"/>
    <w:rsid w:val="00B73C7F"/>
    <w:rsid w:val="00B7411B"/>
    <w:rsid w:val="00B763E1"/>
    <w:rsid w:val="00B7652F"/>
    <w:rsid w:val="00B76795"/>
    <w:rsid w:val="00B77004"/>
    <w:rsid w:val="00B77887"/>
    <w:rsid w:val="00B805D4"/>
    <w:rsid w:val="00B80D35"/>
    <w:rsid w:val="00B80D9E"/>
    <w:rsid w:val="00B81BAE"/>
    <w:rsid w:val="00B81CDA"/>
    <w:rsid w:val="00B82C24"/>
    <w:rsid w:val="00B83351"/>
    <w:rsid w:val="00B8375D"/>
    <w:rsid w:val="00B83C5A"/>
    <w:rsid w:val="00B83D15"/>
    <w:rsid w:val="00B83EA6"/>
    <w:rsid w:val="00B84040"/>
    <w:rsid w:val="00B8413D"/>
    <w:rsid w:val="00B84CF4"/>
    <w:rsid w:val="00B85066"/>
    <w:rsid w:val="00B85EB7"/>
    <w:rsid w:val="00B86A87"/>
    <w:rsid w:val="00B86B5B"/>
    <w:rsid w:val="00B8721B"/>
    <w:rsid w:val="00B874A5"/>
    <w:rsid w:val="00B911EC"/>
    <w:rsid w:val="00B91B3B"/>
    <w:rsid w:val="00B91CE1"/>
    <w:rsid w:val="00B920F5"/>
    <w:rsid w:val="00B929E4"/>
    <w:rsid w:val="00B934D4"/>
    <w:rsid w:val="00B9352E"/>
    <w:rsid w:val="00B943ED"/>
    <w:rsid w:val="00B95DB3"/>
    <w:rsid w:val="00B967BF"/>
    <w:rsid w:val="00B96959"/>
    <w:rsid w:val="00B97CB7"/>
    <w:rsid w:val="00BA0183"/>
    <w:rsid w:val="00BA0F97"/>
    <w:rsid w:val="00BA17B7"/>
    <w:rsid w:val="00BA1E82"/>
    <w:rsid w:val="00BA26E9"/>
    <w:rsid w:val="00BA27B1"/>
    <w:rsid w:val="00BA3571"/>
    <w:rsid w:val="00BA3AD5"/>
    <w:rsid w:val="00BA4691"/>
    <w:rsid w:val="00BA5120"/>
    <w:rsid w:val="00BA5693"/>
    <w:rsid w:val="00BA6787"/>
    <w:rsid w:val="00BA6AB4"/>
    <w:rsid w:val="00BA6B09"/>
    <w:rsid w:val="00BA75B9"/>
    <w:rsid w:val="00BA7DAF"/>
    <w:rsid w:val="00BB0D4D"/>
    <w:rsid w:val="00BB0F4F"/>
    <w:rsid w:val="00BB2974"/>
    <w:rsid w:val="00BB2CF6"/>
    <w:rsid w:val="00BB3F67"/>
    <w:rsid w:val="00BB45B8"/>
    <w:rsid w:val="00BB4C5C"/>
    <w:rsid w:val="00BB53B0"/>
    <w:rsid w:val="00BB53E6"/>
    <w:rsid w:val="00BB580B"/>
    <w:rsid w:val="00BB5C27"/>
    <w:rsid w:val="00BB5DF3"/>
    <w:rsid w:val="00BB5E4B"/>
    <w:rsid w:val="00BB7711"/>
    <w:rsid w:val="00BC09D7"/>
    <w:rsid w:val="00BC0CDF"/>
    <w:rsid w:val="00BC1695"/>
    <w:rsid w:val="00BC1B43"/>
    <w:rsid w:val="00BC2461"/>
    <w:rsid w:val="00BC32C2"/>
    <w:rsid w:val="00BC353C"/>
    <w:rsid w:val="00BC4687"/>
    <w:rsid w:val="00BC4C9C"/>
    <w:rsid w:val="00BC4CEA"/>
    <w:rsid w:val="00BC4D62"/>
    <w:rsid w:val="00BC4D85"/>
    <w:rsid w:val="00BC58D3"/>
    <w:rsid w:val="00BC5A4F"/>
    <w:rsid w:val="00BC5CE1"/>
    <w:rsid w:val="00BC5F29"/>
    <w:rsid w:val="00BC667E"/>
    <w:rsid w:val="00BC68BE"/>
    <w:rsid w:val="00BC6988"/>
    <w:rsid w:val="00BD0F0D"/>
    <w:rsid w:val="00BD1644"/>
    <w:rsid w:val="00BD22A8"/>
    <w:rsid w:val="00BD2406"/>
    <w:rsid w:val="00BD253D"/>
    <w:rsid w:val="00BD25CB"/>
    <w:rsid w:val="00BD2DBD"/>
    <w:rsid w:val="00BD3040"/>
    <w:rsid w:val="00BD3C3C"/>
    <w:rsid w:val="00BD3E5F"/>
    <w:rsid w:val="00BD46EB"/>
    <w:rsid w:val="00BD48D7"/>
    <w:rsid w:val="00BD52CA"/>
    <w:rsid w:val="00BD5DEF"/>
    <w:rsid w:val="00BD5F7A"/>
    <w:rsid w:val="00BD79AE"/>
    <w:rsid w:val="00BD7A41"/>
    <w:rsid w:val="00BD7DF2"/>
    <w:rsid w:val="00BD7EBA"/>
    <w:rsid w:val="00BE00AC"/>
    <w:rsid w:val="00BE0629"/>
    <w:rsid w:val="00BE0E0F"/>
    <w:rsid w:val="00BE15F9"/>
    <w:rsid w:val="00BE1A59"/>
    <w:rsid w:val="00BE1F43"/>
    <w:rsid w:val="00BE289F"/>
    <w:rsid w:val="00BE3D0C"/>
    <w:rsid w:val="00BE526F"/>
    <w:rsid w:val="00BE64A6"/>
    <w:rsid w:val="00BE6A2B"/>
    <w:rsid w:val="00BE6C19"/>
    <w:rsid w:val="00BE6F5E"/>
    <w:rsid w:val="00BE77C2"/>
    <w:rsid w:val="00BF056F"/>
    <w:rsid w:val="00BF1916"/>
    <w:rsid w:val="00BF2222"/>
    <w:rsid w:val="00BF236E"/>
    <w:rsid w:val="00BF2FB3"/>
    <w:rsid w:val="00BF3091"/>
    <w:rsid w:val="00BF49D6"/>
    <w:rsid w:val="00BF4F0F"/>
    <w:rsid w:val="00BF5559"/>
    <w:rsid w:val="00BF5D3E"/>
    <w:rsid w:val="00BF5D8B"/>
    <w:rsid w:val="00BF77C2"/>
    <w:rsid w:val="00C00244"/>
    <w:rsid w:val="00C008F3"/>
    <w:rsid w:val="00C011F4"/>
    <w:rsid w:val="00C02212"/>
    <w:rsid w:val="00C0290F"/>
    <w:rsid w:val="00C0302E"/>
    <w:rsid w:val="00C0342A"/>
    <w:rsid w:val="00C03DCC"/>
    <w:rsid w:val="00C04E25"/>
    <w:rsid w:val="00C04FEE"/>
    <w:rsid w:val="00C05139"/>
    <w:rsid w:val="00C053B9"/>
    <w:rsid w:val="00C05D08"/>
    <w:rsid w:val="00C0608C"/>
    <w:rsid w:val="00C0619A"/>
    <w:rsid w:val="00C06481"/>
    <w:rsid w:val="00C06607"/>
    <w:rsid w:val="00C07621"/>
    <w:rsid w:val="00C079B2"/>
    <w:rsid w:val="00C1081B"/>
    <w:rsid w:val="00C10C62"/>
    <w:rsid w:val="00C13AA7"/>
    <w:rsid w:val="00C14923"/>
    <w:rsid w:val="00C14C5F"/>
    <w:rsid w:val="00C15AC1"/>
    <w:rsid w:val="00C15AEE"/>
    <w:rsid w:val="00C15DB0"/>
    <w:rsid w:val="00C15FCC"/>
    <w:rsid w:val="00C16053"/>
    <w:rsid w:val="00C163B8"/>
    <w:rsid w:val="00C176AA"/>
    <w:rsid w:val="00C1797B"/>
    <w:rsid w:val="00C20E6E"/>
    <w:rsid w:val="00C214AD"/>
    <w:rsid w:val="00C21A91"/>
    <w:rsid w:val="00C21EEB"/>
    <w:rsid w:val="00C225EE"/>
    <w:rsid w:val="00C228A0"/>
    <w:rsid w:val="00C22AE9"/>
    <w:rsid w:val="00C22B49"/>
    <w:rsid w:val="00C238F0"/>
    <w:rsid w:val="00C247C1"/>
    <w:rsid w:val="00C2496C"/>
    <w:rsid w:val="00C249DC"/>
    <w:rsid w:val="00C250C5"/>
    <w:rsid w:val="00C25C69"/>
    <w:rsid w:val="00C260EF"/>
    <w:rsid w:val="00C26205"/>
    <w:rsid w:val="00C2643B"/>
    <w:rsid w:val="00C271FA"/>
    <w:rsid w:val="00C303E5"/>
    <w:rsid w:val="00C30909"/>
    <w:rsid w:val="00C30CB0"/>
    <w:rsid w:val="00C32768"/>
    <w:rsid w:val="00C328E9"/>
    <w:rsid w:val="00C329D3"/>
    <w:rsid w:val="00C32A1F"/>
    <w:rsid w:val="00C3466F"/>
    <w:rsid w:val="00C35935"/>
    <w:rsid w:val="00C35F2A"/>
    <w:rsid w:val="00C3786C"/>
    <w:rsid w:val="00C37B0F"/>
    <w:rsid w:val="00C37C4B"/>
    <w:rsid w:val="00C41058"/>
    <w:rsid w:val="00C410BA"/>
    <w:rsid w:val="00C4185A"/>
    <w:rsid w:val="00C41981"/>
    <w:rsid w:val="00C41F9E"/>
    <w:rsid w:val="00C428E8"/>
    <w:rsid w:val="00C42D21"/>
    <w:rsid w:val="00C4345B"/>
    <w:rsid w:val="00C43BB1"/>
    <w:rsid w:val="00C44227"/>
    <w:rsid w:val="00C4447D"/>
    <w:rsid w:val="00C446C3"/>
    <w:rsid w:val="00C44B5D"/>
    <w:rsid w:val="00C44D2F"/>
    <w:rsid w:val="00C457DA"/>
    <w:rsid w:val="00C45A83"/>
    <w:rsid w:val="00C45C24"/>
    <w:rsid w:val="00C46002"/>
    <w:rsid w:val="00C4691F"/>
    <w:rsid w:val="00C50264"/>
    <w:rsid w:val="00C50AEC"/>
    <w:rsid w:val="00C50B2D"/>
    <w:rsid w:val="00C51171"/>
    <w:rsid w:val="00C51245"/>
    <w:rsid w:val="00C5181B"/>
    <w:rsid w:val="00C518B7"/>
    <w:rsid w:val="00C5227B"/>
    <w:rsid w:val="00C52675"/>
    <w:rsid w:val="00C52BCF"/>
    <w:rsid w:val="00C52CE6"/>
    <w:rsid w:val="00C52ED8"/>
    <w:rsid w:val="00C53F73"/>
    <w:rsid w:val="00C5402B"/>
    <w:rsid w:val="00C54156"/>
    <w:rsid w:val="00C54484"/>
    <w:rsid w:val="00C548B4"/>
    <w:rsid w:val="00C5504F"/>
    <w:rsid w:val="00C5616D"/>
    <w:rsid w:val="00C5619F"/>
    <w:rsid w:val="00C566A9"/>
    <w:rsid w:val="00C57B7C"/>
    <w:rsid w:val="00C57DE2"/>
    <w:rsid w:val="00C60ED5"/>
    <w:rsid w:val="00C617E2"/>
    <w:rsid w:val="00C6335C"/>
    <w:rsid w:val="00C63A91"/>
    <w:rsid w:val="00C64204"/>
    <w:rsid w:val="00C65996"/>
    <w:rsid w:val="00C65A07"/>
    <w:rsid w:val="00C669F2"/>
    <w:rsid w:val="00C66C23"/>
    <w:rsid w:val="00C6708C"/>
    <w:rsid w:val="00C671B2"/>
    <w:rsid w:val="00C674CC"/>
    <w:rsid w:val="00C6797D"/>
    <w:rsid w:val="00C67CA6"/>
    <w:rsid w:val="00C67F00"/>
    <w:rsid w:val="00C70588"/>
    <w:rsid w:val="00C7062B"/>
    <w:rsid w:val="00C711C6"/>
    <w:rsid w:val="00C7127A"/>
    <w:rsid w:val="00C7270F"/>
    <w:rsid w:val="00C72896"/>
    <w:rsid w:val="00C72A2B"/>
    <w:rsid w:val="00C72E2B"/>
    <w:rsid w:val="00C7307F"/>
    <w:rsid w:val="00C734C1"/>
    <w:rsid w:val="00C73DB4"/>
    <w:rsid w:val="00C74B77"/>
    <w:rsid w:val="00C7546D"/>
    <w:rsid w:val="00C75AB7"/>
    <w:rsid w:val="00C75DC7"/>
    <w:rsid w:val="00C75FBA"/>
    <w:rsid w:val="00C76677"/>
    <w:rsid w:val="00C76D20"/>
    <w:rsid w:val="00C770D8"/>
    <w:rsid w:val="00C773DD"/>
    <w:rsid w:val="00C77A40"/>
    <w:rsid w:val="00C80130"/>
    <w:rsid w:val="00C80CC2"/>
    <w:rsid w:val="00C81999"/>
    <w:rsid w:val="00C82AC0"/>
    <w:rsid w:val="00C82C92"/>
    <w:rsid w:val="00C82F91"/>
    <w:rsid w:val="00C830F3"/>
    <w:rsid w:val="00C8314F"/>
    <w:rsid w:val="00C8357B"/>
    <w:rsid w:val="00C83DBF"/>
    <w:rsid w:val="00C84248"/>
    <w:rsid w:val="00C84824"/>
    <w:rsid w:val="00C8494E"/>
    <w:rsid w:val="00C84CB8"/>
    <w:rsid w:val="00C85082"/>
    <w:rsid w:val="00C85B04"/>
    <w:rsid w:val="00C8652C"/>
    <w:rsid w:val="00C86932"/>
    <w:rsid w:val="00C86B07"/>
    <w:rsid w:val="00C873FB"/>
    <w:rsid w:val="00C87600"/>
    <w:rsid w:val="00C90023"/>
    <w:rsid w:val="00C9045C"/>
    <w:rsid w:val="00C90ACF"/>
    <w:rsid w:val="00C90FB7"/>
    <w:rsid w:val="00C91750"/>
    <w:rsid w:val="00C92CB5"/>
    <w:rsid w:val="00C93DC0"/>
    <w:rsid w:val="00C93FCE"/>
    <w:rsid w:val="00C95B37"/>
    <w:rsid w:val="00C95D8A"/>
    <w:rsid w:val="00C9625C"/>
    <w:rsid w:val="00C963C7"/>
    <w:rsid w:val="00C97043"/>
    <w:rsid w:val="00C97BC1"/>
    <w:rsid w:val="00CA005A"/>
    <w:rsid w:val="00CA1180"/>
    <w:rsid w:val="00CA1341"/>
    <w:rsid w:val="00CA1693"/>
    <w:rsid w:val="00CA2B45"/>
    <w:rsid w:val="00CA2EE4"/>
    <w:rsid w:val="00CA3A59"/>
    <w:rsid w:val="00CA45FD"/>
    <w:rsid w:val="00CA4C3F"/>
    <w:rsid w:val="00CA73F9"/>
    <w:rsid w:val="00CA7D11"/>
    <w:rsid w:val="00CB0302"/>
    <w:rsid w:val="00CB06A2"/>
    <w:rsid w:val="00CB088A"/>
    <w:rsid w:val="00CB0E20"/>
    <w:rsid w:val="00CB1914"/>
    <w:rsid w:val="00CB210E"/>
    <w:rsid w:val="00CB22D5"/>
    <w:rsid w:val="00CB34A6"/>
    <w:rsid w:val="00CB434C"/>
    <w:rsid w:val="00CB4876"/>
    <w:rsid w:val="00CB4E30"/>
    <w:rsid w:val="00CB4F6C"/>
    <w:rsid w:val="00CB5147"/>
    <w:rsid w:val="00CB51E7"/>
    <w:rsid w:val="00CB58C8"/>
    <w:rsid w:val="00CB5F29"/>
    <w:rsid w:val="00CB6422"/>
    <w:rsid w:val="00CB6C47"/>
    <w:rsid w:val="00CB7C65"/>
    <w:rsid w:val="00CB7CDF"/>
    <w:rsid w:val="00CC0C07"/>
    <w:rsid w:val="00CC1481"/>
    <w:rsid w:val="00CC1C70"/>
    <w:rsid w:val="00CC1EDE"/>
    <w:rsid w:val="00CC23E9"/>
    <w:rsid w:val="00CC24B4"/>
    <w:rsid w:val="00CC30E8"/>
    <w:rsid w:val="00CC3A5C"/>
    <w:rsid w:val="00CC3AFC"/>
    <w:rsid w:val="00CC3D24"/>
    <w:rsid w:val="00CC4D98"/>
    <w:rsid w:val="00CC5E29"/>
    <w:rsid w:val="00CC603A"/>
    <w:rsid w:val="00CC6AFA"/>
    <w:rsid w:val="00CC72D8"/>
    <w:rsid w:val="00CC7B8F"/>
    <w:rsid w:val="00CD0E5A"/>
    <w:rsid w:val="00CD0F92"/>
    <w:rsid w:val="00CD1ED3"/>
    <w:rsid w:val="00CD2470"/>
    <w:rsid w:val="00CD2E32"/>
    <w:rsid w:val="00CD2E47"/>
    <w:rsid w:val="00CD442D"/>
    <w:rsid w:val="00CD49CA"/>
    <w:rsid w:val="00CD57BB"/>
    <w:rsid w:val="00CD61F2"/>
    <w:rsid w:val="00CD6582"/>
    <w:rsid w:val="00CD6733"/>
    <w:rsid w:val="00CD6949"/>
    <w:rsid w:val="00CD726C"/>
    <w:rsid w:val="00CD7F71"/>
    <w:rsid w:val="00CE09A9"/>
    <w:rsid w:val="00CE0BE8"/>
    <w:rsid w:val="00CE180C"/>
    <w:rsid w:val="00CE2DC2"/>
    <w:rsid w:val="00CE39E6"/>
    <w:rsid w:val="00CE3DA2"/>
    <w:rsid w:val="00CE3E4D"/>
    <w:rsid w:val="00CE43B5"/>
    <w:rsid w:val="00CE4E24"/>
    <w:rsid w:val="00CE4E2A"/>
    <w:rsid w:val="00CE5628"/>
    <w:rsid w:val="00CE5E82"/>
    <w:rsid w:val="00CE6E8B"/>
    <w:rsid w:val="00CE6FE2"/>
    <w:rsid w:val="00CE7177"/>
    <w:rsid w:val="00CE7663"/>
    <w:rsid w:val="00CE7BCE"/>
    <w:rsid w:val="00CF00F4"/>
    <w:rsid w:val="00CF08E0"/>
    <w:rsid w:val="00CF0F96"/>
    <w:rsid w:val="00CF1353"/>
    <w:rsid w:val="00CF20C8"/>
    <w:rsid w:val="00CF3159"/>
    <w:rsid w:val="00CF36BF"/>
    <w:rsid w:val="00CF3825"/>
    <w:rsid w:val="00CF3C75"/>
    <w:rsid w:val="00CF46CC"/>
    <w:rsid w:val="00CF4BA1"/>
    <w:rsid w:val="00CF4C58"/>
    <w:rsid w:val="00CF5562"/>
    <w:rsid w:val="00CF6117"/>
    <w:rsid w:val="00CF7BA3"/>
    <w:rsid w:val="00D008ED"/>
    <w:rsid w:val="00D00E36"/>
    <w:rsid w:val="00D0181C"/>
    <w:rsid w:val="00D01D2D"/>
    <w:rsid w:val="00D0359B"/>
    <w:rsid w:val="00D052E6"/>
    <w:rsid w:val="00D053D5"/>
    <w:rsid w:val="00D05837"/>
    <w:rsid w:val="00D0589C"/>
    <w:rsid w:val="00D06524"/>
    <w:rsid w:val="00D06BD8"/>
    <w:rsid w:val="00D07315"/>
    <w:rsid w:val="00D0743E"/>
    <w:rsid w:val="00D0765F"/>
    <w:rsid w:val="00D07B20"/>
    <w:rsid w:val="00D102D2"/>
    <w:rsid w:val="00D104E9"/>
    <w:rsid w:val="00D124AD"/>
    <w:rsid w:val="00D12982"/>
    <w:rsid w:val="00D132AC"/>
    <w:rsid w:val="00D13CB2"/>
    <w:rsid w:val="00D13E2F"/>
    <w:rsid w:val="00D1404A"/>
    <w:rsid w:val="00D14652"/>
    <w:rsid w:val="00D14E30"/>
    <w:rsid w:val="00D15DA8"/>
    <w:rsid w:val="00D168B7"/>
    <w:rsid w:val="00D16E45"/>
    <w:rsid w:val="00D17795"/>
    <w:rsid w:val="00D200F2"/>
    <w:rsid w:val="00D203FE"/>
    <w:rsid w:val="00D20CF8"/>
    <w:rsid w:val="00D22E36"/>
    <w:rsid w:val="00D2300A"/>
    <w:rsid w:val="00D24721"/>
    <w:rsid w:val="00D25376"/>
    <w:rsid w:val="00D2552A"/>
    <w:rsid w:val="00D25AA8"/>
    <w:rsid w:val="00D25B20"/>
    <w:rsid w:val="00D25B8D"/>
    <w:rsid w:val="00D2670F"/>
    <w:rsid w:val="00D26E10"/>
    <w:rsid w:val="00D27BC9"/>
    <w:rsid w:val="00D27BF8"/>
    <w:rsid w:val="00D27D9C"/>
    <w:rsid w:val="00D27E0A"/>
    <w:rsid w:val="00D27E67"/>
    <w:rsid w:val="00D27F6C"/>
    <w:rsid w:val="00D31085"/>
    <w:rsid w:val="00D3258B"/>
    <w:rsid w:val="00D32806"/>
    <w:rsid w:val="00D336A6"/>
    <w:rsid w:val="00D34E36"/>
    <w:rsid w:val="00D35129"/>
    <w:rsid w:val="00D36396"/>
    <w:rsid w:val="00D366BB"/>
    <w:rsid w:val="00D379C1"/>
    <w:rsid w:val="00D42C48"/>
    <w:rsid w:val="00D42E2E"/>
    <w:rsid w:val="00D42F3C"/>
    <w:rsid w:val="00D44B1E"/>
    <w:rsid w:val="00D454AA"/>
    <w:rsid w:val="00D45A23"/>
    <w:rsid w:val="00D460AF"/>
    <w:rsid w:val="00D4675E"/>
    <w:rsid w:val="00D47B9A"/>
    <w:rsid w:val="00D502E5"/>
    <w:rsid w:val="00D5154C"/>
    <w:rsid w:val="00D51AE7"/>
    <w:rsid w:val="00D52D78"/>
    <w:rsid w:val="00D536AF"/>
    <w:rsid w:val="00D544E7"/>
    <w:rsid w:val="00D547F7"/>
    <w:rsid w:val="00D54875"/>
    <w:rsid w:val="00D54877"/>
    <w:rsid w:val="00D5624E"/>
    <w:rsid w:val="00D56E96"/>
    <w:rsid w:val="00D571D1"/>
    <w:rsid w:val="00D605D5"/>
    <w:rsid w:val="00D60A5C"/>
    <w:rsid w:val="00D61452"/>
    <w:rsid w:val="00D619EE"/>
    <w:rsid w:val="00D62265"/>
    <w:rsid w:val="00D627DC"/>
    <w:rsid w:val="00D627F9"/>
    <w:rsid w:val="00D629BE"/>
    <w:rsid w:val="00D62EB4"/>
    <w:rsid w:val="00D63F17"/>
    <w:rsid w:val="00D642F4"/>
    <w:rsid w:val="00D647B1"/>
    <w:rsid w:val="00D65927"/>
    <w:rsid w:val="00D659F7"/>
    <w:rsid w:val="00D65FA1"/>
    <w:rsid w:val="00D6649B"/>
    <w:rsid w:val="00D67AA9"/>
    <w:rsid w:val="00D71222"/>
    <w:rsid w:val="00D718D9"/>
    <w:rsid w:val="00D71A2D"/>
    <w:rsid w:val="00D7246C"/>
    <w:rsid w:val="00D731EE"/>
    <w:rsid w:val="00D73392"/>
    <w:rsid w:val="00D73412"/>
    <w:rsid w:val="00D73429"/>
    <w:rsid w:val="00D73B3C"/>
    <w:rsid w:val="00D73E9D"/>
    <w:rsid w:val="00D74F98"/>
    <w:rsid w:val="00D752F6"/>
    <w:rsid w:val="00D754CA"/>
    <w:rsid w:val="00D7670F"/>
    <w:rsid w:val="00D7712A"/>
    <w:rsid w:val="00D771CE"/>
    <w:rsid w:val="00D77260"/>
    <w:rsid w:val="00D7786D"/>
    <w:rsid w:val="00D8126F"/>
    <w:rsid w:val="00D81F6C"/>
    <w:rsid w:val="00D824E0"/>
    <w:rsid w:val="00D82C8A"/>
    <w:rsid w:val="00D82E81"/>
    <w:rsid w:val="00D851CA"/>
    <w:rsid w:val="00D8636C"/>
    <w:rsid w:val="00D86752"/>
    <w:rsid w:val="00D872F8"/>
    <w:rsid w:val="00D9041D"/>
    <w:rsid w:val="00D91C3B"/>
    <w:rsid w:val="00D91D27"/>
    <w:rsid w:val="00D91DFB"/>
    <w:rsid w:val="00D920E2"/>
    <w:rsid w:val="00D9264F"/>
    <w:rsid w:val="00D9391C"/>
    <w:rsid w:val="00D93936"/>
    <w:rsid w:val="00D943A8"/>
    <w:rsid w:val="00D96452"/>
    <w:rsid w:val="00D96E05"/>
    <w:rsid w:val="00D979D3"/>
    <w:rsid w:val="00DA01F0"/>
    <w:rsid w:val="00DA0950"/>
    <w:rsid w:val="00DA1751"/>
    <w:rsid w:val="00DA33A3"/>
    <w:rsid w:val="00DA38D2"/>
    <w:rsid w:val="00DA3AB5"/>
    <w:rsid w:val="00DA410A"/>
    <w:rsid w:val="00DA4337"/>
    <w:rsid w:val="00DA583C"/>
    <w:rsid w:val="00DA7A30"/>
    <w:rsid w:val="00DA7BD8"/>
    <w:rsid w:val="00DA7CBB"/>
    <w:rsid w:val="00DB0648"/>
    <w:rsid w:val="00DB1DE1"/>
    <w:rsid w:val="00DB1E8D"/>
    <w:rsid w:val="00DB2981"/>
    <w:rsid w:val="00DB2D16"/>
    <w:rsid w:val="00DB2FD2"/>
    <w:rsid w:val="00DB3481"/>
    <w:rsid w:val="00DB4003"/>
    <w:rsid w:val="00DB4127"/>
    <w:rsid w:val="00DB4260"/>
    <w:rsid w:val="00DB4301"/>
    <w:rsid w:val="00DB4D13"/>
    <w:rsid w:val="00DB517A"/>
    <w:rsid w:val="00DB5241"/>
    <w:rsid w:val="00DB5877"/>
    <w:rsid w:val="00DB5983"/>
    <w:rsid w:val="00DB59B9"/>
    <w:rsid w:val="00DB625D"/>
    <w:rsid w:val="00DB71EE"/>
    <w:rsid w:val="00DC14F7"/>
    <w:rsid w:val="00DC2520"/>
    <w:rsid w:val="00DC2AC4"/>
    <w:rsid w:val="00DC2C0F"/>
    <w:rsid w:val="00DC36A2"/>
    <w:rsid w:val="00DC3D08"/>
    <w:rsid w:val="00DC42DA"/>
    <w:rsid w:val="00DC4BC3"/>
    <w:rsid w:val="00DC55F5"/>
    <w:rsid w:val="00DC72A8"/>
    <w:rsid w:val="00DC78FD"/>
    <w:rsid w:val="00DD077A"/>
    <w:rsid w:val="00DD12DF"/>
    <w:rsid w:val="00DD176C"/>
    <w:rsid w:val="00DD260B"/>
    <w:rsid w:val="00DD2D8B"/>
    <w:rsid w:val="00DD3E3C"/>
    <w:rsid w:val="00DD41E0"/>
    <w:rsid w:val="00DD4512"/>
    <w:rsid w:val="00DD4621"/>
    <w:rsid w:val="00DD5EDA"/>
    <w:rsid w:val="00DD67F3"/>
    <w:rsid w:val="00DD70B3"/>
    <w:rsid w:val="00DD7304"/>
    <w:rsid w:val="00DE1027"/>
    <w:rsid w:val="00DE1231"/>
    <w:rsid w:val="00DE1556"/>
    <w:rsid w:val="00DE355B"/>
    <w:rsid w:val="00DE3A84"/>
    <w:rsid w:val="00DE46A8"/>
    <w:rsid w:val="00DE478F"/>
    <w:rsid w:val="00DE47CC"/>
    <w:rsid w:val="00DE5227"/>
    <w:rsid w:val="00DE5AA9"/>
    <w:rsid w:val="00DE5CAA"/>
    <w:rsid w:val="00DE5FE0"/>
    <w:rsid w:val="00DF06CD"/>
    <w:rsid w:val="00DF0A3C"/>
    <w:rsid w:val="00DF1581"/>
    <w:rsid w:val="00DF1A36"/>
    <w:rsid w:val="00DF210E"/>
    <w:rsid w:val="00DF26F0"/>
    <w:rsid w:val="00DF2BCF"/>
    <w:rsid w:val="00DF41D1"/>
    <w:rsid w:val="00DF43B3"/>
    <w:rsid w:val="00DF48C2"/>
    <w:rsid w:val="00DF4DBD"/>
    <w:rsid w:val="00DF5EC0"/>
    <w:rsid w:val="00DF71C1"/>
    <w:rsid w:val="00DF7F98"/>
    <w:rsid w:val="00E00297"/>
    <w:rsid w:val="00E0035E"/>
    <w:rsid w:val="00E005CB"/>
    <w:rsid w:val="00E00937"/>
    <w:rsid w:val="00E00BD9"/>
    <w:rsid w:val="00E00E45"/>
    <w:rsid w:val="00E027F6"/>
    <w:rsid w:val="00E0358D"/>
    <w:rsid w:val="00E03649"/>
    <w:rsid w:val="00E037ED"/>
    <w:rsid w:val="00E0385B"/>
    <w:rsid w:val="00E0494E"/>
    <w:rsid w:val="00E0597C"/>
    <w:rsid w:val="00E05D47"/>
    <w:rsid w:val="00E05FF9"/>
    <w:rsid w:val="00E06A2E"/>
    <w:rsid w:val="00E06C50"/>
    <w:rsid w:val="00E06E03"/>
    <w:rsid w:val="00E0729D"/>
    <w:rsid w:val="00E1046A"/>
    <w:rsid w:val="00E10585"/>
    <w:rsid w:val="00E10619"/>
    <w:rsid w:val="00E108FA"/>
    <w:rsid w:val="00E10D99"/>
    <w:rsid w:val="00E121D4"/>
    <w:rsid w:val="00E12478"/>
    <w:rsid w:val="00E127F4"/>
    <w:rsid w:val="00E13CEE"/>
    <w:rsid w:val="00E14525"/>
    <w:rsid w:val="00E14B89"/>
    <w:rsid w:val="00E14D55"/>
    <w:rsid w:val="00E1518A"/>
    <w:rsid w:val="00E1589F"/>
    <w:rsid w:val="00E1595E"/>
    <w:rsid w:val="00E15EF3"/>
    <w:rsid w:val="00E1779C"/>
    <w:rsid w:val="00E20107"/>
    <w:rsid w:val="00E20BFB"/>
    <w:rsid w:val="00E20C54"/>
    <w:rsid w:val="00E20D58"/>
    <w:rsid w:val="00E212B1"/>
    <w:rsid w:val="00E21374"/>
    <w:rsid w:val="00E215A1"/>
    <w:rsid w:val="00E21928"/>
    <w:rsid w:val="00E2217A"/>
    <w:rsid w:val="00E221CF"/>
    <w:rsid w:val="00E22AB1"/>
    <w:rsid w:val="00E23E26"/>
    <w:rsid w:val="00E245A3"/>
    <w:rsid w:val="00E24790"/>
    <w:rsid w:val="00E2489C"/>
    <w:rsid w:val="00E24B8D"/>
    <w:rsid w:val="00E253CC"/>
    <w:rsid w:val="00E25946"/>
    <w:rsid w:val="00E27CC2"/>
    <w:rsid w:val="00E30B5E"/>
    <w:rsid w:val="00E3236C"/>
    <w:rsid w:val="00E32CC2"/>
    <w:rsid w:val="00E33A73"/>
    <w:rsid w:val="00E34132"/>
    <w:rsid w:val="00E3416A"/>
    <w:rsid w:val="00E34B73"/>
    <w:rsid w:val="00E34E8D"/>
    <w:rsid w:val="00E34E8F"/>
    <w:rsid w:val="00E35A98"/>
    <w:rsid w:val="00E36F72"/>
    <w:rsid w:val="00E40094"/>
    <w:rsid w:val="00E40282"/>
    <w:rsid w:val="00E418B7"/>
    <w:rsid w:val="00E43009"/>
    <w:rsid w:val="00E43146"/>
    <w:rsid w:val="00E4315E"/>
    <w:rsid w:val="00E43C60"/>
    <w:rsid w:val="00E44110"/>
    <w:rsid w:val="00E45E79"/>
    <w:rsid w:val="00E46288"/>
    <w:rsid w:val="00E47CEB"/>
    <w:rsid w:val="00E47D54"/>
    <w:rsid w:val="00E50407"/>
    <w:rsid w:val="00E50970"/>
    <w:rsid w:val="00E50D20"/>
    <w:rsid w:val="00E50FD8"/>
    <w:rsid w:val="00E52A1A"/>
    <w:rsid w:val="00E5339F"/>
    <w:rsid w:val="00E53D19"/>
    <w:rsid w:val="00E53E5C"/>
    <w:rsid w:val="00E54BCB"/>
    <w:rsid w:val="00E55386"/>
    <w:rsid w:val="00E55B3B"/>
    <w:rsid w:val="00E560BF"/>
    <w:rsid w:val="00E562D8"/>
    <w:rsid w:val="00E565EE"/>
    <w:rsid w:val="00E57787"/>
    <w:rsid w:val="00E62719"/>
    <w:rsid w:val="00E62E45"/>
    <w:rsid w:val="00E6467F"/>
    <w:rsid w:val="00E64F4A"/>
    <w:rsid w:val="00E66BEB"/>
    <w:rsid w:val="00E670ED"/>
    <w:rsid w:val="00E677E0"/>
    <w:rsid w:val="00E67A75"/>
    <w:rsid w:val="00E701EC"/>
    <w:rsid w:val="00E70545"/>
    <w:rsid w:val="00E70EC2"/>
    <w:rsid w:val="00E7119B"/>
    <w:rsid w:val="00E714E7"/>
    <w:rsid w:val="00E71606"/>
    <w:rsid w:val="00E72BFF"/>
    <w:rsid w:val="00E72D00"/>
    <w:rsid w:val="00E72EAD"/>
    <w:rsid w:val="00E732F5"/>
    <w:rsid w:val="00E734F7"/>
    <w:rsid w:val="00E736C1"/>
    <w:rsid w:val="00E73D0E"/>
    <w:rsid w:val="00E74150"/>
    <w:rsid w:val="00E746D4"/>
    <w:rsid w:val="00E746F8"/>
    <w:rsid w:val="00E7553F"/>
    <w:rsid w:val="00E75793"/>
    <w:rsid w:val="00E75823"/>
    <w:rsid w:val="00E75A30"/>
    <w:rsid w:val="00E75B5B"/>
    <w:rsid w:val="00E76C73"/>
    <w:rsid w:val="00E774F9"/>
    <w:rsid w:val="00E7772A"/>
    <w:rsid w:val="00E77BC0"/>
    <w:rsid w:val="00E77DFD"/>
    <w:rsid w:val="00E80784"/>
    <w:rsid w:val="00E80A9A"/>
    <w:rsid w:val="00E80B5D"/>
    <w:rsid w:val="00E80D60"/>
    <w:rsid w:val="00E80E73"/>
    <w:rsid w:val="00E8140C"/>
    <w:rsid w:val="00E817FF"/>
    <w:rsid w:val="00E81C56"/>
    <w:rsid w:val="00E8239B"/>
    <w:rsid w:val="00E827B4"/>
    <w:rsid w:val="00E8314E"/>
    <w:rsid w:val="00E83193"/>
    <w:rsid w:val="00E83C35"/>
    <w:rsid w:val="00E8471A"/>
    <w:rsid w:val="00E848BA"/>
    <w:rsid w:val="00E84AE2"/>
    <w:rsid w:val="00E84E8A"/>
    <w:rsid w:val="00E84EA5"/>
    <w:rsid w:val="00E856A5"/>
    <w:rsid w:val="00E874E3"/>
    <w:rsid w:val="00E87647"/>
    <w:rsid w:val="00E877B0"/>
    <w:rsid w:val="00E87B21"/>
    <w:rsid w:val="00E900FA"/>
    <w:rsid w:val="00E919B5"/>
    <w:rsid w:val="00E9343E"/>
    <w:rsid w:val="00E93E7D"/>
    <w:rsid w:val="00E944CE"/>
    <w:rsid w:val="00E94929"/>
    <w:rsid w:val="00E94A46"/>
    <w:rsid w:val="00E9555E"/>
    <w:rsid w:val="00E9590F"/>
    <w:rsid w:val="00E96596"/>
    <w:rsid w:val="00EA0107"/>
    <w:rsid w:val="00EA0FA5"/>
    <w:rsid w:val="00EA113A"/>
    <w:rsid w:val="00EA172A"/>
    <w:rsid w:val="00EA19AE"/>
    <w:rsid w:val="00EA249F"/>
    <w:rsid w:val="00EA2FE1"/>
    <w:rsid w:val="00EA31E9"/>
    <w:rsid w:val="00EA4250"/>
    <w:rsid w:val="00EA4492"/>
    <w:rsid w:val="00EA44FB"/>
    <w:rsid w:val="00EA63FD"/>
    <w:rsid w:val="00EA66EC"/>
    <w:rsid w:val="00EA700F"/>
    <w:rsid w:val="00EB042B"/>
    <w:rsid w:val="00EB080A"/>
    <w:rsid w:val="00EB0DAC"/>
    <w:rsid w:val="00EB0FB9"/>
    <w:rsid w:val="00EB104F"/>
    <w:rsid w:val="00EB1A8A"/>
    <w:rsid w:val="00EB1F9E"/>
    <w:rsid w:val="00EB26D8"/>
    <w:rsid w:val="00EB28EA"/>
    <w:rsid w:val="00EB30AA"/>
    <w:rsid w:val="00EB3871"/>
    <w:rsid w:val="00EB3D27"/>
    <w:rsid w:val="00EB43D9"/>
    <w:rsid w:val="00EB44C9"/>
    <w:rsid w:val="00EB461E"/>
    <w:rsid w:val="00EB51AD"/>
    <w:rsid w:val="00EB5399"/>
    <w:rsid w:val="00EB54DD"/>
    <w:rsid w:val="00EB5BC4"/>
    <w:rsid w:val="00EB6419"/>
    <w:rsid w:val="00EB6AAF"/>
    <w:rsid w:val="00EC0855"/>
    <w:rsid w:val="00EC0D90"/>
    <w:rsid w:val="00EC2787"/>
    <w:rsid w:val="00EC2A83"/>
    <w:rsid w:val="00EC2C12"/>
    <w:rsid w:val="00EC47A4"/>
    <w:rsid w:val="00EC49FB"/>
    <w:rsid w:val="00EC4D8F"/>
    <w:rsid w:val="00EC535D"/>
    <w:rsid w:val="00EC67CC"/>
    <w:rsid w:val="00EC6C3D"/>
    <w:rsid w:val="00EC79A2"/>
    <w:rsid w:val="00EC79DF"/>
    <w:rsid w:val="00EC7DA2"/>
    <w:rsid w:val="00ED08F3"/>
    <w:rsid w:val="00ED139C"/>
    <w:rsid w:val="00ED1464"/>
    <w:rsid w:val="00ED1778"/>
    <w:rsid w:val="00ED1F91"/>
    <w:rsid w:val="00ED2239"/>
    <w:rsid w:val="00ED2B99"/>
    <w:rsid w:val="00ED3147"/>
    <w:rsid w:val="00ED440B"/>
    <w:rsid w:val="00ED4AF6"/>
    <w:rsid w:val="00ED5645"/>
    <w:rsid w:val="00ED6C12"/>
    <w:rsid w:val="00ED763F"/>
    <w:rsid w:val="00ED7F79"/>
    <w:rsid w:val="00EE0154"/>
    <w:rsid w:val="00EE05D0"/>
    <w:rsid w:val="00EE073F"/>
    <w:rsid w:val="00EE093E"/>
    <w:rsid w:val="00EE1284"/>
    <w:rsid w:val="00EE155E"/>
    <w:rsid w:val="00EE200C"/>
    <w:rsid w:val="00EE30A2"/>
    <w:rsid w:val="00EE4F27"/>
    <w:rsid w:val="00EE5345"/>
    <w:rsid w:val="00EE562D"/>
    <w:rsid w:val="00EE57EB"/>
    <w:rsid w:val="00EE5CC6"/>
    <w:rsid w:val="00EE64A7"/>
    <w:rsid w:val="00EE66A3"/>
    <w:rsid w:val="00EE6FD2"/>
    <w:rsid w:val="00EE7CAB"/>
    <w:rsid w:val="00EE7F17"/>
    <w:rsid w:val="00EF072D"/>
    <w:rsid w:val="00EF0CD3"/>
    <w:rsid w:val="00EF16D2"/>
    <w:rsid w:val="00EF1FA8"/>
    <w:rsid w:val="00EF24C9"/>
    <w:rsid w:val="00EF25D2"/>
    <w:rsid w:val="00EF314D"/>
    <w:rsid w:val="00EF33C1"/>
    <w:rsid w:val="00EF4220"/>
    <w:rsid w:val="00EF4B24"/>
    <w:rsid w:val="00EF4C5B"/>
    <w:rsid w:val="00EF5E2E"/>
    <w:rsid w:val="00EF717E"/>
    <w:rsid w:val="00F011B2"/>
    <w:rsid w:val="00F0155A"/>
    <w:rsid w:val="00F015AF"/>
    <w:rsid w:val="00F019D7"/>
    <w:rsid w:val="00F022E9"/>
    <w:rsid w:val="00F02358"/>
    <w:rsid w:val="00F0235C"/>
    <w:rsid w:val="00F029A7"/>
    <w:rsid w:val="00F04B32"/>
    <w:rsid w:val="00F05221"/>
    <w:rsid w:val="00F058AD"/>
    <w:rsid w:val="00F05E6B"/>
    <w:rsid w:val="00F066B5"/>
    <w:rsid w:val="00F06ABF"/>
    <w:rsid w:val="00F1088A"/>
    <w:rsid w:val="00F114D2"/>
    <w:rsid w:val="00F12315"/>
    <w:rsid w:val="00F12F1C"/>
    <w:rsid w:val="00F13DAD"/>
    <w:rsid w:val="00F13FFF"/>
    <w:rsid w:val="00F14313"/>
    <w:rsid w:val="00F15095"/>
    <w:rsid w:val="00F151C1"/>
    <w:rsid w:val="00F15732"/>
    <w:rsid w:val="00F1596A"/>
    <w:rsid w:val="00F16E0A"/>
    <w:rsid w:val="00F172ED"/>
    <w:rsid w:val="00F17B4D"/>
    <w:rsid w:val="00F201B2"/>
    <w:rsid w:val="00F20749"/>
    <w:rsid w:val="00F21030"/>
    <w:rsid w:val="00F21C48"/>
    <w:rsid w:val="00F22EDD"/>
    <w:rsid w:val="00F2393B"/>
    <w:rsid w:val="00F23D3B"/>
    <w:rsid w:val="00F24B66"/>
    <w:rsid w:val="00F24C0F"/>
    <w:rsid w:val="00F26D3F"/>
    <w:rsid w:val="00F26E32"/>
    <w:rsid w:val="00F2764E"/>
    <w:rsid w:val="00F2797C"/>
    <w:rsid w:val="00F303C0"/>
    <w:rsid w:val="00F31CC5"/>
    <w:rsid w:val="00F31E7E"/>
    <w:rsid w:val="00F32F43"/>
    <w:rsid w:val="00F336C0"/>
    <w:rsid w:val="00F345B8"/>
    <w:rsid w:val="00F34B78"/>
    <w:rsid w:val="00F3539E"/>
    <w:rsid w:val="00F359B6"/>
    <w:rsid w:val="00F35D05"/>
    <w:rsid w:val="00F36D68"/>
    <w:rsid w:val="00F3717C"/>
    <w:rsid w:val="00F37732"/>
    <w:rsid w:val="00F377B8"/>
    <w:rsid w:val="00F40225"/>
    <w:rsid w:val="00F403CC"/>
    <w:rsid w:val="00F41AF8"/>
    <w:rsid w:val="00F41C59"/>
    <w:rsid w:val="00F4254B"/>
    <w:rsid w:val="00F43004"/>
    <w:rsid w:val="00F4311A"/>
    <w:rsid w:val="00F43361"/>
    <w:rsid w:val="00F43419"/>
    <w:rsid w:val="00F43D8B"/>
    <w:rsid w:val="00F44613"/>
    <w:rsid w:val="00F44F3A"/>
    <w:rsid w:val="00F4576F"/>
    <w:rsid w:val="00F458DB"/>
    <w:rsid w:val="00F45B43"/>
    <w:rsid w:val="00F45BB9"/>
    <w:rsid w:val="00F45E78"/>
    <w:rsid w:val="00F46C1A"/>
    <w:rsid w:val="00F47231"/>
    <w:rsid w:val="00F47D44"/>
    <w:rsid w:val="00F51150"/>
    <w:rsid w:val="00F513C5"/>
    <w:rsid w:val="00F522BC"/>
    <w:rsid w:val="00F52312"/>
    <w:rsid w:val="00F52709"/>
    <w:rsid w:val="00F52CBB"/>
    <w:rsid w:val="00F5309F"/>
    <w:rsid w:val="00F53315"/>
    <w:rsid w:val="00F53D32"/>
    <w:rsid w:val="00F5475F"/>
    <w:rsid w:val="00F54F4A"/>
    <w:rsid w:val="00F55975"/>
    <w:rsid w:val="00F55CDE"/>
    <w:rsid w:val="00F56808"/>
    <w:rsid w:val="00F57012"/>
    <w:rsid w:val="00F571E8"/>
    <w:rsid w:val="00F57523"/>
    <w:rsid w:val="00F61D17"/>
    <w:rsid w:val="00F62206"/>
    <w:rsid w:val="00F62681"/>
    <w:rsid w:val="00F63F9A"/>
    <w:rsid w:val="00F64182"/>
    <w:rsid w:val="00F648CB"/>
    <w:rsid w:val="00F64C8A"/>
    <w:rsid w:val="00F64D3A"/>
    <w:rsid w:val="00F64DBA"/>
    <w:rsid w:val="00F6537C"/>
    <w:rsid w:val="00F656B2"/>
    <w:rsid w:val="00F65A73"/>
    <w:rsid w:val="00F67229"/>
    <w:rsid w:val="00F705BB"/>
    <w:rsid w:val="00F709B0"/>
    <w:rsid w:val="00F70C0C"/>
    <w:rsid w:val="00F71304"/>
    <w:rsid w:val="00F7176E"/>
    <w:rsid w:val="00F722A4"/>
    <w:rsid w:val="00F731C4"/>
    <w:rsid w:val="00F73732"/>
    <w:rsid w:val="00F737EC"/>
    <w:rsid w:val="00F73AC4"/>
    <w:rsid w:val="00F73D26"/>
    <w:rsid w:val="00F747D0"/>
    <w:rsid w:val="00F751E9"/>
    <w:rsid w:val="00F75993"/>
    <w:rsid w:val="00F7668F"/>
    <w:rsid w:val="00F7705D"/>
    <w:rsid w:val="00F77395"/>
    <w:rsid w:val="00F77C86"/>
    <w:rsid w:val="00F77EFB"/>
    <w:rsid w:val="00F8042D"/>
    <w:rsid w:val="00F80D5B"/>
    <w:rsid w:val="00F8204F"/>
    <w:rsid w:val="00F82198"/>
    <w:rsid w:val="00F82D2E"/>
    <w:rsid w:val="00F83510"/>
    <w:rsid w:val="00F836CC"/>
    <w:rsid w:val="00F83FE5"/>
    <w:rsid w:val="00F8438D"/>
    <w:rsid w:val="00F84E9C"/>
    <w:rsid w:val="00F85276"/>
    <w:rsid w:val="00F85328"/>
    <w:rsid w:val="00F85424"/>
    <w:rsid w:val="00F85C06"/>
    <w:rsid w:val="00F861F8"/>
    <w:rsid w:val="00F86E62"/>
    <w:rsid w:val="00F87AA5"/>
    <w:rsid w:val="00F87F51"/>
    <w:rsid w:val="00F87F94"/>
    <w:rsid w:val="00F908AB"/>
    <w:rsid w:val="00F91336"/>
    <w:rsid w:val="00F9208D"/>
    <w:rsid w:val="00F937B3"/>
    <w:rsid w:val="00F9435D"/>
    <w:rsid w:val="00F94884"/>
    <w:rsid w:val="00F94D9C"/>
    <w:rsid w:val="00F954F0"/>
    <w:rsid w:val="00F95A83"/>
    <w:rsid w:val="00F96114"/>
    <w:rsid w:val="00F96862"/>
    <w:rsid w:val="00F96E45"/>
    <w:rsid w:val="00F96EB0"/>
    <w:rsid w:val="00F9722D"/>
    <w:rsid w:val="00FA0AC4"/>
    <w:rsid w:val="00FA1B8A"/>
    <w:rsid w:val="00FA2134"/>
    <w:rsid w:val="00FA2F74"/>
    <w:rsid w:val="00FA33B0"/>
    <w:rsid w:val="00FA35BF"/>
    <w:rsid w:val="00FA3E69"/>
    <w:rsid w:val="00FA3EFF"/>
    <w:rsid w:val="00FA43AB"/>
    <w:rsid w:val="00FA4E53"/>
    <w:rsid w:val="00FA6D6F"/>
    <w:rsid w:val="00FA7BE8"/>
    <w:rsid w:val="00FB0A5B"/>
    <w:rsid w:val="00FB1204"/>
    <w:rsid w:val="00FB23AF"/>
    <w:rsid w:val="00FB3014"/>
    <w:rsid w:val="00FB3432"/>
    <w:rsid w:val="00FB412B"/>
    <w:rsid w:val="00FB5437"/>
    <w:rsid w:val="00FB5455"/>
    <w:rsid w:val="00FB56EA"/>
    <w:rsid w:val="00FB6110"/>
    <w:rsid w:val="00FB6A7A"/>
    <w:rsid w:val="00FB6EF4"/>
    <w:rsid w:val="00FB7108"/>
    <w:rsid w:val="00FC019C"/>
    <w:rsid w:val="00FC1032"/>
    <w:rsid w:val="00FC2341"/>
    <w:rsid w:val="00FC29A3"/>
    <w:rsid w:val="00FC29D2"/>
    <w:rsid w:val="00FC324F"/>
    <w:rsid w:val="00FC50F6"/>
    <w:rsid w:val="00FC5FE5"/>
    <w:rsid w:val="00FC6C25"/>
    <w:rsid w:val="00FC6F8A"/>
    <w:rsid w:val="00FC702C"/>
    <w:rsid w:val="00FC711D"/>
    <w:rsid w:val="00FC761A"/>
    <w:rsid w:val="00FD016F"/>
    <w:rsid w:val="00FD1493"/>
    <w:rsid w:val="00FD3986"/>
    <w:rsid w:val="00FD4A93"/>
    <w:rsid w:val="00FD50C8"/>
    <w:rsid w:val="00FD557F"/>
    <w:rsid w:val="00FD5604"/>
    <w:rsid w:val="00FD5C1F"/>
    <w:rsid w:val="00FD6950"/>
    <w:rsid w:val="00FD7039"/>
    <w:rsid w:val="00FD74A5"/>
    <w:rsid w:val="00FE11C3"/>
    <w:rsid w:val="00FE12A8"/>
    <w:rsid w:val="00FE16EF"/>
    <w:rsid w:val="00FE1B3E"/>
    <w:rsid w:val="00FE27EC"/>
    <w:rsid w:val="00FE29FD"/>
    <w:rsid w:val="00FE340F"/>
    <w:rsid w:val="00FE370F"/>
    <w:rsid w:val="00FE52FF"/>
    <w:rsid w:val="00FE59DF"/>
    <w:rsid w:val="00FE5A26"/>
    <w:rsid w:val="00FE5E3C"/>
    <w:rsid w:val="00FE6370"/>
    <w:rsid w:val="00FE6CF6"/>
    <w:rsid w:val="00FE7895"/>
    <w:rsid w:val="00FE7B8A"/>
    <w:rsid w:val="00FE7E0C"/>
    <w:rsid w:val="00FF0078"/>
    <w:rsid w:val="00FF01E3"/>
    <w:rsid w:val="00FF03F6"/>
    <w:rsid w:val="00FF063A"/>
    <w:rsid w:val="00FF1318"/>
    <w:rsid w:val="00FF1B54"/>
    <w:rsid w:val="00FF2354"/>
    <w:rsid w:val="00FF371C"/>
    <w:rsid w:val="00FF3950"/>
    <w:rsid w:val="00FF3F68"/>
    <w:rsid w:val="00FF4660"/>
    <w:rsid w:val="00FF64A6"/>
    <w:rsid w:val="00FF659E"/>
    <w:rsid w:val="00FF72FC"/>
    <w:rsid w:val="00FF7B4D"/>
    <w:rsid w:val="00FF7C6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EC7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nivers 45 Light" w:eastAsiaTheme="minorHAnsi" w:hAnsi="Univers 45 Light" w:cs="Arial"/>
        <w:lang w:val="en-AU"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Bullet" w:qFormat="1"/>
    <w:lsdException w:name="List Bullet 2" w:uiPriority="0" w:qFormat="1"/>
    <w:lsdException w:name="List Bullet 3" w:uiPriority="0" w:qFormat="1"/>
    <w:lsdException w:name="List Bullet 4"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Subtitle" w:uiPriority="0"/>
    <w:lsdException w:name="Body Text 3" w:uiPriority="0" w:qFormat="1"/>
    <w:lsdException w:name="Strong" w:semiHidden="0" w:uiPriority="22" w:unhideWhenUsed="0" w:qFormat="1"/>
    <w:lsdException w:name="Emphasis" w:semiHidden="0" w:uiPriority="20" w:unhideWhenUsed="0" w:qFormat="1"/>
    <w:lsdException w:name="Table Classic 1" w:uiPriority="0"/>
    <w:lsdException w:name="Table Classic 3" w:uiPriority="0"/>
    <w:lsdException w:name="Table Columns 2" w:uiPriority="0"/>
    <w:lsdException w:name="Table Columns 3" w:uiPriority="0"/>
    <w:lsdException w:name="Table Columns 4" w:uiPriority="0"/>
    <w:lsdException w:name="Table Grid 8" w:uiPriority="0"/>
    <w:lsdException w:name="Table Professional" w:uiPriority="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C15DB0"/>
    <w:rPr>
      <w:rFonts w:asciiTheme="minorHAnsi" w:hAnsiTheme="minorHAnsi"/>
    </w:rPr>
  </w:style>
  <w:style w:type="paragraph" w:styleId="Heading1">
    <w:name w:val="heading 1"/>
    <w:aliases w:val="h1"/>
    <w:next w:val="BodyText"/>
    <w:link w:val="Heading1Char"/>
    <w:qFormat/>
    <w:rsid w:val="003462A6"/>
    <w:pPr>
      <w:pageBreakBefore/>
      <w:numPr>
        <w:numId w:val="20"/>
      </w:numPr>
      <w:spacing w:after="360"/>
      <w:outlineLvl w:val="0"/>
    </w:pPr>
    <w:rPr>
      <w:rFonts w:asciiTheme="minorHAnsi" w:eastAsia="Batang" w:hAnsiTheme="minorHAnsi"/>
      <w:b/>
      <w:color w:val="00338D"/>
      <w:sz w:val="44"/>
      <w:szCs w:val="80"/>
      <w:lang w:eastAsia="ko-KR"/>
    </w:rPr>
  </w:style>
  <w:style w:type="paragraph" w:styleId="Heading2">
    <w:name w:val="heading 2"/>
    <w:aliases w:val="h2"/>
    <w:next w:val="BodyText"/>
    <w:link w:val="Heading2Char"/>
    <w:qFormat/>
    <w:rsid w:val="003462A6"/>
    <w:pPr>
      <w:keepNext/>
      <w:numPr>
        <w:ilvl w:val="1"/>
        <w:numId w:val="20"/>
      </w:numPr>
      <w:spacing w:before="360" w:after="240"/>
      <w:outlineLvl w:val="1"/>
    </w:pPr>
    <w:rPr>
      <w:rFonts w:asciiTheme="minorHAnsi" w:eastAsia="Batang" w:hAnsiTheme="minorHAnsi"/>
      <w:color w:val="4066B3"/>
      <w:sz w:val="32"/>
      <w:szCs w:val="66"/>
      <w:lang w:eastAsia="ko-KR"/>
    </w:rPr>
  </w:style>
  <w:style w:type="paragraph" w:styleId="Heading3">
    <w:name w:val="heading 3"/>
    <w:aliases w:val="h3"/>
    <w:next w:val="BodyText"/>
    <w:link w:val="Heading3Char"/>
    <w:qFormat/>
    <w:rsid w:val="003462A6"/>
    <w:pPr>
      <w:keepNext/>
      <w:numPr>
        <w:ilvl w:val="2"/>
        <w:numId w:val="20"/>
      </w:numPr>
      <w:spacing w:before="240"/>
      <w:outlineLvl w:val="2"/>
    </w:pPr>
    <w:rPr>
      <w:rFonts w:asciiTheme="minorHAnsi" w:eastAsia="Batang" w:hAnsiTheme="minorHAnsi"/>
      <w:b/>
      <w:color w:val="7599C9"/>
      <w:sz w:val="22"/>
      <w:szCs w:val="52"/>
      <w:lang w:eastAsia="ko-KR"/>
    </w:rPr>
  </w:style>
  <w:style w:type="paragraph" w:styleId="Heading4">
    <w:name w:val="heading 4"/>
    <w:aliases w:val="h4"/>
    <w:next w:val="BodyText"/>
    <w:link w:val="Heading4Char"/>
    <w:uiPriority w:val="9"/>
    <w:qFormat/>
    <w:rsid w:val="001A2EED"/>
    <w:pPr>
      <w:numPr>
        <w:ilvl w:val="3"/>
        <w:numId w:val="20"/>
      </w:numPr>
      <w:spacing w:before="240"/>
      <w:outlineLvl w:val="3"/>
    </w:pPr>
    <w:rPr>
      <w:rFonts w:asciiTheme="minorHAnsi" w:eastAsia="Batang" w:hAnsiTheme="minorHAnsi"/>
      <w:b/>
      <w:color w:val="000000" w:themeColor="text1"/>
      <w:szCs w:val="36"/>
      <w:lang w:eastAsia="ko-KR"/>
    </w:rPr>
  </w:style>
  <w:style w:type="paragraph" w:styleId="Heading5">
    <w:name w:val="heading 5"/>
    <w:aliases w:val="h5"/>
    <w:next w:val="BodyText"/>
    <w:link w:val="Heading5Char"/>
    <w:uiPriority w:val="9"/>
    <w:qFormat/>
    <w:rsid w:val="001A2EED"/>
    <w:pPr>
      <w:numPr>
        <w:ilvl w:val="4"/>
        <w:numId w:val="20"/>
      </w:numPr>
      <w:spacing w:before="240"/>
      <w:outlineLvl w:val="4"/>
    </w:pPr>
    <w:rPr>
      <w:rFonts w:asciiTheme="minorHAnsi" w:eastAsia="Batang" w:hAnsiTheme="minorHAnsi"/>
      <w:color w:val="7599C9"/>
      <w:szCs w:val="28"/>
      <w:lang w:eastAsia="ko-KR"/>
    </w:rPr>
  </w:style>
  <w:style w:type="paragraph" w:styleId="Heading6">
    <w:name w:val="heading 6"/>
    <w:next w:val="BodyText"/>
    <w:link w:val="Heading6Char"/>
    <w:qFormat/>
    <w:rsid w:val="00654DAA"/>
    <w:pPr>
      <w:numPr>
        <w:ilvl w:val="5"/>
        <w:numId w:val="20"/>
      </w:numPr>
      <w:spacing w:before="240"/>
      <w:outlineLvl w:val="5"/>
    </w:pPr>
    <w:rPr>
      <w:rFonts w:asciiTheme="minorHAnsi" w:hAnsiTheme="minorHAnsi"/>
      <w:i/>
      <w:lang w:eastAsia="ko-KR"/>
    </w:rPr>
  </w:style>
  <w:style w:type="paragraph" w:styleId="Heading7">
    <w:name w:val="heading 7"/>
    <w:basedOn w:val="Normal"/>
    <w:next w:val="Normal"/>
    <w:link w:val="Heading7Char"/>
    <w:qFormat/>
    <w:rsid w:val="00D647B1"/>
    <w:pPr>
      <w:numPr>
        <w:ilvl w:val="6"/>
        <w:numId w:val="20"/>
      </w:numPr>
      <w:spacing w:after="0" w:line="260" w:lineRule="atLeast"/>
      <w:outlineLvl w:val="6"/>
    </w:pPr>
    <w:rPr>
      <w:rFonts w:ascii="Times New Roman" w:eastAsia="Batang" w:hAnsi="Times New Roman" w:cs="Times New Roman"/>
      <w:lang w:eastAsia="ko-KR"/>
    </w:rPr>
  </w:style>
  <w:style w:type="paragraph" w:styleId="Heading8">
    <w:name w:val="heading 8"/>
    <w:basedOn w:val="Normal"/>
    <w:next w:val="Normal"/>
    <w:link w:val="Heading8Char"/>
    <w:qFormat/>
    <w:rsid w:val="00D647B1"/>
    <w:pPr>
      <w:numPr>
        <w:ilvl w:val="7"/>
        <w:numId w:val="20"/>
      </w:numPr>
      <w:spacing w:after="0" w:line="260" w:lineRule="atLeast"/>
      <w:outlineLvl w:val="7"/>
    </w:pPr>
    <w:rPr>
      <w:rFonts w:ascii="Times New Roman" w:eastAsia="Batang" w:hAnsi="Times New Roman" w:cs="Times New Roman"/>
      <w:lang w:eastAsia="ko-KR"/>
    </w:rPr>
  </w:style>
  <w:style w:type="paragraph" w:styleId="Heading9">
    <w:name w:val="heading 9"/>
    <w:basedOn w:val="Normal"/>
    <w:next w:val="Normal"/>
    <w:link w:val="Heading9Char"/>
    <w:qFormat/>
    <w:rsid w:val="00D647B1"/>
    <w:pPr>
      <w:numPr>
        <w:ilvl w:val="8"/>
        <w:numId w:val="20"/>
      </w:numPr>
      <w:spacing w:after="0" w:line="260" w:lineRule="atLeast"/>
      <w:outlineLvl w:val="8"/>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Char Char,Body Char1,b,block,bt,Body text,body text,body,Body Text 1,NoticeText-List,t1,taten_body,Cargo,Letter Body,Memo Body,Body,by,b-heading 1/heading 2,bd,heading1body-heading2body,BD,b14,body1,Bod"/>
    <w:basedOn w:val="Normal"/>
    <w:link w:val="BodyTextChar"/>
    <w:uiPriority w:val="1"/>
    <w:qFormat/>
    <w:rsid w:val="00654DAA"/>
    <w:rPr>
      <w:rFonts w:eastAsia="Batang"/>
      <w:lang w:eastAsia="ko-KR"/>
    </w:rPr>
  </w:style>
  <w:style w:type="character" w:customStyle="1" w:styleId="BodyTextChar">
    <w:name w:val="Body Text Char"/>
    <w:aliases w:val="Body Text Char1 Char,Body Text Char Char Char,Body Char Char Char,Body Char1 Char,b Char,block Char,bt Char,Body text Char,body text Char,body Char,Body Text 1 Char,NoticeText-List Char,t1 Char,taten_body Char,Cargo Char,Letter Body Char"/>
    <w:basedOn w:val="DefaultParagraphFont"/>
    <w:link w:val="BodyText"/>
    <w:uiPriority w:val="1"/>
    <w:rsid w:val="00654DAA"/>
    <w:rPr>
      <w:rFonts w:asciiTheme="minorHAnsi" w:eastAsia="Batang" w:hAnsiTheme="minorHAnsi"/>
      <w:sz w:val="20"/>
      <w:lang w:eastAsia="ko-KR"/>
    </w:rPr>
  </w:style>
  <w:style w:type="character" w:customStyle="1" w:styleId="Heading1Char">
    <w:name w:val="Heading 1 Char"/>
    <w:aliases w:val="h1 Char"/>
    <w:basedOn w:val="DefaultParagraphFont"/>
    <w:link w:val="Heading1"/>
    <w:rsid w:val="003462A6"/>
    <w:rPr>
      <w:rFonts w:asciiTheme="minorHAnsi" w:eastAsia="Batang" w:hAnsiTheme="minorHAnsi"/>
      <w:b/>
      <w:color w:val="00338D"/>
      <w:sz w:val="44"/>
      <w:szCs w:val="80"/>
      <w:lang w:eastAsia="ko-KR"/>
    </w:rPr>
  </w:style>
  <w:style w:type="character" w:customStyle="1" w:styleId="Heading2Char">
    <w:name w:val="Heading 2 Char"/>
    <w:aliases w:val="h2 Char"/>
    <w:basedOn w:val="DefaultParagraphFont"/>
    <w:link w:val="Heading2"/>
    <w:rsid w:val="003462A6"/>
    <w:rPr>
      <w:rFonts w:asciiTheme="minorHAnsi" w:eastAsia="Batang" w:hAnsiTheme="minorHAnsi"/>
      <w:color w:val="4066B3"/>
      <w:sz w:val="32"/>
      <w:szCs w:val="66"/>
      <w:lang w:eastAsia="ko-KR"/>
    </w:rPr>
  </w:style>
  <w:style w:type="character" w:customStyle="1" w:styleId="Heading3Char">
    <w:name w:val="Heading 3 Char"/>
    <w:aliases w:val="h3 Char"/>
    <w:basedOn w:val="DefaultParagraphFont"/>
    <w:link w:val="Heading3"/>
    <w:rsid w:val="003462A6"/>
    <w:rPr>
      <w:rFonts w:asciiTheme="minorHAnsi" w:eastAsia="Batang" w:hAnsiTheme="minorHAnsi"/>
      <w:b/>
      <w:color w:val="7599C9"/>
      <w:sz w:val="22"/>
      <w:szCs w:val="52"/>
      <w:lang w:eastAsia="ko-KR"/>
    </w:rPr>
  </w:style>
  <w:style w:type="character" w:customStyle="1" w:styleId="Heading4Char">
    <w:name w:val="Heading 4 Char"/>
    <w:aliases w:val="h4 Char"/>
    <w:basedOn w:val="DefaultParagraphFont"/>
    <w:link w:val="Heading4"/>
    <w:uiPriority w:val="9"/>
    <w:rsid w:val="001A2EED"/>
    <w:rPr>
      <w:rFonts w:asciiTheme="minorHAnsi" w:eastAsia="Batang" w:hAnsiTheme="minorHAnsi"/>
      <w:b/>
      <w:color w:val="000000" w:themeColor="text1"/>
      <w:szCs w:val="36"/>
      <w:lang w:eastAsia="ko-KR"/>
    </w:rPr>
  </w:style>
  <w:style w:type="character" w:customStyle="1" w:styleId="Heading5Char">
    <w:name w:val="Heading 5 Char"/>
    <w:aliases w:val="h5 Char"/>
    <w:basedOn w:val="DefaultParagraphFont"/>
    <w:link w:val="Heading5"/>
    <w:uiPriority w:val="9"/>
    <w:rsid w:val="001A2EED"/>
    <w:rPr>
      <w:rFonts w:asciiTheme="minorHAnsi" w:eastAsia="Batang" w:hAnsiTheme="minorHAnsi"/>
      <w:color w:val="7599C9"/>
      <w:szCs w:val="28"/>
      <w:lang w:eastAsia="ko-KR"/>
    </w:rPr>
  </w:style>
  <w:style w:type="character" w:customStyle="1" w:styleId="Heading6Char">
    <w:name w:val="Heading 6 Char"/>
    <w:basedOn w:val="DefaultParagraphFont"/>
    <w:link w:val="Heading6"/>
    <w:rsid w:val="00654DAA"/>
    <w:rPr>
      <w:rFonts w:asciiTheme="minorHAnsi" w:hAnsiTheme="minorHAnsi"/>
      <w:i/>
      <w:lang w:eastAsia="ko-KR"/>
    </w:rPr>
  </w:style>
  <w:style w:type="character" w:customStyle="1" w:styleId="Heading7Char">
    <w:name w:val="Heading 7 Char"/>
    <w:basedOn w:val="DefaultParagraphFont"/>
    <w:link w:val="Heading7"/>
    <w:rsid w:val="00E50FD8"/>
    <w:rPr>
      <w:rFonts w:ascii="Times New Roman" w:eastAsia="Batang" w:hAnsi="Times New Roman" w:cs="Times New Roman"/>
      <w:lang w:eastAsia="ko-KR"/>
    </w:rPr>
  </w:style>
  <w:style w:type="character" w:customStyle="1" w:styleId="Heading8Char">
    <w:name w:val="Heading 8 Char"/>
    <w:basedOn w:val="DefaultParagraphFont"/>
    <w:link w:val="Heading8"/>
    <w:rsid w:val="00E50FD8"/>
    <w:rPr>
      <w:rFonts w:ascii="Times New Roman" w:eastAsia="Batang" w:hAnsi="Times New Roman" w:cs="Times New Roman"/>
      <w:lang w:eastAsia="ko-KR"/>
    </w:rPr>
  </w:style>
  <w:style w:type="character" w:customStyle="1" w:styleId="Heading9Char">
    <w:name w:val="Heading 9 Char"/>
    <w:basedOn w:val="DefaultParagraphFont"/>
    <w:link w:val="Heading9"/>
    <w:rsid w:val="00E50FD8"/>
    <w:rPr>
      <w:rFonts w:ascii="Times New Roman" w:eastAsia="Batang" w:hAnsi="Times New Roman" w:cs="Times New Roman"/>
      <w:lang w:eastAsia="ko-KR"/>
    </w:rPr>
  </w:style>
  <w:style w:type="paragraph" w:styleId="BodyTextIndent">
    <w:name w:val="Body Text Indent"/>
    <w:basedOn w:val="BodyText"/>
    <w:link w:val="BodyTextIndentChar"/>
    <w:rsid w:val="00F55975"/>
    <w:pPr>
      <w:ind w:left="283"/>
    </w:pPr>
  </w:style>
  <w:style w:type="character" w:customStyle="1" w:styleId="BodyTextIndentChar">
    <w:name w:val="Body Text Indent Char"/>
    <w:basedOn w:val="DefaultParagraphFont"/>
    <w:link w:val="BodyTextIndent"/>
    <w:uiPriority w:val="1"/>
    <w:rsid w:val="00E24790"/>
    <w:rPr>
      <w:rFonts w:eastAsia="Batang"/>
      <w:lang w:eastAsia="ko-KR"/>
    </w:rPr>
  </w:style>
  <w:style w:type="paragraph" w:styleId="Caption">
    <w:name w:val="caption"/>
    <w:next w:val="Normal"/>
    <w:link w:val="CaptionChar"/>
    <w:uiPriority w:val="35"/>
    <w:qFormat/>
    <w:rsid w:val="00A30FDE"/>
    <w:pPr>
      <w:keepNext/>
    </w:pPr>
    <w:rPr>
      <w:rFonts w:asciiTheme="minorHAnsi" w:eastAsia="Batang" w:hAnsiTheme="minorHAnsi" w:cs="Times New Roman"/>
      <w:bCs/>
      <w:i/>
      <w:lang w:eastAsia="ko-KR"/>
    </w:rPr>
  </w:style>
  <w:style w:type="character" w:customStyle="1" w:styleId="CaptionChar">
    <w:name w:val="Caption Char"/>
    <w:link w:val="Caption"/>
    <w:uiPriority w:val="35"/>
    <w:rsid w:val="00A30FDE"/>
    <w:rPr>
      <w:rFonts w:asciiTheme="minorHAnsi" w:eastAsia="Batang" w:hAnsiTheme="minorHAnsi" w:cs="Times New Roman"/>
      <w:bCs/>
      <w:i/>
      <w:lang w:eastAsia="ko-KR"/>
    </w:rPr>
  </w:style>
  <w:style w:type="paragraph" w:styleId="Footer">
    <w:name w:val="footer"/>
    <w:link w:val="FooterChar"/>
    <w:uiPriority w:val="99"/>
    <w:unhideWhenUsed/>
    <w:rsid w:val="007D6816"/>
    <w:pPr>
      <w:tabs>
        <w:tab w:val="right" w:pos="8505"/>
      </w:tabs>
      <w:spacing w:after="0"/>
      <w:jc w:val="center"/>
    </w:pPr>
    <w:rPr>
      <w:rFonts w:asciiTheme="minorHAnsi" w:eastAsia="Batang" w:hAnsiTheme="minorHAnsi" w:cs="Times New Roman"/>
      <w:sz w:val="12"/>
      <w:lang w:eastAsia="ko-KR"/>
    </w:rPr>
  </w:style>
  <w:style w:type="character" w:customStyle="1" w:styleId="FooterChar">
    <w:name w:val="Footer Char"/>
    <w:basedOn w:val="DefaultParagraphFont"/>
    <w:link w:val="Footer"/>
    <w:uiPriority w:val="99"/>
    <w:rsid w:val="007D6816"/>
    <w:rPr>
      <w:rFonts w:asciiTheme="minorHAnsi" w:eastAsia="Batang" w:hAnsiTheme="minorHAnsi" w:cs="Times New Roman"/>
      <w:sz w:val="12"/>
      <w:szCs w:val="20"/>
      <w:lang w:eastAsia="ko-KR"/>
    </w:rPr>
  </w:style>
  <w:style w:type="paragraph" w:styleId="FootnoteText">
    <w:name w:val="footnote text"/>
    <w:aliases w:val="(NECG) Footnote Text,Fußnote,ALTS FOOTNOTE"/>
    <w:basedOn w:val="Normal"/>
    <w:link w:val="FootnoteTextChar"/>
    <w:uiPriority w:val="99"/>
    <w:rsid w:val="004821A0"/>
    <w:pPr>
      <w:spacing w:before="0" w:after="0"/>
    </w:pPr>
    <w:rPr>
      <w:rFonts w:ascii="Univers for KPMG" w:eastAsia="Batang" w:hAnsi="Univers for KPMG" w:cs="Times New Roman"/>
      <w:sz w:val="18"/>
      <w:lang w:eastAsia="ko-KR"/>
    </w:rPr>
  </w:style>
  <w:style w:type="character" w:customStyle="1" w:styleId="FootnoteTextChar">
    <w:name w:val="Footnote Text Char"/>
    <w:aliases w:val="(NECG) Footnote Text Char,Fußnote Char,ALTS FOOTNOTE Char"/>
    <w:basedOn w:val="DefaultParagraphFont"/>
    <w:link w:val="FootnoteText"/>
    <w:uiPriority w:val="99"/>
    <w:rsid w:val="004821A0"/>
    <w:rPr>
      <w:rFonts w:ascii="Univers for KPMG" w:eastAsia="Batang" w:hAnsi="Univers for KPMG" w:cs="Times New Roman"/>
      <w:sz w:val="18"/>
      <w:lang w:eastAsia="ko-KR"/>
    </w:rPr>
  </w:style>
  <w:style w:type="paragraph" w:styleId="Signature">
    <w:name w:val="Signature"/>
    <w:basedOn w:val="Normal"/>
    <w:link w:val="SignatureChar"/>
    <w:unhideWhenUsed/>
    <w:rsid w:val="00D647B1"/>
    <w:pPr>
      <w:spacing w:after="0"/>
    </w:pPr>
    <w:rPr>
      <w:rFonts w:ascii="Times New Roman" w:eastAsia="Batang" w:hAnsi="Times New Roman" w:cs="Times New Roman"/>
      <w:lang w:eastAsia="ko-KR"/>
    </w:rPr>
  </w:style>
  <w:style w:type="character" w:customStyle="1" w:styleId="SignatureChar">
    <w:name w:val="Signature Char"/>
    <w:basedOn w:val="DefaultParagraphFont"/>
    <w:link w:val="Signature"/>
    <w:semiHidden/>
    <w:rsid w:val="0035248C"/>
    <w:rPr>
      <w:rFonts w:ascii="Times New Roman" w:eastAsia="Batang" w:hAnsi="Times New Roman" w:cs="Times New Roman"/>
      <w:szCs w:val="20"/>
      <w:lang w:eastAsia="ko-KR"/>
    </w:rPr>
  </w:style>
  <w:style w:type="paragraph" w:styleId="Header">
    <w:name w:val="header"/>
    <w:basedOn w:val="Normal"/>
    <w:link w:val="HeaderChar"/>
    <w:uiPriority w:val="99"/>
    <w:unhideWhenUsed/>
    <w:rsid w:val="00D647B1"/>
    <w:pPr>
      <w:spacing w:after="0" w:line="220" w:lineRule="exact"/>
      <w:jc w:val="right"/>
    </w:pPr>
    <w:rPr>
      <w:rFonts w:ascii="Times New Roman" w:eastAsia="Batang" w:hAnsi="Times New Roman" w:cs="Times New Roman"/>
      <w:i/>
      <w:sz w:val="18"/>
      <w:lang w:eastAsia="ko-KR"/>
    </w:rPr>
  </w:style>
  <w:style w:type="character" w:customStyle="1" w:styleId="HeaderChar">
    <w:name w:val="Header Char"/>
    <w:basedOn w:val="DefaultParagraphFont"/>
    <w:link w:val="Header"/>
    <w:uiPriority w:val="99"/>
    <w:rsid w:val="0035248C"/>
    <w:rPr>
      <w:rFonts w:ascii="Times New Roman" w:eastAsia="Batang" w:hAnsi="Times New Roman" w:cs="Times New Roman"/>
      <w:i/>
      <w:sz w:val="18"/>
      <w:szCs w:val="20"/>
      <w:lang w:eastAsia="ko-KR"/>
    </w:rPr>
  </w:style>
  <w:style w:type="paragraph" w:customStyle="1" w:styleId="Tableheading">
    <w:name w:val="Table heading"/>
    <w:rsid w:val="003462A6"/>
    <w:pPr>
      <w:keepNext/>
      <w:spacing w:before="60" w:after="60"/>
    </w:pPr>
    <w:rPr>
      <w:rFonts w:asciiTheme="minorHAnsi" w:eastAsia="Batang" w:hAnsiTheme="minorHAnsi"/>
      <w:b/>
      <w:bCs/>
      <w:color w:val="FFFFFF" w:themeColor="background1"/>
      <w:lang w:eastAsia="ko-KR"/>
    </w:rPr>
  </w:style>
  <w:style w:type="paragraph" w:customStyle="1" w:styleId="Tabletext">
    <w:name w:val="Table text"/>
    <w:basedOn w:val="BodyText"/>
    <w:uiPriority w:val="5"/>
    <w:rsid w:val="003462A6"/>
  </w:style>
  <w:style w:type="character" w:styleId="PageNumber">
    <w:name w:val="page number"/>
    <w:basedOn w:val="DefaultParagraphFont"/>
    <w:unhideWhenUsed/>
    <w:rsid w:val="00D647B1"/>
    <w:rPr>
      <w:sz w:val="22"/>
    </w:rPr>
  </w:style>
  <w:style w:type="paragraph" w:styleId="BalloonText">
    <w:name w:val="Balloon Text"/>
    <w:basedOn w:val="Normal"/>
    <w:link w:val="BalloonTextChar"/>
    <w:uiPriority w:val="99"/>
    <w:semiHidden/>
    <w:unhideWhenUsed/>
    <w:rsid w:val="008519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92F"/>
    <w:rPr>
      <w:rFonts w:ascii="Tahoma" w:hAnsi="Tahoma" w:cs="Tahoma"/>
      <w:sz w:val="16"/>
      <w:szCs w:val="16"/>
    </w:rPr>
  </w:style>
  <w:style w:type="character" w:customStyle="1" w:styleId="WhiteBOLD">
    <w:name w:val="White BOLD"/>
    <w:basedOn w:val="DefaultParagraphFont"/>
    <w:uiPriority w:val="1"/>
    <w:qFormat/>
    <w:rsid w:val="0085192F"/>
    <w:rPr>
      <w:b/>
      <w:color w:val="FFFFFF" w:themeColor="background1"/>
    </w:rPr>
  </w:style>
  <w:style w:type="paragraph" w:customStyle="1" w:styleId="Backpagedisclaimer">
    <w:name w:val="Back page disclaimer"/>
    <w:uiPriority w:val="6"/>
    <w:rsid w:val="009C52AC"/>
    <w:pPr>
      <w:spacing w:line="180" w:lineRule="atLeast"/>
    </w:pPr>
    <w:rPr>
      <w:rFonts w:asciiTheme="minorHAnsi" w:eastAsia="Batang" w:hAnsiTheme="minorHAnsi"/>
      <w:sz w:val="14"/>
      <w:szCs w:val="14"/>
      <w:lang w:val="en-GB" w:eastAsia="ko-KR"/>
    </w:rPr>
  </w:style>
  <w:style w:type="character" w:customStyle="1" w:styleId="BOLD">
    <w:name w:val="BOLD"/>
    <w:basedOn w:val="DefaultParagraphFont"/>
    <w:uiPriority w:val="2"/>
    <w:qFormat/>
    <w:rsid w:val="0085192F"/>
    <w:rPr>
      <w:b/>
    </w:rPr>
  </w:style>
  <w:style w:type="character" w:customStyle="1" w:styleId="Stylenotes">
    <w:name w:val="Style notes"/>
    <w:basedOn w:val="DefaultParagraphFont"/>
    <w:uiPriority w:val="6"/>
    <w:qFormat/>
    <w:rsid w:val="0085192F"/>
    <w:rPr>
      <w:color w:val="FF0000"/>
    </w:rPr>
  </w:style>
  <w:style w:type="character" w:customStyle="1" w:styleId="White">
    <w:name w:val="White"/>
    <w:basedOn w:val="DefaultParagraphFont"/>
    <w:uiPriority w:val="1"/>
    <w:qFormat/>
    <w:rsid w:val="0085192F"/>
    <w:rPr>
      <w:color w:val="FFFFFF" w:themeColor="background1"/>
    </w:rPr>
  </w:style>
  <w:style w:type="paragraph" w:customStyle="1" w:styleId="CVtitle">
    <w:name w:val="CV title"/>
    <w:next w:val="CVdetails"/>
    <w:rsid w:val="005B42B5"/>
    <w:pPr>
      <w:ind w:left="284"/>
    </w:pPr>
    <w:rPr>
      <w:rFonts w:asciiTheme="minorHAnsi" w:eastAsia="Batang" w:hAnsiTheme="minorHAnsi"/>
      <w:color w:val="FFFFFF" w:themeColor="background1"/>
      <w:sz w:val="28"/>
      <w:szCs w:val="32"/>
      <w:lang w:eastAsia="ko-KR"/>
    </w:rPr>
  </w:style>
  <w:style w:type="paragraph" w:customStyle="1" w:styleId="CVdetails">
    <w:name w:val="CV details"/>
    <w:rsid w:val="00DB5983"/>
    <w:pPr>
      <w:spacing w:after="0"/>
      <w:ind w:left="284"/>
    </w:pPr>
    <w:rPr>
      <w:rFonts w:asciiTheme="minorHAnsi" w:eastAsia="Batang" w:hAnsiTheme="minorHAnsi"/>
      <w:sz w:val="18"/>
      <w:szCs w:val="16"/>
      <w:lang w:eastAsia="ko-KR"/>
    </w:rPr>
  </w:style>
  <w:style w:type="paragraph" w:customStyle="1" w:styleId="CVname">
    <w:name w:val="CV name"/>
    <w:next w:val="CVtitle"/>
    <w:rsid w:val="005B42B5"/>
    <w:pPr>
      <w:spacing w:after="0"/>
      <w:ind w:left="284"/>
    </w:pPr>
    <w:rPr>
      <w:rFonts w:asciiTheme="minorHAnsi" w:eastAsia="Batang" w:hAnsiTheme="minorHAnsi"/>
      <w:b/>
      <w:sz w:val="36"/>
      <w:szCs w:val="36"/>
      <w:lang w:eastAsia="ko-KR"/>
    </w:rPr>
  </w:style>
  <w:style w:type="character" w:customStyle="1" w:styleId="KPMGPrimaryBlue">
    <w:name w:val="KPMG Primary Blue"/>
    <w:uiPriority w:val="1"/>
    <w:qFormat/>
    <w:rsid w:val="00420D25"/>
    <w:rPr>
      <w:color w:val="00338D"/>
    </w:rPr>
  </w:style>
  <w:style w:type="character" w:customStyle="1" w:styleId="KPMGPrimaryBlueBOLD">
    <w:name w:val="KPMG Primary Blue BOLD"/>
    <w:uiPriority w:val="1"/>
    <w:qFormat/>
    <w:rsid w:val="00420D25"/>
    <w:rPr>
      <w:b/>
      <w:color w:val="00338D"/>
    </w:rPr>
  </w:style>
  <w:style w:type="paragraph" w:customStyle="1" w:styleId="BodytextSingle">
    <w:name w:val="Body text Single"/>
    <w:uiPriority w:val="1"/>
    <w:rsid w:val="00295916"/>
    <w:pPr>
      <w:spacing w:before="0" w:after="0"/>
    </w:pPr>
    <w:rPr>
      <w:rFonts w:asciiTheme="minorHAnsi" w:eastAsia="Batang" w:hAnsiTheme="minorHAnsi"/>
      <w:lang w:eastAsia="ko-KR"/>
    </w:rPr>
  </w:style>
  <w:style w:type="table" w:styleId="TableGrid">
    <w:name w:val="Table Grid"/>
    <w:basedOn w:val="TableNormal"/>
    <w:uiPriority w:val="39"/>
    <w:rsid w:val="00F5597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indent">
    <w:name w:val="Table indent"/>
    <w:uiPriority w:val="5"/>
    <w:rsid w:val="00E2489C"/>
    <w:pPr>
      <w:spacing w:before="60" w:after="60"/>
      <w:ind w:left="283"/>
    </w:pPr>
    <w:rPr>
      <w:rFonts w:asciiTheme="minorHAnsi" w:eastAsia="Batang" w:hAnsiTheme="minorHAnsi"/>
      <w:color w:val="000000" w:themeColor="text1"/>
      <w:lang w:eastAsia="ko-KR"/>
    </w:rPr>
  </w:style>
  <w:style w:type="paragraph" w:customStyle="1" w:styleId="Bullet1stlevel">
    <w:name w:val="Bullet 1st level"/>
    <w:uiPriority w:val="1"/>
    <w:rsid w:val="00654DAA"/>
    <w:pPr>
      <w:numPr>
        <w:numId w:val="2"/>
      </w:numPr>
    </w:pPr>
    <w:rPr>
      <w:rFonts w:asciiTheme="minorHAnsi" w:eastAsia="Times New Roman" w:hAnsiTheme="minorHAnsi"/>
      <w:lang w:val="en-US"/>
    </w:rPr>
  </w:style>
  <w:style w:type="paragraph" w:customStyle="1" w:styleId="Bullet2ndlevel">
    <w:name w:val="Bullet 2nd level"/>
    <w:uiPriority w:val="1"/>
    <w:rsid w:val="00654DAA"/>
    <w:pPr>
      <w:numPr>
        <w:numId w:val="3"/>
      </w:numPr>
    </w:pPr>
    <w:rPr>
      <w:rFonts w:asciiTheme="minorHAnsi" w:eastAsia="Batang" w:hAnsiTheme="minorHAnsi"/>
      <w:lang w:eastAsia="ko-KR"/>
    </w:rPr>
  </w:style>
  <w:style w:type="paragraph" w:customStyle="1" w:styleId="Bullet3rdlevel">
    <w:name w:val="Bullet 3rd level"/>
    <w:uiPriority w:val="1"/>
    <w:rsid w:val="00654DAA"/>
    <w:pPr>
      <w:numPr>
        <w:numId w:val="4"/>
      </w:numPr>
    </w:pPr>
    <w:rPr>
      <w:rFonts w:asciiTheme="minorHAnsi" w:eastAsia="Batang" w:hAnsiTheme="minorHAnsi"/>
      <w:lang w:eastAsia="ko-KR"/>
    </w:rPr>
  </w:style>
  <w:style w:type="paragraph" w:customStyle="1" w:styleId="Tablebullet1stlevel">
    <w:name w:val="Table bullet 1st level"/>
    <w:basedOn w:val="Bullet1stlevel"/>
    <w:uiPriority w:val="5"/>
    <w:rsid w:val="003462A6"/>
    <w:pPr>
      <w:spacing w:after="0"/>
      <w:ind w:left="284" w:hanging="284"/>
    </w:pPr>
  </w:style>
  <w:style w:type="paragraph" w:customStyle="1" w:styleId="Tablebullet2ndlevel">
    <w:name w:val="Table bullet 2nd level"/>
    <w:basedOn w:val="Bullet2ndlevel"/>
    <w:uiPriority w:val="5"/>
    <w:rsid w:val="007D6816"/>
    <w:pPr>
      <w:spacing w:before="60" w:after="60"/>
    </w:pPr>
    <w:rPr>
      <w:color w:val="000000" w:themeColor="text1"/>
    </w:rPr>
  </w:style>
  <w:style w:type="paragraph" w:customStyle="1" w:styleId="Number1stlevel">
    <w:name w:val="Number 1st level"/>
    <w:uiPriority w:val="4"/>
    <w:rsid w:val="00654DAA"/>
    <w:pPr>
      <w:numPr>
        <w:numId w:val="1"/>
      </w:numPr>
      <w:ind w:left="357" w:hanging="357"/>
    </w:pPr>
    <w:rPr>
      <w:rFonts w:asciiTheme="minorHAnsi" w:eastAsia="Batang" w:hAnsiTheme="minorHAnsi"/>
      <w:lang w:eastAsia="ko-KR"/>
    </w:rPr>
  </w:style>
  <w:style w:type="paragraph" w:customStyle="1" w:styleId="Number2ndlevel">
    <w:name w:val="Number 2nd level"/>
    <w:uiPriority w:val="4"/>
    <w:rsid w:val="00654DAA"/>
    <w:pPr>
      <w:numPr>
        <w:ilvl w:val="1"/>
        <w:numId w:val="1"/>
      </w:numPr>
      <w:ind w:left="714" w:hanging="357"/>
    </w:pPr>
    <w:rPr>
      <w:rFonts w:asciiTheme="minorHAnsi" w:eastAsia="Batang" w:hAnsiTheme="minorHAnsi"/>
      <w:lang w:eastAsia="ko-KR"/>
    </w:rPr>
  </w:style>
  <w:style w:type="paragraph" w:customStyle="1" w:styleId="Number3rdlevel">
    <w:name w:val="Number 3rd level"/>
    <w:basedOn w:val="BodyText"/>
    <w:uiPriority w:val="4"/>
    <w:rsid w:val="00E24790"/>
    <w:pPr>
      <w:ind w:left="1080" w:hanging="360"/>
    </w:pPr>
  </w:style>
  <w:style w:type="character" w:customStyle="1" w:styleId="Italic">
    <w:name w:val="Italic"/>
    <w:basedOn w:val="DefaultParagraphFont"/>
    <w:uiPriority w:val="2"/>
    <w:rsid w:val="00E24790"/>
    <w:rPr>
      <w:i/>
    </w:rPr>
  </w:style>
  <w:style w:type="paragraph" w:customStyle="1" w:styleId="Contentsheading">
    <w:name w:val="Contents_heading"/>
    <w:rsid w:val="009C52AC"/>
    <w:pPr>
      <w:spacing w:after="360" w:line="360" w:lineRule="atLeast"/>
    </w:pPr>
    <w:rPr>
      <w:b/>
      <w:color w:val="FFFFFF" w:themeColor="background1"/>
      <w:sz w:val="32"/>
      <w:szCs w:val="32"/>
    </w:rPr>
  </w:style>
  <w:style w:type="paragraph" w:customStyle="1" w:styleId="Contents1stlevel">
    <w:name w:val="Contents_1st level"/>
    <w:basedOn w:val="Normal"/>
    <w:rsid w:val="009C52AC"/>
    <w:pPr>
      <w:tabs>
        <w:tab w:val="right" w:leader="dot" w:pos="5670"/>
      </w:tabs>
      <w:spacing w:after="0"/>
      <w:ind w:right="4536"/>
    </w:pPr>
    <w:rPr>
      <w:b/>
      <w:color w:val="FFFFFF" w:themeColor="background1"/>
    </w:rPr>
  </w:style>
  <w:style w:type="paragraph" w:customStyle="1" w:styleId="Contents2ndlevel">
    <w:name w:val="Contents_2nd level"/>
    <w:basedOn w:val="Contents1stlevel"/>
    <w:rsid w:val="009C52AC"/>
    <w:pPr>
      <w:spacing w:before="0"/>
    </w:pPr>
    <w:rPr>
      <w:b w:val="0"/>
    </w:rPr>
  </w:style>
  <w:style w:type="table" w:styleId="ColorfulList-Accent4">
    <w:name w:val="Colorful List Accent 4"/>
    <w:basedOn w:val="TableNormal"/>
    <w:uiPriority w:val="72"/>
    <w:rsid w:val="00046D34"/>
    <w:pPr>
      <w:spacing w:after="0"/>
    </w:pPr>
    <w:rPr>
      <w:color w:val="000000" w:themeColor="text1"/>
    </w:rPr>
    <w:tblPr>
      <w:tblStyleRowBandSize w:val="1"/>
      <w:tblStyleColBandSize w:val="1"/>
    </w:tblPr>
    <w:tcPr>
      <w:shd w:val="clear" w:color="auto" w:fill="F8F9FC" w:themeFill="accent4" w:themeFillTint="19"/>
    </w:tcPr>
    <w:tblStylePr w:type="firstRow">
      <w:rPr>
        <w:b/>
        <w:bCs/>
        <w:color w:val="FFFFFF" w:themeColor="background1"/>
      </w:rPr>
      <w:tblPr/>
      <w:tcPr>
        <w:tcBorders>
          <w:bottom w:val="single" w:sz="12" w:space="0" w:color="FFFFFF" w:themeColor="background1"/>
        </w:tcBorders>
        <w:shd w:val="clear" w:color="auto" w:fill="4777B6" w:themeFill="accent3" w:themeFillShade="CC"/>
      </w:tcPr>
    </w:tblStylePr>
    <w:tblStylePr w:type="lastRow">
      <w:rPr>
        <w:b/>
        <w:bCs/>
        <w:color w:val="4777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8" w:themeFill="accent4" w:themeFillTint="3F"/>
      </w:tcPr>
    </w:tblStylePr>
    <w:tblStylePr w:type="band1Horz">
      <w:tblPr/>
      <w:tcPr>
        <w:shd w:val="clear" w:color="auto" w:fill="F1F4F9" w:themeFill="accent4" w:themeFillTint="33"/>
      </w:tcPr>
    </w:tblStylePr>
  </w:style>
  <w:style w:type="table" w:styleId="ColorfulList-Accent3">
    <w:name w:val="Colorful List Accent 3"/>
    <w:basedOn w:val="TableNormal"/>
    <w:uiPriority w:val="72"/>
    <w:rsid w:val="00046D34"/>
    <w:pPr>
      <w:spacing w:after="0"/>
    </w:pPr>
    <w:rPr>
      <w:color w:val="000000" w:themeColor="text1"/>
    </w:rPr>
    <w:tblPr>
      <w:tblStyleRowBandSize w:val="1"/>
      <w:tblStyleColBandSize w:val="1"/>
    </w:tblPr>
    <w:tcPr>
      <w:shd w:val="clear" w:color="auto" w:fill="F1F4F9" w:themeFill="accent3" w:themeFillTint="19"/>
    </w:tcPr>
    <w:tblStylePr w:type="firstRow">
      <w:rPr>
        <w:b/>
        <w:bCs/>
        <w:color w:val="FFFFFF" w:themeColor="background1"/>
      </w:rPr>
      <w:tblPr/>
      <w:tcPr>
        <w:tcBorders>
          <w:bottom w:val="single" w:sz="12" w:space="0" w:color="FFFFFF" w:themeColor="background1"/>
        </w:tcBorders>
        <w:shd w:val="clear" w:color="auto" w:fill="7F9DCD" w:themeFill="accent4" w:themeFillShade="CC"/>
      </w:tcPr>
    </w:tblStylePr>
    <w:tblStylePr w:type="lastRow">
      <w:rPr>
        <w:b/>
        <w:bCs/>
        <w:color w:val="7F9DC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1" w:themeFill="accent3" w:themeFillTint="3F"/>
      </w:tcPr>
    </w:tblStylePr>
    <w:tblStylePr w:type="band1Horz">
      <w:tblPr/>
      <w:tcPr>
        <w:shd w:val="clear" w:color="auto" w:fill="E3EAF4" w:themeFill="accent3" w:themeFillTint="33"/>
      </w:tcPr>
    </w:tblStylePr>
  </w:style>
  <w:style w:type="paragraph" w:customStyle="1" w:styleId="Letterhead">
    <w:name w:val="Letterhead"/>
    <w:rsid w:val="00D06524"/>
    <w:pPr>
      <w:spacing w:after="0" w:line="160" w:lineRule="atLeast"/>
    </w:pPr>
    <w:rPr>
      <w:rFonts w:asciiTheme="minorHAnsi" w:eastAsia="Batang" w:hAnsiTheme="minorHAnsi"/>
      <w:sz w:val="12"/>
      <w:szCs w:val="12"/>
      <w:lang w:val="en-GB" w:eastAsia="ko-KR"/>
    </w:rPr>
  </w:style>
  <w:style w:type="paragraph" w:customStyle="1" w:styleId="Covertitle40pt">
    <w:name w:val="Cover title 40pt"/>
    <w:rsid w:val="00873E0D"/>
    <w:pPr>
      <w:spacing w:line="880" w:lineRule="atLeast"/>
    </w:pPr>
    <w:rPr>
      <w:rFonts w:asciiTheme="minorHAnsi" w:eastAsia="Batang" w:hAnsiTheme="minorHAnsi"/>
      <w:b/>
      <w:color w:val="FFFFFF" w:themeColor="background1"/>
      <w:sz w:val="80"/>
      <w:szCs w:val="80"/>
      <w:lang w:eastAsia="ko-KR"/>
    </w:rPr>
  </w:style>
  <w:style w:type="paragraph" w:customStyle="1" w:styleId="Covertitle33pt">
    <w:name w:val="Cover title 33pt"/>
    <w:rsid w:val="00873E0D"/>
    <w:pPr>
      <w:spacing w:line="720" w:lineRule="atLeast"/>
    </w:pPr>
    <w:rPr>
      <w:rFonts w:asciiTheme="minorHAnsi" w:eastAsia="Batang" w:hAnsiTheme="minorHAnsi"/>
      <w:b/>
      <w:color w:val="FFFFFF" w:themeColor="background1"/>
      <w:sz w:val="66"/>
      <w:szCs w:val="80"/>
      <w:lang w:eastAsia="ko-KR"/>
    </w:rPr>
  </w:style>
  <w:style w:type="paragraph" w:customStyle="1" w:styleId="Covertitle26pt">
    <w:name w:val="Cover title 26pt"/>
    <w:rsid w:val="00873E0D"/>
    <w:pPr>
      <w:spacing w:line="600" w:lineRule="atLeast"/>
    </w:pPr>
    <w:rPr>
      <w:rFonts w:asciiTheme="minorHAnsi" w:eastAsia="Batang" w:hAnsiTheme="minorHAnsi"/>
      <w:b/>
      <w:color w:val="FFFFFF" w:themeColor="background1"/>
      <w:sz w:val="52"/>
      <w:szCs w:val="80"/>
      <w:lang w:eastAsia="ko-KR"/>
    </w:rPr>
  </w:style>
  <w:style w:type="paragraph" w:customStyle="1" w:styleId="Covertitle18pt">
    <w:name w:val="Cover title 18pt"/>
    <w:rsid w:val="00873E0D"/>
    <w:pPr>
      <w:spacing w:line="400" w:lineRule="atLeast"/>
    </w:pPr>
    <w:rPr>
      <w:rFonts w:asciiTheme="minorHAnsi" w:eastAsia="Batang" w:hAnsiTheme="minorHAnsi"/>
      <w:b/>
      <w:color w:val="FFFFFF" w:themeColor="background1"/>
      <w:sz w:val="36"/>
      <w:szCs w:val="80"/>
      <w:lang w:eastAsia="ko-KR"/>
    </w:rPr>
  </w:style>
  <w:style w:type="paragraph" w:customStyle="1" w:styleId="Coveradditionalinformation">
    <w:name w:val="Cover additional information"/>
    <w:rsid w:val="00D06524"/>
    <w:pPr>
      <w:spacing w:line="240" w:lineRule="atLeast"/>
    </w:pPr>
    <w:rPr>
      <w:rFonts w:asciiTheme="minorHAnsi" w:eastAsia="Batang" w:hAnsiTheme="minorHAnsi"/>
      <w:color w:val="FFFFFF" w:themeColor="background1"/>
      <w:szCs w:val="80"/>
      <w:lang w:eastAsia="ko-KR"/>
    </w:rPr>
  </w:style>
  <w:style w:type="paragraph" w:customStyle="1" w:styleId="CoverURL">
    <w:name w:val="Cover URL"/>
    <w:rsid w:val="00873E0D"/>
    <w:pPr>
      <w:spacing w:after="0" w:line="240" w:lineRule="atLeast"/>
    </w:pPr>
    <w:rPr>
      <w:rFonts w:asciiTheme="minorHAnsi" w:eastAsia="Batang" w:hAnsiTheme="minorHAnsi"/>
      <w:b/>
      <w:color w:val="FFFFFF" w:themeColor="background1"/>
      <w:lang w:eastAsia="ko-KR"/>
    </w:rPr>
  </w:style>
  <w:style w:type="character" w:styleId="Hyperlink">
    <w:name w:val="Hyperlink"/>
    <w:basedOn w:val="DefaultParagraphFont"/>
    <w:uiPriority w:val="99"/>
    <w:unhideWhenUsed/>
    <w:rsid w:val="0023404C"/>
    <w:rPr>
      <w:color w:val="9E3039" w:themeColor="hyperlink"/>
      <w:u w:val="single"/>
    </w:rPr>
  </w:style>
  <w:style w:type="paragraph" w:customStyle="1" w:styleId="Heading1Noshow">
    <w:name w:val="Heading 1_No show"/>
    <w:uiPriority w:val="99"/>
    <w:rsid w:val="00654DAA"/>
    <w:pPr>
      <w:spacing w:after="480"/>
    </w:pPr>
    <w:rPr>
      <w:rFonts w:asciiTheme="minorHAnsi" w:eastAsia="Batang" w:hAnsiTheme="minorHAnsi"/>
      <w:b/>
      <w:sz w:val="56"/>
      <w:szCs w:val="80"/>
      <w:lang w:eastAsia="ko-KR"/>
    </w:rPr>
  </w:style>
  <w:style w:type="paragraph" w:customStyle="1" w:styleId="CVheading">
    <w:name w:val="CV heading"/>
    <w:next w:val="CVtext"/>
    <w:rsid w:val="00DB5983"/>
    <w:pPr>
      <w:spacing w:before="240" w:after="60"/>
    </w:pPr>
    <w:rPr>
      <w:rFonts w:asciiTheme="minorHAnsi" w:hAnsiTheme="minorHAnsi"/>
      <w:b/>
      <w:lang w:eastAsia="ko-KR"/>
    </w:rPr>
  </w:style>
  <w:style w:type="paragraph" w:customStyle="1" w:styleId="CVtext">
    <w:name w:val="CV text"/>
    <w:rsid w:val="00DB5983"/>
    <w:pPr>
      <w:spacing w:before="60" w:after="60"/>
    </w:pPr>
    <w:rPr>
      <w:rFonts w:asciiTheme="minorHAnsi" w:eastAsia="Batang" w:hAnsiTheme="minorHAnsi"/>
      <w:lang w:eastAsia="ko-KR"/>
    </w:rPr>
  </w:style>
  <w:style w:type="paragraph" w:customStyle="1" w:styleId="CVbullet1stlevel">
    <w:name w:val="CV bullet 1st level"/>
    <w:basedOn w:val="Tablebullet1stlevel"/>
    <w:rsid w:val="00DB5983"/>
  </w:style>
  <w:style w:type="paragraph" w:customStyle="1" w:styleId="CVbullet2ndlevel">
    <w:name w:val="CV bullet 2nd level"/>
    <w:basedOn w:val="Tablebullet2ndlevel"/>
    <w:rsid w:val="00DB5983"/>
  </w:style>
  <w:style w:type="paragraph" w:styleId="ListParagraph">
    <w:name w:val="List Paragraph"/>
    <w:basedOn w:val="Normal"/>
    <w:uiPriority w:val="34"/>
    <w:qFormat/>
    <w:rsid w:val="00C03DCC"/>
    <w:pPr>
      <w:ind w:left="720"/>
      <w:contextualSpacing/>
    </w:pPr>
  </w:style>
  <w:style w:type="paragraph" w:styleId="TOC1">
    <w:name w:val="toc 1"/>
    <w:basedOn w:val="Normal"/>
    <w:next w:val="Normal"/>
    <w:autoRedefine/>
    <w:uiPriority w:val="39"/>
    <w:unhideWhenUsed/>
    <w:qFormat/>
    <w:rsid w:val="000976CA"/>
    <w:pPr>
      <w:tabs>
        <w:tab w:val="left" w:pos="440"/>
        <w:tab w:val="right" w:leader="dot" w:pos="9071"/>
      </w:tabs>
      <w:spacing w:after="100"/>
      <w:ind w:right="521"/>
    </w:pPr>
    <w:rPr>
      <w:b/>
      <w:noProof/>
      <w:color w:val="FFFFFF" w:themeColor="background1"/>
      <w:sz w:val="22"/>
    </w:rPr>
  </w:style>
  <w:style w:type="paragraph" w:styleId="ListBullet">
    <w:name w:val="List Bullet"/>
    <w:aliases w:val="l,list no space after,(NECG) List Bullet,*List Bullet,lb,List Bullet 1,IPA Bullet,UL,First Tier Bullet,l1,List Bullet Char2,List Bullet Char1 Char,List Bullet Char Char Char1,List Bullet Char Char1,List Bullet Char2 Char Char,l11"/>
    <w:basedOn w:val="Bullet1stlevel"/>
    <w:link w:val="ListBulletChar"/>
    <w:uiPriority w:val="99"/>
    <w:qFormat/>
    <w:rsid w:val="00165907"/>
    <w:pPr>
      <w:numPr>
        <w:numId w:val="12"/>
      </w:numPr>
    </w:pPr>
  </w:style>
  <w:style w:type="character" w:customStyle="1" w:styleId="ListBulletChar">
    <w:name w:val="List Bullet Char"/>
    <w:aliases w:val="l Char,list no space after Char,(NECG) List Bullet Char,*List Bullet Char,lb Char,List Bullet 1 Char,IPA Bullet Char,UL Char,First Tier Bullet Char,l1 Char,List Bullet Char2 Char,List Bullet Char1 Char Char,List Bullet Char Char1 Char"/>
    <w:basedOn w:val="DefaultParagraphFont"/>
    <w:link w:val="ListBullet"/>
    <w:uiPriority w:val="99"/>
    <w:rsid w:val="003462A6"/>
    <w:rPr>
      <w:rFonts w:asciiTheme="minorHAnsi" w:eastAsia="Times New Roman" w:hAnsiTheme="minorHAnsi"/>
      <w:lang w:val="en-US"/>
    </w:rPr>
  </w:style>
  <w:style w:type="paragraph" w:styleId="ListBullet2">
    <w:name w:val="List Bullet 2"/>
    <w:basedOn w:val="Bullet2ndlevel"/>
    <w:qFormat/>
    <w:rsid w:val="006A7666"/>
    <w:pPr>
      <w:numPr>
        <w:numId w:val="11"/>
      </w:numPr>
    </w:pPr>
  </w:style>
  <w:style w:type="paragraph" w:styleId="ListBullet3">
    <w:name w:val="List Bullet 3"/>
    <w:basedOn w:val="Bullet3rdlevel"/>
    <w:unhideWhenUsed/>
    <w:qFormat/>
    <w:rsid w:val="003462A6"/>
    <w:pPr>
      <w:ind w:left="851" w:hanging="284"/>
    </w:pPr>
  </w:style>
  <w:style w:type="paragraph" w:customStyle="1" w:styleId="Bodytextkeepwithnext">
    <w:name w:val="Bodytextkeepwithnext"/>
    <w:basedOn w:val="BodyText"/>
    <w:qFormat/>
    <w:rsid w:val="003462A6"/>
    <w:pPr>
      <w:keepNext/>
    </w:pPr>
  </w:style>
  <w:style w:type="character" w:styleId="FootnoteReference">
    <w:name w:val="footnote reference"/>
    <w:aliases w:val="(NECG) Footnote Reference"/>
    <w:basedOn w:val="DefaultParagraphFont"/>
    <w:uiPriority w:val="99"/>
    <w:rsid w:val="00A22875"/>
    <w:rPr>
      <w:vertAlign w:val="superscript"/>
    </w:rPr>
  </w:style>
  <w:style w:type="paragraph" w:styleId="Quote">
    <w:name w:val="Quote"/>
    <w:basedOn w:val="BodyText"/>
    <w:next w:val="Normal"/>
    <w:link w:val="QuoteChar"/>
    <w:uiPriority w:val="29"/>
    <w:rsid w:val="003462A6"/>
    <w:pPr>
      <w:ind w:left="284" w:right="253"/>
    </w:pPr>
    <w:rPr>
      <w:i/>
      <w:lang w:eastAsia="en-AU"/>
    </w:rPr>
  </w:style>
  <w:style w:type="character" w:customStyle="1" w:styleId="QuoteChar">
    <w:name w:val="Quote Char"/>
    <w:basedOn w:val="DefaultParagraphFont"/>
    <w:link w:val="Quote"/>
    <w:uiPriority w:val="29"/>
    <w:rsid w:val="003462A6"/>
    <w:rPr>
      <w:rFonts w:asciiTheme="minorHAnsi" w:eastAsia="Batang" w:hAnsiTheme="minorHAnsi"/>
      <w:i/>
      <w:lang w:eastAsia="en-AU"/>
    </w:rPr>
  </w:style>
  <w:style w:type="paragraph" w:customStyle="1" w:styleId="BodyTextkeepwithnext0">
    <w:name w:val="Body Textkeepwithnext"/>
    <w:basedOn w:val="Bodytextkeepwithnext"/>
    <w:qFormat/>
    <w:rsid w:val="00AE0F36"/>
  </w:style>
  <w:style w:type="paragraph" w:customStyle="1" w:styleId="Source">
    <w:name w:val="Source"/>
    <w:basedOn w:val="BodyText"/>
    <w:next w:val="BlockText"/>
    <w:link w:val="SourceChar"/>
    <w:uiPriority w:val="99"/>
    <w:qFormat/>
    <w:rsid w:val="003462A6"/>
    <w:rPr>
      <w:sz w:val="18"/>
    </w:rPr>
  </w:style>
  <w:style w:type="paragraph" w:styleId="BlockText">
    <w:name w:val="Block Text"/>
    <w:basedOn w:val="Normal"/>
    <w:uiPriority w:val="99"/>
    <w:unhideWhenUsed/>
    <w:rsid w:val="006E038F"/>
    <w:pPr>
      <w:pBdr>
        <w:top w:val="single" w:sz="2" w:space="10" w:color="00338D" w:themeColor="accent1" w:frame="1"/>
        <w:left w:val="single" w:sz="2" w:space="10" w:color="00338D" w:themeColor="accent1" w:frame="1"/>
        <w:bottom w:val="single" w:sz="2" w:space="10" w:color="00338D" w:themeColor="accent1" w:frame="1"/>
        <w:right w:val="single" w:sz="2" w:space="10" w:color="00338D" w:themeColor="accent1" w:frame="1"/>
      </w:pBdr>
      <w:ind w:left="1152" w:right="1152"/>
    </w:pPr>
    <w:rPr>
      <w:rFonts w:eastAsiaTheme="minorEastAsia" w:cstheme="minorBidi"/>
      <w:i/>
      <w:iCs/>
      <w:color w:val="00338D" w:themeColor="accent1"/>
    </w:rPr>
  </w:style>
  <w:style w:type="character" w:customStyle="1" w:styleId="SourceChar">
    <w:name w:val="Source Char"/>
    <w:basedOn w:val="DefaultParagraphFont"/>
    <w:link w:val="Source"/>
    <w:uiPriority w:val="99"/>
    <w:rsid w:val="003462A6"/>
    <w:rPr>
      <w:rFonts w:asciiTheme="minorHAnsi" w:eastAsia="Batang" w:hAnsiTheme="minorHAnsi"/>
      <w:sz w:val="18"/>
      <w:lang w:eastAsia="ko-KR"/>
    </w:rPr>
  </w:style>
  <w:style w:type="paragraph" w:customStyle="1" w:styleId="HeadingLevel1NoNumber">
    <w:name w:val="HeadingLevel1NoNumber"/>
    <w:basedOn w:val="Heading1"/>
    <w:qFormat/>
    <w:rsid w:val="003462A6"/>
    <w:pPr>
      <w:numPr>
        <w:numId w:val="0"/>
      </w:numPr>
    </w:pPr>
  </w:style>
  <w:style w:type="paragraph" w:customStyle="1" w:styleId="HeadingLevel2NoNumber">
    <w:name w:val="HeadingLevel2NoNumber"/>
    <w:basedOn w:val="Heading2"/>
    <w:qFormat/>
    <w:rsid w:val="003462A6"/>
    <w:pPr>
      <w:numPr>
        <w:ilvl w:val="0"/>
        <w:numId w:val="0"/>
      </w:numPr>
    </w:pPr>
  </w:style>
  <w:style w:type="paragraph" w:customStyle="1" w:styleId="HeadingLevel3NoNumber">
    <w:name w:val="HeadingLevel3NoNumber"/>
    <w:basedOn w:val="Heading3"/>
    <w:qFormat/>
    <w:rsid w:val="003462A6"/>
    <w:pPr>
      <w:numPr>
        <w:ilvl w:val="0"/>
        <w:numId w:val="0"/>
      </w:numPr>
    </w:pPr>
  </w:style>
  <w:style w:type="paragraph" w:customStyle="1" w:styleId="ListBulletkeepwithnext">
    <w:name w:val="ListBulletkeepwithnext"/>
    <w:basedOn w:val="ListBullet"/>
    <w:qFormat/>
    <w:rsid w:val="004821A0"/>
    <w:pPr>
      <w:keepNext/>
    </w:pPr>
  </w:style>
  <w:style w:type="character" w:styleId="CommentReference">
    <w:name w:val="annotation reference"/>
    <w:basedOn w:val="DefaultParagraphFont"/>
    <w:uiPriority w:val="99"/>
    <w:unhideWhenUsed/>
    <w:rsid w:val="004821A0"/>
    <w:rPr>
      <w:sz w:val="16"/>
      <w:szCs w:val="16"/>
    </w:rPr>
  </w:style>
  <w:style w:type="paragraph" w:styleId="CommentText">
    <w:name w:val="annotation text"/>
    <w:basedOn w:val="Normal"/>
    <w:link w:val="CommentTextChar"/>
    <w:uiPriority w:val="99"/>
    <w:unhideWhenUsed/>
    <w:rsid w:val="004821A0"/>
  </w:style>
  <w:style w:type="character" w:customStyle="1" w:styleId="CommentTextChar">
    <w:name w:val="Comment Text Char"/>
    <w:basedOn w:val="DefaultParagraphFont"/>
    <w:link w:val="CommentText"/>
    <w:uiPriority w:val="99"/>
    <w:rsid w:val="004821A0"/>
    <w:rPr>
      <w:rFonts w:asciiTheme="minorHAnsi" w:hAnsiTheme="minorHAnsi"/>
    </w:rPr>
  </w:style>
  <w:style w:type="paragraph" w:styleId="CommentSubject">
    <w:name w:val="annotation subject"/>
    <w:basedOn w:val="CommentText"/>
    <w:next w:val="CommentText"/>
    <w:link w:val="CommentSubjectChar"/>
    <w:uiPriority w:val="99"/>
    <w:unhideWhenUsed/>
    <w:rsid w:val="004821A0"/>
    <w:rPr>
      <w:b/>
      <w:bCs/>
    </w:rPr>
  </w:style>
  <w:style w:type="character" w:customStyle="1" w:styleId="CommentSubjectChar">
    <w:name w:val="Comment Subject Char"/>
    <w:basedOn w:val="CommentTextChar"/>
    <w:link w:val="CommentSubject"/>
    <w:uiPriority w:val="99"/>
    <w:rsid w:val="004821A0"/>
    <w:rPr>
      <w:rFonts w:asciiTheme="minorHAnsi" w:hAnsiTheme="minorHAnsi"/>
      <w:b/>
      <w:bCs/>
    </w:rPr>
  </w:style>
  <w:style w:type="paragraph" w:styleId="TOC4">
    <w:name w:val="toc 4"/>
    <w:basedOn w:val="TOC3"/>
    <w:semiHidden/>
    <w:rsid w:val="004821A0"/>
  </w:style>
  <w:style w:type="paragraph" w:styleId="TOC3">
    <w:name w:val="toc 3"/>
    <w:basedOn w:val="TOC2"/>
    <w:uiPriority w:val="39"/>
    <w:qFormat/>
    <w:rsid w:val="004821A0"/>
    <w:pPr>
      <w:tabs>
        <w:tab w:val="left" w:pos="1418"/>
      </w:tabs>
      <w:ind w:left="1418" w:hanging="1418"/>
    </w:pPr>
  </w:style>
  <w:style w:type="paragraph" w:styleId="TOC2">
    <w:name w:val="toc 2"/>
    <w:basedOn w:val="TOC1"/>
    <w:uiPriority w:val="39"/>
    <w:qFormat/>
    <w:rsid w:val="006F59B9"/>
    <w:pPr>
      <w:tabs>
        <w:tab w:val="clear" w:pos="440"/>
        <w:tab w:val="clear" w:pos="9071"/>
        <w:tab w:val="left" w:pos="1361"/>
        <w:tab w:val="right" w:pos="8505"/>
      </w:tabs>
      <w:spacing w:before="0" w:after="0"/>
      <w:ind w:left="680" w:hanging="680"/>
    </w:pPr>
    <w:rPr>
      <w:rFonts w:eastAsia="Times New Roman" w:cs="Times New Roman"/>
      <w:b w:val="0"/>
      <w:noProof w:val="0"/>
    </w:rPr>
  </w:style>
  <w:style w:type="paragraph" w:customStyle="1" w:styleId="zreportname">
    <w:name w:val="zreport name"/>
    <w:basedOn w:val="Normal"/>
    <w:semiHidden/>
    <w:rsid w:val="004821A0"/>
    <w:pPr>
      <w:keepLines/>
      <w:spacing w:before="0" w:after="0" w:line="440" w:lineRule="exact"/>
      <w:jc w:val="center"/>
    </w:pPr>
    <w:rPr>
      <w:rFonts w:ascii="Times New Roman" w:eastAsia="Times New Roman" w:hAnsi="Times New Roman" w:cs="Times New Roman"/>
      <w:sz w:val="36"/>
    </w:rPr>
  </w:style>
  <w:style w:type="paragraph" w:customStyle="1" w:styleId="zcontents">
    <w:name w:val="zcontents"/>
    <w:basedOn w:val="Normal"/>
    <w:semiHidden/>
    <w:rsid w:val="004821A0"/>
    <w:pPr>
      <w:spacing w:before="0" w:after="260"/>
    </w:pPr>
    <w:rPr>
      <w:rFonts w:ascii="Times New Roman" w:eastAsia="Times New Roman" w:hAnsi="Times New Roman" w:cs="Times New Roman"/>
      <w:b/>
      <w:color w:val="0C2D83"/>
      <w:sz w:val="32"/>
    </w:rPr>
  </w:style>
  <w:style w:type="paragraph" w:customStyle="1" w:styleId="zcompanyname">
    <w:name w:val="zcompany name"/>
    <w:basedOn w:val="Normal"/>
    <w:semiHidden/>
    <w:rsid w:val="004821A0"/>
    <w:pPr>
      <w:spacing w:before="0" w:after="400" w:line="440" w:lineRule="exact"/>
      <w:jc w:val="center"/>
    </w:pPr>
    <w:rPr>
      <w:rFonts w:ascii="Times New Roman" w:eastAsia="Times New Roman" w:hAnsi="Times New Roman" w:cs="Times New Roman"/>
      <w:b/>
      <w:noProof/>
      <w:sz w:val="26"/>
    </w:rPr>
  </w:style>
  <w:style w:type="paragraph" w:customStyle="1" w:styleId="zreportsubtitle">
    <w:name w:val="zreport subtitle"/>
    <w:basedOn w:val="zreportname"/>
    <w:semiHidden/>
    <w:rsid w:val="004821A0"/>
    <w:rPr>
      <w:sz w:val="32"/>
    </w:rPr>
  </w:style>
  <w:style w:type="paragraph" w:styleId="Index1">
    <w:name w:val="index 1"/>
    <w:basedOn w:val="Normal"/>
    <w:next w:val="Normal"/>
    <w:semiHidden/>
    <w:rsid w:val="004821A0"/>
    <w:pPr>
      <w:keepNext/>
      <w:spacing w:before="260" w:after="0" w:line="280" w:lineRule="exact"/>
      <w:ind w:right="851"/>
    </w:pPr>
    <w:rPr>
      <w:rFonts w:ascii="Times New Roman" w:eastAsia="Times New Roman" w:hAnsi="Times New Roman" w:cs="Times New Roman"/>
      <w:b/>
      <w:sz w:val="24"/>
    </w:rPr>
  </w:style>
  <w:style w:type="paragraph" w:customStyle="1" w:styleId="Graphic">
    <w:name w:val="Graphic"/>
    <w:basedOn w:val="Signature"/>
    <w:next w:val="Caption"/>
    <w:qFormat/>
    <w:rsid w:val="004821A0"/>
    <w:pPr>
      <w:pBdr>
        <w:top w:val="single" w:sz="4" w:space="1" w:color="auto"/>
        <w:left w:val="single" w:sz="4" w:space="1" w:color="auto"/>
        <w:bottom w:val="single" w:sz="4" w:space="1" w:color="auto"/>
        <w:right w:val="single" w:sz="4" w:space="1" w:color="auto"/>
      </w:pBdr>
      <w:spacing w:before="0"/>
      <w:jc w:val="center"/>
    </w:pPr>
    <w:rPr>
      <w:rFonts w:eastAsia="Times New Roman"/>
      <w:sz w:val="22"/>
      <w:lang w:eastAsia="en-US"/>
    </w:rPr>
  </w:style>
  <w:style w:type="paragraph" w:styleId="Index2">
    <w:name w:val="index 2"/>
    <w:basedOn w:val="Normal"/>
    <w:next w:val="Normal"/>
    <w:semiHidden/>
    <w:rsid w:val="004821A0"/>
    <w:pPr>
      <w:spacing w:before="0" w:after="0"/>
      <w:ind w:left="340" w:right="851"/>
    </w:pPr>
    <w:rPr>
      <w:rFonts w:ascii="Times New Roman" w:eastAsia="Times New Roman" w:hAnsi="Times New Roman" w:cs="Times New Roman"/>
      <w:sz w:val="22"/>
    </w:rPr>
  </w:style>
  <w:style w:type="paragraph" w:customStyle="1" w:styleId="zreportaddinfo">
    <w:name w:val="zreport addinfo"/>
    <w:basedOn w:val="Normal"/>
    <w:semiHidden/>
    <w:rsid w:val="004821A0"/>
    <w:pPr>
      <w:framePr w:wrap="around" w:hAnchor="margin" w:xAlign="center" w:yAlign="bottom"/>
      <w:spacing w:before="0" w:after="0" w:line="240" w:lineRule="exact"/>
      <w:jc w:val="center"/>
    </w:pPr>
    <w:rPr>
      <w:rFonts w:ascii="Times New Roman" w:eastAsia="Times New Roman" w:hAnsi="Times New Roman" w:cs="Times New Roman"/>
      <w:noProof/>
    </w:rPr>
  </w:style>
  <w:style w:type="character" w:styleId="Emphasis">
    <w:name w:val="Emphasis"/>
    <w:basedOn w:val="DefaultParagraphFont"/>
    <w:uiPriority w:val="20"/>
    <w:qFormat/>
    <w:rsid w:val="004821A0"/>
    <w:rPr>
      <w:i/>
      <w:iCs/>
    </w:rPr>
  </w:style>
  <w:style w:type="paragraph" w:customStyle="1" w:styleId="AppendixHeading">
    <w:name w:val="Appendix Heading"/>
    <w:basedOn w:val="Heading1"/>
    <w:next w:val="BodyText"/>
    <w:rsid w:val="004821A0"/>
    <w:pPr>
      <w:keepNext/>
      <w:numPr>
        <w:numId w:val="6"/>
      </w:numPr>
      <w:spacing w:before="0" w:after="0" w:line="360" w:lineRule="exact"/>
      <w:outlineLvl w:val="9"/>
    </w:pPr>
    <w:rPr>
      <w:rFonts w:ascii="Univers for KPMG" w:eastAsia="Times New Roman" w:hAnsi="Univers for KPMG" w:cs="Times New Roman"/>
      <w:color w:val="0C2D83"/>
      <w:sz w:val="32"/>
      <w:szCs w:val="20"/>
      <w:lang w:eastAsia="en-US"/>
    </w:rPr>
  </w:style>
  <w:style w:type="paragraph" w:customStyle="1" w:styleId="AppendixHeading2">
    <w:name w:val="Appendix Heading 2"/>
    <w:basedOn w:val="Heading2"/>
    <w:next w:val="BodyText"/>
    <w:rsid w:val="004821A0"/>
    <w:pPr>
      <w:numPr>
        <w:numId w:val="6"/>
      </w:numPr>
      <w:tabs>
        <w:tab w:val="left" w:pos="964"/>
      </w:tabs>
      <w:spacing w:before="400" w:after="0" w:line="320" w:lineRule="exact"/>
      <w:outlineLvl w:val="9"/>
    </w:pPr>
    <w:rPr>
      <w:rFonts w:ascii="Univers for KPMG" w:eastAsia="Times New Roman" w:hAnsi="Univers for KPMG" w:cs="Times New Roman"/>
      <w:b/>
      <w:color w:val="0C2D83"/>
      <w:sz w:val="28"/>
      <w:szCs w:val="20"/>
      <w:lang w:eastAsia="en-US"/>
    </w:rPr>
  </w:style>
  <w:style w:type="paragraph" w:customStyle="1" w:styleId="AppendixHeading3">
    <w:name w:val="Appendix Heading 3"/>
    <w:basedOn w:val="Heading3"/>
    <w:rsid w:val="00955863"/>
    <w:pPr>
      <w:numPr>
        <w:numId w:val="6"/>
      </w:numPr>
      <w:tabs>
        <w:tab w:val="clear" w:pos="0"/>
        <w:tab w:val="left" w:pos="720"/>
      </w:tabs>
      <w:spacing w:after="130" w:line="260" w:lineRule="exact"/>
      <w:ind w:left="720" w:hanging="720"/>
      <w:jc w:val="both"/>
      <w:outlineLvl w:val="9"/>
    </w:pPr>
    <w:rPr>
      <w:rFonts w:ascii="Univers for KPMG" w:eastAsia="Times New Roman" w:hAnsi="Univers for KPMG" w:cs="Times New Roman"/>
      <w:color w:val="0C2D83"/>
      <w:szCs w:val="20"/>
      <w:lang w:eastAsia="en-US"/>
    </w:rPr>
  </w:style>
  <w:style w:type="paragraph" w:customStyle="1" w:styleId="AppendixHeading4">
    <w:name w:val="Appendix Heading 4"/>
    <w:basedOn w:val="Heading4"/>
    <w:next w:val="BodyText"/>
    <w:rsid w:val="004821A0"/>
    <w:pPr>
      <w:keepNext/>
      <w:numPr>
        <w:numId w:val="6"/>
      </w:numPr>
      <w:spacing w:line="280" w:lineRule="exact"/>
      <w:outlineLvl w:val="9"/>
    </w:pPr>
    <w:rPr>
      <w:rFonts w:ascii="Times New Roman" w:eastAsia="Times New Roman" w:hAnsi="Times New Roman" w:cs="Times New Roman"/>
      <w:i/>
      <w:color w:val="0C2D83"/>
      <w:sz w:val="24"/>
      <w:szCs w:val="20"/>
      <w:lang w:eastAsia="en-US"/>
    </w:rPr>
  </w:style>
  <w:style w:type="paragraph" w:customStyle="1" w:styleId="AppendixHeading5">
    <w:name w:val="Appendix Heading 5"/>
    <w:basedOn w:val="Heading5"/>
    <w:next w:val="BodyText"/>
    <w:rsid w:val="004821A0"/>
    <w:pPr>
      <w:keepNext/>
      <w:numPr>
        <w:ilvl w:val="0"/>
        <w:numId w:val="0"/>
      </w:numPr>
      <w:outlineLvl w:val="9"/>
    </w:pPr>
    <w:rPr>
      <w:rFonts w:ascii="Times New Roman" w:eastAsia="Times New Roman" w:hAnsi="Times New Roman" w:cs="Times New Roman"/>
      <w:b/>
      <w:i/>
      <w:color w:val="0C2D83"/>
      <w:sz w:val="22"/>
      <w:szCs w:val="20"/>
      <w:lang w:eastAsia="en-US"/>
    </w:rPr>
  </w:style>
  <w:style w:type="paragraph" w:styleId="BodyText3">
    <w:name w:val="Body Text 3"/>
    <w:basedOn w:val="Normal"/>
    <w:link w:val="BodyText3Char"/>
    <w:qFormat/>
    <w:rsid w:val="004821A0"/>
    <w:pPr>
      <w:spacing w:before="0" w:after="0"/>
      <w:ind w:left="142" w:hanging="142"/>
    </w:pPr>
    <w:rPr>
      <w:rFonts w:ascii="Times New Roman" w:eastAsia="Times New Roman" w:hAnsi="Times New Roman" w:cs="Times New Roman"/>
      <w:sz w:val="18"/>
      <w:szCs w:val="16"/>
    </w:rPr>
  </w:style>
  <w:style w:type="character" w:customStyle="1" w:styleId="BodyText3Char">
    <w:name w:val="Body Text 3 Char"/>
    <w:basedOn w:val="DefaultParagraphFont"/>
    <w:link w:val="BodyText3"/>
    <w:rsid w:val="004821A0"/>
    <w:rPr>
      <w:rFonts w:ascii="Times New Roman" w:eastAsia="Times New Roman" w:hAnsi="Times New Roman" w:cs="Times New Roman"/>
      <w:sz w:val="18"/>
      <w:szCs w:val="16"/>
    </w:rPr>
  </w:style>
  <w:style w:type="paragraph" w:styleId="ListBullet4">
    <w:name w:val="List Bullet 4"/>
    <w:basedOn w:val="ListBullet2"/>
    <w:rsid w:val="004821A0"/>
    <w:pPr>
      <w:numPr>
        <w:numId w:val="7"/>
      </w:numPr>
      <w:spacing w:before="130" w:after="130"/>
    </w:pPr>
    <w:rPr>
      <w:rFonts w:ascii="Times New Roman" w:eastAsia="Times New Roman" w:hAnsi="Times New Roman" w:cs="Times New Roman"/>
      <w:sz w:val="18"/>
      <w:lang w:eastAsia="en-US"/>
    </w:rPr>
  </w:style>
  <w:style w:type="paragraph" w:customStyle="1" w:styleId="zDocRevwH2">
    <w:name w:val="zDocRevwH2"/>
    <w:basedOn w:val="Normal"/>
    <w:semiHidden/>
    <w:rsid w:val="004821A0"/>
    <w:pPr>
      <w:spacing w:before="130" w:after="130"/>
    </w:pPr>
    <w:rPr>
      <w:rFonts w:ascii="Times New Roman" w:eastAsia="Times New Roman" w:hAnsi="Times New Roman" w:cs="Times New Roman"/>
      <w:b/>
      <w:sz w:val="28"/>
    </w:rPr>
  </w:style>
  <w:style w:type="paragraph" w:customStyle="1" w:styleId="zDocRevwH1">
    <w:name w:val="zDocRevwH1"/>
    <w:basedOn w:val="Normal"/>
    <w:semiHidden/>
    <w:rsid w:val="004821A0"/>
    <w:pPr>
      <w:spacing w:before="130" w:after="130"/>
    </w:pPr>
    <w:rPr>
      <w:rFonts w:ascii="Times New Roman" w:eastAsia="Times New Roman" w:hAnsi="Times New Roman" w:cs="Times New Roman"/>
      <w:b/>
      <w:sz w:val="32"/>
    </w:rPr>
  </w:style>
  <w:style w:type="character" w:styleId="Strong">
    <w:name w:val="Strong"/>
    <w:basedOn w:val="DefaultParagraphFont"/>
    <w:uiPriority w:val="22"/>
    <w:qFormat/>
    <w:rsid w:val="004821A0"/>
    <w:rPr>
      <w:b/>
      <w:bCs/>
    </w:rPr>
  </w:style>
  <w:style w:type="paragraph" w:styleId="Title">
    <w:name w:val="Title"/>
    <w:basedOn w:val="Normal"/>
    <w:next w:val="Normal"/>
    <w:link w:val="TitleChar"/>
    <w:uiPriority w:val="10"/>
    <w:qFormat/>
    <w:rsid w:val="004821A0"/>
    <w:pPr>
      <w:pBdr>
        <w:bottom w:val="single" w:sz="8" w:space="4" w:color="00338D" w:themeColor="accent1"/>
      </w:pBdr>
      <w:spacing w:before="0" w:after="300"/>
      <w:contextualSpacing/>
    </w:pPr>
    <w:rPr>
      <w:rFonts w:asciiTheme="majorHAnsi" w:eastAsiaTheme="majorEastAsia" w:hAnsiTheme="majorHAnsi" w:cstheme="majorBidi"/>
      <w:color w:val="002669" w:themeColor="text2" w:themeShade="BF"/>
      <w:spacing w:val="5"/>
      <w:kern w:val="28"/>
      <w:sz w:val="52"/>
      <w:szCs w:val="52"/>
    </w:rPr>
  </w:style>
  <w:style w:type="character" w:customStyle="1" w:styleId="TitleChar">
    <w:name w:val="Title Char"/>
    <w:basedOn w:val="DefaultParagraphFont"/>
    <w:link w:val="Title"/>
    <w:uiPriority w:val="10"/>
    <w:rsid w:val="004821A0"/>
    <w:rPr>
      <w:rFonts w:asciiTheme="majorHAnsi" w:eastAsiaTheme="majorEastAsia" w:hAnsiTheme="majorHAnsi" w:cstheme="majorBidi"/>
      <w:color w:val="002669" w:themeColor="text2" w:themeShade="BF"/>
      <w:spacing w:val="5"/>
      <w:kern w:val="28"/>
      <w:sz w:val="52"/>
      <w:szCs w:val="52"/>
    </w:rPr>
  </w:style>
  <w:style w:type="paragraph" w:styleId="Subtitle">
    <w:name w:val="Subtitle"/>
    <w:basedOn w:val="Normal"/>
    <w:next w:val="Normal"/>
    <w:link w:val="SubtitleChar"/>
    <w:rsid w:val="004821A0"/>
    <w:pPr>
      <w:numPr>
        <w:ilvl w:val="1"/>
      </w:numPr>
      <w:spacing w:before="0" w:after="0"/>
    </w:pPr>
    <w:rPr>
      <w:rFonts w:asciiTheme="majorHAnsi" w:eastAsiaTheme="majorEastAsia" w:hAnsiTheme="majorHAnsi" w:cstheme="majorBidi"/>
      <w:i/>
      <w:iCs/>
      <w:color w:val="00338D" w:themeColor="accent1"/>
      <w:spacing w:val="15"/>
      <w:sz w:val="24"/>
      <w:szCs w:val="24"/>
    </w:rPr>
  </w:style>
  <w:style w:type="character" w:customStyle="1" w:styleId="SubtitleChar">
    <w:name w:val="Subtitle Char"/>
    <w:basedOn w:val="DefaultParagraphFont"/>
    <w:link w:val="Subtitle"/>
    <w:rsid w:val="004821A0"/>
    <w:rPr>
      <w:rFonts w:asciiTheme="majorHAnsi" w:eastAsiaTheme="majorEastAsia" w:hAnsiTheme="majorHAnsi" w:cstheme="majorBidi"/>
      <w:i/>
      <w:iCs/>
      <w:color w:val="00338D" w:themeColor="accent1"/>
      <w:spacing w:val="15"/>
      <w:sz w:val="24"/>
      <w:szCs w:val="24"/>
    </w:rPr>
  </w:style>
  <w:style w:type="character" w:styleId="SubtleEmphasis">
    <w:name w:val="Subtle Emphasis"/>
    <w:basedOn w:val="DefaultParagraphFont"/>
    <w:uiPriority w:val="19"/>
    <w:rsid w:val="004821A0"/>
    <w:rPr>
      <w:i/>
      <w:iCs/>
      <w:color w:val="808080" w:themeColor="text1" w:themeTint="7F"/>
    </w:rPr>
  </w:style>
  <w:style w:type="character" w:styleId="IntenseEmphasis">
    <w:name w:val="Intense Emphasis"/>
    <w:basedOn w:val="DefaultParagraphFont"/>
    <w:uiPriority w:val="21"/>
    <w:rsid w:val="004821A0"/>
    <w:rPr>
      <w:b/>
      <w:bCs/>
      <w:i/>
      <w:iCs/>
      <w:color w:val="00338D" w:themeColor="accent1"/>
    </w:rPr>
  </w:style>
  <w:style w:type="paragraph" w:styleId="IntenseQuote">
    <w:name w:val="Intense Quote"/>
    <w:basedOn w:val="Normal"/>
    <w:next w:val="Normal"/>
    <w:link w:val="IntenseQuoteChar"/>
    <w:uiPriority w:val="30"/>
    <w:rsid w:val="004821A0"/>
    <w:pPr>
      <w:pBdr>
        <w:bottom w:val="single" w:sz="4" w:space="4" w:color="00338D" w:themeColor="accent1"/>
      </w:pBdr>
      <w:spacing w:before="200" w:after="280"/>
      <w:ind w:left="936" w:right="936"/>
    </w:pPr>
    <w:rPr>
      <w:rFonts w:ascii="Times New Roman" w:eastAsia="Times New Roman" w:hAnsi="Times New Roman" w:cs="Times New Roman"/>
      <w:b/>
      <w:bCs/>
      <w:i/>
      <w:iCs/>
      <w:color w:val="00338D" w:themeColor="accent1"/>
      <w:sz w:val="22"/>
    </w:rPr>
  </w:style>
  <w:style w:type="character" w:customStyle="1" w:styleId="IntenseQuoteChar">
    <w:name w:val="Intense Quote Char"/>
    <w:basedOn w:val="DefaultParagraphFont"/>
    <w:link w:val="IntenseQuote"/>
    <w:uiPriority w:val="30"/>
    <w:rsid w:val="004821A0"/>
    <w:rPr>
      <w:rFonts w:ascii="Times New Roman" w:eastAsia="Times New Roman" w:hAnsi="Times New Roman" w:cs="Times New Roman"/>
      <w:b/>
      <w:bCs/>
      <w:i/>
      <w:iCs/>
      <w:color w:val="00338D" w:themeColor="accent1"/>
      <w:sz w:val="22"/>
    </w:rPr>
  </w:style>
  <w:style w:type="character" w:styleId="SubtleReference">
    <w:name w:val="Subtle Reference"/>
    <w:basedOn w:val="DefaultParagraphFont"/>
    <w:uiPriority w:val="31"/>
    <w:rsid w:val="004821A0"/>
    <w:rPr>
      <w:smallCaps/>
      <w:color w:val="4066B3" w:themeColor="accent2"/>
      <w:u w:val="single"/>
    </w:rPr>
  </w:style>
  <w:style w:type="character" w:styleId="IntenseReference">
    <w:name w:val="Intense Reference"/>
    <w:basedOn w:val="DefaultParagraphFont"/>
    <w:uiPriority w:val="32"/>
    <w:rsid w:val="004821A0"/>
    <w:rPr>
      <w:b/>
      <w:bCs/>
      <w:smallCaps/>
      <w:color w:val="4066B3" w:themeColor="accent2"/>
      <w:spacing w:val="5"/>
      <w:u w:val="single"/>
    </w:rPr>
  </w:style>
  <w:style w:type="character" w:styleId="BookTitle">
    <w:name w:val="Book Title"/>
    <w:basedOn w:val="DefaultParagraphFont"/>
    <w:uiPriority w:val="33"/>
    <w:qFormat/>
    <w:rsid w:val="004821A0"/>
    <w:rPr>
      <w:b/>
      <w:bCs/>
      <w:smallCaps/>
      <w:spacing w:val="5"/>
    </w:rPr>
  </w:style>
  <w:style w:type="paragraph" w:styleId="NoSpacing">
    <w:name w:val="No Spacing"/>
    <w:link w:val="NoSpacingChar"/>
    <w:uiPriority w:val="1"/>
    <w:qFormat/>
    <w:rsid w:val="004821A0"/>
    <w:pPr>
      <w:spacing w:before="0" w:after="0"/>
    </w:pPr>
    <w:rPr>
      <w:rFonts w:ascii="Times New Roman" w:eastAsia="Times New Roman" w:hAnsi="Times New Roman" w:cs="Times New Roman"/>
      <w:sz w:val="22"/>
    </w:rPr>
  </w:style>
  <w:style w:type="paragraph" w:customStyle="1" w:styleId="Example">
    <w:name w:val="Example"/>
    <w:rsid w:val="004821A0"/>
    <w:pPr>
      <w:widowControl w:val="0"/>
      <w:autoSpaceDE w:val="0"/>
      <w:autoSpaceDN w:val="0"/>
      <w:adjustRightInd w:val="0"/>
      <w:spacing w:before="180" w:after="0"/>
      <w:ind w:left="360"/>
    </w:pPr>
    <w:rPr>
      <w:rFonts w:ascii="Times" w:eastAsia="Times New Roman" w:hAnsi="Times" w:cs="Times New Roman"/>
      <w:i/>
      <w:iCs/>
      <w:sz w:val="24"/>
      <w:szCs w:val="24"/>
      <w:lang w:val="en-US"/>
    </w:rPr>
  </w:style>
  <w:style w:type="paragraph" w:customStyle="1" w:styleId="Default">
    <w:name w:val="Default"/>
    <w:rsid w:val="004821A0"/>
    <w:pPr>
      <w:autoSpaceDE w:val="0"/>
      <w:autoSpaceDN w:val="0"/>
      <w:adjustRightInd w:val="0"/>
      <w:spacing w:before="0" w:after="0"/>
    </w:pPr>
    <w:rPr>
      <w:rFonts w:ascii="Arial" w:eastAsia="Times New Roman" w:hAnsi="Arial"/>
      <w:color w:val="000000"/>
      <w:sz w:val="24"/>
      <w:szCs w:val="24"/>
      <w:lang w:eastAsia="en-AU"/>
    </w:rPr>
  </w:style>
  <w:style w:type="character" w:styleId="FollowedHyperlink">
    <w:name w:val="FollowedHyperlink"/>
    <w:basedOn w:val="DefaultParagraphFont"/>
    <w:uiPriority w:val="99"/>
    <w:rsid w:val="004821A0"/>
    <w:rPr>
      <w:color w:val="EBB700" w:themeColor="followedHyperlink"/>
      <w:u w:val="single"/>
    </w:rPr>
  </w:style>
  <w:style w:type="table" w:styleId="TableClassic3">
    <w:name w:val="Table Classic 3"/>
    <w:basedOn w:val="TableNormal"/>
    <w:rsid w:val="004821A0"/>
    <w:pPr>
      <w:spacing w:before="0" w:after="0"/>
    </w:pPr>
    <w:rPr>
      <w:rFonts w:ascii="Tms Rmn" w:eastAsia="Times New Roman" w:hAnsi="Tms Rm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4821A0"/>
    <w:pPr>
      <w:spacing w:before="0" w:after="0"/>
    </w:pPr>
    <w:rPr>
      <w:rFonts w:ascii="Tms Rmn" w:eastAsia="Times New Roman" w:hAnsi="Tms Rm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4821A0"/>
    <w:pPr>
      <w:spacing w:before="0" w:after="0"/>
    </w:pPr>
    <w:rPr>
      <w:rFonts w:ascii="Tms Rmn" w:eastAsia="Times New Roman" w:hAnsi="Tms Rm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4821A0"/>
    <w:pPr>
      <w:spacing w:before="0" w:after="0"/>
    </w:pPr>
    <w:rPr>
      <w:rFonts w:ascii="Tms Rmn" w:eastAsia="Times New Roman" w:hAnsi="Tms Rm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a9">
    <w:name w:val="Pa9"/>
    <w:basedOn w:val="Default"/>
    <w:next w:val="Default"/>
    <w:uiPriority w:val="99"/>
    <w:rsid w:val="004821A0"/>
    <w:pPr>
      <w:spacing w:line="121" w:lineRule="atLeast"/>
    </w:pPr>
    <w:rPr>
      <w:rFonts w:ascii="Avenir LT Std 35 Light" w:hAnsi="Avenir LT Std 35 Light" w:cs="Times New Roman"/>
      <w:color w:val="auto"/>
    </w:rPr>
  </w:style>
  <w:style w:type="paragraph" w:customStyle="1" w:styleId="Pa10">
    <w:name w:val="Pa10"/>
    <w:basedOn w:val="Default"/>
    <w:next w:val="Default"/>
    <w:uiPriority w:val="99"/>
    <w:rsid w:val="004821A0"/>
    <w:pPr>
      <w:spacing w:line="121" w:lineRule="atLeast"/>
    </w:pPr>
    <w:rPr>
      <w:rFonts w:ascii="Avenir LT Std 35 Light" w:hAnsi="Avenir LT Std 35 Light" w:cs="Times New Roman"/>
      <w:color w:val="auto"/>
    </w:rPr>
  </w:style>
  <w:style w:type="paragraph" w:styleId="NormalWeb">
    <w:name w:val="Normal (Web)"/>
    <w:basedOn w:val="Normal"/>
    <w:uiPriority w:val="99"/>
    <w:unhideWhenUsed/>
    <w:rsid w:val="004821A0"/>
    <w:pPr>
      <w:spacing w:before="0" w:after="0"/>
    </w:pPr>
    <w:rPr>
      <w:rFonts w:ascii="Times New Roman" w:eastAsia="Times New Roman" w:hAnsi="Times New Roman" w:cs="Times New Roman"/>
      <w:sz w:val="24"/>
      <w:szCs w:val="24"/>
      <w:lang w:eastAsia="en-AU"/>
    </w:rPr>
  </w:style>
  <w:style w:type="character" w:customStyle="1" w:styleId="style11">
    <w:name w:val="style11"/>
    <w:basedOn w:val="DefaultParagraphFont"/>
    <w:rsid w:val="004821A0"/>
    <w:rPr>
      <w:rFonts w:ascii="Arial" w:hAnsi="Arial" w:cs="Arial" w:hint="default"/>
    </w:rPr>
  </w:style>
  <w:style w:type="paragraph" w:customStyle="1" w:styleId="StyleBodyText10ptBoldItalic">
    <w:name w:val="Style Body Text + 10 pt Bold Italic"/>
    <w:basedOn w:val="BodyText"/>
    <w:rsid w:val="004821A0"/>
    <w:pPr>
      <w:numPr>
        <w:numId w:val="8"/>
      </w:numPr>
      <w:tabs>
        <w:tab w:val="clear" w:pos="737"/>
      </w:tabs>
      <w:spacing w:before="130" w:after="130"/>
      <w:ind w:left="0" w:firstLine="0"/>
      <w:jc w:val="both"/>
    </w:pPr>
    <w:rPr>
      <w:rFonts w:ascii="Times New Roman Bold" w:eastAsia="Times New Roman" w:hAnsi="Times New Roman Bold" w:cs="Times New Roman"/>
      <w:b/>
      <w:bCs/>
      <w:i/>
      <w:iCs/>
      <w:lang w:eastAsia="en-US"/>
    </w:rPr>
  </w:style>
  <w:style w:type="paragraph" w:customStyle="1" w:styleId="source0">
    <w:name w:val="source"/>
    <w:basedOn w:val="Source"/>
    <w:qFormat/>
    <w:rsid w:val="004821A0"/>
  </w:style>
  <w:style w:type="paragraph" w:styleId="Revision">
    <w:name w:val="Revision"/>
    <w:hidden/>
    <w:uiPriority w:val="99"/>
    <w:semiHidden/>
    <w:rsid w:val="004821A0"/>
    <w:pPr>
      <w:spacing w:before="0" w:after="0"/>
    </w:pPr>
    <w:rPr>
      <w:rFonts w:ascii="Times New Roman" w:eastAsia="Times New Roman" w:hAnsi="Times New Roman" w:cs="Times New Roman"/>
      <w:sz w:val="22"/>
    </w:rPr>
  </w:style>
  <w:style w:type="paragraph" w:customStyle="1" w:styleId="Frontpagesubhead">
    <w:name w:val="Front page subhead"/>
    <w:basedOn w:val="BodyText"/>
    <w:rsid w:val="004821A0"/>
    <w:pPr>
      <w:spacing w:after="0" w:line="280" w:lineRule="atLeast"/>
    </w:pPr>
    <w:rPr>
      <w:rFonts w:ascii="Univers 55" w:eastAsia="Times New Roman" w:hAnsi="Univers 55" w:cs="Times New Roman"/>
      <w:color w:val="0C2D83"/>
      <w:sz w:val="24"/>
      <w:szCs w:val="22"/>
      <w:lang w:eastAsia="en-US"/>
    </w:rPr>
  </w:style>
  <w:style w:type="paragraph" w:customStyle="1" w:styleId="Disclaimer">
    <w:name w:val="_Disclaimer"/>
    <w:basedOn w:val="Normal"/>
    <w:qFormat/>
    <w:rsid w:val="004821A0"/>
    <w:pPr>
      <w:spacing w:before="0" w:after="200"/>
    </w:pPr>
    <w:rPr>
      <w:rFonts w:ascii="Arial" w:hAnsi="Arial" w:cstheme="minorBidi"/>
      <w:color w:val="000000" w:themeColor="text1"/>
      <w:szCs w:val="22"/>
      <w:lang w:val="en-GB"/>
    </w:rPr>
  </w:style>
  <w:style w:type="paragraph" w:customStyle="1" w:styleId="BodyText0">
    <w:name w:val="_Body Text"/>
    <w:basedOn w:val="Normal"/>
    <w:qFormat/>
    <w:rsid w:val="004821A0"/>
    <w:pPr>
      <w:spacing w:before="0" w:after="280" w:line="288" w:lineRule="atLeast"/>
    </w:pPr>
    <w:rPr>
      <w:rFonts w:ascii="Arial" w:hAnsi="Arial" w:cstheme="minorBidi"/>
      <w:color w:val="000000" w:themeColor="text1"/>
      <w:sz w:val="24"/>
      <w:szCs w:val="22"/>
      <w:lang w:val="en-GB"/>
    </w:rPr>
  </w:style>
  <w:style w:type="paragraph" w:customStyle="1" w:styleId="DocumentTitle">
    <w:name w:val="_Document Title"/>
    <w:basedOn w:val="Normal"/>
    <w:qFormat/>
    <w:rsid w:val="004821A0"/>
    <w:pPr>
      <w:spacing w:before="0" w:after="300" w:line="648" w:lineRule="atLeast"/>
    </w:pPr>
    <w:rPr>
      <w:rFonts w:ascii="Arial" w:hAnsi="Arial" w:cstheme="minorBidi"/>
      <w:b/>
      <w:color w:val="FFFFFF" w:themeColor="background1"/>
      <w:sz w:val="60"/>
      <w:szCs w:val="22"/>
      <w:lang w:val="en-GB"/>
    </w:rPr>
  </w:style>
  <w:style w:type="paragraph" w:customStyle="1" w:styleId="ReportDate">
    <w:name w:val="_Report Date"/>
    <w:basedOn w:val="Normal"/>
    <w:qFormat/>
    <w:rsid w:val="004821A0"/>
    <w:pPr>
      <w:spacing w:before="0" w:after="0" w:line="288" w:lineRule="atLeast"/>
    </w:pPr>
    <w:rPr>
      <w:rFonts w:ascii="Arial" w:hAnsi="Arial" w:cstheme="minorBidi"/>
      <w:color w:val="FFFFFF" w:themeColor="background1"/>
      <w:sz w:val="24"/>
      <w:szCs w:val="22"/>
      <w:lang w:val="en-GB"/>
    </w:rPr>
  </w:style>
  <w:style w:type="paragraph" w:customStyle="1" w:styleId="AdditionalInfo">
    <w:name w:val="_Additional Info"/>
    <w:basedOn w:val="BodyText0"/>
    <w:rsid w:val="004821A0"/>
    <w:rPr>
      <w:color w:val="FFFFFF" w:themeColor="background1"/>
    </w:rPr>
  </w:style>
  <w:style w:type="paragraph" w:styleId="TableofFigures">
    <w:name w:val="table of figures"/>
    <w:basedOn w:val="Normal"/>
    <w:next w:val="Normal"/>
    <w:uiPriority w:val="99"/>
    <w:rsid w:val="004821A0"/>
    <w:pPr>
      <w:spacing w:before="0" w:after="0"/>
      <w:ind w:right="567"/>
    </w:pPr>
    <w:rPr>
      <w:rFonts w:ascii="Times New Roman" w:eastAsia="Times New Roman" w:hAnsi="Times New Roman" w:cs="Times New Roman"/>
      <w:sz w:val="22"/>
    </w:rPr>
  </w:style>
  <w:style w:type="paragraph" w:styleId="DocumentMap">
    <w:name w:val="Document Map"/>
    <w:basedOn w:val="Normal"/>
    <w:link w:val="DocumentMapChar"/>
    <w:uiPriority w:val="99"/>
    <w:rsid w:val="004821A0"/>
    <w:pPr>
      <w:spacing w:before="0" w:after="0"/>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4821A0"/>
    <w:rPr>
      <w:rFonts w:ascii="Tahoma" w:eastAsia="Times New Roman" w:hAnsi="Tahoma" w:cs="Tahoma"/>
      <w:sz w:val="16"/>
      <w:szCs w:val="16"/>
    </w:rPr>
  </w:style>
  <w:style w:type="paragraph" w:customStyle="1" w:styleId="Heading40">
    <w:name w:val="|Heading_4"/>
    <w:basedOn w:val="Normal"/>
    <w:next w:val="Normal"/>
    <w:rsid w:val="004821A0"/>
    <w:pPr>
      <w:widowControl w:val="0"/>
      <w:spacing w:after="80"/>
    </w:pPr>
    <w:rPr>
      <w:rFonts w:ascii="Arial" w:eastAsia="Times New Roman" w:hAnsi="Arial" w:cs="Times New Roman"/>
      <w:b/>
      <w:i/>
      <w:noProof/>
      <w:color w:val="000000"/>
      <w:sz w:val="24"/>
      <w:lang w:val="en-US"/>
    </w:rPr>
  </w:style>
  <w:style w:type="paragraph" w:styleId="PlainText">
    <w:name w:val="Plain Text"/>
    <w:basedOn w:val="Normal"/>
    <w:link w:val="PlainTextChar"/>
    <w:uiPriority w:val="99"/>
    <w:unhideWhenUsed/>
    <w:rsid w:val="004821A0"/>
    <w:pPr>
      <w:spacing w:before="0" w:after="0"/>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4821A0"/>
    <w:rPr>
      <w:rFonts w:ascii="Calibri" w:eastAsia="Calibri" w:hAnsi="Calibri" w:cs="Times New Roman"/>
      <w:sz w:val="22"/>
      <w:szCs w:val="21"/>
    </w:rPr>
  </w:style>
  <w:style w:type="table" w:customStyle="1" w:styleId="MediumShading1-Accent11">
    <w:name w:val="Medium Shading 1 - Accent 11"/>
    <w:basedOn w:val="TableNormal"/>
    <w:uiPriority w:val="63"/>
    <w:rsid w:val="004821A0"/>
    <w:pPr>
      <w:spacing w:before="0" w:after="0"/>
    </w:pPr>
    <w:rPr>
      <w:rFonts w:asciiTheme="minorHAnsi" w:hAnsiTheme="minorHAnsi" w:cstheme="minorBidi"/>
      <w:sz w:val="22"/>
      <w:szCs w:val="22"/>
    </w:r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tblBorders>
    </w:tblPr>
    <w:tblStylePr w:type="firstRow">
      <w:pPr>
        <w:spacing w:before="0" w:after="0" w:line="240" w:lineRule="auto"/>
      </w:pPr>
      <w:rPr>
        <w:b/>
        <w:bCs/>
        <w:color w:val="FFFFFF" w:themeColor="background1"/>
      </w:rPr>
      <w:tblPr/>
      <w:tcPr>
        <w:tc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shd w:val="clear" w:color="auto" w:fill="00338D" w:themeFill="accent1"/>
      </w:tcPr>
    </w:tblStylePr>
    <w:tblStylePr w:type="lastRow">
      <w:pPr>
        <w:spacing w:before="0" w:after="0" w:line="240" w:lineRule="auto"/>
      </w:pPr>
      <w:rPr>
        <w:b/>
        <w:bCs/>
      </w:rPr>
      <w:tblPr/>
      <w:tcPr>
        <w:tcBorders>
          <w:top w:val="double" w:sz="6"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4FF" w:themeFill="accent1" w:themeFillTint="3F"/>
      </w:tcPr>
    </w:tblStylePr>
    <w:tblStylePr w:type="band1Horz">
      <w:tblPr/>
      <w:tcPr>
        <w:tcBorders>
          <w:insideH w:val="nil"/>
          <w:insideV w:val="nil"/>
        </w:tcBorders>
        <w:shd w:val="clear" w:color="auto" w:fill="A3C4FF" w:themeFill="accent1" w:themeFillTint="3F"/>
      </w:tcPr>
    </w:tblStylePr>
    <w:tblStylePr w:type="band2Horz">
      <w:tblPr/>
      <w:tcPr>
        <w:tcBorders>
          <w:insideH w:val="nil"/>
          <w:insideV w:val="nil"/>
        </w:tcBorders>
      </w:tcPr>
    </w:tblStylePr>
  </w:style>
  <w:style w:type="paragraph" w:customStyle="1" w:styleId="Numbering">
    <w:name w:val="Numbering"/>
    <w:basedOn w:val="BodyText"/>
    <w:autoRedefine/>
    <w:rsid w:val="004821A0"/>
    <w:pPr>
      <w:numPr>
        <w:numId w:val="9"/>
      </w:numPr>
      <w:spacing w:line="280" w:lineRule="atLeast"/>
      <w:jc w:val="both"/>
    </w:pPr>
    <w:rPr>
      <w:rFonts w:ascii="Calibri" w:eastAsia="Times New Roman" w:hAnsi="Calibri" w:cs="Times New Roman"/>
      <w:sz w:val="21"/>
      <w:szCs w:val="22"/>
      <w:lang w:eastAsia="en-US"/>
    </w:rPr>
  </w:style>
  <w:style w:type="table" w:styleId="TableClassic1">
    <w:name w:val="Table Classic 1"/>
    <w:basedOn w:val="TableNormal"/>
    <w:rsid w:val="004821A0"/>
    <w:pPr>
      <w:spacing w:before="0" w:after="0"/>
    </w:pPr>
    <w:rPr>
      <w:rFonts w:ascii="Tms Rmn" w:eastAsia="Times New Roman" w:hAnsi="Tms Rm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4821A0"/>
    <w:pPr>
      <w:spacing w:before="0" w:after="0"/>
    </w:pPr>
    <w:rPr>
      <w:rFonts w:ascii="Tms Rmn" w:eastAsia="Times New Roman" w:hAnsi="Tms Rm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ghtList1">
    <w:name w:val="Light List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unicode">
    <w:name w:val="unicode"/>
    <w:basedOn w:val="DefaultParagraphFont"/>
    <w:rsid w:val="004821A0"/>
  </w:style>
  <w:style w:type="table" w:styleId="TableProfessional">
    <w:name w:val="Table Professional"/>
    <w:basedOn w:val="TableNormal"/>
    <w:rsid w:val="004821A0"/>
    <w:pPr>
      <w:spacing w:before="0" w:after="0"/>
    </w:pPr>
    <w:rPr>
      <w:rFonts w:ascii="Tms Rmn" w:eastAsia="Times New Roman" w:hAnsi="Tms Rm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text0">
    <w:name w:val="Tabletext"/>
    <w:basedOn w:val="BodyText"/>
    <w:qFormat/>
    <w:rsid w:val="00AE0F36"/>
    <w:pPr>
      <w:keepNext/>
      <w:spacing w:before="40" w:after="40"/>
    </w:pPr>
  </w:style>
  <w:style w:type="paragraph" w:styleId="EndnoteText">
    <w:name w:val="endnote text"/>
    <w:basedOn w:val="Normal"/>
    <w:link w:val="EndnoteTextChar"/>
    <w:rsid w:val="004821A0"/>
    <w:pPr>
      <w:spacing w:before="0" w:after="0"/>
    </w:pPr>
    <w:rPr>
      <w:rFonts w:ascii="Times New Roman" w:eastAsia="Times New Roman" w:hAnsi="Times New Roman" w:cs="Times New Roman"/>
    </w:rPr>
  </w:style>
  <w:style w:type="character" w:customStyle="1" w:styleId="EndnoteTextChar">
    <w:name w:val="Endnote Text Char"/>
    <w:basedOn w:val="DefaultParagraphFont"/>
    <w:link w:val="EndnoteText"/>
    <w:rsid w:val="004821A0"/>
    <w:rPr>
      <w:rFonts w:ascii="Times New Roman" w:eastAsia="Times New Roman" w:hAnsi="Times New Roman" w:cs="Times New Roman"/>
    </w:rPr>
  </w:style>
  <w:style w:type="character" w:styleId="EndnoteReference">
    <w:name w:val="endnote reference"/>
    <w:basedOn w:val="DefaultParagraphFont"/>
    <w:rsid w:val="004821A0"/>
    <w:rPr>
      <w:vertAlign w:val="superscript"/>
    </w:rPr>
  </w:style>
  <w:style w:type="character" w:customStyle="1" w:styleId="apple-converted-space">
    <w:name w:val="apple-converted-space"/>
    <w:basedOn w:val="DefaultParagraphFont"/>
    <w:rsid w:val="004821A0"/>
  </w:style>
  <w:style w:type="table" w:customStyle="1" w:styleId="LightList-Accent11">
    <w:name w:val="Light List - Accent 1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paragraph" w:customStyle="1" w:styleId="copyright">
    <w:name w:val="copyright"/>
    <w:basedOn w:val="Disclaimer"/>
    <w:qFormat/>
    <w:rsid w:val="004821A0"/>
    <w:pPr>
      <w:spacing w:afterLines="20"/>
      <w:ind w:left="567" w:right="567"/>
      <w:jc w:val="center"/>
    </w:pPr>
    <w:rPr>
      <w:rFonts w:ascii="Times New Roman" w:hAnsi="Times New Roman" w:cs="Times New Roman"/>
      <w:color w:val="00338D" w:themeColor="text2"/>
      <w:sz w:val="12"/>
      <w:szCs w:val="12"/>
    </w:rPr>
  </w:style>
  <w:style w:type="paragraph" w:customStyle="1" w:styleId="Tablebullet1">
    <w:name w:val="Tablebullet1"/>
    <w:basedOn w:val="BodyText"/>
    <w:qFormat/>
    <w:rsid w:val="004821A0"/>
    <w:pPr>
      <w:numPr>
        <w:numId w:val="10"/>
      </w:numPr>
      <w:spacing w:before="40" w:after="40"/>
    </w:pPr>
    <w:rPr>
      <w:rFonts w:ascii="Times New Roman" w:eastAsia="Times New Roman" w:hAnsi="Times New Roman" w:cs="Times New Roman"/>
      <w:bCs/>
      <w:lang w:eastAsia="en-US"/>
    </w:rPr>
  </w:style>
  <w:style w:type="character" w:customStyle="1" w:styleId="st1">
    <w:name w:val="st1"/>
    <w:basedOn w:val="DefaultParagraphFont"/>
    <w:rsid w:val="004821A0"/>
  </w:style>
  <w:style w:type="table" w:customStyle="1" w:styleId="KPMGtable1">
    <w:name w:val="KPMG_table1"/>
    <w:basedOn w:val="TableNormal"/>
    <w:uiPriority w:val="99"/>
    <w:qFormat/>
    <w:rsid w:val="004821A0"/>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paragraph" w:styleId="TOCHeading">
    <w:name w:val="TOC Heading"/>
    <w:basedOn w:val="Heading1"/>
    <w:next w:val="Normal"/>
    <w:uiPriority w:val="39"/>
    <w:unhideWhenUsed/>
    <w:qFormat/>
    <w:rsid w:val="004821A0"/>
    <w:pPr>
      <w:keepNext/>
      <w:keepLines/>
      <w:pageBreakBefore w:val="0"/>
      <w:numPr>
        <w:numId w:val="0"/>
      </w:numPr>
      <w:spacing w:before="480" w:after="0" w:line="276" w:lineRule="auto"/>
      <w:outlineLvl w:val="9"/>
    </w:pPr>
    <w:rPr>
      <w:rFonts w:asciiTheme="majorHAnsi" w:eastAsiaTheme="majorEastAsia" w:hAnsiTheme="majorHAnsi" w:cstheme="majorBidi"/>
      <w:bCs/>
      <w:color w:val="002669" w:themeColor="accent1" w:themeShade="BF"/>
      <w:sz w:val="28"/>
      <w:szCs w:val="28"/>
      <w:lang w:val="en-US" w:eastAsia="en-US"/>
    </w:rPr>
  </w:style>
  <w:style w:type="character" w:customStyle="1" w:styleId="Listbullet1Char">
    <w:name w:val="List bullet 1 Char"/>
    <w:link w:val="Listbullet1"/>
    <w:locked/>
    <w:rsid w:val="00063F0B"/>
    <w:rPr>
      <w:rFonts w:asciiTheme="minorHAnsi" w:eastAsia="Batang" w:hAnsiTheme="minorHAnsi"/>
      <w:lang w:eastAsia="ko-KR"/>
    </w:rPr>
  </w:style>
  <w:style w:type="paragraph" w:customStyle="1" w:styleId="Listbullet1">
    <w:name w:val="List bullet 1"/>
    <w:basedOn w:val="BodyText"/>
    <w:link w:val="Listbullet1Char"/>
    <w:qFormat/>
    <w:rsid w:val="00063F0B"/>
    <w:pPr>
      <w:numPr>
        <w:numId w:val="13"/>
      </w:numPr>
    </w:pPr>
  </w:style>
  <w:style w:type="paragraph" w:customStyle="1" w:styleId="HeadingLevel4NoNumber">
    <w:name w:val="HeadingLevel4NoNumber"/>
    <w:basedOn w:val="BodyText"/>
    <w:next w:val="BodyText"/>
    <w:qFormat/>
    <w:rsid w:val="00063F0B"/>
    <w:pPr>
      <w:keepNext/>
      <w:pBdr>
        <w:left w:val="single" w:sz="18" w:space="4" w:color="C7D6E9" w:themeColor="accent3" w:themeTint="66"/>
      </w:pBdr>
    </w:pPr>
    <w:rPr>
      <w:b/>
    </w:rPr>
  </w:style>
  <w:style w:type="character" w:customStyle="1" w:styleId="ImplicationsChar">
    <w:name w:val="Implications Char"/>
    <w:basedOn w:val="BodyTextChar"/>
    <w:link w:val="Implications"/>
    <w:locked/>
    <w:rsid w:val="00063F0B"/>
    <w:rPr>
      <w:rFonts w:asciiTheme="minorHAnsi" w:eastAsia="Batang" w:hAnsiTheme="minorHAnsi"/>
      <w:i/>
      <w:sz w:val="20"/>
      <w:lang w:val="en-US" w:eastAsia="ko-KR"/>
    </w:rPr>
  </w:style>
  <w:style w:type="paragraph" w:customStyle="1" w:styleId="Implications">
    <w:name w:val="Implications"/>
    <w:basedOn w:val="BodyText"/>
    <w:link w:val="ImplicationsChar"/>
    <w:qFormat/>
    <w:rsid w:val="00063F0B"/>
    <w:pPr>
      <w:keepNext/>
    </w:pPr>
    <w:rPr>
      <w:i/>
      <w:lang w:val="en-US"/>
    </w:rPr>
  </w:style>
  <w:style w:type="table" w:customStyle="1" w:styleId="GridTable1LightAccent1">
    <w:name w:val="Grid Table 1 Light Accent 1"/>
    <w:basedOn w:val="TableNormal"/>
    <w:uiPriority w:val="46"/>
    <w:rsid w:val="009F2799"/>
    <w:pPr>
      <w:spacing w:after="0"/>
    </w:pPr>
    <w:tblPr>
      <w:tblStyleRowBandSize w:val="1"/>
      <w:tblStyleColBandSize w:val="1"/>
      <w:tblBorders>
        <w:top w:val="single" w:sz="4" w:space="0" w:color="6BA0FF" w:themeColor="accent1" w:themeTint="66"/>
        <w:left w:val="single" w:sz="4" w:space="0" w:color="6BA0FF" w:themeColor="accent1" w:themeTint="66"/>
        <w:bottom w:val="single" w:sz="4" w:space="0" w:color="6BA0FF" w:themeColor="accent1" w:themeTint="66"/>
        <w:right w:val="single" w:sz="4" w:space="0" w:color="6BA0FF" w:themeColor="accent1" w:themeTint="66"/>
        <w:insideH w:val="single" w:sz="4" w:space="0" w:color="6BA0FF" w:themeColor="accent1" w:themeTint="66"/>
        <w:insideV w:val="single" w:sz="4" w:space="0" w:color="6BA0FF" w:themeColor="accent1" w:themeTint="66"/>
      </w:tblBorders>
    </w:tblPr>
    <w:tblStylePr w:type="firstRow">
      <w:rPr>
        <w:b/>
        <w:bCs/>
      </w:rPr>
      <w:tblPr/>
      <w:tcPr>
        <w:tcBorders>
          <w:bottom w:val="single" w:sz="12" w:space="0" w:color="2171FF" w:themeColor="accent1" w:themeTint="99"/>
        </w:tcBorders>
      </w:tcPr>
    </w:tblStylePr>
    <w:tblStylePr w:type="lastRow">
      <w:rPr>
        <w:b/>
        <w:bCs/>
      </w:rPr>
      <w:tblPr/>
      <w:tcPr>
        <w:tcBorders>
          <w:top w:val="double" w:sz="2" w:space="0" w:color="2171FF" w:themeColor="accent1" w:themeTint="99"/>
        </w:tcBorders>
      </w:tcPr>
    </w:tblStylePr>
    <w:tblStylePr w:type="firstCol">
      <w:rPr>
        <w:b/>
        <w:bCs/>
      </w:rPr>
    </w:tblStylePr>
    <w:tblStylePr w:type="lastCol">
      <w:rPr>
        <w:b/>
        <w:bCs/>
      </w:rPr>
    </w:tblStylePr>
  </w:style>
  <w:style w:type="paragraph" w:customStyle="1" w:styleId="Heading30">
    <w:name w:val="_Heading 3"/>
    <w:basedOn w:val="Normal"/>
    <w:next w:val="BodyText0"/>
    <w:qFormat/>
    <w:rsid w:val="00D104E9"/>
    <w:pPr>
      <w:spacing w:before="240"/>
    </w:pPr>
    <w:rPr>
      <w:rFonts w:ascii="Univers 45 Light" w:eastAsia="Calibri" w:hAnsi="Univers 45 Light" w:cs="Times New Roman"/>
      <w:b/>
      <w:color w:val="00338D"/>
      <w:sz w:val="24"/>
      <w:szCs w:val="22"/>
      <w:lang w:val="en-GB"/>
    </w:rPr>
  </w:style>
  <w:style w:type="table" w:customStyle="1" w:styleId="GridTable5DarkAccent5">
    <w:name w:val="Grid Table 5 Dark Accent 5"/>
    <w:basedOn w:val="TableNormal"/>
    <w:uiPriority w:val="50"/>
    <w:rsid w:val="004A6712"/>
    <w:pPr>
      <w:spacing w:before="0" w:after="0"/>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768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768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768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7680" w:themeFill="accent5"/>
      </w:tcPr>
    </w:tblStylePr>
    <w:tblStylePr w:type="band1Vert">
      <w:tblPr/>
      <w:tcPr>
        <w:shd w:val="clear" w:color="auto" w:fill="C7C7CC" w:themeFill="accent5" w:themeFillTint="66"/>
      </w:tcPr>
    </w:tblStylePr>
    <w:tblStylePr w:type="band1Horz">
      <w:tblPr/>
      <w:tcPr>
        <w:shd w:val="clear" w:color="auto" w:fill="C7C7CC" w:themeFill="accent5" w:themeFillTint="66"/>
      </w:tcPr>
    </w:tblStylePr>
  </w:style>
  <w:style w:type="table" w:customStyle="1" w:styleId="GridTable4Accent5">
    <w:name w:val="Grid Table 4 Accent 5"/>
    <w:basedOn w:val="TableNormal"/>
    <w:uiPriority w:val="49"/>
    <w:rsid w:val="004A6712"/>
    <w:pPr>
      <w:spacing w:before="0" w:after="0"/>
    </w:pPr>
    <w:rPr>
      <w:rFonts w:asciiTheme="minorHAnsi" w:hAnsiTheme="minorHAnsi" w:cstheme="minorBidi"/>
      <w:sz w:val="22"/>
      <w:szCs w:val="22"/>
    </w:rPr>
    <w:tblPr>
      <w:tblStyleRowBandSize w:val="1"/>
      <w:tblStyleColBandSize w:val="1"/>
      <w:tblBorders>
        <w:top w:val="single" w:sz="4" w:space="0" w:color="ABACB3" w:themeColor="accent5" w:themeTint="99"/>
        <w:left w:val="single" w:sz="4" w:space="0" w:color="ABACB3" w:themeColor="accent5" w:themeTint="99"/>
        <w:bottom w:val="single" w:sz="4" w:space="0" w:color="ABACB3" w:themeColor="accent5" w:themeTint="99"/>
        <w:right w:val="single" w:sz="4" w:space="0" w:color="ABACB3" w:themeColor="accent5" w:themeTint="99"/>
        <w:insideH w:val="single" w:sz="4" w:space="0" w:color="ABACB3" w:themeColor="accent5" w:themeTint="99"/>
        <w:insideV w:val="single" w:sz="4" w:space="0" w:color="ABACB3" w:themeColor="accent5" w:themeTint="99"/>
      </w:tblBorders>
    </w:tblPr>
    <w:tblStylePr w:type="firstRow">
      <w:rPr>
        <w:b/>
        <w:bCs/>
        <w:color w:val="FFFFFF" w:themeColor="background1"/>
      </w:rPr>
      <w:tblPr/>
      <w:tcPr>
        <w:tcBorders>
          <w:top w:val="single" w:sz="4" w:space="0" w:color="747680" w:themeColor="accent5"/>
          <w:left w:val="single" w:sz="4" w:space="0" w:color="747680" w:themeColor="accent5"/>
          <w:bottom w:val="single" w:sz="4" w:space="0" w:color="747680" w:themeColor="accent5"/>
          <w:right w:val="single" w:sz="4" w:space="0" w:color="747680" w:themeColor="accent5"/>
          <w:insideH w:val="nil"/>
          <w:insideV w:val="nil"/>
        </w:tcBorders>
        <w:shd w:val="clear" w:color="auto" w:fill="747680" w:themeFill="accent5"/>
      </w:tcPr>
    </w:tblStylePr>
    <w:tblStylePr w:type="lastRow">
      <w:rPr>
        <w:b/>
        <w:bCs/>
      </w:rPr>
      <w:tblPr/>
      <w:tcPr>
        <w:tcBorders>
          <w:top w:val="double" w:sz="4" w:space="0" w:color="747680" w:themeColor="accent5"/>
        </w:tcBorders>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table" w:customStyle="1" w:styleId="GridTable1LightAccent5">
    <w:name w:val="Grid Table 1 Light Accent 5"/>
    <w:basedOn w:val="TableNormal"/>
    <w:uiPriority w:val="46"/>
    <w:rsid w:val="004A6712"/>
    <w:pPr>
      <w:spacing w:before="0" w:after="0"/>
    </w:pPr>
    <w:rPr>
      <w:rFonts w:asciiTheme="minorHAnsi" w:hAnsiTheme="minorHAnsi" w:cstheme="minorBidi"/>
      <w:sz w:val="22"/>
      <w:szCs w:val="22"/>
    </w:rPr>
    <w:tblPr>
      <w:tblStyleRowBandSize w:val="1"/>
      <w:tblStyleColBandSize w:val="1"/>
      <w:tblBorders>
        <w:top w:val="single" w:sz="4" w:space="0" w:color="C7C7CC" w:themeColor="accent5" w:themeTint="66"/>
        <w:left w:val="single" w:sz="4" w:space="0" w:color="C7C7CC" w:themeColor="accent5" w:themeTint="66"/>
        <w:bottom w:val="single" w:sz="4" w:space="0" w:color="C7C7CC" w:themeColor="accent5" w:themeTint="66"/>
        <w:right w:val="single" w:sz="4" w:space="0" w:color="C7C7CC" w:themeColor="accent5" w:themeTint="66"/>
        <w:insideH w:val="single" w:sz="4" w:space="0" w:color="C7C7CC" w:themeColor="accent5" w:themeTint="66"/>
        <w:insideV w:val="single" w:sz="4" w:space="0" w:color="C7C7CC" w:themeColor="accent5" w:themeTint="66"/>
      </w:tblBorders>
    </w:tblPr>
    <w:tblStylePr w:type="firstRow">
      <w:rPr>
        <w:b/>
        <w:bCs/>
      </w:rPr>
      <w:tblPr/>
      <w:tcPr>
        <w:tcBorders>
          <w:bottom w:val="single" w:sz="12" w:space="0" w:color="ABACB3" w:themeColor="accent5" w:themeTint="99"/>
        </w:tcBorders>
      </w:tcPr>
    </w:tblStylePr>
    <w:tblStylePr w:type="lastRow">
      <w:rPr>
        <w:b/>
        <w:bCs/>
      </w:rPr>
      <w:tblPr/>
      <w:tcPr>
        <w:tcBorders>
          <w:top w:val="double" w:sz="2" w:space="0" w:color="ABACB3"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4A6712"/>
    <w:pPr>
      <w:spacing w:before="0" w:after="0"/>
    </w:pPr>
    <w:rPr>
      <w:rFonts w:asciiTheme="minorHAnsi" w:hAnsiTheme="minorHAnsi" w:cstheme="minorBidi"/>
      <w:sz w:val="22"/>
      <w:szCs w:val="22"/>
    </w:rPr>
    <w:tblPr>
      <w:tblStyleRowBandSize w:val="1"/>
      <w:tblStyleColBandSize w:val="1"/>
      <w:tblBorders>
        <w:top w:val="single" w:sz="2" w:space="0" w:color="ABACB3" w:themeColor="accent5" w:themeTint="99"/>
        <w:bottom w:val="single" w:sz="2" w:space="0" w:color="ABACB3" w:themeColor="accent5" w:themeTint="99"/>
        <w:insideH w:val="single" w:sz="2" w:space="0" w:color="ABACB3" w:themeColor="accent5" w:themeTint="99"/>
        <w:insideV w:val="single" w:sz="2" w:space="0" w:color="ABACB3" w:themeColor="accent5" w:themeTint="99"/>
      </w:tblBorders>
    </w:tblPr>
    <w:tblStylePr w:type="firstRow">
      <w:rPr>
        <w:b/>
        <w:bCs/>
      </w:rPr>
      <w:tblPr/>
      <w:tcPr>
        <w:tcBorders>
          <w:top w:val="nil"/>
          <w:bottom w:val="single" w:sz="12" w:space="0" w:color="ABACB3" w:themeColor="accent5" w:themeTint="99"/>
          <w:insideH w:val="nil"/>
          <w:insideV w:val="nil"/>
        </w:tcBorders>
        <w:shd w:val="clear" w:color="auto" w:fill="FFFFFF" w:themeFill="background1"/>
      </w:tcPr>
    </w:tblStylePr>
    <w:tblStylePr w:type="lastRow">
      <w:rPr>
        <w:b/>
        <w:bCs/>
      </w:rPr>
      <w:tblPr/>
      <w:tcPr>
        <w:tcBorders>
          <w:top w:val="double" w:sz="2" w:space="0" w:color="ABACB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table" w:customStyle="1" w:styleId="PlainTable4">
    <w:name w:val="Plain Table 4"/>
    <w:basedOn w:val="TableNormal"/>
    <w:uiPriority w:val="44"/>
    <w:rsid w:val="004A6712"/>
    <w:pPr>
      <w:spacing w:before="0" w:after="0"/>
    </w:pPr>
    <w:rPr>
      <w:rFonts w:ascii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
    <w:name w:val="List Table 1 Light Accent 5"/>
    <w:basedOn w:val="TableNormal"/>
    <w:uiPriority w:val="46"/>
    <w:rsid w:val="004A6712"/>
    <w:pPr>
      <w:spacing w:before="0" w:after="0"/>
    </w:pPr>
    <w:rPr>
      <w:rFonts w:asciiTheme="minorHAnsi" w:hAnsiTheme="minorHAnsi" w:cstheme="minorBidi"/>
      <w:sz w:val="22"/>
      <w:szCs w:val="22"/>
    </w:rPr>
    <w:tblPr>
      <w:tblStyleRowBandSize w:val="1"/>
      <w:tblStyleColBandSize w:val="1"/>
    </w:tblPr>
    <w:tblStylePr w:type="firstRow">
      <w:rPr>
        <w:b/>
        <w:bCs/>
      </w:rPr>
      <w:tblPr/>
      <w:tcPr>
        <w:tcBorders>
          <w:bottom w:val="single" w:sz="4" w:space="0" w:color="ABACB3" w:themeColor="accent5" w:themeTint="99"/>
        </w:tcBorders>
      </w:tcPr>
    </w:tblStylePr>
    <w:tblStylePr w:type="lastRow">
      <w:rPr>
        <w:b/>
        <w:bCs/>
      </w:rPr>
      <w:tblPr/>
      <w:tcPr>
        <w:tcBorders>
          <w:top w:val="single" w:sz="4" w:space="0" w:color="ABACB3" w:themeColor="accent5" w:themeTint="99"/>
        </w:tcBorders>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table" w:customStyle="1" w:styleId="GridTable3Accent5">
    <w:name w:val="Grid Table 3 Accent 5"/>
    <w:basedOn w:val="TableNormal"/>
    <w:uiPriority w:val="48"/>
    <w:rsid w:val="004A6712"/>
    <w:pPr>
      <w:spacing w:before="0" w:after="0"/>
    </w:pPr>
    <w:rPr>
      <w:rFonts w:asciiTheme="minorHAnsi" w:hAnsiTheme="minorHAnsi" w:cstheme="minorBidi"/>
      <w:sz w:val="22"/>
      <w:szCs w:val="22"/>
    </w:rPr>
    <w:tblPr>
      <w:tblStyleRowBandSize w:val="1"/>
      <w:tblStyleColBandSize w:val="1"/>
      <w:tblBorders>
        <w:top w:val="single" w:sz="4" w:space="0" w:color="ABACB3" w:themeColor="accent5" w:themeTint="99"/>
        <w:left w:val="single" w:sz="4" w:space="0" w:color="ABACB3" w:themeColor="accent5" w:themeTint="99"/>
        <w:bottom w:val="single" w:sz="4" w:space="0" w:color="ABACB3" w:themeColor="accent5" w:themeTint="99"/>
        <w:right w:val="single" w:sz="4" w:space="0" w:color="ABACB3" w:themeColor="accent5" w:themeTint="99"/>
        <w:insideH w:val="single" w:sz="4" w:space="0" w:color="ABACB3" w:themeColor="accent5" w:themeTint="99"/>
        <w:insideV w:val="single" w:sz="4" w:space="0" w:color="ABAC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5" w:themeFill="accent5" w:themeFillTint="33"/>
      </w:tcPr>
    </w:tblStylePr>
    <w:tblStylePr w:type="band1Horz">
      <w:tblPr/>
      <w:tcPr>
        <w:shd w:val="clear" w:color="auto" w:fill="E3E3E5" w:themeFill="accent5" w:themeFillTint="33"/>
      </w:tcPr>
    </w:tblStylePr>
    <w:tblStylePr w:type="neCell">
      <w:tblPr/>
      <w:tcPr>
        <w:tcBorders>
          <w:bottom w:val="single" w:sz="4" w:space="0" w:color="ABACB3" w:themeColor="accent5" w:themeTint="99"/>
        </w:tcBorders>
      </w:tcPr>
    </w:tblStylePr>
    <w:tblStylePr w:type="nwCell">
      <w:tblPr/>
      <w:tcPr>
        <w:tcBorders>
          <w:bottom w:val="single" w:sz="4" w:space="0" w:color="ABACB3" w:themeColor="accent5" w:themeTint="99"/>
        </w:tcBorders>
      </w:tcPr>
    </w:tblStylePr>
    <w:tblStylePr w:type="seCell">
      <w:tblPr/>
      <w:tcPr>
        <w:tcBorders>
          <w:top w:val="single" w:sz="4" w:space="0" w:color="ABACB3" w:themeColor="accent5" w:themeTint="99"/>
        </w:tcBorders>
      </w:tcPr>
    </w:tblStylePr>
    <w:tblStylePr w:type="swCell">
      <w:tblPr/>
      <w:tcPr>
        <w:tcBorders>
          <w:top w:val="single" w:sz="4" w:space="0" w:color="ABACB3" w:themeColor="accent5" w:themeTint="99"/>
        </w:tcBorders>
      </w:tcPr>
    </w:tblStylePr>
  </w:style>
  <w:style w:type="paragraph" w:customStyle="1" w:styleId="Pa6">
    <w:name w:val="Pa6"/>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paragraph" w:customStyle="1" w:styleId="Pa14">
    <w:name w:val="Pa14"/>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paragraph" w:customStyle="1" w:styleId="Pa17">
    <w:name w:val="Pa17"/>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paragraph" w:customStyle="1" w:styleId="Pa13">
    <w:name w:val="Pa13"/>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table" w:customStyle="1" w:styleId="ListTable5DarkAccent5">
    <w:name w:val="List Table 5 Dark Accent 5"/>
    <w:basedOn w:val="TableNormal"/>
    <w:uiPriority w:val="50"/>
    <w:rsid w:val="004A6712"/>
    <w:pPr>
      <w:spacing w:before="0" w:after="0"/>
    </w:pPr>
    <w:rPr>
      <w:rFonts w:asciiTheme="minorHAnsi" w:hAnsiTheme="minorHAnsi" w:cstheme="minorBidi"/>
      <w:color w:val="FFFFFF" w:themeColor="background1"/>
      <w:sz w:val="22"/>
      <w:szCs w:val="22"/>
    </w:rPr>
    <w:tblPr>
      <w:tblStyleRowBandSize w:val="1"/>
      <w:tblStyleColBandSize w:val="1"/>
      <w:tblBorders>
        <w:top w:val="single" w:sz="24" w:space="0" w:color="747680" w:themeColor="accent5"/>
        <w:left w:val="single" w:sz="24" w:space="0" w:color="747680" w:themeColor="accent5"/>
        <w:bottom w:val="single" w:sz="24" w:space="0" w:color="747680" w:themeColor="accent5"/>
        <w:right w:val="single" w:sz="24" w:space="0" w:color="747680" w:themeColor="accent5"/>
      </w:tblBorders>
    </w:tblPr>
    <w:tcPr>
      <w:shd w:val="clear" w:color="auto" w:fill="74768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Light">
    <w:name w:val="Grid Table Light"/>
    <w:basedOn w:val="TableNormal"/>
    <w:uiPriority w:val="40"/>
    <w:rsid w:val="004A6712"/>
    <w:pPr>
      <w:spacing w:before="0" w:after="0"/>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4A6712"/>
    <w:rPr>
      <w:rFonts w:ascii="Times New Roman" w:eastAsia="Times New Roman" w:hAnsi="Times New Roman" w:cs="Times New Roman"/>
      <w:sz w:val="22"/>
    </w:rPr>
  </w:style>
  <w:style w:type="table" w:customStyle="1" w:styleId="GridTable1LightAccent4">
    <w:name w:val="Grid Table 1 Light Accent 4"/>
    <w:basedOn w:val="TableNormal"/>
    <w:uiPriority w:val="46"/>
    <w:rsid w:val="00E10D99"/>
    <w:pPr>
      <w:spacing w:after="0"/>
    </w:pPr>
    <w:tblPr>
      <w:tblStyleRowBandSize w:val="1"/>
      <w:tblStyleColBandSize w:val="1"/>
      <w:tblBorders>
        <w:top w:val="single" w:sz="4" w:space="0" w:color="E4EAF4" w:themeColor="accent4" w:themeTint="66"/>
        <w:left w:val="single" w:sz="4" w:space="0" w:color="E4EAF4" w:themeColor="accent4" w:themeTint="66"/>
        <w:bottom w:val="single" w:sz="4" w:space="0" w:color="E4EAF4" w:themeColor="accent4" w:themeTint="66"/>
        <w:right w:val="single" w:sz="4" w:space="0" w:color="E4EAF4" w:themeColor="accent4" w:themeTint="66"/>
        <w:insideH w:val="single" w:sz="4" w:space="0" w:color="E4EAF4" w:themeColor="accent4" w:themeTint="66"/>
        <w:insideV w:val="single" w:sz="4" w:space="0" w:color="E4EAF4" w:themeColor="accent4" w:themeTint="66"/>
      </w:tblBorders>
    </w:tblPr>
    <w:tblStylePr w:type="firstRow">
      <w:rPr>
        <w:b/>
        <w:bCs/>
      </w:rPr>
      <w:tblPr/>
      <w:tcPr>
        <w:tcBorders>
          <w:bottom w:val="single" w:sz="12" w:space="0" w:color="D6E0EF" w:themeColor="accent4" w:themeTint="99"/>
        </w:tcBorders>
      </w:tcPr>
    </w:tblStylePr>
    <w:tblStylePr w:type="lastRow">
      <w:rPr>
        <w:b/>
        <w:bCs/>
      </w:rPr>
      <w:tblPr/>
      <w:tcPr>
        <w:tcBorders>
          <w:top w:val="double" w:sz="2" w:space="0" w:color="D6E0EF" w:themeColor="accent4"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E10D99"/>
    <w:pPr>
      <w:spacing w:after="0"/>
    </w:pPr>
    <w:tblPr>
      <w:tblStyleRowBandSize w:val="1"/>
      <w:tblStyleColBandSize w:val="1"/>
      <w:tblBorders>
        <w:top w:val="single" w:sz="4" w:space="0" w:color="B0C0E2" w:themeColor="accent2" w:themeTint="66"/>
        <w:left w:val="single" w:sz="4" w:space="0" w:color="B0C0E2" w:themeColor="accent2" w:themeTint="66"/>
        <w:bottom w:val="single" w:sz="4" w:space="0" w:color="B0C0E2" w:themeColor="accent2" w:themeTint="66"/>
        <w:right w:val="single" w:sz="4" w:space="0" w:color="B0C0E2" w:themeColor="accent2" w:themeTint="66"/>
        <w:insideH w:val="single" w:sz="4" w:space="0" w:color="B0C0E2" w:themeColor="accent2" w:themeTint="66"/>
        <w:insideV w:val="single" w:sz="4" w:space="0" w:color="B0C0E2" w:themeColor="accent2" w:themeTint="66"/>
      </w:tblBorders>
    </w:tblPr>
    <w:tblStylePr w:type="firstRow">
      <w:rPr>
        <w:b/>
        <w:bCs/>
      </w:rPr>
      <w:tblPr/>
      <w:tcPr>
        <w:tcBorders>
          <w:bottom w:val="single" w:sz="12" w:space="0" w:color="88A1D4" w:themeColor="accent2" w:themeTint="99"/>
        </w:tcBorders>
      </w:tcPr>
    </w:tblStylePr>
    <w:tblStylePr w:type="lastRow">
      <w:rPr>
        <w:b/>
        <w:bCs/>
      </w:rPr>
      <w:tblPr/>
      <w:tcPr>
        <w:tcBorders>
          <w:top w:val="double" w:sz="2" w:space="0" w:color="88A1D4" w:themeColor="accent2" w:themeTint="99"/>
        </w:tcBorders>
      </w:tcPr>
    </w:tblStylePr>
    <w:tblStylePr w:type="firstCol">
      <w:rPr>
        <w:b/>
        <w:bCs/>
      </w:rPr>
    </w:tblStylePr>
    <w:tblStylePr w:type="lastCol">
      <w:rPr>
        <w:b/>
        <w:bCs/>
      </w:rPr>
    </w:tblStylePr>
  </w:style>
  <w:style w:type="paragraph" w:customStyle="1" w:styleId="BodyBullet">
    <w:name w:val="Body Bullet"/>
    <w:link w:val="BodyBulletChar"/>
    <w:qFormat/>
    <w:rsid w:val="00F114D2"/>
    <w:pPr>
      <w:numPr>
        <w:numId w:val="18"/>
      </w:numPr>
      <w:spacing w:before="80" w:after="80"/>
    </w:pPr>
    <w:rPr>
      <w:rFonts w:asciiTheme="minorHAnsi" w:eastAsia="Times New Roman" w:hAnsiTheme="minorHAnsi" w:cs="Times New Roman"/>
      <w:szCs w:val="24"/>
      <w:lang w:eastAsia="en-AU"/>
    </w:rPr>
  </w:style>
  <w:style w:type="character" w:customStyle="1" w:styleId="BodyBulletChar">
    <w:name w:val="Body Bullet Char"/>
    <w:basedOn w:val="BodyTextChar"/>
    <w:link w:val="BodyBullet"/>
    <w:rsid w:val="00F114D2"/>
    <w:rPr>
      <w:rFonts w:asciiTheme="minorHAnsi" w:eastAsia="Times New Roman" w:hAnsiTheme="minorHAnsi" w:cs="Times New Roman"/>
      <w:sz w:val="20"/>
      <w:szCs w:val="24"/>
      <w:lang w:eastAsia="en-AU"/>
    </w:rPr>
  </w:style>
  <w:style w:type="table" w:customStyle="1" w:styleId="GridTable4Accent2">
    <w:name w:val="Grid Table 4 Accent 2"/>
    <w:basedOn w:val="TableNormal"/>
    <w:uiPriority w:val="49"/>
    <w:rsid w:val="005014C3"/>
    <w:pPr>
      <w:spacing w:after="0"/>
    </w:pPr>
    <w:tblPr>
      <w:tblStyleRowBandSize w:val="1"/>
      <w:tblStyleColBandSize w:val="1"/>
      <w:tblBorders>
        <w:top w:val="single" w:sz="4" w:space="0" w:color="88A1D4" w:themeColor="accent2" w:themeTint="99"/>
        <w:left w:val="single" w:sz="4" w:space="0" w:color="88A1D4" w:themeColor="accent2" w:themeTint="99"/>
        <w:bottom w:val="single" w:sz="4" w:space="0" w:color="88A1D4" w:themeColor="accent2" w:themeTint="99"/>
        <w:right w:val="single" w:sz="4" w:space="0" w:color="88A1D4" w:themeColor="accent2" w:themeTint="99"/>
        <w:insideH w:val="single" w:sz="4" w:space="0" w:color="88A1D4" w:themeColor="accent2" w:themeTint="99"/>
        <w:insideV w:val="single" w:sz="4" w:space="0" w:color="88A1D4" w:themeColor="accent2" w:themeTint="99"/>
      </w:tblBorders>
    </w:tblPr>
    <w:tblStylePr w:type="firstRow">
      <w:rPr>
        <w:b/>
        <w:bCs/>
        <w:color w:val="FFFFFF" w:themeColor="background1"/>
      </w:rPr>
      <w:tblPr/>
      <w:tcPr>
        <w:tcBorders>
          <w:top w:val="single" w:sz="4" w:space="0" w:color="4066B3" w:themeColor="accent2"/>
          <w:left w:val="single" w:sz="4" w:space="0" w:color="4066B3" w:themeColor="accent2"/>
          <w:bottom w:val="single" w:sz="4" w:space="0" w:color="4066B3" w:themeColor="accent2"/>
          <w:right w:val="single" w:sz="4" w:space="0" w:color="4066B3" w:themeColor="accent2"/>
          <w:insideH w:val="nil"/>
          <w:insideV w:val="nil"/>
        </w:tcBorders>
        <w:shd w:val="clear" w:color="auto" w:fill="4066B3" w:themeFill="accent2"/>
      </w:tcPr>
    </w:tblStylePr>
    <w:tblStylePr w:type="lastRow">
      <w:rPr>
        <w:b/>
        <w:bCs/>
      </w:rPr>
      <w:tblPr/>
      <w:tcPr>
        <w:tcBorders>
          <w:top w:val="double" w:sz="4" w:space="0" w:color="4066B3" w:themeColor="accent2"/>
        </w:tcBorders>
      </w:tcPr>
    </w:tblStylePr>
    <w:tblStylePr w:type="firstCol">
      <w:rPr>
        <w:b/>
        <w:bCs/>
      </w:rPr>
    </w:tblStylePr>
    <w:tblStylePr w:type="lastCol">
      <w:rPr>
        <w:b/>
        <w:bCs/>
      </w:rPr>
    </w:tblStylePr>
    <w:tblStylePr w:type="band1Vert">
      <w:tblPr/>
      <w:tcPr>
        <w:shd w:val="clear" w:color="auto" w:fill="D7DFF1" w:themeFill="accent2" w:themeFillTint="33"/>
      </w:tcPr>
    </w:tblStylePr>
    <w:tblStylePr w:type="band1Horz">
      <w:tblPr/>
      <w:tcPr>
        <w:shd w:val="clear" w:color="auto" w:fill="D7DFF1" w:themeFill="accent2" w:themeFillTint="33"/>
      </w:tcPr>
    </w:tblStylePr>
  </w:style>
  <w:style w:type="table" w:customStyle="1" w:styleId="GridTable4-Accent51">
    <w:name w:val="Grid Table 4 - Accent 51"/>
    <w:basedOn w:val="TableNormal"/>
    <w:next w:val="GridTable4Accent5"/>
    <w:uiPriority w:val="49"/>
    <w:rsid w:val="008B6A9D"/>
    <w:pPr>
      <w:spacing w:before="0" w:after="0"/>
    </w:pPr>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a0">
    <w:name w:val="Pa0"/>
    <w:basedOn w:val="Normal"/>
    <w:next w:val="Normal"/>
    <w:uiPriority w:val="99"/>
    <w:rsid w:val="00187079"/>
    <w:pPr>
      <w:autoSpaceDE w:val="0"/>
      <w:autoSpaceDN w:val="0"/>
      <w:adjustRightInd w:val="0"/>
      <w:spacing w:before="0" w:after="0" w:line="881" w:lineRule="atLeast"/>
    </w:pPr>
    <w:rPr>
      <w:rFonts w:ascii="Trade Gothic LT Std Bold" w:hAnsi="Trade Gothic LT Std Bold" w:cstheme="minorBidi"/>
      <w:sz w:val="24"/>
      <w:szCs w:val="24"/>
    </w:rPr>
  </w:style>
  <w:style w:type="character" w:customStyle="1" w:styleId="A0">
    <w:name w:val="A0"/>
    <w:uiPriority w:val="99"/>
    <w:rsid w:val="00187079"/>
    <w:rPr>
      <w:rFonts w:ascii="Trade Gothic LT Std Bold" w:hAnsi="Trade Gothic LT Std Bold" w:cs="Trade Gothic LT Std Bold" w:hint="default"/>
      <w:b/>
      <w:bCs/>
      <w:color w:val="006C94"/>
      <w:sz w:val="106"/>
      <w:szCs w:val="106"/>
    </w:rPr>
  </w:style>
  <w:style w:type="character" w:customStyle="1" w:styleId="A1">
    <w:name w:val="A1"/>
    <w:uiPriority w:val="99"/>
    <w:rsid w:val="00187079"/>
    <w:rPr>
      <w:rFonts w:ascii="Trade Gothic LT Std Cn" w:hAnsi="Trade Gothic LT Std Cn" w:cs="Trade Gothic LT Std Cn" w:hint="default"/>
      <w:color w:val="006C94"/>
      <w:sz w:val="49"/>
      <w:szCs w:val="49"/>
    </w:rPr>
  </w:style>
  <w:style w:type="paragraph" w:customStyle="1" w:styleId="Pa11">
    <w:name w:val="Pa11"/>
    <w:basedOn w:val="Default"/>
    <w:next w:val="Default"/>
    <w:uiPriority w:val="99"/>
    <w:rsid w:val="00E71606"/>
    <w:pPr>
      <w:spacing w:line="191" w:lineRule="atLeast"/>
    </w:pPr>
    <w:rPr>
      <w:rFonts w:ascii="Helvetica 45 Light" w:eastAsiaTheme="minorHAnsi" w:hAnsi="Helvetica 45 Light"/>
      <w:color w:val="auto"/>
      <w:lang w:eastAsia="en-US"/>
    </w:rPr>
  </w:style>
  <w:style w:type="table" w:customStyle="1" w:styleId="KPMGtable11">
    <w:name w:val="KPMG_table11"/>
    <w:basedOn w:val="TableNormal"/>
    <w:uiPriority w:val="99"/>
    <w:qFormat/>
    <w:rsid w:val="00D547F7"/>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table" w:customStyle="1" w:styleId="KPMGtable12">
    <w:name w:val="KPMG_table12"/>
    <w:basedOn w:val="TableNormal"/>
    <w:uiPriority w:val="99"/>
    <w:qFormat/>
    <w:rsid w:val="00E40094"/>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character" w:customStyle="1" w:styleId="5yi-1">
    <w:name w:val="_5yi-1"/>
    <w:basedOn w:val="DefaultParagraphFont"/>
    <w:rsid w:val="002553E4"/>
    <w:rPr>
      <w:b/>
      <w:bCs/>
    </w:rPr>
  </w:style>
  <w:style w:type="paragraph" w:customStyle="1" w:styleId="Covertitle316ptNB">
    <w:name w:val="Cover title 3_16pt_NB"/>
    <w:qFormat/>
    <w:rsid w:val="00DD67F3"/>
    <w:pPr>
      <w:spacing w:before="0" w:after="0"/>
    </w:pPr>
    <w:rPr>
      <w:rFonts w:cstheme="minorBidi"/>
      <w:color w:val="FFFFFF" w:themeColor="background1"/>
      <w:sz w:val="32"/>
      <w:szCs w:val="22"/>
    </w:rPr>
  </w:style>
  <w:style w:type="paragraph" w:customStyle="1" w:styleId="Covertitle412pt">
    <w:name w:val="Cover title 4_12pt"/>
    <w:qFormat/>
    <w:rsid w:val="00DD67F3"/>
    <w:pPr>
      <w:spacing w:before="3000"/>
    </w:pPr>
    <w:rPr>
      <w:rFonts w:cstheme="minorBidi"/>
      <w:color w:val="FFFFFF" w:themeColor="background1"/>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nivers 45 Light" w:eastAsiaTheme="minorHAnsi" w:hAnsi="Univers 45 Light" w:cs="Arial"/>
        <w:lang w:val="en-AU"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Bullet" w:qFormat="1"/>
    <w:lsdException w:name="List Bullet 2" w:uiPriority="0" w:qFormat="1"/>
    <w:lsdException w:name="List Bullet 3" w:uiPriority="0" w:qFormat="1"/>
    <w:lsdException w:name="List Bullet 4"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Subtitle" w:uiPriority="0"/>
    <w:lsdException w:name="Body Text 3" w:uiPriority="0" w:qFormat="1"/>
    <w:lsdException w:name="Strong" w:semiHidden="0" w:uiPriority="22" w:unhideWhenUsed="0" w:qFormat="1"/>
    <w:lsdException w:name="Emphasis" w:semiHidden="0" w:uiPriority="20" w:unhideWhenUsed="0" w:qFormat="1"/>
    <w:lsdException w:name="Table Classic 1" w:uiPriority="0"/>
    <w:lsdException w:name="Table Classic 3" w:uiPriority="0"/>
    <w:lsdException w:name="Table Columns 2" w:uiPriority="0"/>
    <w:lsdException w:name="Table Columns 3" w:uiPriority="0"/>
    <w:lsdException w:name="Table Columns 4" w:uiPriority="0"/>
    <w:lsdException w:name="Table Grid 8" w:uiPriority="0"/>
    <w:lsdException w:name="Table Professional" w:uiPriority="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C15DB0"/>
    <w:rPr>
      <w:rFonts w:asciiTheme="minorHAnsi" w:hAnsiTheme="minorHAnsi"/>
    </w:rPr>
  </w:style>
  <w:style w:type="paragraph" w:styleId="Heading1">
    <w:name w:val="heading 1"/>
    <w:aliases w:val="h1"/>
    <w:next w:val="BodyText"/>
    <w:link w:val="Heading1Char"/>
    <w:qFormat/>
    <w:rsid w:val="003462A6"/>
    <w:pPr>
      <w:pageBreakBefore/>
      <w:numPr>
        <w:numId w:val="20"/>
      </w:numPr>
      <w:spacing w:after="360"/>
      <w:outlineLvl w:val="0"/>
    </w:pPr>
    <w:rPr>
      <w:rFonts w:asciiTheme="minorHAnsi" w:eastAsia="Batang" w:hAnsiTheme="minorHAnsi"/>
      <w:b/>
      <w:color w:val="00338D"/>
      <w:sz w:val="44"/>
      <w:szCs w:val="80"/>
      <w:lang w:eastAsia="ko-KR"/>
    </w:rPr>
  </w:style>
  <w:style w:type="paragraph" w:styleId="Heading2">
    <w:name w:val="heading 2"/>
    <w:aliases w:val="h2"/>
    <w:next w:val="BodyText"/>
    <w:link w:val="Heading2Char"/>
    <w:qFormat/>
    <w:rsid w:val="003462A6"/>
    <w:pPr>
      <w:keepNext/>
      <w:numPr>
        <w:ilvl w:val="1"/>
        <w:numId w:val="20"/>
      </w:numPr>
      <w:spacing w:before="360" w:after="240"/>
      <w:outlineLvl w:val="1"/>
    </w:pPr>
    <w:rPr>
      <w:rFonts w:asciiTheme="minorHAnsi" w:eastAsia="Batang" w:hAnsiTheme="minorHAnsi"/>
      <w:color w:val="4066B3"/>
      <w:sz w:val="32"/>
      <w:szCs w:val="66"/>
      <w:lang w:eastAsia="ko-KR"/>
    </w:rPr>
  </w:style>
  <w:style w:type="paragraph" w:styleId="Heading3">
    <w:name w:val="heading 3"/>
    <w:aliases w:val="h3"/>
    <w:next w:val="BodyText"/>
    <w:link w:val="Heading3Char"/>
    <w:qFormat/>
    <w:rsid w:val="003462A6"/>
    <w:pPr>
      <w:keepNext/>
      <w:numPr>
        <w:ilvl w:val="2"/>
        <w:numId w:val="20"/>
      </w:numPr>
      <w:spacing w:before="240"/>
      <w:outlineLvl w:val="2"/>
    </w:pPr>
    <w:rPr>
      <w:rFonts w:asciiTheme="minorHAnsi" w:eastAsia="Batang" w:hAnsiTheme="minorHAnsi"/>
      <w:b/>
      <w:color w:val="7599C9"/>
      <w:sz w:val="22"/>
      <w:szCs w:val="52"/>
      <w:lang w:eastAsia="ko-KR"/>
    </w:rPr>
  </w:style>
  <w:style w:type="paragraph" w:styleId="Heading4">
    <w:name w:val="heading 4"/>
    <w:aliases w:val="h4"/>
    <w:next w:val="BodyText"/>
    <w:link w:val="Heading4Char"/>
    <w:uiPriority w:val="9"/>
    <w:qFormat/>
    <w:rsid w:val="001A2EED"/>
    <w:pPr>
      <w:numPr>
        <w:ilvl w:val="3"/>
        <w:numId w:val="20"/>
      </w:numPr>
      <w:spacing w:before="240"/>
      <w:outlineLvl w:val="3"/>
    </w:pPr>
    <w:rPr>
      <w:rFonts w:asciiTheme="minorHAnsi" w:eastAsia="Batang" w:hAnsiTheme="minorHAnsi"/>
      <w:b/>
      <w:color w:val="000000" w:themeColor="text1"/>
      <w:szCs w:val="36"/>
      <w:lang w:eastAsia="ko-KR"/>
    </w:rPr>
  </w:style>
  <w:style w:type="paragraph" w:styleId="Heading5">
    <w:name w:val="heading 5"/>
    <w:aliases w:val="h5"/>
    <w:next w:val="BodyText"/>
    <w:link w:val="Heading5Char"/>
    <w:uiPriority w:val="9"/>
    <w:qFormat/>
    <w:rsid w:val="001A2EED"/>
    <w:pPr>
      <w:numPr>
        <w:ilvl w:val="4"/>
        <w:numId w:val="20"/>
      </w:numPr>
      <w:spacing w:before="240"/>
      <w:outlineLvl w:val="4"/>
    </w:pPr>
    <w:rPr>
      <w:rFonts w:asciiTheme="minorHAnsi" w:eastAsia="Batang" w:hAnsiTheme="minorHAnsi"/>
      <w:color w:val="7599C9"/>
      <w:szCs w:val="28"/>
      <w:lang w:eastAsia="ko-KR"/>
    </w:rPr>
  </w:style>
  <w:style w:type="paragraph" w:styleId="Heading6">
    <w:name w:val="heading 6"/>
    <w:next w:val="BodyText"/>
    <w:link w:val="Heading6Char"/>
    <w:qFormat/>
    <w:rsid w:val="00654DAA"/>
    <w:pPr>
      <w:numPr>
        <w:ilvl w:val="5"/>
        <w:numId w:val="20"/>
      </w:numPr>
      <w:spacing w:before="240"/>
      <w:outlineLvl w:val="5"/>
    </w:pPr>
    <w:rPr>
      <w:rFonts w:asciiTheme="minorHAnsi" w:hAnsiTheme="minorHAnsi"/>
      <w:i/>
      <w:lang w:eastAsia="ko-KR"/>
    </w:rPr>
  </w:style>
  <w:style w:type="paragraph" w:styleId="Heading7">
    <w:name w:val="heading 7"/>
    <w:basedOn w:val="Normal"/>
    <w:next w:val="Normal"/>
    <w:link w:val="Heading7Char"/>
    <w:qFormat/>
    <w:rsid w:val="00D647B1"/>
    <w:pPr>
      <w:numPr>
        <w:ilvl w:val="6"/>
        <w:numId w:val="20"/>
      </w:numPr>
      <w:spacing w:after="0" w:line="260" w:lineRule="atLeast"/>
      <w:outlineLvl w:val="6"/>
    </w:pPr>
    <w:rPr>
      <w:rFonts w:ascii="Times New Roman" w:eastAsia="Batang" w:hAnsi="Times New Roman" w:cs="Times New Roman"/>
      <w:lang w:eastAsia="ko-KR"/>
    </w:rPr>
  </w:style>
  <w:style w:type="paragraph" w:styleId="Heading8">
    <w:name w:val="heading 8"/>
    <w:basedOn w:val="Normal"/>
    <w:next w:val="Normal"/>
    <w:link w:val="Heading8Char"/>
    <w:qFormat/>
    <w:rsid w:val="00D647B1"/>
    <w:pPr>
      <w:numPr>
        <w:ilvl w:val="7"/>
        <w:numId w:val="20"/>
      </w:numPr>
      <w:spacing w:after="0" w:line="260" w:lineRule="atLeast"/>
      <w:outlineLvl w:val="7"/>
    </w:pPr>
    <w:rPr>
      <w:rFonts w:ascii="Times New Roman" w:eastAsia="Batang" w:hAnsi="Times New Roman" w:cs="Times New Roman"/>
      <w:lang w:eastAsia="ko-KR"/>
    </w:rPr>
  </w:style>
  <w:style w:type="paragraph" w:styleId="Heading9">
    <w:name w:val="heading 9"/>
    <w:basedOn w:val="Normal"/>
    <w:next w:val="Normal"/>
    <w:link w:val="Heading9Char"/>
    <w:qFormat/>
    <w:rsid w:val="00D647B1"/>
    <w:pPr>
      <w:numPr>
        <w:ilvl w:val="8"/>
        <w:numId w:val="20"/>
      </w:numPr>
      <w:spacing w:after="0" w:line="260" w:lineRule="atLeast"/>
      <w:outlineLvl w:val="8"/>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Char Char,Body Char1,b,block,bt,Body text,body text,body,Body Text 1,NoticeText-List,t1,taten_body,Cargo,Letter Body,Memo Body,Body,by,b-heading 1/heading 2,bd,heading1body-heading2body,BD,b14,body1,Bod"/>
    <w:basedOn w:val="Normal"/>
    <w:link w:val="BodyTextChar"/>
    <w:uiPriority w:val="1"/>
    <w:qFormat/>
    <w:rsid w:val="00654DAA"/>
    <w:rPr>
      <w:rFonts w:eastAsia="Batang"/>
      <w:lang w:eastAsia="ko-KR"/>
    </w:rPr>
  </w:style>
  <w:style w:type="character" w:customStyle="1" w:styleId="BodyTextChar">
    <w:name w:val="Body Text Char"/>
    <w:aliases w:val="Body Text Char1 Char,Body Text Char Char Char,Body Char Char Char,Body Char1 Char,b Char,block Char,bt Char,Body text Char,body text Char,body Char,Body Text 1 Char,NoticeText-List Char,t1 Char,taten_body Char,Cargo Char,Letter Body Char"/>
    <w:basedOn w:val="DefaultParagraphFont"/>
    <w:link w:val="BodyText"/>
    <w:uiPriority w:val="1"/>
    <w:rsid w:val="00654DAA"/>
    <w:rPr>
      <w:rFonts w:asciiTheme="minorHAnsi" w:eastAsia="Batang" w:hAnsiTheme="minorHAnsi"/>
      <w:sz w:val="20"/>
      <w:lang w:eastAsia="ko-KR"/>
    </w:rPr>
  </w:style>
  <w:style w:type="character" w:customStyle="1" w:styleId="Heading1Char">
    <w:name w:val="Heading 1 Char"/>
    <w:aliases w:val="h1 Char"/>
    <w:basedOn w:val="DefaultParagraphFont"/>
    <w:link w:val="Heading1"/>
    <w:rsid w:val="003462A6"/>
    <w:rPr>
      <w:rFonts w:asciiTheme="minorHAnsi" w:eastAsia="Batang" w:hAnsiTheme="minorHAnsi"/>
      <w:b/>
      <w:color w:val="00338D"/>
      <w:sz w:val="44"/>
      <w:szCs w:val="80"/>
      <w:lang w:eastAsia="ko-KR"/>
    </w:rPr>
  </w:style>
  <w:style w:type="character" w:customStyle="1" w:styleId="Heading2Char">
    <w:name w:val="Heading 2 Char"/>
    <w:aliases w:val="h2 Char"/>
    <w:basedOn w:val="DefaultParagraphFont"/>
    <w:link w:val="Heading2"/>
    <w:rsid w:val="003462A6"/>
    <w:rPr>
      <w:rFonts w:asciiTheme="minorHAnsi" w:eastAsia="Batang" w:hAnsiTheme="minorHAnsi"/>
      <w:color w:val="4066B3"/>
      <w:sz w:val="32"/>
      <w:szCs w:val="66"/>
      <w:lang w:eastAsia="ko-KR"/>
    </w:rPr>
  </w:style>
  <w:style w:type="character" w:customStyle="1" w:styleId="Heading3Char">
    <w:name w:val="Heading 3 Char"/>
    <w:aliases w:val="h3 Char"/>
    <w:basedOn w:val="DefaultParagraphFont"/>
    <w:link w:val="Heading3"/>
    <w:rsid w:val="003462A6"/>
    <w:rPr>
      <w:rFonts w:asciiTheme="minorHAnsi" w:eastAsia="Batang" w:hAnsiTheme="minorHAnsi"/>
      <w:b/>
      <w:color w:val="7599C9"/>
      <w:sz w:val="22"/>
      <w:szCs w:val="52"/>
      <w:lang w:eastAsia="ko-KR"/>
    </w:rPr>
  </w:style>
  <w:style w:type="character" w:customStyle="1" w:styleId="Heading4Char">
    <w:name w:val="Heading 4 Char"/>
    <w:aliases w:val="h4 Char"/>
    <w:basedOn w:val="DefaultParagraphFont"/>
    <w:link w:val="Heading4"/>
    <w:uiPriority w:val="9"/>
    <w:rsid w:val="001A2EED"/>
    <w:rPr>
      <w:rFonts w:asciiTheme="minorHAnsi" w:eastAsia="Batang" w:hAnsiTheme="minorHAnsi"/>
      <w:b/>
      <w:color w:val="000000" w:themeColor="text1"/>
      <w:szCs w:val="36"/>
      <w:lang w:eastAsia="ko-KR"/>
    </w:rPr>
  </w:style>
  <w:style w:type="character" w:customStyle="1" w:styleId="Heading5Char">
    <w:name w:val="Heading 5 Char"/>
    <w:aliases w:val="h5 Char"/>
    <w:basedOn w:val="DefaultParagraphFont"/>
    <w:link w:val="Heading5"/>
    <w:uiPriority w:val="9"/>
    <w:rsid w:val="001A2EED"/>
    <w:rPr>
      <w:rFonts w:asciiTheme="minorHAnsi" w:eastAsia="Batang" w:hAnsiTheme="minorHAnsi"/>
      <w:color w:val="7599C9"/>
      <w:szCs w:val="28"/>
      <w:lang w:eastAsia="ko-KR"/>
    </w:rPr>
  </w:style>
  <w:style w:type="character" w:customStyle="1" w:styleId="Heading6Char">
    <w:name w:val="Heading 6 Char"/>
    <w:basedOn w:val="DefaultParagraphFont"/>
    <w:link w:val="Heading6"/>
    <w:rsid w:val="00654DAA"/>
    <w:rPr>
      <w:rFonts w:asciiTheme="minorHAnsi" w:hAnsiTheme="minorHAnsi"/>
      <w:i/>
      <w:lang w:eastAsia="ko-KR"/>
    </w:rPr>
  </w:style>
  <w:style w:type="character" w:customStyle="1" w:styleId="Heading7Char">
    <w:name w:val="Heading 7 Char"/>
    <w:basedOn w:val="DefaultParagraphFont"/>
    <w:link w:val="Heading7"/>
    <w:rsid w:val="00E50FD8"/>
    <w:rPr>
      <w:rFonts w:ascii="Times New Roman" w:eastAsia="Batang" w:hAnsi="Times New Roman" w:cs="Times New Roman"/>
      <w:lang w:eastAsia="ko-KR"/>
    </w:rPr>
  </w:style>
  <w:style w:type="character" w:customStyle="1" w:styleId="Heading8Char">
    <w:name w:val="Heading 8 Char"/>
    <w:basedOn w:val="DefaultParagraphFont"/>
    <w:link w:val="Heading8"/>
    <w:rsid w:val="00E50FD8"/>
    <w:rPr>
      <w:rFonts w:ascii="Times New Roman" w:eastAsia="Batang" w:hAnsi="Times New Roman" w:cs="Times New Roman"/>
      <w:lang w:eastAsia="ko-KR"/>
    </w:rPr>
  </w:style>
  <w:style w:type="character" w:customStyle="1" w:styleId="Heading9Char">
    <w:name w:val="Heading 9 Char"/>
    <w:basedOn w:val="DefaultParagraphFont"/>
    <w:link w:val="Heading9"/>
    <w:rsid w:val="00E50FD8"/>
    <w:rPr>
      <w:rFonts w:ascii="Times New Roman" w:eastAsia="Batang" w:hAnsi="Times New Roman" w:cs="Times New Roman"/>
      <w:lang w:eastAsia="ko-KR"/>
    </w:rPr>
  </w:style>
  <w:style w:type="paragraph" w:styleId="BodyTextIndent">
    <w:name w:val="Body Text Indent"/>
    <w:basedOn w:val="BodyText"/>
    <w:link w:val="BodyTextIndentChar"/>
    <w:rsid w:val="00F55975"/>
    <w:pPr>
      <w:ind w:left="283"/>
    </w:pPr>
  </w:style>
  <w:style w:type="character" w:customStyle="1" w:styleId="BodyTextIndentChar">
    <w:name w:val="Body Text Indent Char"/>
    <w:basedOn w:val="DefaultParagraphFont"/>
    <w:link w:val="BodyTextIndent"/>
    <w:uiPriority w:val="1"/>
    <w:rsid w:val="00E24790"/>
    <w:rPr>
      <w:rFonts w:eastAsia="Batang"/>
      <w:lang w:eastAsia="ko-KR"/>
    </w:rPr>
  </w:style>
  <w:style w:type="paragraph" w:styleId="Caption">
    <w:name w:val="caption"/>
    <w:next w:val="Normal"/>
    <w:link w:val="CaptionChar"/>
    <w:uiPriority w:val="35"/>
    <w:qFormat/>
    <w:rsid w:val="00A30FDE"/>
    <w:pPr>
      <w:keepNext/>
    </w:pPr>
    <w:rPr>
      <w:rFonts w:asciiTheme="minorHAnsi" w:eastAsia="Batang" w:hAnsiTheme="minorHAnsi" w:cs="Times New Roman"/>
      <w:bCs/>
      <w:i/>
      <w:lang w:eastAsia="ko-KR"/>
    </w:rPr>
  </w:style>
  <w:style w:type="character" w:customStyle="1" w:styleId="CaptionChar">
    <w:name w:val="Caption Char"/>
    <w:link w:val="Caption"/>
    <w:uiPriority w:val="35"/>
    <w:rsid w:val="00A30FDE"/>
    <w:rPr>
      <w:rFonts w:asciiTheme="minorHAnsi" w:eastAsia="Batang" w:hAnsiTheme="minorHAnsi" w:cs="Times New Roman"/>
      <w:bCs/>
      <w:i/>
      <w:lang w:eastAsia="ko-KR"/>
    </w:rPr>
  </w:style>
  <w:style w:type="paragraph" w:styleId="Footer">
    <w:name w:val="footer"/>
    <w:link w:val="FooterChar"/>
    <w:uiPriority w:val="99"/>
    <w:unhideWhenUsed/>
    <w:rsid w:val="007D6816"/>
    <w:pPr>
      <w:tabs>
        <w:tab w:val="right" w:pos="8505"/>
      </w:tabs>
      <w:spacing w:after="0"/>
      <w:jc w:val="center"/>
    </w:pPr>
    <w:rPr>
      <w:rFonts w:asciiTheme="minorHAnsi" w:eastAsia="Batang" w:hAnsiTheme="minorHAnsi" w:cs="Times New Roman"/>
      <w:sz w:val="12"/>
      <w:lang w:eastAsia="ko-KR"/>
    </w:rPr>
  </w:style>
  <w:style w:type="character" w:customStyle="1" w:styleId="FooterChar">
    <w:name w:val="Footer Char"/>
    <w:basedOn w:val="DefaultParagraphFont"/>
    <w:link w:val="Footer"/>
    <w:uiPriority w:val="99"/>
    <w:rsid w:val="007D6816"/>
    <w:rPr>
      <w:rFonts w:asciiTheme="minorHAnsi" w:eastAsia="Batang" w:hAnsiTheme="minorHAnsi" w:cs="Times New Roman"/>
      <w:sz w:val="12"/>
      <w:szCs w:val="20"/>
      <w:lang w:eastAsia="ko-KR"/>
    </w:rPr>
  </w:style>
  <w:style w:type="paragraph" w:styleId="FootnoteText">
    <w:name w:val="footnote text"/>
    <w:aliases w:val="(NECG) Footnote Text,Fußnote,ALTS FOOTNOTE"/>
    <w:basedOn w:val="Normal"/>
    <w:link w:val="FootnoteTextChar"/>
    <w:uiPriority w:val="99"/>
    <w:rsid w:val="004821A0"/>
    <w:pPr>
      <w:spacing w:before="0" w:after="0"/>
    </w:pPr>
    <w:rPr>
      <w:rFonts w:ascii="Univers for KPMG" w:eastAsia="Batang" w:hAnsi="Univers for KPMG" w:cs="Times New Roman"/>
      <w:sz w:val="18"/>
      <w:lang w:eastAsia="ko-KR"/>
    </w:rPr>
  </w:style>
  <w:style w:type="character" w:customStyle="1" w:styleId="FootnoteTextChar">
    <w:name w:val="Footnote Text Char"/>
    <w:aliases w:val="(NECG) Footnote Text Char,Fußnote Char,ALTS FOOTNOTE Char"/>
    <w:basedOn w:val="DefaultParagraphFont"/>
    <w:link w:val="FootnoteText"/>
    <w:uiPriority w:val="99"/>
    <w:rsid w:val="004821A0"/>
    <w:rPr>
      <w:rFonts w:ascii="Univers for KPMG" w:eastAsia="Batang" w:hAnsi="Univers for KPMG" w:cs="Times New Roman"/>
      <w:sz w:val="18"/>
      <w:lang w:eastAsia="ko-KR"/>
    </w:rPr>
  </w:style>
  <w:style w:type="paragraph" w:styleId="Signature">
    <w:name w:val="Signature"/>
    <w:basedOn w:val="Normal"/>
    <w:link w:val="SignatureChar"/>
    <w:unhideWhenUsed/>
    <w:rsid w:val="00D647B1"/>
    <w:pPr>
      <w:spacing w:after="0"/>
    </w:pPr>
    <w:rPr>
      <w:rFonts w:ascii="Times New Roman" w:eastAsia="Batang" w:hAnsi="Times New Roman" w:cs="Times New Roman"/>
      <w:lang w:eastAsia="ko-KR"/>
    </w:rPr>
  </w:style>
  <w:style w:type="character" w:customStyle="1" w:styleId="SignatureChar">
    <w:name w:val="Signature Char"/>
    <w:basedOn w:val="DefaultParagraphFont"/>
    <w:link w:val="Signature"/>
    <w:semiHidden/>
    <w:rsid w:val="0035248C"/>
    <w:rPr>
      <w:rFonts w:ascii="Times New Roman" w:eastAsia="Batang" w:hAnsi="Times New Roman" w:cs="Times New Roman"/>
      <w:szCs w:val="20"/>
      <w:lang w:eastAsia="ko-KR"/>
    </w:rPr>
  </w:style>
  <w:style w:type="paragraph" w:styleId="Header">
    <w:name w:val="header"/>
    <w:basedOn w:val="Normal"/>
    <w:link w:val="HeaderChar"/>
    <w:uiPriority w:val="99"/>
    <w:unhideWhenUsed/>
    <w:rsid w:val="00D647B1"/>
    <w:pPr>
      <w:spacing w:after="0" w:line="220" w:lineRule="exact"/>
      <w:jc w:val="right"/>
    </w:pPr>
    <w:rPr>
      <w:rFonts w:ascii="Times New Roman" w:eastAsia="Batang" w:hAnsi="Times New Roman" w:cs="Times New Roman"/>
      <w:i/>
      <w:sz w:val="18"/>
      <w:lang w:eastAsia="ko-KR"/>
    </w:rPr>
  </w:style>
  <w:style w:type="character" w:customStyle="1" w:styleId="HeaderChar">
    <w:name w:val="Header Char"/>
    <w:basedOn w:val="DefaultParagraphFont"/>
    <w:link w:val="Header"/>
    <w:uiPriority w:val="99"/>
    <w:rsid w:val="0035248C"/>
    <w:rPr>
      <w:rFonts w:ascii="Times New Roman" w:eastAsia="Batang" w:hAnsi="Times New Roman" w:cs="Times New Roman"/>
      <w:i/>
      <w:sz w:val="18"/>
      <w:szCs w:val="20"/>
      <w:lang w:eastAsia="ko-KR"/>
    </w:rPr>
  </w:style>
  <w:style w:type="paragraph" w:customStyle="1" w:styleId="Tableheading">
    <w:name w:val="Table heading"/>
    <w:rsid w:val="003462A6"/>
    <w:pPr>
      <w:keepNext/>
      <w:spacing w:before="60" w:after="60"/>
    </w:pPr>
    <w:rPr>
      <w:rFonts w:asciiTheme="minorHAnsi" w:eastAsia="Batang" w:hAnsiTheme="minorHAnsi"/>
      <w:b/>
      <w:bCs/>
      <w:color w:val="FFFFFF" w:themeColor="background1"/>
      <w:lang w:eastAsia="ko-KR"/>
    </w:rPr>
  </w:style>
  <w:style w:type="paragraph" w:customStyle="1" w:styleId="Tabletext">
    <w:name w:val="Table text"/>
    <w:basedOn w:val="BodyText"/>
    <w:uiPriority w:val="5"/>
    <w:rsid w:val="003462A6"/>
  </w:style>
  <w:style w:type="character" w:styleId="PageNumber">
    <w:name w:val="page number"/>
    <w:basedOn w:val="DefaultParagraphFont"/>
    <w:unhideWhenUsed/>
    <w:rsid w:val="00D647B1"/>
    <w:rPr>
      <w:sz w:val="22"/>
    </w:rPr>
  </w:style>
  <w:style w:type="paragraph" w:styleId="BalloonText">
    <w:name w:val="Balloon Text"/>
    <w:basedOn w:val="Normal"/>
    <w:link w:val="BalloonTextChar"/>
    <w:uiPriority w:val="99"/>
    <w:semiHidden/>
    <w:unhideWhenUsed/>
    <w:rsid w:val="008519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92F"/>
    <w:rPr>
      <w:rFonts w:ascii="Tahoma" w:hAnsi="Tahoma" w:cs="Tahoma"/>
      <w:sz w:val="16"/>
      <w:szCs w:val="16"/>
    </w:rPr>
  </w:style>
  <w:style w:type="character" w:customStyle="1" w:styleId="WhiteBOLD">
    <w:name w:val="White BOLD"/>
    <w:basedOn w:val="DefaultParagraphFont"/>
    <w:uiPriority w:val="1"/>
    <w:qFormat/>
    <w:rsid w:val="0085192F"/>
    <w:rPr>
      <w:b/>
      <w:color w:val="FFFFFF" w:themeColor="background1"/>
    </w:rPr>
  </w:style>
  <w:style w:type="paragraph" w:customStyle="1" w:styleId="Backpagedisclaimer">
    <w:name w:val="Back page disclaimer"/>
    <w:uiPriority w:val="6"/>
    <w:rsid w:val="009C52AC"/>
    <w:pPr>
      <w:spacing w:line="180" w:lineRule="atLeast"/>
    </w:pPr>
    <w:rPr>
      <w:rFonts w:asciiTheme="minorHAnsi" w:eastAsia="Batang" w:hAnsiTheme="minorHAnsi"/>
      <w:sz w:val="14"/>
      <w:szCs w:val="14"/>
      <w:lang w:val="en-GB" w:eastAsia="ko-KR"/>
    </w:rPr>
  </w:style>
  <w:style w:type="character" w:customStyle="1" w:styleId="BOLD">
    <w:name w:val="BOLD"/>
    <w:basedOn w:val="DefaultParagraphFont"/>
    <w:uiPriority w:val="2"/>
    <w:qFormat/>
    <w:rsid w:val="0085192F"/>
    <w:rPr>
      <w:b/>
    </w:rPr>
  </w:style>
  <w:style w:type="character" w:customStyle="1" w:styleId="Stylenotes">
    <w:name w:val="Style notes"/>
    <w:basedOn w:val="DefaultParagraphFont"/>
    <w:uiPriority w:val="6"/>
    <w:qFormat/>
    <w:rsid w:val="0085192F"/>
    <w:rPr>
      <w:color w:val="FF0000"/>
    </w:rPr>
  </w:style>
  <w:style w:type="character" w:customStyle="1" w:styleId="White">
    <w:name w:val="White"/>
    <w:basedOn w:val="DefaultParagraphFont"/>
    <w:uiPriority w:val="1"/>
    <w:qFormat/>
    <w:rsid w:val="0085192F"/>
    <w:rPr>
      <w:color w:val="FFFFFF" w:themeColor="background1"/>
    </w:rPr>
  </w:style>
  <w:style w:type="paragraph" w:customStyle="1" w:styleId="CVtitle">
    <w:name w:val="CV title"/>
    <w:next w:val="CVdetails"/>
    <w:rsid w:val="005B42B5"/>
    <w:pPr>
      <w:ind w:left="284"/>
    </w:pPr>
    <w:rPr>
      <w:rFonts w:asciiTheme="minorHAnsi" w:eastAsia="Batang" w:hAnsiTheme="minorHAnsi"/>
      <w:color w:val="FFFFFF" w:themeColor="background1"/>
      <w:sz w:val="28"/>
      <w:szCs w:val="32"/>
      <w:lang w:eastAsia="ko-KR"/>
    </w:rPr>
  </w:style>
  <w:style w:type="paragraph" w:customStyle="1" w:styleId="CVdetails">
    <w:name w:val="CV details"/>
    <w:rsid w:val="00DB5983"/>
    <w:pPr>
      <w:spacing w:after="0"/>
      <w:ind w:left="284"/>
    </w:pPr>
    <w:rPr>
      <w:rFonts w:asciiTheme="minorHAnsi" w:eastAsia="Batang" w:hAnsiTheme="minorHAnsi"/>
      <w:sz w:val="18"/>
      <w:szCs w:val="16"/>
      <w:lang w:eastAsia="ko-KR"/>
    </w:rPr>
  </w:style>
  <w:style w:type="paragraph" w:customStyle="1" w:styleId="CVname">
    <w:name w:val="CV name"/>
    <w:next w:val="CVtitle"/>
    <w:rsid w:val="005B42B5"/>
    <w:pPr>
      <w:spacing w:after="0"/>
      <w:ind w:left="284"/>
    </w:pPr>
    <w:rPr>
      <w:rFonts w:asciiTheme="minorHAnsi" w:eastAsia="Batang" w:hAnsiTheme="minorHAnsi"/>
      <w:b/>
      <w:sz w:val="36"/>
      <w:szCs w:val="36"/>
      <w:lang w:eastAsia="ko-KR"/>
    </w:rPr>
  </w:style>
  <w:style w:type="character" w:customStyle="1" w:styleId="KPMGPrimaryBlue">
    <w:name w:val="KPMG Primary Blue"/>
    <w:uiPriority w:val="1"/>
    <w:qFormat/>
    <w:rsid w:val="00420D25"/>
    <w:rPr>
      <w:color w:val="00338D"/>
    </w:rPr>
  </w:style>
  <w:style w:type="character" w:customStyle="1" w:styleId="KPMGPrimaryBlueBOLD">
    <w:name w:val="KPMG Primary Blue BOLD"/>
    <w:uiPriority w:val="1"/>
    <w:qFormat/>
    <w:rsid w:val="00420D25"/>
    <w:rPr>
      <w:b/>
      <w:color w:val="00338D"/>
    </w:rPr>
  </w:style>
  <w:style w:type="paragraph" w:customStyle="1" w:styleId="BodytextSingle">
    <w:name w:val="Body text Single"/>
    <w:uiPriority w:val="1"/>
    <w:rsid w:val="00295916"/>
    <w:pPr>
      <w:spacing w:before="0" w:after="0"/>
    </w:pPr>
    <w:rPr>
      <w:rFonts w:asciiTheme="minorHAnsi" w:eastAsia="Batang" w:hAnsiTheme="minorHAnsi"/>
      <w:lang w:eastAsia="ko-KR"/>
    </w:rPr>
  </w:style>
  <w:style w:type="table" w:styleId="TableGrid">
    <w:name w:val="Table Grid"/>
    <w:basedOn w:val="TableNormal"/>
    <w:uiPriority w:val="39"/>
    <w:rsid w:val="00F5597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indent">
    <w:name w:val="Table indent"/>
    <w:uiPriority w:val="5"/>
    <w:rsid w:val="00E2489C"/>
    <w:pPr>
      <w:spacing w:before="60" w:after="60"/>
      <w:ind w:left="283"/>
    </w:pPr>
    <w:rPr>
      <w:rFonts w:asciiTheme="minorHAnsi" w:eastAsia="Batang" w:hAnsiTheme="minorHAnsi"/>
      <w:color w:val="000000" w:themeColor="text1"/>
      <w:lang w:eastAsia="ko-KR"/>
    </w:rPr>
  </w:style>
  <w:style w:type="paragraph" w:customStyle="1" w:styleId="Bullet1stlevel">
    <w:name w:val="Bullet 1st level"/>
    <w:uiPriority w:val="1"/>
    <w:rsid w:val="00654DAA"/>
    <w:pPr>
      <w:numPr>
        <w:numId w:val="2"/>
      </w:numPr>
    </w:pPr>
    <w:rPr>
      <w:rFonts w:asciiTheme="minorHAnsi" w:eastAsia="Times New Roman" w:hAnsiTheme="minorHAnsi"/>
      <w:lang w:val="en-US"/>
    </w:rPr>
  </w:style>
  <w:style w:type="paragraph" w:customStyle="1" w:styleId="Bullet2ndlevel">
    <w:name w:val="Bullet 2nd level"/>
    <w:uiPriority w:val="1"/>
    <w:rsid w:val="00654DAA"/>
    <w:pPr>
      <w:numPr>
        <w:numId w:val="3"/>
      </w:numPr>
    </w:pPr>
    <w:rPr>
      <w:rFonts w:asciiTheme="minorHAnsi" w:eastAsia="Batang" w:hAnsiTheme="minorHAnsi"/>
      <w:lang w:eastAsia="ko-KR"/>
    </w:rPr>
  </w:style>
  <w:style w:type="paragraph" w:customStyle="1" w:styleId="Bullet3rdlevel">
    <w:name w:val="Bullet 3rd level"/>
    <w:uiPriority w:val="1"/>
    <w:rsid w:val="00654DAA"/>
    <w:pPr>
      <w:numPr>
        <w:numId w:val="4"/>
      </w:numPr>
    </w:pPr>
    <w:rPr>
      <w:rFonts w:asciiTheme="minorHAnsi" w:eastAsia="Batang" w:hAnsiTheme="minorHAnsi"/>
      <w:lang w:eastAsia="ko-KR"/>
    </w:rPr>
  </w:style>
  <w:style w:type="paragraph" w:customStyle="1" w:styleId="Tablebullet1stlevel">
    <w:name w:val="Table bullet 1st level"/>
    <w:basedOn w:val="Bullet1stlevel"/>
    <w:uiPriority w:val="5"/>
    <w:rsid w:val="003462A6"/>
    <w:pPr>
      <w:spacing w:after="0"/>
      <w:ind w:left="284" w:hanging="284"/>
    </w:pPr>
  </w:style>
  <w:style w:type="paragraph" w:customStyle="1" w:styleId="Tablebullet2ndlevel">
    <w:name w:val="Table bullet 2nd level"/>
    <w:basedOn w:val="Bullet2ndlevel"/>
    <w:uiPriority w:val="5"/>
    <w:rsid w:val="007D6816"/>
    <w:pPr>
      <w:spacing w:before="60" w:after="60"/>
    </w:pPr>
    <w:rPr>
      <w:color w:val="000000" w:themeColor="text1"/>
    </w:rPr>
  </w:style>
  <w:style w:type="paragraph" w:customStyle="1" w:styleId="Number1stlevel">
    <w:name w:val="Number 1st level"/>
    <w:uiPriority w:val="4"/>
    <w:rsid w:val="00654DAA"/>
    <w:pPr>
      <w:numPr>
        <w:numId w:val="1"/>
      </w:numPr>
      <w:ind w:left="357" w:hanging="357"/>
    </w:pPr>
    <w:rPr>
      <w:rFonts w:asciiTheme="minorHAnsi" w:eastAsia="Batang" w:hAnsiTheme="minorHAnsi"/>
      <w:lang w:eastAsia="ko-KR"/>
    </w:rPr>
  </w:style>
  <w:style w:type="paragraph" w:customStyle="1" w:styleId="Number2ndlevel">
    <w:name w:val="Number 2nd level"/>
    <w:uiPriority w:val="4"/>
    <w:rsid w:val="00654DAA"/>
    <w:pPr>
      <w:numPr>
        <w:ilvl w:val="1"/>
        <w:numId w:val="1"/>
      </w:numPr>
      <w:ind w:left="714" w:hanging="357"/>
    </w:pPr>
    <w:rPr>
      <w:rFonts w:asciiTheme="minorHAnsi" w:eastAsia="Batang" w:hAnsiTheme="minorHAnsi"/>
      <w:lang w:eastAsia="ko-KR"/>
    </w:rPr>
  </w:style>
  <w:style w:type="paragraph" w:customStyle="1" w:styleId="Number3rdlevel">
    <w:name w:val="Number 3rd level"/>
    <w:basedOn w:val="BodyText"/>
    <w:uiPriority w:val="4"/>
    <w:rsid w:val="00E24790"/>
    <w:pPr>
      <w:ind w:left="1080" w:hanging="360"/>
    </w:pPr>
  </w:style>
  <w:style w:type="character" w:customStyle="1" w:styleId="Italic">
    <w:name w:val="Italic"/>
    <w:basedOn w:val="DefaultParagraphFont"/>
    <w:uiPriority w:val="2"/>
    <w:rsid w:val="00E24790"/>
    <w:rPr>
      <w:i/>
    </w:rPr>
  </w:style>
  <w:style w:type="paragraph" w:customStyle="1" w:styleId="Contentsheading">
    <w:name w:val="Contents_heading"/>
    <w:rsid w:val="009C52AC"/>
    <w:pPr>
      <w:spacing w:after="360" w:line="360" w:lineRule="atLeast"/>
    </w:pPr>
    <w:rPr>
      <w:b/>
      <w:color w:val="FFFFFF" w:themeColor="background1"/>
      <w:sz w:val="32"/>
      <w:szCs w:val="32"/>
    </w:rPr>
  </w:style>
  <w:style w:type="paragraph" w:customStyle="1" w:styleId="Contents1stlevel">
    <w:name w:val="Contents_1st level"/>
    <w:basedOn w:val="Normal"/>
    <w:rsid w:val="009C52AC"/>
    <w:pPr>
      <w:tabs>
        <w:tab w:val="right" w:leader="dot" w:pos="5670"/>
      </w:tabs>
      <w:spacing w:after="0"/>
      <w:ind w:right="4536"/>
    </w:pPr>
    <w:rPr>
      <w:b/>
      <w:color w:val="FFFFFF" w:themeColor="background1"/>
    </w:rPr>
  </w:style>
  <w:style w:type="paragraph" w:customStyle="1" w:styleId="Contents2ndlevel">
    <w:name w:val="Contents_2nd level"/>
    <w:basedOn w:val="Contents1stlevel"/>
    <w:rsid w:val="009C52AC"/>
    <w:pPr>
      <w:spacing w:before="0"/>
    </w:pPr>
    <w:rPr>
      <w:b w:val="0"/>
    </w:rPr>
  </w:style>
  <w:style w:type="table" w:styleId="ColorfulList-Accent4">
    <w:name w:val="Colorful List Accent 4"/>
    <w:basedOn w:val="TableNormal"/>
    <w:uiPriority w:val="72"/>
    <w:rsid w:val="00046D34"/>
    <w:pPr>
      <w:spacing w:after="0"/>
    </w:pPr>
    <w:rPr>
      <w:color w:val="000000" w:themeColor="text1"/>
    </w:rPr>
    <w:tblPr>
      <w:tblStyleRowBandSize w:val="1"/>
      <w:tblStyleColBandSize w:val="1"/>
    </w:tblPr>
    <w:tcPr>
      <w:shd w:val="clear" w:color="auto" w:fill="F8F9FC" w:themeFill="accent4" w:themeFillTint="19"/>
    </w:tcPr>
    <w:tblStylePr w:type="firstRow">
      <w:rPr>
        <w:b/>
        <w:bCs/>
        <w:color w:val="FFFFFF" w:themeColor="background1"/>
      </w:rPr>
      <w:tblPr/>
      <w:tcPr>
        <w:tcBorders>
          <w:bottom w:val="single" w:sz="12" w:space="0" w:color="FFFFFF" w:themeColor="background1"/>
        </w:tcBorders>
        <w:shd w:val="clear" w:color="auto" w:fill="4777B6" w:themeFill="accent3" w:themeFillShade="CC"/>
      </w:tcPr>
    </w:tblStylePr>
    <w:tblStylePr w:type="lastRow">
      <w:rPr>
        <w:b/>
        <w:bCs/>
        <w:color w:val="4777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8" w:themeFill="accent4" w:themeFillTint="3F"/>
      </w:tcPr>
    </w:tblStylePr>
    <w:tblStylePr w:type="band1Horz">
      <w:tblPr/>
      <w:tcPr>
        <w:shd w:val="clear" w:color="auto" w:fill="F1F4F9" w:themeFill="accent4" w:themeFillTint="33"/>
      </w:tcPr>
    </w:tblStylePr>
  </w:style>
  <w:style w:type="table" w:styleId="ColorfulList-Accent3">
    <w:name w:val="Colorful List Accent 3"/>
    <w:basedOn w:val="TableNormal"/>
    <w:uiPriority w:val="72"/>
    <w:rsid w:val="00046D34"/>
    <w:pPr>
      <w:spacing w:after="0"/>
    </w:pPr>
    <w:rPr>
      <w:color w:val="000000" w:themeColor="text1"/>
    </w:rPr>
    <w:tblPr>
      <w:tblStyleRowBandSize w:val="1"/>
      <w:tblStyleColBandSize w:val="1"/>
    </w:tblPr>
    <w:tcPr>
      <w:shd w:val="clear" w:color="auto" w:fill="F1F4F9" w:themeFill="accent3" w:themeFillTint="19"/>
    </w:tcPr>
    <w:tblStylePr w:type="firstRow">
      <w:rPr>
        <w:b/>
        <w:bCs/>
        <w:color w:val="FFFFFF" w:themeColor="background1"/>
      </w:rPr>
      <w:tblPr/>
      <w:tcPr>
        <w:tcBorders>
          <w:bottom w:val="single" w:sz="12" w:space="0" w:color="FFFFFF" w:themeColor="background1"/>
        </w:tcBorders>
        <w:shd w:val="clear" w:color="auto" w:fill="7F9DCD" w:themeFill="accent4" w:themeFillShade="CC"/>
      </w:tcPr>
    </w:tblStylePr>
    <w:tblStylePr w:type="lastRow">
      <w:rPr>
        <w:b/>
        <w:bCs/>
        <w:color w:val="7F9DC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1" w:themeFill="accent3" w:themeFillTint="3F"/>
      </w:tcPr>
    </w:tblStylePr>
    <w:tblStylePr w:type="band1Horz">
      <w:tblPr/>
      <w:tcPr>
        <w:shd w:val="clear" w:color="auto" w:fill="E3EAF4" w:themeFill="accent3" w:themeFillTint="33"/>
      </w:tcPr>
    </w:tblStylePr>
  </w:style>
  <w:style w:type="paragraph" w:customStyle="1" w:styleId="Letterhead">
    <w:name w:val="Letterhead"/>
    <w:rsid w:val="00D06524"/>
    <w:pPr>
      <w:spacing w:after="0" w:line="160" w:lineRule="atLeast"/>
    </w:pPr>
    <w:rPr>
      <w:rFonts w:asciiTheme="minorHAnsi" w:eastAsia="Batang" w:hAnsiTheme="minorHAnsi"/>
      <w:sz w:val="12"/>
      <w:szCs w:val="12"/>
      <w:lang w:val="en-GB" w:eastAsia="ko-KR"/>
    </w:rPr>
  </w:style>
  <w:style w:type="paragraph" w:customStyle="1" w:styleId="Covertitle40pt">
    <w:name w:val="Cover title 40pt"/>
    <w:rsid w:val="00873E0D"/>
    <w:pPr>
      <w:spacing w:line="880" w:lineRule="atLeast"/>
    </w:pPr>
    <w:rPr>
      <w:rFonts w:asciiTheme="minorHAnsi" w:eastAsia="Batang" w:hAnsiTheme="minorHAnsi"/>
      <w:b/>
      <w:color w:val="FFFFFF" w:themeColor="background1"/>
      <w:sz w:val="80"/>
      <w:szCs w:val="80"/>
      <w:lang w:eastAsia="ko-KR"/>
    </w:rPr>
  </w:style>
  <w:style w:type="paragraph" w:customStyle="1" w:styleId="Covertitle33pt">
    <w:name w:val="Cover title 33pt"/>
    <w:rsid w:val="00873E0D"/>
    <w:pPr>
      <w:spacing w:line="720" w:lineRule="atLeast"/>
    </w:pPr>
    <w:rPr>
      <w:rFonts w:asciiTheme="minorHAnsi" w:eastAsia="Batang" w:hAnsiTheme="minorHAnsi"/>
      <w:b/>
      <w:color w:val="FFFFFF" w:themeColor="background1"/>
      <w:sz w:val="66"/>
      <w:szCs w:val="80"/>
      <w:lang w:eastAsia="ko-KR"/>
    </w:rPr>
  </w:style>
  <w:style w:type="paragraph" w:customStyle="1" w:styleId="Covertitle26pt">
    <w:name w:val="Cover title 26pt"/>
    <w:rsid w:val="00873E0D"/>
    <w:pPr>
      <w:spacing w:line="600" w:lineRule="atLeast"/>
    </w:pPr>
    <w:rPr>
      <w:rFonts w:asciiTheme="minorHAnsi" w:eastAsia="Batang" w:hAnsiTheme="minorHAnsi"/>
      <w:b/>
      <w:color w:val="FFFFFF" w:themeColor="background1"/>
      <w:sz w:val="52"/>
      <w:szCs w:val="80"/>
      <w:lang w:eastAsia="ko-KR"/>
    </w:rPr>
  </w:style>
  <w:style w:type="paragraph" w:customStyle="1" w:styleId="Covertitle18pt">
    <w:name w:val="Cover title 18pt"/>
    <w:rsid w:val="00873E0D"/>
    <w:pPr>
      <w:spacing w:line="400" w:lineRule="atLeast"/>
    </w:pPr>
    <w:rPr>
      <w:rFonts w:asciiTheme="minorHAnsi" w:eastAsia="Batang" w:hAnsiTheme="minorHAnsi"/>
      <w:b/>
      <w:color w:val="FFFFFF" w:themeColor="background1"/>
      <w:sz w:val="36"/>
      <w:szCs w:val="80"/>
      <w:lang w:eastAsia="ko-KR"/>
    </w:rPr>
  </w:style>
  <w:style w:type="paragraph" w:customStyle="1" w:styleId="Coveradditionalinformation">
    <w:name w:val="Cover additional information"/>
    <w:rsid w:val="00D06524"/>
    <w:pPr>
      <w:spacing w:line="240" w:lineRule="atLeast"/>
    </w:pPr>
    <w:rPr>
      <w:rFonts w:asciiTheme="minorHAnsi" w:eastAsia="Batang" w:hAnsiTheme="minorHAnsi"/>
      <w:color w:val="FFFFFF" w:themeColor="background1"/>
      <w:szCs w:val="80"/>
      <w:lang w:eastAsia="ko-KR"/>
    </w:rPr>
  </w:style>
  <w:style w:type="paragraph" w:customStyle="1" w:styleId="CoverURL">
    <w:name w:val="Cover URL"/>
    <w:rsid w:val="00873E0D"/>
    <w:pPr>
      <w:spacing w:after="0" w:line="240" w:lineRule="atLeast"/>
    </w:pPr>
    <w:rPr>
      <w:rFonts w:asciiTheme="minorHAnsi" w:eastAsia="Batang" w:hAnsiTheme="minorHAnsi"/>
      <w:b/>
      <w:color w:val="FFFFFF" w:themeColor="background1"/>
      <w:lang w:eastAsia="ko-KR"/>
    </w:rPr>
  </w:style>
  <w:style w:type="character" w:styleId="Hyperlink">
    <w:name w:val="Hyperlink"/>
    <w:basedOn w:val="DefaultParagraphFont"/>
    <w:uiPriority w:val="99"/>
    <w:unhideWhenUsed/>
    <w:rsid w:val="0023404C"/>
    <w:rPr>
      <w:color w:val="9E3039" w:themeColor="hyperlink"/>
      <w:u w:val="single"/>
    </w:rPr>
  </w:style>
  <w:style w:type="paragraph" w:customStyle="1" w:styleId="Heading1Noshow">
    <w:name w:val="Heading 1_No show"/>
    <w:uiPriority w:val="99"/>
    <w:rsid w:val="00654DAA"/>
    <w:pPr>
      <w:spacing w:after="480"/>
    </w:pPr>
    <w:rPr>
      <w:rFonts w:asciiTheme="minorHAnsi" w:eastAsia="Batang" w:hAnsiTheme="minorHAnsi"/>
      <w:b/>
      <w:sz w:val="56"/>
      <w:szCs w:val="80"/>
      <w:lang w:eastAsia="ko-KR"/>
    </w:rPr>
  </w:style>
  <w:style w:type="paragraph" w:customStyle="1" w:styleId="CVheading">
    <w:name w:val="CV heading"/>
    <w:next w:val="CVtext"/>
    <w:rsid w:val="00DB5983"/>
    <w:pPr>
      <w:spacing w:before="240" w:after="60"/>
    </w:pPr>
    <w:rPr>
      <w:rFonts w:asciiTheme="minorHAnsi" w:hAnsiTheme="minorHAnsi"/>
      <w:b/>
      <w:lang w:eastAsia="ko-KR"/>
    </w:rPr>
  </w:style>
  <w:style w:type="paragraph" w:customStyle="1" w:styleId="CVtext">
    <w:name w:val="CV text"/>
    <w:rsid w:val="00DB5983"/>
    <w:pPr>
      <w:spacing w:before="60" w:after="60"/>
    </w:pPr>
    <w:rPr>
      <w:rFonts w:asciiTheme="minorHAnsi" w:eastAsia="Batang" w:hAnsiTheme="minorHAnsi"/>
      <w:lang w:eastAsia="ko-KR"/>
    </w:rPr>
  </w:style>
  <w:style w:type="paragraph" w:customStyle="1" w:styleId="CVbullet1stlevel">
    <w:name w:val="CV bullet 1st level"/>
    <w:basedOn w:val="Tablebullet1stlevel"/>
    <w:rsid w:val="00DB5983"/>
  </w:style>
  <w:style w:type="paragraph" w:customStyle="1" w:styleId="CVbullet2ndlevel">
    <w:name w:val="CV bullet 2nd level"/>
    <w:basedOn w:val="Tablebullet2ndlevel"/>
    <w:rsid w:val="00DB5983"/>
  </w:style>
  <w:style w:type="paragraph" w:styleId="ListParagraph">
    <w:name w:val="List Paragraph"/>
    <w:basedOn w:val="Normal"/>
    <w:uiPriority w:val="34"/>
    <w:qFormat/>
    <w:rsid w:val="00C03DCC"/>
    <w:pPr>
      <w:ind w:left="720"/>
      <w:contextualSpacing/>
    </w:pPr>
  </w:style>
  <w:style w:type="paragraph" w:styleId="TOC1">
    <w:name w:val="toc 1"/>
    <w:basedOn w:val="Normal"/>
    <w:next w:val="Normal"/>
    <w:autoRedefine/>
    <w:uiPriority w:val="39"/>
    <w:unhideWhenUsed/>
    <w:qFormat/>
    <w:rsid w:val="000976CA"/>
    <w:pPr>
      <w:tabs>
        <w:tab w:val="left" w:pos="440"/>
        <w:tab w:val="right" w:leader="dot" w:pos="9071"/>
      </w:tabs>
      <w:spacing w:after="100"/>
      <w:ind w:right="521"/>
    </w:pPr>
    <w:rPr>
      <w:b/>
      <w:noProof/>
      <w:color w:val="FFFFFF" w:themeColor="background1"/>
      <w:sz w:val="22"/>
    </w:rPr>
  </w:style>
  <w:style w:type="paragraph" w:styleId="ListBullet">
    <w:name w:val="List Bullet"/>
    <w:aliases w:val="l,list no space after,(NECG) List Bullet,*List Bullet,lb,List Bullet 1,IPA Bullet,UL,First Tier Bullet,l1,List Bullet Char2,List Bullet Char1 Char,List Bullet Char Char Char1,List Bullet Char Char1,List Bullet Char2 Char Char,l11"/>
    <w:basedOn w:val="Bullet1stlevel"/>
    <w:link w:val="ListBulletChar"/>
    <w:uiPriority w:val="99"/>
    <w:qFormat/>
    <w:rsid w:val="00165907"/>
    <w:pPr>
      <w:numPr>
        <w:numId w:val="12"/>
      </w:numPr>
    </w:pPr>
  </w:style>
  <w:style w:type="character" w:customStyle="1" w:styleId="ListBulletChar">
    <w:name w:val="List Bullet Char"/>
    <w:aliases w:val="l Char,list no space after Char,(NECG) List Bullet Char,*List Bullet Char,lb Char,List Bullet 1 Char,IPA Bullet Char,UL Char,First Tier Bullet Char,l1 Char,List Bullet Char2 Char,List Bullet Char1 Char Char,List Bullet Char Char1 Char"/>
    <w:basedOn w:val="DefaultParagraphFont"/>
    <w:link w:val="ListBullet"/>
    <w:uiPriority w:val="99"/>
    <w:rsid w:val="003462A6"/>
    <w:rPr>
      <w:rFonts w:asciiTheme="minorHAnsi" w:eastAsia="Times New Roman" w:hAnsiTheme="minorHAnsi"/>
      <w:lang w:val="en-US"/>
    </w:rPr>
  </w:style>
  <w:style w:type="paragraph" w:styleId="ListBullet2">
    <w:name w:val="List Bullet 2"/>
    <w:basedOn w:val="Bullet2ndlevel"/>
    <w:qFormat/>
    <w:rsid w:val="006A7666"/>
    <w:pPr>
      <w:numPr>
        <w:numId w:val="11"/>
      </w:numPr>
    </w:pPr>
  </w:style>
  <w:style w:type="paragraph" w:styleId="ListBullet3">
    <w:name w:val="List Bullet 3"/>
    <w:basedOn w:val="Bullet3rdlevel"/>
    <w:unhideWhenUsed/>
    <w:qFormat/>
    <w:rsid w:val="003462A6"/>
    <w:pPr>
      <w:ind w:left="851" w:hanging="284"/>
    </w:pPr>
  </w:style>
  <w:style w:type="paragraph" w:customStyle="1" w:styleId="Bodytextkeepwithnext">
    <w:name w:val="Bodytextkeepwithnext"/>
    <w:basedOn w:val="BodyText"/>
    <w:qFormat/>
    <w:rsid w:val="003462A6"/>
    <w:pPr>
      <w:keepNext/>
    </w:pPr>
  </w:style>
  <w:style w:type="character" w:styleId="FootnoteReference">
    <w:name w:val="footnote reference"/>
    <w:aliases w:val="(NECG) Footnote Reference"/>
    <w:basedOn w:val="DefaultParagraphFont"/>
    <w:uiPriority w:val="99"/>
    <w:rsid w:val="00A22875"/>
    <w:rPr>
      <w:vertAlign w:val="superscript"/>
    </w:rPr>
  </w:style>
  <w:style w:type="paragraph" w:styleId="Quote">
    <w:name w:val="Quote"/>
    <w:basedOn w:val="BodyText"/>
    <w:next w:val="Normal"/>
    <w:link w:val="QuoteChar"/>
    <w:uiPriority w:val="29"/>
    <w:rsid w:val="003462A6"/>
    <w:pPr>
      <w:ind w:left="284" w:right="253"/>
    </w:pPr>
    <w:rPr>
      <w:i/>
      <w:lang w:eastAsia="en-AU"/>
    </w:rPr>
  </w:style>
  <w:style w:type="character" w:customStyle="1" w:styleId="QuoteChar">
    <w:name w:val="Quote Char"/>
    <w:basedOn w:val="DefaultParagraphFont"/>
    <w:link w:val="Quote"/>
    <w:uiPriority w:val="29"/>
    <w:rsid w:val="003462A6"/>
    <w:rPr>
      <w:rFonts w:asciiTheme="minorHAnsi" w:eastAsia="Batang" w:hAnsiTheme="minorHAnsi"/>
      <w:i/>
      <w:lang w:eastAsia="en-AU"/>
    </w:rPr>
  </w:style>
  <w:style w:type="paragraph" w:customStyle="1" w:styleId="BodyTextkeepwithnext0">
    <w:name w:val="Body Textkeepwithnext"/>
    <w:basedOn w:val="Bodytextkeepwithnext"/>
    <w:qFormat/>
    <w:rsid w:val="00AE0F36"/>
  </w:style>
  <w:style w:type="paragraph" w:customStyle="1" w:styleId="Source">
    <w:name w:val="Source"/>
    <w:basedOn w:val="BodyText"/>
    <w:next w:val="BlockText"/>
    <w:link w:val="SourceChar"/>
    <w:uiPriority w:val="99"/>
    <w:qFormat/>
    <w:rsid w:val="003462A6"/>
    <w:rPr>
      <w:sz w:val="18"/>
    </w:rPr>
  </w:style>
  <w:style w:type="paragraph" w:styleId="BlockText">
    <w:name w:val="Block Text"/>
    <w:basedOn w:val="Normal"/>
    <w:uiPriority w:val="99"/>
    <w:unhideWhenUsed/>
    <w:rsid w:val="006E038F"/>
    <w:pPr>
      <w:pBdr>
        <w:top w:val="single" w:sz="2" w:space="10" w:color="00338D" w:themeColor="accent1" w:frame="1"/>
        <w:left w:val="single" w:sz="2" w:space="10" w:color="00338D" w:themeColor="accent1" w:frame="1"/>
        <w:bottom w:val="single" w:sz="2" w:space="10" w:color="00338D" w:themeColor="accent1" w:frame="1"/>
        <w:right w:val="single" w:sz="2" w:space="10" w:color="00338D" w:themeColor="accent1" w:frame="1"/>
      </w:pBdr>
      <w:ind w:left="1152" w:right="1152"/>
    </w:pPr>
    <w:rPr>
      <w:rFonts w:eastAsiaTheme="minorEastAsia" w:cstheme="minorBidi"/>
      <w:i/>
      <w:iCs/>
      <w:color w:val="00338D" w:themeColor="accent1"/>
    </w:rPr>
  </w:style>
  <w:style w:type="character" w:customStyle="1" w:styleId="SourceChar">
    <w:name w:val="Source Char"/>
    <w:basedOn w:val="DefaultParagraphFont"/>
    <w:link w:val="Source"/>
    <w:uiPriority w:val="99"/>
    <w:rsid w:val="003462A6"/>
    <w:rPr>
      <w:rFonts w:asciiTheme="minorHAnsi" w:eastAsia="Batang" w:hAnsiTheme="minorHAnsi"/>
      <w:sz w:val="18"/>
      <w:lang w:eastAsia="ko-KR"/>
    </w:rPr>
  </w:style>
  <w:style w:type="paragraph" w:customStyle="1" w:styleId="HeadingLevel1NoNumber">
    <w:name w:val="HeadingLevel1NoNumber"/>
    <w:basedOn w:val="Heading1"/>
    <w:qFormat/>
    <w:rsid w:val="003462A6"/>
    <w:pPr>
      <w:numPr>
        <w:numId w:val="0"/>
      </w:numPr>
    </w:pPr>
  </w:style>
  <w:style w:type="paragraph" w:customStyle="1" w:styleId="HeadingLevel2NoNumber">
    <w:name w:val="HeadingLevel2NoNumber"/>
    <w:basedOn w:val="Heading2"/>
    <w:qFormat/>
    <w:rsid w:val="003462A6"/>
    <w:pPr>
      <w:numPr>
        <w:ilvl w:val="0"/>
        <w:numId w:val="0"/>
      </w:numPr>
    </w:pPr>
  </w:style>
  <w:style w:type="paragraph" w:customStyle="1" w:styleId="HeadingLevel3NoNumber">
    <w:name w:val="HeadingLevel3NoNumber"/>
    <w:basedOn w:val="Heading3"/>
    <w:qFormat/>
    <w:rsid w:val="003462A6"/>
    <w:pPr>
      <w:numPr>
        <w:ilvl w:val="0"/>
        <w:numId w:val="0"/>
      </w:numPr>
    </w:pPr>
  </w:style>
  <w:style w:type="paragraph" w:customStyle="1" w:styleId="ListBulletkeepwithnext">
    <w:name w:val="ListBulletkeepwithnext"/>
    <w:basedOn w:val="ListBullet"/>
    <w:qFormat/>
    <w:rsid w:val="004821A0"/>
    <w:pPr>
      <w:keepNext/>
    </w:pPr>
  </w:style>
  <w:style w:type="character" w:styleId="CommentReference">
    <w:name w:val="annotation reference"/>
    <w:basedOn w:val="DefaultParagraphFont"/>
    <w:uiPriority w:val="99"/>
    <w:unhideWhenUsed/>
    <w:rsid w:val="004821A0"/>
    <w:rPr>
      <w:sz w:val="16"/>
      <w:szCs w:val="16"/>
    </w:rPr>
  </w:style>
  <w:style w:type="paragraph" w:styleId="CommentText">
    <w:name w:val="annotation text"/>
    <w:basedOn w:val="Normal"/>
    <w:link w:val="CommentTextChar"/>
    <w:uiPriority w:val="99"/>
    <w:unhideWhenUsed/>
    <w:rsid w:val="004821A0"/>
  </w:style>
  <w:style w:type="character" w:customStyle="1" w:styleId="CommentTextChar">
    <w:name w:val="Comment Text Char"/>
    <w:basedOn w:val="DefaultParagraphFont"/>
    <w:link w:val="CommentText"/>
    <w:uiPriority w:val="99"/>
    <w:rsid w:val="004821A0"/>
    <w:rPr>
      <w:rFonts w:asciiTheme="minorHAnsi" w:hAnsiTheme="minorHAnsi"/>
    </w:rPr>
  </w:style>
  <w:style w:type="paragraph" w:styleId="CommentSubject">
    <w:name w:val="annotation subject"/>
    <w:basedOn w:val="CommentText"/>
    <w:next w:val="CommentText"/>
    <w:link w:val="CommentSubjectChar"/>
    <w:uiPriority w:val="99"/>
    <w:unhideWhenUsed/>
    <w:rsid w:val="004821A0"/>
    <w:rPr>
      <w:b/>
      <w:bCs/>
    </w:rPr>
  </w:style>
  <w:style w:type="character" w:customStyle="1" w:styleId="CommentSubjectChar">
    <w:name w:val="Comment Subject Char"/>
    <w:basedOn w:val="CommentTextChar"/>
    <w:link w:val="CommentSubject"/>
    <w:uiPriority w:val="99"/>
    <w:rsid w:val="004821A0"/>
    <w:rPr>
      <w:rFonts w:asciiTheme="minorHAnsi" w:hAnsiTheme="minorHAnsi"/>
      <w:b/>
      <w:bCs/>
    </w:rPr>
  </w:style>
  <w:style w:type="paragraph" w:styleId="TOC4">
    <w:name w:val="toc 4"/>
    <w:basedOn w:val="TOC3"/>
    <w:semiHidden/>
    <w:rsid w:val="004821A0"/>
  </w:style>
  <w:style w:type="paragraph" w:styleId="TOC3">
    <w:name w:val="toc 3"/>
    <w:basedOn w:val="TOC2"/>
    <w:uiPriority w:val="39"/>
    <w:qFormat/>
    <w:rsid w:val="004821A0"/>
    <w:pPr>
      <w:tabs>
        <w:tab w:val="left" w:pos="1418"/>
      </w:tabs>
      <w:ind w:left="1418" w:hanging="1418"/>
    </w:pPr>
  </w:style>
  <w:style w:type="paragraph" w:styleId="TOC2">
    <w:name w:val="toc 2"/>
    <w:basedOn w:val="TOC1"/>
    <w:uiPriority w:val="39"/>
    <w:qFormat/>
    <w:rsid w:val="006F59B9"/>
    <w:pPr>
      <w:tabs>
        <w:tab w:val="clear" w:pos="440"/>
        <w:tab w:val="clear" w:pos="9071"/>
        <w:tab w:val="left" w:pos="1361"/>
        <w:tab w:val="right" w:pos="8505"/>
      </w:tabs>
      <w:spacing w:before="0" w:after="0"/>
      <w:ind w:left="680" w:hanging="680"/>
    </w:pPr>
    <w:rPr>
      <w:rFonts w:eastAsia="Times New Roman" w:cs="Times New Roman"/>
      <w:b w:val="0"/>
      <w:noProof w:val="0"/>
    </w:rPr>
  </w:style>
  <w:style w:type="paragraph" w:customStyle="1" w:styleId="zreportname">
    <w:name w:val="zreport name"/>
    <w:basedOn w:val="Normal"/>
    <w:semiHidden/>
    <w:rsid w:val="004821A0"/>
    <w:pPr>
      <w:keepLines/>
      <w:spacing w:before="0" w:after="0" w:line="440" w:lineRule="exact"/>
      <w:jc w:val="center"/>
    </w:pPr>
    <w:rPr>
      <w:rFonts w:ascii="Times New Roman" w:eastAsia="Times New Roman" w:hAnsi="Times New Roman" w:cs="Times New Roman"/>
      <w:sz w:val="36"/>
    </w:rPr>
  </w:style>
  <w:style w:type="paragraph" w:customStyle="1" w:styleId="zcontents">
    <w:name w:val="zcontents"/>
    <w:basedOn w:val="Normal"/>
    <w:semiHidden/>
    <w:rsid w:val="004821A0"/>
    <w:pPr>
      <w:spacing w:before="0" w:after="260"/>
    </w:pPr>
    <w:rPr>
      <w:rFonts w:ascii="Times New Roman" w:eastAsia="Times New Roman" w:hAnsi="Times New Roman" w:cs="Times New Roman"/>
      <w:b/>
      <w:color w:val="0C2D83"/>
      <w:sz w:val="32"/>
    </w:rPr>
  </w:style>
  <w:style w:type="paragraph" w:customStyle="1" w:styleId="zcompanyname">
    <w:name w:val="zcompany name"/>
    <w:basedOn w:val="Normal"/>
    <w:semiHidden/>
    <w:rsid w:val="004821A0"/>
    <w:pPr>
      <w:spacing w:before="0" w:after="400" w:line="440" w:lineRule="exact"/>
      <w:jc w:val="center"/>
    </w:pPr>
    <w:rPr>
      <w:rFonts w:ascii="Times New Roman" w:eastAsia="Times New Roman" w:hAnsi="Times New Roman" w:cs="Times New Roman"/>
      <w:b/>
      <w:noProof/>
      <w:sz w:val="26"/>
    </w:rPr>
  </w:style>
  <w:style w:type="paragraph" w:customStyle="1" w:styleId="zreportsubtitle">
    <w:name w:val="zreport subtitle"/>
    <w:basedOn w:val="zreportname"/>
    <w:semiHidden/>
    <w:rsid w:val="004821A0"/>
    <w:rPr>
      <w:sz w:val="32"/>
    </w:rPr>
  </w:style>
  <w:style w:type="paragraph" w:styleId="Index1">
    <w:name w:val="index 1"/>
    <w:basedOn w:val="Normal"/>
    <w:next w:val="Normal"/>
    <w:semiHidden/>
    <w:rsid w:val="004821A0"/>
    <w:pPr>
      <w:keepNext/>
      <w:spacing w:before="260" w:after="0" w:line="280" w:lineRule="exact"/>
      <w:ind w:right="851"/>
    </w:pPr>
    <w:rPr>
      <w:rFonts w:ascii="Times New Roman" w:eastAsia="Times New Roman" w:hAnsi="Times New Roman" w:cs="Times New Roman"/>
      <w:b/>
      <w:sz w:val="24"/>
    </w:rPr>
  </w:style>
  <w:style w:type="paragraph" w:customStyle="1" w:styleId="Graphic">
    <w:name w:val="Graphic"/>
    <w:basedOn w:val="Signature"/>
    <w:next w:val="Caption"/>
    <w:qFormat/>
    <w:rsid w:val="004821A0"/>
    <w:pPr>
      <w:pBdr>
        <w:top w:val="single" w:sz="4" w:space="1" w:color="auto"/>
        <w:left w:val="single" w:sz="4" w:space="1" w:color="auto"/>
        <w:bottom w:val="single" w:sz="4" w:space="1" w:color="auto"/>
        <w:right w:val="single" w:sz="4" w:space="1" w:color="auto"/>
      </w:pBdr>
      <w:spacing w:before="0"/>
      <w:jc w:val="center"/>
    </w:pPr>
    <w:rPr>
      <w:rFonts w:eastAsia="Times New Roman"/>
      <w:sz w:val="22"/>
      <w:lang w:eastAsia="en-US"/>
    </w:rPr>
  </w:style>
  <w:style w:type="paragraph" w:styleId="Index2">
    <w:name w:val="index 2"/>
    <w:basedOn w:val="Normal"/>
    <w:next w:val="Normal"/>
    <w:semiHidden/>
    <w:rsid w:val="004821A0"/>
    <w:pPr>
      <w:spacing w:before="0" w:after="0"/>
      <w:ind w:left="340" w:right="851"/>
    </w:pPr>
    <w:rPr>
      <w:rFonts w:ascii="Times New Roman" w:eastAsia="Times New Roman" w:hAnsi="Times New Roman" w:cs="Times New Roman"/>
      <w:sz w:val="22"/>
    </w:rPr>
  </w:style>
  <w:style w:type="paragraph" w:customStyle="1" w:styleId="zreportaddinfo">
    <w:name w:val="zreport addinfo"/>
    <w:basedOn w:val="Normal"/>
    <w:semiHidden/>
    <w:rsid w:val="004821A0"/>
    <w:pPr>
      <w:framePr w:wrap="around" w:hAnchor="margin" w:xAlign="center" w:yAlign="bottom"/>
      <w:spacing w:before="0" w:after="0" w:line="240" w:lineRule="exact"/>
      <w:jc w:val="center"/>
    </w:pPr>
    <w:rPr>
      <w:rFonts w:ascii="Times New Roman" w:eastAsia="Times New Roman" w:hAnsi="Times New Roman" w:cs="Times New Roman"/>
      <w:noProof/>
    </w:rPr>
  </w:style>
  <w:style w:type="character" w:styleId="Emphasis">
    <w:name w:val="Emphasis"/>
    <w:basedOn w:val="DefaultParagraphFont"/>
    <w:uiPriority w:val="20"/>
    <w:qFormat/>
    <w:rsid w:val="004821A0"/>
    <w:rPr>
      <w:i/>
      <w:iCs/>
    </w:rPr>
  </w:style>
  <w:style w:type="paragraph" w:customStyle="1" w:styleId="AppendixHeading">
    <w:name w:val="Appendix Heading"/>
    <w:basedOn w:val="Heading1"/>
    <w:next w:val="BodyText"/>
    <w:rsid w:val="004821A0"/>
    <w:pPr>
      <w:keepNext/>
      <w:numPr>
        <w:numId w:val="6"/>
      </w:numPr>
      <w:spacing w:before="0" w:after="0" w:line="360" w:lineRule="exact"/>
      <w:outlineLvl w:val="9"/>
    </w:pPr>
    <w:rPr>
      <w:rFonts w:ascii="Univers for KPMG" w:eastAsia="Times New Roman" w:hAnsi="Univers for KPMG" w:cs="Times New Roman"/>
      <w:color w:val="0C2D83"/>
      <w:sz w:val="32"/>
      <w:szCs w:val="20"/>
      <w:lang w:eastAsia="en-US"/>
    </w:rPr>
  </w:style>
  <w:style w:type="paragraph" w:customStyle="1" w:styleId="AppendixHeading2">
    <w:name w:val="Appendix Heading 2"/>
    <w:basedOn w:val="Heading2"/>
    <w:next w:val="BodyText"/>
    <w:rsid w:val="004821A0"/>
    <w:pPr>
      <w:numPr>
        <w:numId w:val="6"/>
      </w:numPr>
      <w:tabs>
        <w:tab w:val="left" w:pos="964"/>
      </w:tabs>
      <w:spacing w:before="400" w:after="0" w:line="320" w:lineRule="exact"/>
      <w:outlineLvl w:val="9"/>
    </w:pPr>
    <w:rPr>
      <w:rFonts w:ascii="Univers for KPMG" w:eastAsia="Times New Roman" w:hAnsi="Univers for KPMG" w:cs="Times New Roman"/>
      <w:b/>
      <w:color w:val="0C2D83"/>
      <w:sz w:val="28"/>
      <w:szCs w:val="20"/>
      <w:lang w:eastAsia="en-US"/>
    </w:rPr>
  </w:style>
  <w:style w:type="paragraph" w:customStyle="1" w:styleId="AppendixHeading3">
    <w:name w:val="Appendix Heading 3"/>
    <w:basedOn w:val="Heading3"/>
    <w:rsid w:val="00955863"/>
    <w:pPr>
      <w:numPr>
        <w:numId w:val="6"/>
      </w:numPr>
      <w:tabs>
        <w:tab w:val="clear" w:pos="0"/>
        <w:tab w:val="left" w:pos="720"/>
      </w:tabs>
      <w:spacing w:after="130" w:line="260" w:lineRule="exact"/>
      <w:ind w:left="720" w:hanging="720"/>
      <w:jc w:val="both"/>
      <w:outlineLvl w:val="9"/>
    </w:pPr>
    <w:rPr>
      <w:rFonts w:ascii="Univers for KPMG" w:eastAsia="Times New Roman" w:hAnsi="Univers for KPMG" w:cs="Times New Roman"/>
      <w:color w:val="0C2D83"/>
      <w:szCs w:val="20"/>
      <w:lang w:eastAsia="en-US"/>
    </w:rPr>
  </w:style>
  <w:style w:type="paragraph" w:customStyle="1" w:styleId="AppendixHeading4">
    <w:name w:val="Appendix Heading 4"/>
    <w:basedOn w:val="Heading4"/>
    <w:next w:val="BodyText"/>
    <w:rsid w:val="004821A0"/>
    <w:pPr>
      <w:keepNext/>
      <w:numPr>
        <w:numId w:val="6"/>
      </w:numPr>
      <w:spacing w:line="280" w:lineRule="exact"/>
      <w:outlineLvl w:val="9"/>
    </w:pPr>
    <w:rPr>
      <w:rFonts w:ascii="Times New Roman" w:eastAsia="Times New Roman" w:hAnsi="Times New Roman" w:cs="Times New Roman"/>
      <w:i/>
      <w:color w:val="0C2D83"/>
      <w:sz w:val="24"/>
      <w:szCs w:val="20"/>
      <w:lang w:eastAsia="en-US"/>
    </w:rPr>
  </w:style>
  <w:style w:type="paragraph" w:customStyle="1" w:styleId="AppendixHeading5">
    <w:name w:val="Appendix Heading 5"/>
    <w:basedOn w:val="Heading5"/>
    <w:next w:val="BodyText"/>
    <w:rsid w:val="004821A0"/>
    <w:pPr>
      <w:keepNext/>
      <w:numPr>
        <w:ilvl w:val="0"/>
        <w:numId w:val="0"/>
      </w:numPr>
      <w:outlineLvl w:val="9"/>
    </w:pPr>
    <w:rPr>
      <w:rFonts w:ascii="Times New Roman" w:eastAsia="Times New Roman" w:hAnsi="Times New Roman" w:cs="Times New Roman"/>
      <w:b/>
      <w:i/>
      <w:color w:val="0C2D83"/>
      <w:sz w:val="22"/>
      <w:szCs w:val="20"/>
      <w:lang w:eastAsia="en-US"/>
    </w:rPr>
  </w:style>
  <w:style w:type="paragraph" w:styleId="BodyText3">
    <w:name w:val="Body Text 3"/>
    <w:basedOn w:val="Normal"/>
    <w:link w:val="BodyText3Char"/>
    <w:qFormat/>
    <w:rsid w:val="004821A0"/>
    <w:pPr>
      <w:spacing w:before="0" w:after="0"/>
      <w:ind w:left="142" w:hanging="142"/>
    </w:pPr>
    <w:rPr>
      <w:rFonts w:ascii="Times New Roman" w:eastAsia="Times New Roman" w:hAnsi="Times New Roman" w:cs="Times New Roman"/>
      <w:sz w:val="18"/>
      <w:szCs w:val="16"/>
    </w:rPr>
  </w:style>
  <w:style w:type="character" w:customStyle="1" w:styleId="BodyText3Char">
    <w:name w:val="Body Text 3 Char"/>
    <w:basedOn w:val="DefaultParagraphFont"/>
    <w:link w:val="BodyText3"/>
    <w:rsid w:val="004821A0"/>
    <w:rPr>
      <w:rFonts w:ascii="Times New Roman" w:eastAsia="Times New Roman" w:hAnsi="Times New Roman" w:cs="Times New Roman"/>
      <w:sz w:val="18"/>
      <w:szCs w:val="16"/>
    </w:rPr>
  </w:style>
  <w:style w:type="paragraph" w:styleId="ListBullet4">
    <w:name w:val="List Bullet 4"/>
    <w:basedOn w:val="ListBullet2"/>
    <w:rsid w:val="004821A0"/>
    <w:pPr>
      <w:numPr>
        <w:numId w:val="7"/>
      </w:numPr>
      <w:spacing w:before="130" w:after="130"/>
    </w:pPr>
    <w:rPr>
      <w:rFonts w:ascii="Times New Roman" w:eastAsia="Times New Roman" w:hAnsi="Times New Roman" w:cs="Times New Roman"/>
      <w:sz w:val="18"/>
      <w:lang w:eastAsia="en-US"/>
    </w:rPr>
  </w:style>
  <w:style w:type="paragraph" w:customStyle="1" w:styleId="zDocRevwH2">
    <w:name w:val="zDocRevwH2"/>
    <w:basedOn w:val="Normal"/>
    <w:semiHidden/>
    <w:rsid w:val="004821A0"/>
    <w:pPr>
      <w:spacing w:before="130" w:after="130"/>
    </w:pPr>
    <w:rPr>
      <w:rFonts w:ascii="Times New Roman" w:eastAsia="Times New Roman" w:hAnsi="Times New Roman" w:cs="Times New Roman"/>
      <w:b/>
      <w:sz w:val="28"/>
    </w:rPr>
  </w:style>
  <w:style w:type="paragraph" w:customStyle="1" w:styleId="zDocRevwH1">
    <w:name w:val="zDocRevwH1"/>
    <w:basedOn w:val="Normal"/>
    <w:semiHidden/>
    <w:rsid w:val="004821A0"/>
    <w:pPr>
      <w:spacing w:before="130" w:after="130"/>
    </w:pPr>
    <w:rPr>
      <w:rFonts w:ascii="Times New Roman" w:eastAsia="Times New Roman" w:hAnsi="Times New Roman" w:cs="Times New Roman"/>
      <w:b/>
      <w:sz w:val="32"/>
    </w:rPr>
  </w:style>
  <w:style w:type="character" w:styleId="Strong">
    <w:name w:val="Strong"/>
    <w:basedOn w:val="DefaultParagraphFont"/>
    <w:uiPriority w:val="22"/>
    <w:qFormat/>
    <w:rsid w:val="004821A0"/>
    <w:rPr>
      <w:b/>
      <w:bCs/>
    </w:rPr>
  </w:style>
  <w:style w:type="paragraph" w:styleId="Title">
    <w:name w:val="Title"/>
    <w:basedOn w:val="Normal"/>
    <w:next w:val="Normal"/>
    <w:link w:val="TitleChar"/>
    <w:uiPriority w:val="10"/>
    <w:qFormat/>
    <w:rsid w:val="004821A0"/>
    <w:pPr>
      <w:pBdr>
        <w:bottom w:val="single" w:sz="8" w:space="4" w:color="00338D" w:themeColor="accent1"/>
      </w:pBdr>
      <w:spacing w:before="0" w:after="300"/>
      <w:contextualSpacing/>
    </w:pPr>
    <w:rPr>
      <w:rFonts w:asciiTheme="majorHAnsi" w:eastAsiaTheme="majorEastAsia" w:hAnsiTheme="majorHAnsi" w:cstheme="majorBidi"/>
      <w:color w:val="002669" w:themeColor="text2" w:themeShade="BF"/>
      <w:spacing w:val="5"/>
      <w:kern w:val="28"/>
      <w:sz w:val="52"/>
      <w:szCs w:val="52"/>
    </w:rPr>
  </w:style>
  <w:style w:type="character" w:customStyle="1" w:styleId="TitleChar">
    <w:name w:val="Title Char"/>
    <w:basedOn w:val="DefaultParagraphFont"/>
    <w:link w:val="Title"/>
    <w:uiPriority w:val="10"/>
    <w:rsid w:val="004821A0"/>
    <w:rPr>
      <w:rFonts w:asciiTheme="majorHAnsi" w:eastAsiaTheme="majorEastAsia" w:hAnsiTheme="majorHAnsi" w:cstheme="majorBidi"/>
      <w:color w:val="002669" w:themeColor="text2" w:themeShade="BF"/>
      <w:spacing w:val="5"/>
      <w:kern w:val="28"/>
      <w:sz w:val="52"/>
      <w:szCs w:val="52"/>
    </w:rPr>
  </w:style>
  <w:style w:type="paragraph" w:styleId="Subtitle">
    <w:name w:val="Subtitle"/>
    <w:basedOn w:val="Normal"/>
    <w:next w:val="Normal"/>
    <w:link w:val="SubtitleChar"/>
    <w:rsid w:val="004821A0"/>
    <w:pPr>
      <w:numPr>
        <w:ilvl w:val="1"/>
      </w:numPr>
      <w:spacing w:before="0" w:after="0"/>
    </w:pPr>
    <w:rPr>
      <w:rFonts w:asciiTheme="majorHAnsi" w:eastAsiaTheme="majorEastAsia" w:hAnsiTheme="majorHAnsi" w:cstheme="majorBidi"/>
      <w:i/>
      <w:iCs/>
      <w:color w:val="00338D" w:themeColor="accent1"/>
      <w:spacing w:val="15"/>
      <w:sz w:val="24"/>
      <w:szCs w:val="24"/>
    </w:rPr>
  </w:style>
  <w:style w:type="character" w:customStyle="1" w:styleId="SubtitleChar">
    <w:name w:val="Subtitle Char"/>
    <w:basedOn w:val="DefaultParagraphFont"/>
    <w:link w:val="Subtitle"/>
    <w:rsid w:val="004821A0"/>
    <w:rPr>
      <w:rFonts w:asciiTheme="majorHAnsi" w:eastAsiaTheme="majorEastAsia" w:hAnsiTheme="majorHAnsi" w:cstheme="majorBidi"/>
      <w:i/>
      <w:iCs/>
      <w:color w:val="00338D" w:themeColor="accent1"/>
      <w:spacing w:val="15"/>
      <w:sz w:val="24"/>
      <w:szCs w:val="24"/>
    </w:rPr>
  </w:style>
  <w:style w:type="character" w:styleId="SubtleEmphasis">
    <w:name w:val="Subtle Emphasis"/>
    <w:basedOn w:val="DefaultParagraphFont"/>
    <w:uiPriority w:val="19"/>
    <w:rsid w:val="004821A0"/>
    <w:rPr>
      <w:i/>
      <w:iCs/>
      <w:color w:val="808080" w:themeColor="text1" w:themeTint="7F"/>
    </w:rPr>
  </w:style>
  <w:style w:type="character" w:styleId="IntenseEmphasis">
    <w:name w:val="Intense Emphasis"/>
    <w:basedOn w:val="DefaultParagraphFont"/>
    <w:uiPriority w:val="21"/>
    <w:rsid w:val="004821A0"/>
    <w:rPr>
      <w:b/>
      <w:bCs/>
      <w:i/>
      <w:iCs/>
      <w:color w:val="00338D" w:themeColor="accent1"/>
    </w:rPr>
  </w:style>
  <w:style w:type="paragraph" w:styleId="IntenseQuote">
    <w:name w:val="Intense Quote"/>
    <w:basedOn w:val="Normal"/>
    <w:next w:val="Normal"/>
    <w:link w:val="IntenseQuoteChar"/>
    <w:uiPriority w:val="30"/>
    <w:rsid w:val="004821A0"/>
    <w:pPr>
      <w:pBdr>
        <w:bottom w:val="single" w:sz="4" w:space="4" w:color="00338D" w:themeColor="accent1"/>
      </w:pBdr>
      <w:spacing w:before="200" w:after="280"/>
      <w:ind w:left="936" w:right="936"/>
    </w:pPr>
    <w:rPr>
      <w:rFonts w:ascii="Times New Roman" w:eastAsia="Times New Roman" w:hAnsi="Times New Roman" w:cs="Times New Roman"/>
      <w:b/>
      <w:bCs/>
      <w:i/>
      <w:iCs/>
      <w:color w:val="00338D" w:themeColor="accent1"/>
      <w:sz w:val="22"/>
    </w:rPr>
  </w:style>
  <w:style w:type="character" w:customStyle="1" w:styleId="IntenseQuoteChar">
    <w:name w:val="Intense Quote Char"/>
    <w:basedOn w:val="DefaultParagraphFont"/>
    <w:link w:val="IntenseQuote"/>
    <w:uiPriority w:val="30"/>
    <w:rsid w:val="004821A0"/>
    <w:rPr>
      <w:rFonts w:ascii="Times New Roman" w:eastAsia="Times New Roman" w:hAnsi="Times New Roman" w:cs="Times New Roman"/>
      <w:b/>
      <w:bCs/>
      <w:i/>
      <w:iCs/>
      <w:color w:val="00338D" w:themeColor="accent1"/>
      <w:sz w:val="22"/>
    </w:rPr>
  </w:style>
  <w:style w:type="character" w:styleId="SubtleReference">
    <w:name w:val="Subtle Reference"/>
    <w:basedOn w:val="DefaultParagraphFont"/>
    <w:uiPriority w:val="31"/>
    <w:rsid w:val="004821A0"/>
    <w:rPr>
      <w:smallCaps/>
      <w:color w:val="4066B3" w:themeColor="accent2"/>
      <w:u w:val="single"/>
    </w:rPr>
  </w:style>
  <w:style w:type="character" w:styleId="IntenseReference">
    <w:name w:val="Intense Reference"/>
    <w:basedOn w:val="DefaultParagraphFont"/>
    <w:uiPriority w:val="32"/>
    <w:rsid w:val="004821A0"/>
    <w:rPr>
      <w:b/>
      <w:bCs/>
      <w:smallCaps/>
      <w:color w:val="4066B3" w:themeColor="accent2"/>
      <w:spacing w:val="5"/>
      <w:u w:val="single"/>
    </w:rPr>
  </w:style>
  <w:style w:type="character" w:styleId="BookTitle">
    <w:name w:val="Book Title"/>
    <w:basedOn w:val="DefaultParagraphFont"/>
    <w:uiPriority w:val="33"/>
    <w:qFormat/>
    <w:rsid w:val="004821A0"/>
    <w:rPr>
      <w:b/>
      <w:bCs/>
      <w:smallCaps/>
      <w:spacing w:val="5"/>
    </w:rPr>
  </w:style>
  <w:style w:type="paragraph" w:styleId="NoSpacing">
    <w:name w:val="No Spacing"/>
    <w:link w:val="NoSpacingChar"/>
    <w:uiPriority w:val="1"/>
    <w:qFormat/>
    <w:rsid w:val="004821A0"/>
    <w:pPr>
      <w:spacing w:before="0" w:after="0"/>
    </w:pPr>
    <w:rPr>
      <w:rFonts w:ascii="Times New Roman" w:eastAsia="Times New Roman" w:hAnsi="Times New Roman" w:cs="Times New Roman"/>
      <w:sz w:val="22"/>
    </w:rPr>
  </w:style>
  <w:style w:type="paragraph" w:customStyle="1" w:styleId="Example">
    <w:name w:val="Example"/>
    <w:rsid w:val="004821A0"/>
    <w:pPr>
      <w:widowControl w:val="0"/>
      <w:autoSpaceDE w:val="0"/>
      <w:autoSpaceDN w:val="0"/>
      <w:adjustRightInd w:val="0"/>
      <w:spacing w:before="180" w:after="0"/>
      <w:ind w:left="360"/>
    </w:pPr>
    <w:rPr>
      <w:rFonts w:ascii="Times" w:eastAsia="Times New Roman" w:hAnsi="Times" w:cs="Times New Roman"/>
      <w:i/>
      <w:iCs/>
      <w:sz w:val="24"/>
      <w:szCs w:val="24"/>
      <w:lang w:val="en-US"/>
    </w:rPr>
  </w:style>
  <w:style w:type="paragraph" w:customStyle="1" w:styleId="Default">
    <w:name w:val="Default"/>
    <w:rsid w:val="004821A0"/>
    <w:pPr>
      <w:autoSpaceDE w:val="0"/>
      <w:autoSpaceDN w:val="0"/>
      <w:adjustRightInd w:val="0"/>
      <w:spacing w:before="0" w:after="0"/>
    </w:pPr>
    <w:rPr>
      <w:rFonts w:ascii="Arial" w:eastAsia="Times New Roman" w:hAnsi="Arial"/>
      <w:color w:val="000000"/>
      <w:sz w:val="24"/>
      <w:szCs w:val="24"/>
      <w:lang w:eastAsia="en-AU"/>
    </w:rPr>
  </w:style>
  <w:style w:type="character" w:styleId="FollowedHyperlink">
    <w:name w:val="FollowedHyperlink"/>
    <w:basedOn w:val="DefaultParagraphFont"/>
    <w:uiPriority w:val="99"/>
    <w:rsid w:val="004821A0"/>
    <w:rPr>
      <w:color w:val="EBB700" w:themeColor="followedHyperlink"/>
      <w:u w:val="single"/>
    </w:rPr>
  </w:style>
  <w:style w:type="table" w:styleId="TableClassic3">
    <w:name w:val="Table Classic 3"/>
    <w:basedOn w:val="TableNormal"/>
    <w:rsid w:val="004821A0"/>
    <w:pPr>
      <w:spacing w:before="0" w:after="0"/>
    </w:pPr>
    <w:rPr>
      <w:rFonts w:ascii="Tms Rmn" w:eastAsia="Times New Roman" w:hAnsi="Tms Rm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4821A0"/>
    <w:pPr>
      <w:spacing w:before="0" w:after="0"/>
    </w:pPr>
    <w:rPr>
      <w:rFonts w:ascii="Tms Rmn" w:eastAsia="Times New Roman" w:hAnsi="Tms Rm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4821A0"/>
    <w:pPr>
      <w:spacing w:before="0" w:after="0"/>
    </w:pPr>
    <w:rPr>
      <w:rFonts w:ascii="Tms Rmn" w:eastAsia="Times New Roman" w:hAnsi="Tms Rm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4821A0"/>
    <w:pPr>
      <w:spacing w:before="0" w:after="0"/>
    </w:pPr>
    <w:rPr>
      <w:rFonts w:ascii="Tms Rmn" w:eastAsia="Times New Roman" w:hAnsi="Tms Rm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a9">
    <w:name w:val="Pa9"/>
    <w:basedOn w:val="Default"/>
    <w:next w:val="Default"/>
    <w:uiPriority w:val="99"/>
    <w:rsid w:val="004821A0"/>
    <w:pPr>
      <w:spacing w:line="121" w:lineRule="atLeast"/>
    </w:pPr>
    <w:rPr>
      <w:rFonts w:ascii="Avenir LT Std 35 Light" w:hAnsi="Avenir LT Std 35 Light" w:cs="Times New Roman"/>
      <w:color w:val="auto"/>
    </w:rPr>
  </w:style>
  <w:style w:type="paragraph" w:customStyle="1" w:styleId="Pa10">
    <w:name w:val="Pa10"/>
    <w:basedOn w:val="Default"/>
    <w:next w:val="Default"/>
    <w:uiPriority w:val="99"/>
    <w:rsid w:val="004821A0"/>
    <w:pPr>
      <w:spacing w:line="121" w:lineRule="atLeast"/>
    </w:pPr>
    <w:rPr>
      <w:rFonts w:ascii="Avenir LT Std 35 Light" w:hAnsi="Avenir LT Std 35 Light" w:cs="Times New Roman"/>
      <w:color w:val="auto"/>
    </w:rPr>
  </w:style>
  <w:style w:type="paragraph" w:styleId="NormalWeb">
    <w:name w:val="Normal (Web)"/>
    <w:basedOn w:val="Normal"/>
    <w:uiPriority w:val="99"/>
    <w:unhideWhenUsed/>
    <w:rsid w:val="004821A0"/>
    <w:pPr>
      <w:spacing w:before="0" w:after="0"/>
    </w:pPr>
    <w:rPr>
      <w:rFonts w:ascii="Times New Roman" w:eastAsia="Times New Roman" w:hAnsi="Times New Roman" w:cs="Times New Roman"/>
      <w:sz w:val="24"/>
      <w:szCs w:val="24"/>
      <w:lang w:eastAsia="en-AU"/>
    </w:rPr>
  </w:style>
  <w:style w:type="character" w:customStyle="1" w:styleId="style11">
    <w:name w:val="style11"/>
    <w:basedOn w:val="DefaultParagraphFont"/>
    <w:rsid w:val="004821A0"/>
    <w:rPr>
      <w:rFonts w:ascii="Arial" w:hAnsi="Arial" w:cs="Arial" w:hint="default"/>
    </w:rPr>
  </w:style>
  <w:style w:type="paragraph" w:customStyle="1" w:styleId="StyleBodyText10ptBoldItalic">
    <w:name w:val="Style Body Text + 10 pt Bold Italic"/>
    <w:basedOn w:val="BodyText"/>
    <w:rsid w:val="004821A0"/>
    <w:pPr>
      <w:numPr>
        <w:numId w:val="8"/>
      </w:numPr>
      <w:tabs>
        <w:tab w:val="clear" w:pos="737"/>
      </w:tabs>
      <w:spacing w:before="130" w:after="130"/>
      <w:ind w:left="0" w:firstLine="0"/>
      <w:jc w:val="both"/>
    </w:pPr>
    <w:rPr>
      <w:rFonts w:ascii="Times New Roman Bold" w:eastAsia="Times New Roman" w:hAnsi="Times New Roman Bold" w:cs="Times New Roman"/>
      <w:b/>
      <w:bCs/>
      <w:i/>
      <w:iCs/>
      <w:lang w:eastAsia="en-US"/>
    </w:rPr>
  </w:style>
  <w:style w:type="paragraph" w:customStyle="1" w:styleId="source0">
    <w:name w:val="source"/>
    <w:basedOn w:val="Source"/>
    <w:qFormat/>
    <w:rsid w:val="004821A0"/>
  </w:style>
  <w:style w:type="paragraph" w:styleId="Revision">
    <w:name w:val="Revision"/>
    <w:hidden/>
    <w:uiPriority w:val="99"/>
    <w:semiHidden/>
    <w:rsid w:val="004821A0"/>
    <w:pPr>
      <w:spacing w:before="0" w:after="0"/>
    </w:pPr>
    <w:rPr>
      <w:rFonts w:ascii="Times New Roman" w:eastAsia="Times New Roman" w:hAnsi="Times New Roman" w:cs="Times New Roman"/>
      <w:sz w:val="22"/>
    </w:rPr>
  </w:style>
  <w:style w:type="paragraph" w:customStyle="1" w:styleId="Frontpagesubhead">
    <w:name w:val="Front page subhead"/>
    <w:basedOn w:val="BodyText"/>
    <w:rsid w:val="004821A0"/>
    <w:pPr>
      <w:spacing w:after="0" w:line="280" w:lineRule="atLeast"/>
    </w:pPr>
    <w:rPr>
      <w:rFonts w:ascii="Univers 55" w:eastAsia="Times New Roman" w:hAnsi="Univers 55" w:cs="Times New Roman"/>
      <w:color w:val="0C2D83"/>
      <w:sz w:val="24"/>
      <w:szCs w:val="22"/>
      <w:lang w:eastAsia="en-US"/>
    </w:rPr>
  </w:style>
  <w:style w:type="paragraph" w:customStyle="1" w:styleId="Disclaimer">
    <w:name w:val="_Disclaimer"/>
    <w:basedOn w:val="Normal"/>
    <w:qFormat/>
    <w:rsid w:val="004821A0"/>
    <w:pPr>
      <w:spacing w:before="0" w:after="200"/>
    </w:pPr>
    <w:rPr>
      <w:rFonts w:ascii="Arial" w:hAnsi="Arial" w:cstheme="minorBidi"/>
      <w:color w:val="000000" w:themeColor="text1"/>
      <w:szCs w:val="22"/>
      <w:lang w:val="en-GB"/>
    </w:rPr>
  </w:style>
  <w:style w:type="paragraph" w:customStyle="1" w:styleId="BodyText0">
    <w:name w:val="_Body Text"/>
    <w:basedOn w:val="Normal"/>
    <w:qFormat/>
    <w:rsid w:val="004821A0"/>
    <w:pPr>
      <w:spacing w:before="0" w:after="280" w:line="288" w:lineRule="atLeast"/>
    </w:pPr>
    <w:rPr>
      <w:rFonts w:ascii="Arial" w:hAnsi="Arial" w:cstheme="minorBidi"/>
      <w:color w:val="000000" w:themeColor="text1"/>
      <w:sz w:val="24"/>
      <w:szCs w:val="22"/>
      <w:lang w:val="en-GB"/>
    </w:rPr>
  </w:style>
  <w:style w:type="paragraph" w:customStyle="1" w:styleId="DocumentTitle">
    <w:name w:val="_Document Title"/>
    <w:basedOn w:val="Normal"/>
    <w:qFormat/>
    <w:rsid w:val="004821A0"/>
    <w:pPr>
      <w:spacing w:before="0" w:after="300" w:line="648" w:lineRule="atLeast"/>
    </w:pPr>
    <w:rPr>
      <w:rFonts w:ascii="Arial" w:hAnsi="Arial" w:cstheme="minorBidi"/>
      <w:b/>
      <w:color w:val="FFFFFF" w:themeColor="background1"/>
      <w:sz w:val="60"/>
      <w:szCs w:val="22"/>
      <w:lang w:val="en-GB"/>
    </w:rPr>
  </w:style>
  <w:style w:type="paragraph" w:customStyle="1" w:styleId="ReportDate">
    <w:name w:val="_Report Date"/>
    <w:basedOn w:val="Normal"/>
    <w:qFormat/>
    <w:rsid w:val="004821A0"/>
    <w:pPr>
      <w:spacing w:before="0" w:after="0" w:line="288" w:lineRule="atLeast"/>
    </w:pPr>
    <w:rPr>
      <w:rFonts w:ascii="Arial" w:hAnsi="Arial" w:cstheme="minorBidi"/>
      <w:color w:val="FFFFFF" w:themeColor="background1"/>
      <w:sz w:val="24"/>
      <w:szCs w:val="22"/>
      <w:lang w:val="en-GB"/>
    </w:rPr>
  </w:style>
  <w:style w:type="paragraph" w:customStyle="1" w:styleId="AdditionalInfo">
    <w:name w:val="_Additional Info"/>
    <w:basedOn w:val="BodyText0"/>
    <w:rsid w:val="004821A0"/>
    <w:rPr>
      <w:color w:val="FFFFFF" w:themeColor="background1"/>
    </w:rPr>
  </w:style>
  <w:style w:type="paragraph" w:styleId="TableofFigures">
    <w:name w:val="table of figures"/>
    <w:basedOn w:val="Normal"/>
    <w:next w:val="Normal"/>
    <w:uiPriority w:val="99"/>
    <w:rsid w:val="004821A0"/>
    <w:pPr>
      <w:spacing w:before="0" w:after="0"/>
      <w:ind w:right="567"/>
    </w:pPr>
    <w:rPr>
      <w:rFonts w:ascii="Times New Roman" w:eastAsia="Times New Roman" w:hAnsi="Times New Roman" w:cs="Times New Roman"/>
      <w:sz w:val="22"/>
    </w:rPr>
  </w:style>
  <w:style w:type="paragraph" w:styleId="DocumentMap">
    <w:name w:val="Document Map"/>
    <w:basedOn w:val="Normal"/>
    <w:link w:val="DocumentMapChar"/>
    <w:uiPriority w:val="99"/>
    <w:rsid w:val="004821A0"/>
    <w:pPr>
      <w:spacing w:before="0" w:after="0"/>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4821A0"/>
    <w:rPr>
      <w:rFonts w:ascii="Tahoma" w:eastAsia="Times New Roman" w:hAnsi="Tahoma" w:cs="Tahoma"/>
      <w:sz w:val="16"/>
      <w:szCs w:val="16"/>
    </w:rPr>
  </w:style>
  <w:style w:type="paragraph" w:customStyle="1" w:styleId="Heading40">
    <w:name w:val="|Heading_4"/>
    <w:basedOn w:val="Normal"/>
    <w:next w:val="Normal"/>
    <w:rsid w:val="004821A0"/>
    <w:pPr>
      <w:widowControl w:val="0"/>
      <w:spacing w:after="80"/>
    </w:pPr>
    <w:rPr>
      <w:rFonts w:ascii="Arial" w:eastAsia="Times New Roman" w:hAnsi="Arial" w:cs="Times New Roman"/>
      <w:b/>
      <w:i/>
      <w:noProof/>
      <w:color w:val="000000"/>
      <w:sz w:val="24"/>
      <w:lang w:val="en-US"/>
    </w:rPr>
  </w:style>
  <w:style w:type="paragraph" w:styleId="PlainText">
    <w:name w:val="Plain Text"/>
    <w:basedOn w:val="Normal"/>
    <w:link w:val="PlainTextChar"/>
    <w:uiPriority w:val="99"/>
    <w:unhideWhenUsed/>
    <w:rsid w:val="004821A0"/>
    <w:pPr>
      <w:spacing w:before="0" w:after="0"/>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4821A0"/>
    <w:rPr>
      <w:rFonts w:ascii="Calibri" w:eastAsia="Calibri" w:hAnsi="Calibri" w:cs="Times New Roman"/>
      <w:sz w:val="22"/>
      <w:szCs w:val="21"/>
    </w:rPr>
  </w:style>
  <w:style w:type="table" w:customStyle="1" w:styleId="MediumShading1-Accent11">
    <w:name w:val="Medium Shading 1 - Accent 11"/>
    <w:basedOn w:val="TableNormal"/>
    <w:uiPriority w:val="63"/>
    <w:rsid w:val="004821A0"/>
    <w:pPr>
      <w:spacing w:before="0" w:after="0"/>
    </w:pPr>
    <w:rPr>
      <w:rFonts w:asciiTheme="minorHAnsi" w:hAnsiTheme="minorHAnsi" w:cstheme="minorBidi"/>
      <w:sz w:val="22"/>
      <w:szCs w:val="22"/>
    </w:r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tblBorders>
    </w:tblPr>
    <w:tblStylePr w:type="firstRow">
      <w:pPr>
        <w:spacing w:before="0" w:after="0" w:line="240" w:lineRule="auto"/>
      </w:pPr>
      <w:rPr>
        <w:b/>
        <w:bCs/>
        <w:color w:val="FFFFFF" w:themeColor="background1"/>
      </w:rPr>
      <w:tblPr/>
      <w:tcPr>
        <w:tc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shd w:val="clear" w:color="auto" w:fill="00338D" w:themeFill="accent1"/>
      </w:tcPr>
    </w:tblStylePr>
    <w:tblStylePr w:type="lastRow">
      <w:pPr>
        <w:spacing w:before="0" w:after="0" w:line="240" w:lineRule="auto"/>
      </w:pPr>
      <w:rPr>
        <w:b/>
        <w:bCs/>
      </w:rPr>
      <w:tblPr/>
      <w:tcPr>
        <w:tcBorders>
          <w:top w:val="double" w:sz="6"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4FF" w:themeFill="accent1" w:themeFillTint="3F"/>
      </w:tcPr>
    </w:tblStylePr>
    <w:tblStylePr w:type="band1Horz">
      <w:tblPr/>
      <w:tcPr>
        <w:tcBorders>
          <w:insideH w:val="nil"/>
          <w:insideV w:val="nil"/>
        </w:tcBorders>
        <w:shd w:val="clear" w:color="auto" w:fill="A3C4FF" w:themeFill="accent1" w:themeFillTint="3F"/>
      </w:tcPr>
    </w:tblStylePr>
    <w:tblStylePr w:type="band2Horz">
      <w:tblPr/>
      <w:tcPr>
        <w:tcBorders>
          <w:insideH w:val="nil"/>
          <w:insideV w:val="nil"/>
        </w:tcBorders>
      </w:tcPr>
    </w:tblStylePr>
  </w:style>
  <w:style w:type="paragraph" w:customStyle="1" w:styleId="Numbering">
    <w:name w:val="Numbering"/>
    <w:basedOn w:val="BodyText"/>
    <w:autoRedefine/>
    <w:rsid w:val="004821A0"/>
    <w:pPr>
      <w:numPr>
        <w:numId w:val="9"/>
      </w:numPr>
      <w:spacing w:line="280" w:lineRule="atLeast"/>
      <w:jc w:val="both"/>
    </w:pPr>
    <w:rPr>
      <w:rFonts w:ascii="Calibri" w:eastAsia="Times New Roman" w:hAnsi="Calibri" w:cs="Times New Roman"/>
      <w:sz w:val="21"/>
      <w:szCs w:val="22"/>
      <w:lang w:eastAsia="en-US"/>
    </w:rPr>
  </w:style>
  <w:style w:type="table" w:styleId="TableClassic1">
    <w:name w:val="Table Classic 1"/>
    <w:basedOn w:val="TableNormal"/>
    <w:rsid w:val="004821A0"/>
    <w:pPr>
      <w:spacing w:before="0" w:after="0"/>
    </w:pPr>
    <w:rPr>
      <w:rFonts w:ascii="Tms Rmn" w:eastAsia="Times New Roman" w:hAnsi="Tms Rm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4821A0"/>
    <w:pPr>
      <w:spacing w:before="0" w:after="0"/>
    </w:pPr>
    <w:rPr>
      <w:rFonts w:ascii="Tms Rmn" w:eastAsia="Times New Roman" w:hAnsi="Tms Rm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ghtList1">
    <w:name w:val="Light List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unicode">
    <w:name w:val="unicode"/>
    <w:basedOn w:val="DefaultParagraphFont"/>
    <w:rsid w:val="004821A0"/>
  </w:style>
  <w:style w:type="table" w:styleId="TableProfessional">
    <w:name w:val="Table Professional"/>
    <w:basedOn w:val="TableNormal"/>
    <w:rsid w:val="004821A0"/>
    <w:pPr>
      <w:spacing w:before="0" w:after="0"/>
    </w:pPr>
    <w:rPr>
      <w:rFonts w:ascii="Tms Rmn" w:eastAsia="Times New Roman" w:hAnsi="Tms Rm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text0">
    <w:name w:val="Tabletext"/>
    <w:basedOn w:val="BodyText"/>
    <w:qFormat/>
    <w:rsid w:val="00AE0F36"/>
    <w:pPr>
      <w:keepNext/>
      <w:spacing w:before="40" w:after="40"/>
    </w:pPr>
  </w:style>
  <w:style w:type="paragraph" w:styleId="EndnoteText">
    <w:name w:val="endnote text"/>
    <w:basedOn w:val="Normal"/>
    <w:link w:val="EndnoteTextChar"/>
    <w:rsid w:val="004821A0"/>
    <w:pPr>
      <w:spacing w:before="0" w:after="0"/>
    </w:pPr>
    <w:rPr>
      <w:rFonts w:ascii="Times New Roman" w:eastAsia="Times New Roman" w:hAnsi="Times New Roman" w:cs="Times New Roman"/>
    </w:rPr>
  </w:style>
  <w:style w:type="character" w:customStyle="1" w:styleId="EndnoteTextChar">
    <w:name w:val="Endnote Text Char"/>
    <w:basedOn w:val="DefaultParagraphFont"/>
    <w:link w:val="EndnoteText"/>
    <w:rsid w:val="004821A0"/>
    <w:rPr>
      <w:rFonts w:ascii="Times New Roman" w:eastAsia="Times New Roman" w:hAnsi="Times New Roman" w:cs="Times New Roman"/>
    </w:rPr>
  </w:style>
  <w:style w:type="character" w:styleId="EndnoteReference">
    <w:name w:val="endnote reference"/>
    <w:basedOn w:val="DefaultParagraphFont"/>
    <w:rsid w:val="004821A0"/>
    <w:rPr>
      <w:vertAlign w:val="superscript"/>
    </w:rPr>
  </w:style>
  <w:style w:type="character" w:customStyle="1" w:styleId="apple-converted-space">
    <w:name w:val="apple-converted-space"/>
    <w:basedOn w:val="DefaultParagraphFont"/>
    <w:rsid w:val="004821A0"/>
  </w:style>
  <w:style w:type="table" w:customStyle="1" w:styleId="LightList-Accent11">
    <w:name w:val="Light List - Accent 1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paragraph" w:customStyle="1" w:styleId="copyright">
    <w:name w:val="copyright"/>
    <w:basedOn w:val="Disclaimer"/>
    <w:qFormat/>
    <w:rsid w:val="004821A0"/>
    <w:pPr>
      <w:spacing w:afterLines="20"/>
      <w:ind w:left="567" w:right="567"/>
      <w:jc w:val="center"/>
    </w:pPr>
    <w:rPr>
      <w:rFonts w:ascii="Times New Roman" w:hAnsi="Times New Roman" w:cs="Times New Roman"/>
      <w:color w:val="00338D" w:themeColor="text2"/>
      <w:sz w:val="12"/>
      <w:szCs w:val="12"/>
    </w:rPr>
  </w:style>
  <w:style w:type="paragraph" w:customStyle="1" w:styleId="Tablebullet1">
    <w:name w:val="Tablebullet1"/>
    <w:basedOn w:val="BodyText"/>
    <w:qFormat/>
    <w:rsid w:val="004821A0"/>
    <w:pPr>
      <w:numPr>
        <w:numId w:val="10"/>
      </w:numPr>
      <w:spacing w:before="40" w:after="40"/>
    </w:pPr>
    <w:rPr>
      <w:rFonts w:ascii="Times New Roman" w:eastAsia="Times New Roman" w:hAnsi="Times New Roman" w:cs="Times New Roman"/>
      <w:bCs/>
      <w:lang w:eastAsia="en-US"/>
    </w:rPr>
  </w:style>
  <w:style w:type="character" w:customStyle="1" w:styleId="st1">
    <w:name w:val="st1"/>
    <w:basedOn w:val="DefaultParagraphFont"/>
    <w:rsid w:val="004821A0"/>
  </w:style>
  <w:style w:type="table" w:customStyle="1" w:styleId="KPMGtable1">
    <w:name w:val="KPMG_table1"/>
    <w:basedOn w:val="TableNormal"/>
    <w:uiPriority w:val="99"/>
    <w:qFormat/>
    <w:rsid w:val="004821A0"/>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paragraph" w:styleId="TOCHeading">
    <w:name w:val="TOC Heading"/>
    <w:basedOn w:val="Heading1"/>
    <w:next w:val="Normal"/>
    <w:uiPriority w:val="39"/>
    <w:unhideWhenUsed/>
    <w:qFormat/>
    <w:rsid w:val="004821A0"/>
    <w:pPr>
      <w:keepNext/>
      <w:keepLines/>
      <w:pageBreakBefore w:val="0"/>
      <w:numPr>
        <w:numId w:val="0"/>
      </w:numPr>
      <w:spacing w:before="480" w:after="0" w:line="276" w:lineRule="auto"/>
      <w:outlineLvl w:val="9"/>
    </w:pPr>
    <w:rPr>
      <w:rFonts w:asciiTheme="majorHAnsi" w:eastAsiaTheme="majorEastAsia" w:hAnsiTheme="majorHAnsi" w:cstheme="majorBidi"/>
      <w:bCs/>
      <w:color w:val="002669" w:themeColor="accent1" w:themeShade="BF"/>
      <w:sz w:val="28"/>
      <w:szCs w:val="28"/>
      <w:lang w:val="en-US" w:eastAsia="en-US"/>
    </w:rPr>
  </w:style>
  <w:style w:type="character" w:customStyle="1" w:styleId="Listbullet1Char">
    <w:name w:val="List bullet 1 Char"/>
    <w:link w:val="Listbullet1"/>
    <w:locked/>
    <w:rsid w:val="00063F0B"/>
    <w:rPr>
      <w:rFonts w:asciiTheme="minorHAnsi" w:eastAsia="Batang" w:hAnsiTheme="minorHAnsi"/>
      <w:lang w:eastAsia="ko-KR"/>
    </w:rPr>
  </w:style>
  <w:style w:type="paragraph" w:customStyle="1" w:styleId="Listbullet1">
    <w:name w:val="List bullet 1"/>
    <w:basedOn w:val="BodyText"/>
    <w:link w:val="Listbullet1Char"/>
    <w:qFormat/>
    <w:rsid w:val="00063F0B"/>
    <w:pPr>
      <w:numPr>
        <w:numId w:val="13"/>
      </w:numPr>
    </w:pPr>
  </w:style>
  <w:style w:type="paragraph" w:customStyle="1" w:styleId="HeadingLevel4NoNumber">
    <w:name w:val="HeadingLevel4NoNumber"/>
    <w:basedOn w:val="BodyText"/>
    <w:next w:val="BodyText"/>
    <w:qFormat/>
    <w:rsid w:val="00063F0B"/>
    <w:pPr>
      <w:keepNext/>
      <w:pBdr>
        <w:left w:val="single" w:sz="18" w:space="4" w:color="C7D6E9" w:themeColor="accent3" w:themeTint="66"/>
      </w:pBdr>
    </w:pPr>
    <w:rPr>
      <w:b/>
    </w:rPr>
  </w:style>
  <w:style w:type="character" w:customStyle="1" w:styleId="ImplicationsChar">
    <w:name w:val="Implications Char"/>
    <w:basedOn w:val="BodyTextChar"/>
    <w:link w:val="Implications"/>
    <w:locked/>
    <w:rsid w:val="00063F0B"/>
    <w:rPr>
      <w:rFonts w:asciiTheme="minorHAnsi" w:eastAsia="Batang" w:hAnsiTheme="minorHAnsi"/>
      <w:i/>
      <w:sz w:val="20"/>
      <w:lang w:val="en-US" w:eastAsia="ko-KR"/>
    </w:rPr>
  </w:style>
  <w:style w:type="paragraph" w:customStyle="1" w:styleId="Implications">
    <w:name w:val="Implications"/>
    <w:basedOn w:val="BodyText"/>
    <w:link w:val="ImplicationsChar"/>
    <w:qFormat/>
    <w:rsid w:val="00063F0B"/>
    <w:pPr>
      <w:keepNext/>
    </w:pPr>
    <w:rPr>
      <w:i/>
      <w:lang w:val="en-US"/>
    </w:rPr>
  </w:style>
  <w:style w:type="table" w:customStyle="1" w:styleId="GridTable1LightAccent1">
    <w:name w:val="Grid Table 1 Light Accent 1"/>
    <w:basedOn w:val="TableNormal"/>
    <w:uiPriority w:val="46"/>
    <w:rsid w:val="009F2799"/>
    <w:pPr>
      <w:spacing w:after="0"/>
    </w:pPr>
    <w:tblPr>
      <w:tblStyleRowBandSize w:val="1"/>
      <w:tblStyleColBandSize w:val="1"/>
      <w:tblBorders>
        <w:top w:val="single" w:sz="4" w:space="0" w:color="6BA0FF" w:themeColor="accent1" w:themeTint="66"/>
        <w:left w:val="single" w:sz="4" w:space="0" w:color="6BA0FF" w:themeColor="accent1" w:themeTint="66"/>
        <w:bottom w:val="single" w:sz="4" w:space="0" w:color="6BA0FF" w:themeColor="accent1" w:themeTint="66"/>
        <w:right w:val="single" w:sz="4" w:space="0" w:color="6BA0FF" w:themeColor="accent1" w:themeTint="66"/>
        <w:insideH w:val="single" w:sz="4" w:space="0" w:color="6BA0FF" w:themeColor="accent1" w:themeTint="66"/>
        <w:insideV w:val="single" w:sz="4" w:space="0" w:color="6BA0FF" w:themeColor="accent1" w:themeTint="66"/>
      </w:tblBorders>
    </w:tblPr>
    <w:tblStylePr w:type="firstRow">
      <w:rPr>
        <w:b/>
        <w:bCs/>
      </w:rPr>
      <w:tblPr/>
      <w:tcPr>
        <w:tcBorders>
          <w:bottom w:val="single" w:sz="12" w:space="0" w:color="2171FF" w:themeColor="accent1" w:themeTint="99"/>
        </w:tcBorders>
      </w:tcPr>
    </w:tblStylePr>
    <w:tblStylePr w:type="lastRow">
      <w:rPr>
        <w:b/>
        <w:bCs/>
      </w:rPr>
      <w:tblPr/>
      <w:tcPr>
        <w:tcBorders>
          <w:top w:val="double" w:sz="2" w:space="0" w:color="2171FF" w:themeColor="accent1" w:themeTint="99"/>
        </w:tcBorders>
      </w:tcPr>
    </w:tblStylePr>
    <w:tblStylePr w:type="firstCol">
      <w:rPr>
        <w:b/>
        <w:bCs/>
      </w:rPr>
    </w:tblStylePr>
    <w:tblStylePr w:type="lastCol">
      <w:rPr>
        <w:b/>
        <w:bCs/>
      </w:rPr>
    </w:tblStylePr>
  </w:style>
  <w:style w:type="paragraph" w:customStyle="1" w:styleId="Heading30">
    <w:name w:val="_Heading 3"/>
    <w:basedOn w:val="Normal"/>
    <w:next w:val="BodyText0"/>
    <w:qFormat/>
    <w:rsid w:val="00D104E9"/>
    <w:pPr>
      <w:spacing w:before="240"/>
    </w:pPr>
    <w:rPr>
      <w:rFonts w:ascii="Univers 45 Light" w:eastAsia="Calibri" w:hAnsi="Univers 45 Light" w:cs="Times New Roman"/>
      <w:b/>
      <w:color w:val="00338D"/>
      <w:sz w:val="24"/>
      <w:szCs w:val="22"/>
      <w:lang w:val="en-GB"/>
    </w:rPr>
  </w:style>
  <w:style w:type="table" w:customStyle="1" w:styleId="GridTable5DarkAccent5">
    <w:name w:val="Grid Table 5 Dark Accent 5"/>
    <w:basedOn w:val="TableNormal"/>
    <w:uiPriority w:val="50"/>
    <w:rsid w:val="004A6712"/>
    <w:pPr>
      <w:spacing w:before="0" w:after="0"/>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768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768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768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7680" w:themeFill="accent5"/>
      </w:tcPr>
    </w:tblStylePr>
    <w:tblStylePr w:type="band1Vert">
      <w:tblPr/>
      <w:tcPr>
        <w:shd w:val="clear" w:color="auto" w:fill="C7C7CC" w:themeFill="accent5" w:themeFillTint="66"/>
      </w:tcPr>
    </w:tblStylePr>
    <w:tblStylePr w:type="band1Horz">
      <w:tblPr/>
      <w:tcPr>
        <w:shd w:val="clear" w:color="auto" w:fill="C7C7CC" w:themeFill="accent5" w:themeFillTint="66"/>
      </w:tcPr>
    </w:tblStylePr>
  </w:style>
  <w:style w:type="table" w:customStyle="1" w:styleId="GridTable4Accent5">
    <w:name w:val="Grid Table 4 Accent 5"/>
    <w:basedOn w:val="TableNormal"/>
    <w:uiPriority w:val="49"/>
    <w:rsid w:val="004A6712"/>
    <w:pPr>
      <w:spacing w:before="0" w:after="0"/>
    </w:pPr>
    <w:rPr>
      <w:rFonts w:asciiTheme="minorHAnsi" w:hAnsiTheme="minorHAnsi" w:cstheme="minorBidi"/>
      <w:sz w:val="22"/>
      <w:szCs w:val="22"/>
    </w:rPr>
    <w:tblPr>
      <w:tblStyleRowBandSize w:val="1"/>
      <w:tblStyleColBandSize w:val="1"/>
      <w:tblBorders>
        <w:top w:val="single" w:sz="4" w:space="0" w:color="ABACB3" w:themeColor="accent5" w:themeTint="99"/>
        <w:left w:val="single" w:sz="4" w:space="0" w:color="ABACB3" w:themeColor="accent5" w:themeTint="99"/>
        <w:bottom w:val="single" w:sz="4" w:space="0" w:color="ABACB3" w:themeColor="accent5" w:themeTint="99"/>
        <w:right w:val="single" w:sz="4" w:space="0" w:color="ABACB3" w:themeColor="accent5" w:themeTint="99"/>
        <w:insideH w:val="single" w:sz="4" w:space="0" w:color="ABACB3" w:themeColor="accent5" w:themeTint="99"/>
        <w:insideV w:val="single" w:sz="4" w:space="0" w:color="ABACB3" w:themeColor="accent5" w:themeTint="99"/>
      </w:tblBorders>
    </w:tblPr>
    <w:tblStylePr w:type="firstRow">
      <w:rPr>
        <w:b/>
        <w:bCs/>
        <w:color w:val="FFFFFF" w:themeColor="background1"/>
      </w:rPr>
      <w:tblPr/>
      <w:tcPr>
        <w:tcBorders>
          <w:top w:val="single" w:sz="4" w:space="0" w:color="747680" w:themeColor="accent5"/>
          <w:left w:val="single" w:sz="4" w:space="0" w:color="747680" w:themeColor="accent5"/>
          <w:bottom w:val="single" w:sz="4" w:space="0" w:color="747680" w:themeColor="accent5"/>
          <w:right w:val="single" w:sz="4" w:space="0" w:color="747680" w:themeColor="accent5"/>
          <w:insideH w:val="nil"/>
          <w:insideV w:val="nil"/>
        </w:tcBorders>
        <w:shd w:val="clear" w:color="auto" w:fill="747680" w:themeFill="accent5"/>
      </w:tcPr>
    </w:tblStylePr>
    <w:tblStylePr w:type="lastRow">
      <w:rPr>
        <w:b/>
        <w:bCs/>
      </w:rPr>
      <w:tblPr/>
      <w:tcPr>
        <w:tcBorders>
          <w:top w:val="double" w:sz="4" w:space="0" w:color="747680" w:themeColor="accent5"/>
        </w:tcBorders>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table" w:customStyle="1" w:styleId="GridTable1LightAccent5">
    <w:name w:val="Grid Table 1 Light Accent 5"/>
    <w:basedOn w:val="TableNormal"/>
    <w:uiPriority w:val="46"/>
    <w:rsid w:val="004A6712"/>
    <w:pPr>
      <w:spacing w:before="0" w:after="0"/>
    </w:pPr>
    <w:rPr>
      <w:rFonts w:asciiTheme="minorHAnsi" w:hAnsiTheme="minorHAnsi" w:cstheme="minorBidi"/>
      <w:sz w:val="22"/>
      <w:szCs w:val="22"/>
    </w:rPr>
    <w:tblPr>
      <w:tblStyleRowBandSize w:val="1"/>
      <w:tblStyleColBandSize w:val="1"/>
      <w:tblBorders>
        <w:top w:val="single" w:sz="4" w:space="0" w:color="C7C7CC" w:themeColor="accent5" w:themeTint="66"/>
        <w:left w:val="single" w:sz="4" w:space="0" w:color="C7C7CC" w:themeColor="accent5" w:themeTint="66"/>
        <w:bottom w:val="single" w:sz="4" w:space="0" w:color="C7C7CC" w:themeColor="accent5" w:themeTint="66"/>
        <w:right w:val="single" w:sz="4" w:space="0" w:color="C7C7CC" w:themeColor="accent5" w:themeTint="66"/>
        <w:insideH w:val="single" w:sz="4" w:space="0" w:color="C7C7CC" w:themeColor="accent5" w:themeTint="66"/>
        <w:insideV w:val="single" w:sz="4" w:space="0" w:color="C7C7CC" w:themeColor="accent5" w:themeTint="66"/>
      </w:tblBorders>
    </w:tblPr>
    <w:tblStylePr w:type="firstRow">
      <w:rPr>
        <w:b/>
        <w:bCs/>
      </w:rPr>
      <w:tblPr/>
      <w:tcPr>
        <w:tcBorders>
          <w:bottom w:val="single" w:sz="12" w:space="0" w:color="ABACB3" w:themeColor="accent5" w:themeTint="99"/>
        </w:tcBorders>
      </w:tcPr>
    </w:tblStylePr>
    <w:tblStylePr w:type="lastRow">
      <w:rPr>
        <w:b/>
        <w:bCs/>
      </w:rPr>
      <w:tblPr/>
      <w:tcPr>
        <w:tcBorders>
          <w:top w:val="double" w:sz="2" w:space="0" w:color="ABACB3"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4A6712"/>
    <w:pPr>
      <w:spacing w:before="0" w:after="0"/>
    </w:pPr>
    <w:rPr>
      <w:rFonts w:asciiTheme="minorHAnsi" w:hAnsiTheme="minorHAnsi" w:cstheme="minorBidi"/>
      <w:sz w:val="22"/>
      <w:szCs w:val="22"/>
    </w:rPr>
    <w:tblPr>
      <w:tblStyleRowBandSize w:val="1"/>
      <w:tblStyleColBandSize w:val="1"/>
      <w:tblBorders>
        <w:top w:val="single" w:sz="2" w:space="0" w:color="ABACB3" w:themeColor="accent5" w:themeTint="99"/>
        <w:bottom w:val="single" w:sz="2" w:space="0" w:color="ABACB3" w:themeColor="accent5" w:themeTint="99"/>
        <w:insideH w:val="single" w:sz="2" w:space="0" w:color="ABACB3" w:themeColor="accent5" w:themeTint="99"/>
        <w:insideV w:val="single" w:sz="2" w:space="0" w:color="ABACB3" w:themeColor="accent5" w:themeTint="99"/>
      </w:tblBorders>
    </w:tblPr>
    <w:tblStylePr w:type="firstRow">
      <w:rPr>
        <w:b/>
        <w:bCs/>
      </w:rPr>
      <w:tblPr/>
      <w:tcPr>
        <w:tcBorders>
          <w:top w:val="nil"/>
          <w:bottom w:val="single" w:sz="12" w:space="0" w:color="ABACB3" w:themeColor="accent5" w:themeTint="99"/>
          <w:insideH w:val="nil"/>
          <w:insideV w:val="nil"/>
        </w:tcBorders>
        <w:shd w:val="clear" w:color="auto" w:fill="FFFFFF" w:themeFill="background1"/>
      </w:tcPr>
    </w:tblStylePr>
    <w:tblStylePr w:type="lastRow">
      <w:rPr>
        <w:b/>
        <w:bCs/>
      </w:rPr>
      <w:tblPr/>
      <w:tcPr>
        <w:tcBorders>
          <w:top w:val="double" w:sz="2" w:space="0" w:color="ABACB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table" w:customStyle="1" w:styleId="PlainTable4">
    <w:name w:val="Plain Table 4"/>
    <w:basedOn w:val="TableNormal"/>
    <w:uiPriority w:val="44"/>
    <w:rsid w:val="004A6712"/>
    <w:pPr>
      <w:spacing w:before="0" w:after="0"/>
    </w:pPr>
    <w:rPr>
      <w:rFonts w:ascii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
    <w:name w:val="List Table 1 Light Accent 5"/>
    <w:basedOn w:val="TableNormal"/>
    <w:uiPriority w:val="46"/>
    <w:rsid w:val="004A6712"/>
    <w:pPr>
      <w:spacing w:before="0" w:after="0"/>
    </w:pPr>
    <w:rPr>
      <w:rFonts w:asciiTheme="minorHAnsi" w:hAnsiTheme="minorHAnsi" w:cstheme="minorBidi"/>
      <w:sz w:val="22"/>
      <w:szCs w:val="22"/>
    </w:rPr>
    <w:tblPr>
      <w:tblStyleRowBandSize w:val="1"/>
      <w:tblStyleColBandSize w:val="1"/>
    </w:tblPr>
    <w:tblStylePr w:type="firstRow">
      <w:rPr>
        <w:b/>
        <w:bCs/>
      </w:rPr>
      <w:tblPr/>
      <w:tcPr>
        <w:tcBorders>
          <w:bottom w:val="single" w:sz="4" w:space="0" w:color="ABACB3" w:themeColor="accent5" w:themeTint="99"/>
        </w:tcBorders>
      </w:tcPr>
    </w:tblStylePr>
    <w:tblStylePr w:type="lastRow">
      <w:rPr>
        <w:b/>
        <w:bCs/>
      </w:rPr>
      <w:tblPr/>
      <w:tcPr>
        <w:tcBorders>
          <w:top w:val="single" w:sz="4" w:space="0" w:color="ABACB3" w:themeColor="accent5" w:themeTint="99"/>
        </w:tcBorders>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table" w:customStyle="1" w:styleId="GridTable3Accent5">
    <w:name w:val="Grid Table 3 Accent 5"/>
    <w:basedOn w:val="TableNormal"/>
    <w:uiPriority w:val="48"/>
    <w:rsid w:val="004A6712"/>
    <w:pPr>
      <w:spacing w:before="0" w:after="0"/>
    </w:pPr>
    <w:rPr>
      <w:rFonts w:asciiTheme="minorHAnsi" w:hAnsiTheme="minorHAnsi" w:cstheme="minorBidi"/>
      <w:sz w:val="22"/>
      <w:szCs w:val="22"/>
    </w:rPr>
    <w:tblPr>
      <w:tblStyleRowBandSize w:val="1"/>
      <w:tblStyleColBandSize w:val="1"/>
      <w:tblBorders>
        <w:top w:val="single" w:sz="4" w:space="0" w:color="ABACB3" w:themeColor="accent5" w:themeTint="99"/>
        <w:left w:val="single" w:sz="4" w:space="0" w:color="ABACB3" w:themeColor="accent5" w:themeTint="99"/>
        <w:bottom w:val="single" w:sz="4" w:space="0" w:color="ABACB3" w:themeColor="accent5" w:themeTint="99"/>
        <w:right w:val="single" w:sz="4" w:space="0" w:color="ABACB3" w:themeColor="accent5" w:themeTint="99"/>
        <w:insideH w:val="single" w:sz="4" w:space="0" w:color="ABACB3" w:themeColor="accent5" w:themeTint="99"/>
        <w:insideV w:val="single" w:sz="4" w:space="0" w:color="ABAC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5" w:themeFill="accent5" w:themeFillTint="33"/>
      </w:tcPr>
    </w:tblStylePr>
    <w:tblStylePr w:type="band1Horz">
      <w:tblPr/>
      <w:tcPr>
        <w:shd w:val="clear" w:color="auto" w:fill="E3E3E5" w:themeFill="accent5" w:themeFillTint="33"/>
      </w:tcPr>
    </w:tblStylePr>
    <w:tblStylePr w:type="neCell">
      <w:tblPr/>
      <w:tcPr>
        <w:tcBorders>
          <w:bottom w:val="single" w:sz="4" w:space="0" w:color="ABACB3" w:themeColor="accent5" w:themeTint="99"/>
        </w:tcBorders>
      </w:tcPr>
    </w:tblStylePr>
    <w:tblStylePr w:type="nwCell">
      <w:tblPr/>
      <w:tcPr>
        <w:tcBorders>
          <w:bottom w:val="single" w:sz="4" w:space="0" w:color="ABACB3" w:themeColor="accent5" w:themeTint="99"/>
        </w:tcBorders>
      </w:tcPr>
    </w:tblStylePr>
    <w:tblStylePr w:type="seCell">
      <w:tblPr/>
      <w:tcPr>
        <w:tcBorders>
          <w:top w:val="single" w:sz="4" w:space="0" w:color="ABACB3" w:themeColor="accent5" w:themeTint="99"/>
        </w:tcBorders>
      </w:tcPr>
    </w:tblStylePr>
    <w:tblStylePr w:type="swCell">
      <w:tblPr/>
      <w:tcPr>
        <w:tcBorders>
          <w:top w:val="single" w:sz="4" w:space="0" w:color="ABACB3" w:themeColor="accent5" w:themeTint="99"/>
        </w:tcBorders>
      </w:tcPr>
    </w:tblStylePr>
  </w:style>
  <w:style w:type="paragraph" w:customStyle="1" w:styleId="Pa6">
    <w:name w:val="Pa6"/>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paragraph" w:customStyle="1" w:styleId="Pa14">
    <w:name w:val="Pa14"/>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paragraph" w:customStyle="1" w:styleId="Pa17">
    <w:name w:val="Pa17"/>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paragraph" w:customStyle="1" w:styleId="Pa13">
    <w:name w:val="Pa13"/>
    <w:basedOn w:val="Normal"/>
    <w:next w:val="Normal"/>
    <w:uiPriority w:val="99"/>
    <w:rsid w:val="004A6712"/>
    <w:pPr>
      <w:autoSpaceDE w:val="0"/>
      <w:autoSpaceDN w:val="0"/>
      <w:adjustRightInd w:val="0"/>
      <w:spacing w:before="0" w:after="0" w:line="191" w:lineRule="atLeast"/>
    </w:pPr>
    <w:rPr>
      <w:rFonts w:ascii="Helvetica 55 Roman" w:hAnsi="Helvetica 55 Roman" w:cstheme="minorBidi"/>
      <w:sz w:val="24"/>
      <w:szCs w:val="24"/>
    </w:rPr>
  </w:style>
  <w:style w:type="table" w:customStyle="1" w:styleId="ListTable5DarkAccent5">
    <w:name w:val="List Table 5 Dark Accent 5"/>
    <w:basedOn w:val="TableNormal"/>
    <w:uiPriority w:val="50"/>
    <w:rsid w:val="004A6712"/>
    <w:pPr>
      <w:spacing w:before="0" w:after="0"/>
    </w:pPr>
    <w:rPr>
      <w:rFonts w:asciiTheme="minorHAnsi" w:hAnsiTheme="minorHAnsi" w:cstheme="minorBidi"/>
      <w:color w:val="FFFFFF" w:themeColor="background1"/>
      <w:sz w:val="22"/>
      <w:szCs w:val="22"/>
    </w:rPr>
    <w:tblPr>
      <w:tblStyleRowBandSize w:val="1"/>
      <w:tblStyleColBandSize w:val="1"/>
      <w:tblBorders>
        <w:top w:val="single" w:sz="24" w:space="0" w:color="747680" w:themeColor="accent5"/>
        <w:left w:val="single" w:sz="24" w:space="0" w:color="747680" w:themeColor="accent5"/>
        <w:bottom w:val="single" w:sz="24" w:space="0" w:color="747680" w:themeColor="accent5"/>
        <w:right w:val="single" w:sz="24" w:space="0" w:color="747680" w:themeColor="accent5"/>
      </w:tblBorders>
    </w:tblPr>
    <w:tcPr>
      <w:shd w:val="clear" w:color="auto" w:fill="74768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Light">
    <w:name w:val="Grid Table Light"/>
    <w:basedOn w:val="TableNormal"/>
    <w:uiPriority w:val="40"/>
    <w:rsid w:val="004A6712"/>
    <w:pPr>
      <w:spacing w:before="0" w:after="0"/>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4A6712"/>
    <w:rPr>
      <w:rFonts w:ascii="Times New Roman" w:eastAsia="Times New Roman" w:hAnsi="Times New Roman" w:cs="Times New Roman"/>
      <w:sz w:val="22"/>
    </w:rPr>
  </w:style>
  <w:style w:type="table" w:customStyle="1" w:styleId="GridTable1LightAccent4">
    <w:name w:val="Grid Table 1 Light Accent 4"/>
    <w:basedOn w:val="TableNormal"/>
    <w:uiPriority w:val="46"/>
    <w:rsid w:val="00E10D99"/>
    <w:pPr>
      <w:spacing w:after="0"/>
    </w:pPr>
    <w:tblPr>
      <w:tblStyleRowBandSize w:val="1"/>
      <w:tblStyleColBandSize w:val="1"/>
      <w:tblBorders>
        <w:top w:val="single" w:sz="4" w:space="0" w:color="E4EAF4" w:themeColor="accent4" w:themeTint="66"/>
        <w:left w:val="single" w:sz="4" w:space="0" w:color="E4EAF4" w:themeColor="accent4" w:themeTint="66"/>
        <w:bottom w:val="single" w:sz="4" w:space="0" w:color="E4EAF4" w:themeColor="accent4" w:themeTint="66"/>
        <w:right w:val="single" w:sz="4" w:space="0" w:color="E4EAF4" w:themeColor="accent4" w:themeTint="66"/>
        <w:insideH w:val="single" w:sz="4" w:space="0" w:color="E4EAF4" w:themeColor="accent4" w:themeTint="66"/>
        <w:insideV w:val="single" w:sz="4" w:space="0" w:color="E4EAF4" w:themeColor="accent4" w:themeTint="66"/>
      </w:tblBorders>
    </w:tblPr>
    <w:tblStylePr w:type="firstRow">
      <w:rPr>
        <w:b/>
        <w:bCs/>
      </w:rPr>
      <w:tblPr/>
      <w:tcPr>
        <w:tcBorders>
          <w:bottom w:val="single" w:sz="12" w:space="0" w:color="D6E0EF" w:themeColor="accent4" w:themeTint="99"/>
        </w:tcBorders>
      </w:tcPr>
    </w:tblStylePr>
    <w:tblStylePr w:type="lastRow">
      <w:rPr>
        <w:b/>
        <w:bCs/>
      </w:rPr>
      <w:tblPr/>
      <w:tcPr>
        <w:tcBorders>
          <w:top w:val="double" w:sz="2" w:space="0" w:color="D6E0EF" w:themeColor="accent4"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E10D99"/>
    <w:pPr>
      <w:spacing w:after="0"/>
    </w:pPr>
    <w:tblPr>
      <w:tblStyleRowBandSize w:val="1"/>
      <w:tblStyleColBandSize w:val="1"/>
      <w:tblBorders>
        <w:top w:val="single" w:sz="4" w:space="0" w:color="B0C0E2" w:themeColor="accent2" w:themeTint="66"/>
        <w:left w:val="single" w:sz="4" w:space="0" w:color="B0C0E2" w:themeColor="accent2" w:themeTint="66"/>
        <w:bottom w:val="single" w:sz="4" w:space="0" w:color="B0C0E2" w:themeColor="accent2" w:themeTint="66"/>
        <w:right w:val="single" w:sz="4" w:space="0" w:color="B0C0E2" w:themeColor="accent2" w:themeTint="66"/>
        <w:insideH w:val="single" w:sz="4" w:space="0" w:color="B0C0E2" w:themeColor="accent2" w:themeTint="66"/>
        <w:insideV w:val="single" w:sz="4" w:space="0" w:color="B0C0E2" w:themeColor="accent2" w:themeTint="66"/>
      </w:tblBorders>
    </w:tblPr>
    <w:tblStylePr w:type="firstRow">
      <w:rPr>
        <w:b/>
        <w:bCs/>
      </w:rPr>
      <w:tblPr/>
      <w:tcPr>
        <w:tcBorders>
          <w:bottom w:val="single" w:sz="12" w:space="0" w:color="88A1D4" w:themeColor="accent2" w:themeTint="99"/>
        </w:tcBorders>
      </w:tcPr>
    </w:tblStylePr>
    <w:tblStylePr w:type="lastRow">
      <w:rPr>
        <w:b/>
        <w:bCs/>
      </w:rPr>
      <w:tblPr/>
      <w:tcPr>
        <w:tcBorders>
          <w:top w:val="double" w:sz="2" w:space="0" w:color="88A1D4" w:themeColor="accent2" w:themeTint="99"/>
        </w:tcBorders>
      </w:tcPr>
    </w:tblStylePr>
    <w:tblStylePr w:type="firstCol">
      <w:rPr>
        <w:b/>
        <w:bCs/>
      </w:rPr>
    </w:tblStylePr>
    <w:tblStylePr w:type="lastCol">
      <w:rPr>
        <w:b/>
        <w:bCs/>
      </w:rPr>
    </w:tblStylePr>
  </w:style>
  <w:style w:type="paragraph" w:customStyle="1" w:styleId="BodyBullet">
    <w:name w:val="Body Bullet"/>
    <w:link w:val="BodyBulletChar"/>
    <w:qFormat/>
    <w:rsid w:val="00F114D2"/>
    <w:pPr>
      <w:numPr>
        <w:numId w:val="18"/>
      </w:numPr>
      <w:spacing w:before="80" w:after="80"/>
    </w:pPr>
    <w:rPr>
      <w:rFonts w:asciiTheme="minorHAnsi" w:eastAsia="Times New Roman" w:hAnsiTheme="minorHAnsi" w:cs="Times New Roman"/>
      <w:szCs w:val="24"/>
      <w:lang w:eastAsia="en-AU"/>
    </w:rPr>
  </w:style>
  <w:style w:type="character" w:customStyle="1" w:styleId="BodyBulletChar">
    <w:name w:val="Body Bullet Char"/>
    <w:basedOn w:val="BodyTextChar"/>
    <w:link w:val="BodyBullet"/>
    <w:rsid w:val="00F114D2"/>
    <w:rPr>
      <w:rFonts w:asciiTheme="minorHAnsi" w:eastAsia="Times New Roman" w:hAnsiTheme="minorHAnsi" w:cs="Times New Roman"/>
      <w:sz w:val="20"/>
      <w:szCs w:val="24"/>
      <w:lang w:eastAsia="en-AU"/>
    </w:rPr>
  </w:style>
  <w:style w:type="table" w:customStyle="1" w:styleId="GridTable4Accent2">
    <w:name w:val="Grid Table 4 Accent 2"/>
    <w:basedOn w:val="TableNormal"/>
    <w:uiPriority w:val="49"/>
    <w:rsid w:val="005014C3"/>
    <w:pPr>
      <w:spacing w:after="0"/>
    </w:pPr>
    <w:tblPr>
      <w:tblStyleRowBandSize w:val="1"/>
      <w:tblStyleColBandSize w:val="1"/>
      <w:tblBorders>
        <w:top w:val="single" w:sz="4" w:space="0" w:color="88A1D4" w:themeColor="accent2" w:themeTint="99"/>
        <w:left w:val="single" w:sz="4" w:space="0" w:color="88A1D4" w:themeColor="accent2" w:themeTint="99"/>
        <w:bottom w:val="single" w:sz="4" w:space="0" w:color="88A1D4" w:themeColor="accent2" w:themeTint="99"/>
        <w:right w:val="single" w:sz="4" w:space="0" w:color="88A1D4" w:themeColor="accent2" w:themeTint="99"/>
        <w:insideH w:val="single" w:sz="4" w:space="0" w:color="88A1D4" w:themeColor="accent2" w:themeTint="99"/>
        <w:insideV w:val="single" w:sz="4" w:space="0" w:color="88A1D4" w:themeColor="accent2" w:themeTint="99"/>
      </w:tblBorders>
    </w:tblPr>
    <w:tblStylePr w:type="firstRow">
      <w:rPr>
        <w:b/>
        <w:bCs/>
        <w:color w:val="FFFFFF" w:themeColor="background1"/>
      </w:rPr>
      <w:tblPr/>
      <w:tcPr>
        <w:tcBorders>
          <w:top w:val="single" w:sz="4" w:space="0" w:color="4066B3" w:themeColor="accent2"/>
          <w:left w:val="single" w:sz="4" w:space="0" w:color="4066B3" w:themeColor="accent2"/>
          <w:bottom w:val="single" w:sz="4" w:space="0" w:color="4066B3" w:themeColor="accent2"/>
          <w:right w:val="single" w:sz="4" w:space="0" w:color="4066B3" w:themeColor="accent2"/>
          <w:insideH w:val="nil"/>
          <w:insideV w:val="nil"/>
        </w:tcBorders>
        <w:shd w:val="clear" w:color="auto" w:fill="4066B3" w:themeFill="accent2"/>
      </w:tcPr>
    </w:tblStylePr>
    <w:tblStylePr w:type="lastRow">
      <w:rPr>
        <w:b/>
        <w:bCs/>
      </w:rPr>
      <w:tblPr/>
      <w:tcPr>
        <w:tcBorders>
          <w:top w:val="double" w:sz="4" w:space="0" w:color="4066B3" w:themeColor="accent2"/>
        </w:tcBorders>
      </w:tcPr>
    </w:tblStylePr>
    <w:tblStylePr w:type="firstCol">
      <w:rPr>
        <w:b/>
        <w:bCs/>
      </w:rPr>
    </w:tblStylePr>
    <w:tblStylePr w:type="lastCol">
      <w:rPr>
        <w:b/>
        <w:bCs/>
      </w:rPr>
    </w:tblStylePr>
    <w:tblStylePr w:type="band1Vert">
      <w:tblPr/>
      <w:tcPr>
        <w:shd w:val="clear" w:color="auto" w:fill="D7DFF1" w:themeFill="accent2" w:themeFillTint="33"/>
      </w:tcPr>
    </w:tblStylePr>
    <w:tblStylePr w:type="band1Horz">
      <w:tblPr/>
      <w:tcPr>
        <w:shd w:val="clear" w:color="auto" w:fill="D7DFF1" w:themeFill="accent2" w:themeFillTint="33"/>
      </w:tcPr>
    </w:tblStylePr>
  </w:style>
  <w:style w:type="table" w:customStyle="1" w:styleId="GridTable4-Accent51">
    <w:name w:val="Grid Table 4 - Accent 51"/>
    <w:basedOn w:val="TableNormal"/>
    <w:next w:val="GridTable4Accent5"/>
    <w:uiPriority w:val="49"/>
    <w:rsid w:val="008B6A9D"/>
    <w:pPr>
      <w:spacing w:before="0" w:after="0"/>
    </w:pPr>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a0">
    <w:name w:val="Pa0"/>
    <w:basedOn w:val="Normal"/>
    <w:next w:val="Normal"/>
    <w:uiPriority w:val="99"/>
    <w:rsid w:val="00187079"/>
    <w:pPr>
      <w:autoSpaceDE w:val="0"/>
      <w:autoSpaceDN w:val="0"/>
      <w:adjustRightInd w:val="0"/>
      <w:spacing w:before="0" w:after="0" w:line="881" w:lineRule="atLeast"/>
    </w:pPr>
    <w:rPr>
      <w:rFonts w:ascii="Trade Gothic LT Std Bold" w:hAnsi="Trade Gothic LT Std Bold" w:cstheme="minorBidi"/>
      <w:sz w:val="24"/>
      <w:szCs w:val="24"/>
    </w:rPr>
  </w:style>
  <w:style w:type="character" w:customStyle="1" w:styleId="A0">
    <w:name w:val="A0"/>
    <w:uiPriority w:val="99"/>
    <w:rsid w:val="00187079"/>
    <w:rPr>
      <w:rFonts w:ascii="Trade Gothic LT Std Bold" w:hAnsi="Trade Gothic LT Std Bold" w:cs="Trade Gothic LT Std Bold" w:hint="default"/>
      <w:b/>
      <w:bCs/>
      <w:color w:val="006C94"/>
      <w:sz w:val="106"/>
      <w:szCs w:val="106"/>
    </w:rPr>
  </w:style>
  <w:style w:type="character" w:customStyle="1" w:styleId="A1">
    <w:name w:val="A1"/>
    <w:uiPriority w:val="99"/>
    <w:rsid w:val="00187079"/>
    <w:rPr>
      <w:rFonts w:ascii="Trade Gothic LT Std Cn" w:hAnsi="Trade Gothic LT Std Cn" w:cs="Trade Gothic LT Std Cn" w:hint="default"/>
      <w:color w:val="006C94"/>
      <w:sz w:val="49"/>
      <w:szCs w:val="49"/>
    </w:rPr>
  </w:style>
  <w:style w:type="paragraph" w:customStyle="1" w:styleId="Pa11">
    <w:name w:val="Pa11"/>
    <w:basedOn w:val="Default"/>
    <w:next w:val="Default"/>
    <w:uiPriority w:val="99"/>
    <w:rsid w:val="00E71606"/>
    <w:pPr>
      <w:spacing w:line="191" w:lineRule="atLeast"/>
    </w:pPr>
    <w:rPr>
      <w:rFonts w:ascii="Helvetica 45 Light" w:eastAsiaTheme="minorHAnsi" w:hAnsi="Helvetica 45 Light"/>
      <w:color w:val="auto"/>
      <w:lang w:eastAsia="en-US"/>
    </w:rPr>
  </w:style>
  <w:style w:type="table" w:customStyle="1" w:styleId="KPMGtable11">
    <w:name w:val="KPMG_table11"/>
    <w:basedOn w:val="TableNormal"/>
    <w:uiPriority w:val="99"/>
    <w:qFormat/>
    <w:rsid w:val="00D547F7"/>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table" w:customStyle="1" w:styleId="KPMGtable12">
    <w:name w:val="KPMG_table12"/>
    <w:basedOn w:val="TableNormal"/>
    <w:uiPriority w:val="99"/>
    <w:qFormat/>
    <w:rsid w:val="00E40094"/>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character" w:customStyle="1" w:styleId="5yi-1">
    <w:name w:val="_5yi-1"/>
    <w:basedOn w:val="DefaultParagraphFont"/>
    <w:rsid w:val="002553E4"/>
    <w:rPr>
      <w:b/>
      <w:bCs/>
    </w:rPr>
  </w:style>
  <w:style w:type="paragraph" w:customStyle="1" w:styleId="Covertitle316ptNB">
    <w:name w:val="Cover title 3_16pt_NB"/>
    <w:qFormat/>
    <w:rsid w:val="00DD67F3"/>
    <w:pPr>
      <w:spacing w:before="0" w:after="0"/>
    </w:pPr>
    <w:rPr>
      <w:rFonts w:cstheme="minorBidi"/>
      <w:color w:val="FFFFFF" w:themeColor="background1"/>
      <w:sz w:val="32"/>
      <w:szCs w:val="22"/>
    </w:rPr>
  </w:style>
  <w:style w:type="paragraph" w:customStyle="1" w:styleId="Covertitle412pt">
    <w:name w:val="Cover title 4_12pt"/>
    <w:qFormat/>
    <w:rsid w:val="00DD67F3"/>
    <w:pPr>
      <w:spacing w:before="3000"/>
    </w:pPr>
    <w:rPr>
      <w:rFonts w:cstheme="minorBidi"/>
      <w:color w:val="FFFFFF" w:themeColor="background1"/>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965">
      <w:bodyDiv w:val="1"/>
      <w:marLeft w:val="0"/>
      <w:marRight w:val="0"/>
      <w:marTop w:val="0"/>
      <w:marBottom w:val="0"/>
      <w:divBdr>
        <w:top w:val="none" w:sz="0" w:space="0" w:color="auto"/>
        <w:left w:val="none" w:sz="0" w:space="0" w:color="auto"/>
        <w:bottom w:val="none" w:sz="0" w:space="0" w:color="auto"/>
        <w:right w:val="none" w:sz="0" w:space="0" w:color="auto"/>
      </w:divBdr>
    </w:div>
    <w:div w:id="38554293">
      <w:bodyDiv w:val="1"/>
      <w:marLeft w:val="0"/>
      <w:marRight w:val="0"/>
      <w:marTop w:val="0"/>
      <w:marBottom w:val="0"/>
      <w:divBdr>
        <w:top w:val="none" w:sz="0" w:space="0" w:color="auto"/>
        <w:left w:val="none" w:sz="0" w:space="0" w:color="auto"/>
        <w:bottom w:val="none" w:sz="0" w:space="0" w:color="auto"/>
        <w:right w:val="none" w:sz="0" w:space="0" w:color="auto"/>
      </w:divBdr>
    </w:div>
    <w:div w:id="39788891">
      <w:bodyDiv w:val="1"/>
      <w:marLeft w:val="0"/>
      <w:marRight w:val="0"/>
      <w:marTop w:val="0"/>
      <w:marBottom w:val="0"/>
      <w:divBdr>
        <w:top w:val="none" w:sz="0" w:space="0" w:color="auto"/>
        <w:left w:val="none" w:sz="0" w:space="0" w:color="auto"/>
        <w:bottom w:val="none" w:sz="0" w:space="0" w:color="auto"/>
        <w:right w:val="none" w:sz="0" w:space="0" w:color="auto"/>
      </w:divBdr>
      <w:divsChild>
        <w:div w:id="267740254">
          <w:marLeft w:val="288"/>
          <w:marRight w:val="0"/>
          <w:marTop w:val="80"/>
          <w:marBottom w:val="80"/>
          <w:divBdr>
            <w:top w:val="none" w:sz="0" w:space="0" w:color="auto"/>
            <w:left w:val="none" w:sz="0" w:space="0" w:color="auto"/>
            <w:bottom w:val="none" w:sz="0" w:space="0" w:color="auto"/>
            <w:right w:val="none" w:sz="0" w:space="0" w:color="auto"/>
          </w:divBdr>
        </w:div>
        <w:div w:id="469322470">
          <w:marLeft w:val="288"/>
          <w:marRight w:val="0"/>
          <w:marTop w:val="80"/>
          <w:marBottom w:val="80"/>
          <w:divBdr>
            <w:top w:val="none" w:sz="0" w:space="0" w:color="auto"/>
            <w:left w:val="none" w:sz="0" w:space="0" w:color="auto"/>
            <w:bottom w:val="none" w:sz="0" w:space="0" w:color="auto"/>
            <w:right w:val="none" w:sz="0" w:space="0" w:color="auto"/>
          </w:divBdr>
        </w:div>
        <w:div w:id="1991593092">
          <w:marLeft w:val="288"/>
          <w:marRight w:val="0"/>
          <w:marTop w:val="80"/>
          <w:marBottom w:val="80"/>
          <w:divBdr>
            <w:top w:val="none" w:sz="0" w:space="0" w:color="auto"/>
            <w:left w:val="none" w:sz="0" w:space="0" w:color="auto"/>
            <w:bottom w:val="none" w:sz="0" w:space="0" w:color="auto"/>
            <w:right w:val="none" w:sz="0" w:space="0" w:color="auto"/>
          </w:divBdr>
        </w:div>
      </w:divsChild>
    </w:div>
    <w:div w:id="45834273">
      <w:bodyDiv w:val="1"/>
      <w:marLeft w:val="0"/>
      <w:marRight w:val="0"/>
      <w:marTop w:val="0"/>
      <w:marBottom w:val="0"/>
      <w:divBdr>
        <w:top w:val="none" w:sz="0" w:space="0" w:color="auto"/>
        <w:left w:val="none" w:sz="0" w:space="0" w:color="auto"/>
        <w:bottom w:val="none" w:sz="0" w:space="0" w:color="auto"/>
        <w:right w:val="none" w:sz="0" w:space="0" w:color="auto"/>
      </w:divBdr>
    </w:div>
    <w:div w:id="70467677">
      <w:bodyDiv w:val="1"/>
      <w:marLeft w:val="0"/>
      <w:marRight w:val="0"/>
      <w:marTop w:val="0"/>
      <w:marBottom w:val="0"/>
      <w:divBdr>
        <w:top w:val="none" w:sz="0" w:space="0" w:color="auto"/>
        <w:left w:val="none" w:sz="0" w:space="0" w:color="auto"/>
        <w:bottom w:val="none" w:sz="0" w:space="0" w:color="auto"/>
        <w:right w:val="none" w:sz="0" w:space="0" w:color="auto"/>
      </w:divBdr>
    </w:div>
    <w:div w:id="78215441">
      <w:bodyDiv w:val="1"/>
      <w:marLeft w:val="0"/>
      <w:marRight w:val="0"/>
      <w:marTop w:val="0"/>
      <w:marBottom w:val="0"/>
      <w:divBdr>
        <w:top w:val="none" w:sz="0" w:space="0" w:color="auto"/>
        <w:left w:val="none" w:sz="0" w:space="0" w:color="auto"/>
        <w:bottom w:val="none" w:sz="0" w:space="0" w:color="auto"/>
        <w:right w:val="none" w:sz="0" w:space="0" w:color="auto"/>
      </w:divBdr>
    </w:div>
    <w:div w:id="92938920">
      <w:bodyDiv w:val="1"/>
      <w:marLeft w:val="0"/>
      <w:marRight w:val="0"/>
      <w:marTop w:val="0"/>
      <w:marBottom w:val="0"/>
      <w:divBdr>
        <w:top w:val="none" w:sz="0" w:space="0" w:color="auto"/>
        <w:left w:val="none" w:sz="0" w:space="0" w:color="auto"/>
        <w:bottom w:val="none" w:sz="0" w:space="0" w:color="auto"/>
        <w:right w:val="none" w:sz="0" w:space="0" w:color="auto"/>
      </w:divBdr>
    </w:div>
    <w:div w:id="143595327">
      <w:bodyDiv w:val="1"/>
      <w:marLeft w:val="0"/>
      <w:marRight w:val="0"/>
      <w:marTop w:val="0"/>
      <w:marBottom w:val="0"/>
      <w:divBdr>
        <w:top w:val="none" w:sz="0" w:space="0" w:color="auto"/>
        <w:left w:val="none" w:sz="0" w:space="0" w:color="auto"/>
        <w:bottom w:val="none" w:sz="0" w:space="0" w:color="auto"/>
        <w:right w:val="none" w:sz="0" w:space="0" w:color="auto"/>
      </w:divBdr>
      <w:divsChild>
        <w:div w:id="1644196825">
          <w:marLeft w:val="706"/>
          <w:marRight w:val="0"/>
          <w:marTop w:val="80"/>
          <w:marBottom w:val="80"/>
          <w:divBdr>
            <w:top w:val="none" w:sz="0" w:space="0" w:color="auto"/>
            <w:left w:val="none" w:sz="0" w:space="0" w:color="auto"/>
            <w:bottom w:val="none" w:sz="0" w:space="0" w:color="auto"/>
            <w:right w:val="none" w:sz="0" w:space="0" w:color="auto"/>
          </w:divBdr>
        </w:div>
      </w:divsChild>
    </w:div>
    <w:div w:id="175509146">
      <w:bodyDiv w:val="1"/>
      <w:marLeft w:val="0"/>
      <w:marRight w:val="0"/>
      <w:marTop w:val="0"/>
      <w:marBottom w:val="0"/>
      <w:divBdr>
        <w:top w:val="none" w:sz="0" w:space="0" w:color="auto"/>
        <w:left w:val="none" w:sz="0" w:space="0" w:color="auto"/>
        <w:bottom w:val="none" w:sz="0" w:space="0" w:color="auto"/>
        <w:right w:val="none" w:sz="0" w:space="0" w:color="auto"/>
      </w:divBdr>
    </w:div>
    <w:div w:id="182978556">
      <w:bodyDiv w:val="1"/>
      <w:marLeft w:val="0"/>
      <w:marRight w:val="0"/>
      <w:marTop w:val="0"/>
      <w:marBottom w:val="0"/>
      <w:divBdr>
        <w:top w:val="none" w:sz="0" w:space="0" w:color="auto"/>
        <w:left w:val="none" w:sz="0" w:space="0" w:color="auto"/>
        <w:bottom w:val="none" w:sz="0" w:space="0" w:color="auto"/>
        <w:right w:val="none" w:sz="0" w:space="0" w:color="auto"/>
      </w:divBdr>
    </w:div>
    <w:div w:id="204220415">
      <w:bodyDiv w:val="1"/>
      <w:marLeft w:val="0"/>
      <w:marRight w:val="0"/>
      <w:marTop w:val="0"/>
      <w:marBottom w:val="0"/>
      <w:divBdr>
        <w:top w:val="none" w:sz="0" w:space="0" w:color="auto"/>
        <w:left w:val="none" w:sz="0" w:space="0" w:color="auto"/>
        <w:bottom w:val="none" w:sz="0" w:space="0" w:color="auto"/>
        <w:right w:val="none" w:sz="0" w:space="0" w:color="auto"/>
      </w:divBdr>
    </w:div>
    <w:div w:id="216552853">
      <w:bodyDiv w:val="1"/>
      <w:marLeft w:val="0"/>
      <w:marRight w:val="0"/>
      <w:marTop w:val="0"/>
      <w:marBottom w:val="0"/>
      <w:divBdr>
        <w:top w:val="none" w:sz="0" w:space="0" w:color="auto"/>
        <w:left w:val="none" w:sz="0" w:space="0" w:color="auto"/>
        <w:bottom w:val="none" w:sz="0" w:space="0" w:color="auto"/>
        <w:right w:val="none" w:sz="0" w:space="0" w:color="auto"/>
      </w:divBdr>
    </w:div>
    <w:div w:id="322779201">
      <w:bodyDiv w:val="1"/>
      <w:marLeft w:val="0"/>
      <w:marRight w:val="0"/>
      <w:marTop w:val="0"/>
      <w:marBottom w:val="0"/>
      <w:divBdr>
        <w:top w:val="none" w:sz="0" w:space="0" w:color="auto"/>
        <w:left w:val="none" w:sz="0" w:space="0" w:color="auto"/>
        <w:bottom w:val="none" w:sz="0" w:space="0" w:color="auto"/>
        <w:right w:val="none" w:sz="0" w:space="0" w:color="auto"/>
      </w:divBdr>
    </w:div>
    <w:div w:id="336078146">
      <w:bodyDiv w:val="1"/>
      <w:marLeft w:val="0"/>
      <w:marRight w:val="0"/>
      <w:marTop w:val="0"/>
      <w:marBottom w:val="0"/>
      <w:divBdr>
        <w:top w:val="none" w:sz="0" w:space="0" w:color="auto"/>
        <w:left w:val="none" w:sz="0" w:space="0" w:color="auto"/>
        <w:bottom w:val="none" w:sz="0" w:space="0" w:color="auto"/>
        <w:right w:val="none" w:sz="0" w:space="0" w:color="auto"/>
      </w:divBdr>
    </w:div>
    <w:div w:id="346559216">
      <w:bodyDiv w:val="1"/>
      <w:marLeft w:val="0"/>
      <w:marRight w:val="0"/>
      <w:marTop w:val="0"/>
      <w:marBottom w:val="0"/>
      <w:divBdr>
        <w:top w:val="none" w:sz="0" w:space="0" w:color="auto"/>
        <w:left w:val="none" w:sz="0" w:space="0" w:color="auto"/>
        <w:bottom w:val="none" w:sz="0" w:space="0" w:color="auto"/>
        <w:right w:val="none" w:sz="0" w:space="0" w:color="auto"/>
      </w:divBdr>
    </w:div>
    <w:div w:id="356348135">
      <w:bodyDiv w:val="1"/>
      <w:marLeft w:val="0"/>
      <w:marRight w:val="0"/>
      <w:marTop w:val="0"/>
      <w:marBottom w:val="0"/>
      <w:divBdr>
        <w:top w:val="none" w:sz="0" w:space="0" w:color="auto"/>
        <w:left w:val="none" w:sz="0" w:space="0" w:color="auto"/>
        <w:bottom w:val="none" w:sz="0" w:space="0" w:color="auto"/>
        <w:right w:val="none" w:sz="0" w:space="0" w:color="auto"/>
      </w:divBdr>
    </w:div>
    <w:div w:id="376316948">
      <w:bodyDiv w:val="1"/>
      <w:marLeft w:val="0"/>
      <w:marRight w:val="0"/>
      <w:marTop w:val="0"/>
      <w:marBottom w:val="0"/>
      <w:divBdr>
        <w:top w:val="none" w:sz="0" w:space="0" w:color="auto"/>
        <w:left w:val="none" w:sz="0" w:space="0" w:color="auto"/>
        <w:bottom w:val="none" w:sz="0" w:space="0" w:color="auto"/>
        <w:right w:val="none" w:sz="0" w:space="0" w:color="auto"/>
      </w:divBdr>
    </w:div>
    <w:div w:id="410347079">
      <w:bodyDiv w:val="1"/>
      <w:marLeft w:val="0"/>
      <w:marRight w:val="0"/>
      <w:marTop w:val="0"/>
      <w:marBottom w:val="0"/>
      <w:divBdr>
        <w:top w:val="none" w:sz="0" w:space="0" w:color="auto"/>
        <w:left w:val="none" w:sz="0" w:space="0" w:color="auto"/>
        <w:bottom w:val="none" w:sz="0" w:space="0" w:color="auto"/>
        <w:right w:val="none" w:sz="0" w:space="0" w:color="auto"/>
      </w:divBdr>
    </w:div>
    <w:div w:id="413166747">
      <w:bodyDiv w:val="1"/>
      <w:marLeft w:val="0"/>
      <w:marRight w:val="0"/>
      <w:marTop w:val="0"/>
      <w:marBottom w:val="0"/>
      <w:divBdr>
        <w:top w:val="none" w:sz="0" w:space="0" w:color="auto"/>
        <w:left w:val="none" w:sz="0" w:space="0" w:color="auto"/>
        <w:bottom w:val="none" w:sz="0" w:space="0" w:color="auto"/>
        <w:right w:val="none" w:sz="0" w:space="0" w:color="auto"/>
      </w:divBdr>
    </w:div>
    <w:div w:id="567618269">
      <w:bodyDiv w:val="1"/>
      <w:marLeft w:val="0"/>
      <w:marRight w:val="0"/>
      <w:marTop w:val="0"/>
      <w:marBottom w:val="0"/>
      <w:divBdr>
        <w:top w:val="none" w:sz="0" w:space="0" w:color="auto"/>
        <w:left w:val="none" w:sz="0" w:space="0" w:color="auto"/>
        <w:bottom w:val="none" w:sz="0" w:space="0" w:color="auto"/>
        <w:right w:val="none" w:sz="0" w:space="0" w:color="auto"/>
      </w:divBdr>
    </w:div>
    <w:div w:id="588273989">
      <w:bodyDiv w:val="1"/>
      <w:marLeft w:val="0"/>
      <w:marRight w:val="0"/>
      <w:marTop w:val="0"/>
      <w:marBottom w:val="0"/>
      <w:divBdr>
        <w:top w:val="none" w:sz="0" w:space="0" w:color="auto"/>
        <w:left w:val="none" w:sz="0" w:space="0" w:color="auto"/>
        <w:bottom w:val="none" w:sz="0" w:space="0" w:color="auto"/>
        <w:right w:val="none" w:sz="0" w:space="0" w:color="auto"/>
      </w:divBdr>
    </w:div>
    <w:div w:id="641807892">
      <w:bodyDiv w:val="1"/>
      <w:marLeft w:val="0"/>
      <w:marRight w:val="0"/>
      <w:marTop w:val="0"/>
      <w:marBottom w:val="0"/>
      <w:divBdr>
        <w:top w:val="none" w:sz="0" w:space="0" w:color="auto"/>
        <w:left w:val="none" w:sz="0" w:space="0" w:color="auto"/>
        <w:bottom w:val="none" w:sz="0" w:space="0" w:color="auto"/>
        <w:right w:val="none" w:sz="0" w:space="0" w:color="auto"/>
      </w:divBdr>
    </w:div>
    <w:div w:id="648556938">
      <w:bodyDiv w:val="1"/>
      <w:marLeft w:val="0"/>
      <w:marRight w:val="0"/>
      <w:marTop w:val="0"/>
      <w:marBottom w:val="0"/>
      <w:divBdr>
        <w:top w:val="none" w:sz="0" w:space="0" w:color="auto"/>
        <w:left w:val="none" w:sz="0" w:space="0" w:color="auto"/>
        <w:bottom w:val="none" w:sz="0" w:space="0" w:color="auto"/>
        <w:right w:val="none" w:sz="0" w:space="0" w:color="auto"/>
      </w:divBdr>
    </w:div>
    <w:div w:id="650597413">
      <w:bodyDiv w:val="1"/>
      <w:marLeft w:val="0"/>
      <w:marRight w:val="0"/>
      <w:marTop w:val="0"/>
      <w:marBottom w:val="0"/>
      <w:divBdr>
        <w:top w:val="none" w:sz="0" w:space="0" w:color="auto"/>
        <w:left w:val="none" w:sz="0" w:space="0" w:color="auto"/>
        <w:bottom w:val="none" w:sz="0" w:space="0" w:color="auto"/>
        <w:right w:val="none" w:sz="0" w:space="0" w:color="auto"/>
      </w:divBdr>
    </w:div>
    <w:div w:id="666982871">
      <w:bodyDiv w:val="1"/>
      <w:marLeft w:val="0"/>
      <w:marRight w:val="0"/>
      <w:marTop w:val="0"/>
      <w:marBottom w:val="0"/>
      <w:divBdr>
        <w:top w:val="none" w:sz="0" w:space="0" w:color="auto"/>
        <w:left w:val="none" w:sz="0" w:space="0" w:color="auto"/>
        <w:bottom w:val="none" w:sz="0" w:space="0" w:color="auto"/>
        <w:right w:val="none" w:sz="0" w:space="0" w:color="auto"/>
      </w:divBdr>
    </w:div>
    <w:div w:id="691955113">
      <w:bodyDiv w:val="1"/>
      <w:marLeft w:val="0"/>
      <w:marRight w:val="0"/>
      <w:marTop w:val="0"/>
      <w:marBottom w:val="0"/>
      <w:divBdr>
        <w:top w:val="none" w:sz="0" w:space="0" w:color="auto"/>
        <w:left w:val="none" w:sz="0" w:space="0" w:color="auto"/>
        <w:bottom w:val="none" w:sz="0" w:space="0" w:color="auto"/>
        <w:right w:val="none" w:sz="0" w:space="0" w:color="auto"/>
      </w:divBdr>
    </w:div>
    <w:div w:id="718283924">
      <w:bodyDiv w:val="1"/>
      <w:marLeft w:val="0"/>
      <w:marRight w:val="0"/>
      <w:marTop w:val="0"/>
      <w:marBottom w:val="0"/>
      <w:divBdr>
        <w:top w:val="none" w:sz="0" w:space="0" w:color="auto"/>
        <w:left w:val="none" w:sz="0" w:space="0" w:color="auto"/>
        <w:bottom w:val="none" w:sz="0" w:space="0" w:color="auto"/>
        <w:right w:val="none" w:sz="0" w:space="0" w:color="auto"/>
      </w:divBdr>
    </w:div>
    <w:div w:id="734743953">
      <w:bodyDiv w:val="1"/>
      <w:marLeft w:val="0"/>
      <w:marRight w:val="0"/>
      <w:marTop w:val="0"/>
      <w:marBottom w:val="0"/>
      <w:divBdr>
        <w:top w:val="none" w:sz="0" w:space="0" w:color="auto"/>
        <w:left w:val="none" w:sz="0" w:space="0" w:color="auto"/>
        <w:bottom w:val="none" w:sz="0" w:space="0" w:color="auto"/>
        <w:right w:val="none" w:sz="0" w:space="0" w:color="auto"/>
      </w:divBdr>
    </w:div>
    <w:div w:id="762142946">
      <w:bodyDiv w:val="1"/>
      <w:marLeft w:val="0"/>
      <w:marRight w:val="0"/>
      <w:marTop w:val="0"/>
      <w:marBottom w:val="0"/>
      <w:divBdr>
        <w:top w:val="none" w:sz="0" w:space="0" w:color="auto"/>
        <w:left w:val="none" w:sz="0" w:space="0" w:color="auto"/>
        <w:bottom w:val="none" w:sz="0" w:space="0" w:color="auto"/>
        <w:right w:val="none" w:sz="0" w:space="0" w:color="auto"/>
      </w:divBdr>
    </w:div>
    <w:div w:id="777942543">
      <w:bodyDiv w:val="1"/>
      <w:marLeft w:val="0"/>
      <w:marRight w:val="0"/>
      <w:marTop w:val="0"/>
      <w:marBottom w:val="0"/>
      <w:divBdr>
        <w:top w:val="none" w:sz="0" w:space="0" w:color="auto"/>
        <w:left w:val="none" w:sz="0" w:space="0" w:color="auto"/>
        <w:bottom w:val="none" w:sz="0" w:space="0" w:color="auto"/>
        <w:right w:val="none" w:sz="0" w:space="0" w:color="auto"/>
      </w:divBdr>
    </w:div>
    <w:div w:id="801770257">
      <w:bodyDiv w:val="1"/>
      <w:marLeft w:val="0"/>
      <w:marRight w:val="0"/>
      <w:marTop w:val="0"/>
      <w:marBottom w:val="0"/>
      <w:divBdr>
        <w:top w:val="none" w:sz="0" w:space="0" w:color="auto"/>
        <w:left w:val="none" w:sz="0" w:space="0" w:color="auto"/>
        <w:bottom w:val="none" w:sz="0" w:space="0" w:color="auto"/>
        <w:right w:val="none" w:sz="0" w:space="0" w:color="auto"/>
      </w:divBdr>
    </w:div>
    <w:div w:id="815877976">
      <w:bodyDiv w:val="1"/>
      <w:marLeft w:val="0"/>
      <w:marRight w:val="0"/>
      <w:marTop w:val="0"/>
      <w:marBottom w:val="0"/>
      <w:divBdr>
        <w:top w:val="none" w:sz="0" w:space="0" w:color="auto"/>
        <w:left w:val="none" w:sz="0" w:space="0" w:color="auto"/>
        <w:bottom w:val="none" w:sz="0" w:space="0" w:color="auto"/>
        <w:right w:val="none" w:sz="0" w:space="0" w:color="auto"/>
      </w:divBdr>
    </w:div>
    <w:div w:id="1029643383">
      <w:bodyDiv w:val="1"/>
      <w:marLeft w:val="0"/>
      <w:marRight w:val="0"/>
      <w:marTop w:val="0"/>
      <w:marBottom w:val="0"/>
      <w:divBdr>
        <w:top w:val="none" w:sz="0" w:space="0" w:color="auto"/>
        <w:left w:val="none" w:sz="0" w:space="0" w:color="auto"/>
        <w:bottom w:val="none" w:sz="0" w:space="0" w:color="auto"/>
        <w:right w:val="none" w:sz="0" w:space="0" w:color="auto"/>
      </w:divBdr>
    </w:div>
    <w:div w:id="1039088380">
      <w:bodyDiv w:val="1"/>
      <w:marLeft w:val="0"/>
      <w:marRight w:val="0"/>
      <w:marTop w:val="0"/>
      <w:marBottom w:val="0"/>
      <w:divBdr>
        <w:top w:val="none" w:sz="0" w:space="0" w:color="auto"/>
        <w:left w:val="none" w:sz="0" w:space="0" w:color="auto"/>
        <w:bottom w:val="none" w:sz="0" w:space="0" w:color="auto"/>
        <w:right w:val="none" w:sz="0" w:space="0" w:color="auto"/>
      </w:divBdr>
    </w:div>
    <w:div w:id="1207523582">
      <w:bodyDiv w:val="1"/>
      <w:marLeft w:val="0"/>
      <w:marRight w:val="0"/>
      <w:marTop w:val="0"/>
      <w:marBottom w:val="0"/>
      <w:divBdr>
        <w:top w:val="none" w:sz="0" w:space="0" w:color="auto"/>
        <w:left w:val="none" w:sz="0" w:space="0" w:color="auto"/>
        <w:bottom w:val="none" w:sz="0" w:space="0" w:color="auto"/>
        <w:right w:val="none" w:sz="0" w:space="0" w:color="auto"/>
      </w:divBdr>
    </w:div>
    <w:div w:id="1213879973">
      <w:bodyDiv w:val="1"/>
      <w:marLeft w:val="0"/>
      <w:marRight w:val="0"/>
      <w:marTop w:val="0"/>
      <w:marBottom w:val="0"/>
      <w:divBdr>
        <w:top w:val="none" w:sz="0" w:space="0" w:color="auto"/>
        <w:left w:val="none" w:sz="0" w:space="0" w:color="auto"/>
        <w:bottom w:val="none" w:sz="0" w:space="0" w:color="auto"/>
        <w:right w:val="none" w:sz="0" w:space="0" w:color="auto"/>
      </w:divBdr>
    </w:div>
    <w:div w:id="1306620506">
      <w:bodyDiv w:val="1"/>
      <w:marLeft w:val="0"/>
      <w:marRight w:val="0"/>
      <w:marTop w:val="0"/>
      <w:marBottom w:val="0"/>
      <w:divBdr>
        <w:top w:val="none" w:sz="0" w:space="0" w:color="auto"/>
        <w:left w:val="none" w:sz="0" w:space="0" w:color="auto"/>
        <w:bottom w:val="none" w:sz="0" w:space="0" w:color="auto"/>
        <w:right w:val="none" w:sz="0" w:space="0" w:color="auto"/>
      </w:divBdr>
      <w:divsChild>
        <w:div w:id="705449813">
          <w:marLeft w:val="274"/>
          <w:marRight w:val="0"/>
          <w:marTop w:val="120"/>
          <w:marBottom w:val="0"/>
          <w:divBdr>
            <w:top w:val="none" w:sz="0" w:space="0" w:color="auto"/>
            <w:left w:val="none" w:sz="0" w:space="0" w:color="auto"/>
            <w:bottom w:val="none" w:sz="0" w:space="0" w:color="auto"/>
            <w:right w:val="none" w:sz="0" w:space="0" w:color="auto"/>
          </w:divBdr>
        </w:div>
        <w:div w:id="2068406234">
          <w:marLeft w:val="274"/>
          <w:marRight w:val="0"/>
          <w:marTop w:val="120"/>
          <w:marBottom w:val="0"/>
          <w:divBdr>
            <w:top w:val="none" w:sz="0" w:space="0" w:color="auto"/>
            <w:left w:val="none" w:sz="0" w:space="0" w:color="auto"/>
            <w:bottom w:val="none" w:sz="0" w:space="0" w:color="auto"/>
            <w:right w:val="none" w:sz="0" w:space="0" w:color="auto"/>
          </w:divBdr>
        </w:div>
      </w:divsChild>
    </w:div>
    <w:div w:id="1318461926">
      <w:bodyDiv w:val="1"/>
      <w:marLeft w:val="0"/>
      <w:marRight w:val="0"/>
      <w:marTop w:val="0"/>
      <w:marBottom w:val="0"/>
      <w:divBdr>
        <w:top w:val="none" w:sz="0" w:space="0" w:color="auto"/>
        <w:left w:val="none" w:sz="0" w:space="0" w:color="auto"/>
        <w:bottom w:val="none" w:sz="0" w:space="0" w:color="auto"/>
        <w:right w:val="none" w:sz="0" w:space="0" w:color="auto"/>
      </w:divBdr>
    </w:div>
    <w:div w:id="1392583694">
      <w:bodyDiv w:val="1"/>
      <w:marLeft w:val="0"/>
      <w:marRight w:val="0"/>
      <w:marTop w:val="0"/>
      <w:marBottom w:val="0"/>
      <w:divBdr>
        <w:top w:val="none" w:sz="0" w:space="0" w:color="auto"/>
        <w:left w:val="none" w:sz="0" w:space="0" w:color="auto"/>
        <w:bottom w:val="none" w:sz="0" w:space="0" w:color="auto"/>
        <w:right w:val="none" w:sz="0" w:space="0" w:color="auto"/>
      </w:divBdr>
    </w:div>
    <w:div w:id="1425616584">
      <w:bodyDiv w:val="1"/>
      <w:marLeft w:val="0"/>
      <w:marRight w:val="0"/>
      <w:marTop w:val="0"/>
      <w:marBottom w:val="0"/>
      <w:divBdr>
        <w:top w:val="none" w:sz="0" w:space="0" w:color="auto"/>
        <w:left w:val="none" w:sz="0" w:space="0" w:color="auto"/>
        <w:bottom w:val="none" w:sz="0" w:space="0" w:color="auto"/>
        <w:right w:val="none" w:sz="0" w:space="0" w:color="auto"/>
      </w:divBdr>
    </w:div>
    <w:div w:id="1426264764">
      <w:bodyDiv w:val="1"/>
      <w:marLeft w:val="0"/>
      <w:marRight w:val="0"/>
      <w:marTop w:val="0"/>
      <w:marBottom w:val="0"/>
      <w:divBdr>
        <w:top w:val="none" w:sz="0" w:space="0" w:color="auto"/>
        <w:left w:val="none" w:sz="0" w:space="0" w:color="auto"/>
        <w:bottom w:val="none" w:sz="0" w:space="0" w:color="auto"/>
        <w:right w:val="none" w:sz="0" w:space="0" w:color="auto"/>
      </w:divBdr>
      <w:divsChild>
        <w:div w:id="30692160">
          <w:marLeft w:val="274"/>
          <w:marRight w:val="0"/>
          <w:marTop w:val="80"/>
          <w:marBottom w:val="80"/>
          <w:divBdr>
            <w:top w:val="none" w:sz="0" w:space="0" w:color="auto"/>
            <w:left w:val="none" w:sz="0" w:space="0" w:color="auto"/>
            <w:bottom w:val="none" w:sz="0" w:space="0" w:color="auto"/>
            <w:right w:val="none" w:sz="0" w:space="0" w:color="auto"/>
          </w:divBdr>
        </w:div>
        <w:div w:id="594823822">
          <w:marLeft w:val="274"/>
          <w:marRight w:val="0"/>
          <w:marTop w:val="80"/>
          <w:marBottom w:val="80"/>
          <w:divBdr>
            <w:top w:val="none" w:sz="0" w:space="0" w:color="auto"/>
            <w:left w:val="none" w:sz="0" w:space="0" w:color="auto"/>
            <w:bottom w:val="none" w:sz="0" w:space="0" w:color="auto"/>
            <w:right w:val="none" w:sz="0" w:space="0" w:color="auto"/>
          </w:divBdr>
        </w:div>
      </w:divsChild>
    </w:div>
    <w:div w:id="1453671327">
      <w:bodyDiv w:val="1"/>
      <w:marLeft w:val="0"/>
      <w:marRight w:val="0"/>
      <w:marTop w:val="0"/>
      <w:marBottom w:val="0"/>
      <w:divBdr>
        <w:top w:val="none" w:sz="0" w:space="0" w:color="auto"/>
        <w:left w:val="none" w:sz="0" w:space="0" w:color="auto"/>
        <w:bottom w:val="none" w:sz="0" w:space="0" w:color="auto"/>
        <w:right w:val="none" w:sz="0" w:space="0" w:color="auto"/>
      </w:divBdr>
      <w:divsChild>
        <w:div w:id="72513857">
          <w:marLeft w:val="274"/>
          <w:marRight w:val="0"/>
          <w:marTop w:val="120"/>
          <w:marBottom w:val="0"/>
          <w:divBdr>
            <w:top w:val="none" w:sz="0" w:space="0" w:color="auto"/>
            <w:left w:val="none" w:sz="0" w:space="0" w:color="auto"/>
            <w:bottom w:val="none" w:sz="0" w:space="0" w:color="auto"/>
            <w:right w:val="none" w:sz="0" w:space="0" w:color="auto"/>
          </w:divBdr>
        </w:div>
        <w:div w:id="463012284">
          <w:marLeft w:val="274"/>
          <w:marRight w:val="0"/>
          <w:marTop w:val="120"/>
          <w:marBottom w:val="0"/>
          <w:divBdr>
            <w:top w:val="none" w:sz="0" w:space="0" w:color="auto"/>
            <w:left w:val="none" w:sz="0" w:space="0" w:color="auto"/>
            <w:bottom w:val="none" w:sz="0" w:space="0" w:color="auto"/>
            <w:right w:val="none" w:sz="0" w:space="0" w:color="auto"/>
          </w:divBdr>
        </w:div>
        <w:div w:id="877089737">
          <w:marLeft w:val="274"/>
          <w:marRight w:val="0"/>
          <w:marTop w:val="120"/>
          <w:marBottom w:val="0"/>
          <w:divBdr>
            <w:top w:val="none" w:sz="0" w:space="0" w:color="auto"/>
            <w:left w:val="none" w:sz="0" w:space="0" w:color="auto"/>
            <w:bottom w:val="none" w:sz="0" w:space="0" w:color="auto"/>
            <w:right w:val="none" w:sz="0" w:space="0" w:color="auto"/>
          </w:divBdr>
        </w:div>
        <w:div w:id="1473205930">
          <w:marLeft w:val="274"/>
          <w:marRight w:val="0"/>
          <w:marTop w:val="120"/>
          <w:marBottom w:val="0"/>
          <w:divBdr>
            <w:top w:val="none" w:sz="0" w:space="0" w:color="auto"/>
            <w:left w:val="none" w:sz="0" w:space="0" w:color="auto"/>
            <w:bottom w:val="none" w:sz="0" w:space="0" w:color="auto"/>
            <w:right w:val="none" w:sz="0" w:space="0" w:color="auto"/>
          </w:divBdr>
        </w:div>
        <w:div w:id="1752577523">
          <w:marLeft w:val="274"/>
          <w:marRight w:val="0"/>
          <w:marTop w:val="120"/>
          <w:marBottom w:val="0"/>
          <w:divBdr>
            <w:top w:val="none" w:sz="0" w:space="0" w:color="auto"/>
            <w:left w:val="none" w:sz="0" w:space="0" w:color="auto"/>
            <w:bottom w:val="none" w:sz="0" w:space="0" w:color="auto"/>
            <w:right w:val="none" w:sz="0" w:space="0" w:color="auto"/>
          </w:divBdr>
        </w:div>
        <w:div w:id="1840852067">
          <w:marLeft w:val="274"/>
          <w:marRight w:val="0"/>
          <w:marTop w:val="120"/>
          <w:marBottom w:val="0"/>
          <w:divBdr>
            <w:top w:val="none" w:sz="0" w:space="0" w:color="auto"/>
            <w:left w:val="none" w:sz="0" w:space="0" w:color="auto"/>
            <w:bottom w:val="none" w:sz="0" w:space="0" w:color="auto"/>
            <w:right w:val="none" w:sz="0" w:space="0" w:color="auto"/>
          </w:divBdr>
        </w:div>
      </w:divsChild>
    </w:div>
    <w:div w:id="1553888757">
      <w:bodyDiv w:val="1"/>
      <w:marLeft w:val="0"/>
      <w:marRight w:val="0"/>
      <w:marTop w:val="0"/>
      <w:marBottom w:val="0"/>
      <w:divBdr>
        <w:top w:val="none" w:sz="0" w:space="0" w:color="auto"/>
        <w:left w:val="none" w:sz="0" w:space="0" w:color="auto"/>
        <w:bottom w:val="none" w:sz="0" w:space="0" w:color="auto"/>
        <w:right w:val="none" w:sz="0" w:space="0" w:color="auto"/>
      </w:divBdr>
    </w:div>
    <w:div w:id="1566065254">
      <w:bodyDiv w:val="1"/>
      <w:marLeft w:val="0"/>
      <w:marRight w:val="0"/>
      <w:marTop w:val="0"/>
      <w:marBottom w:val="0"/>
      <w:divBdr>
        <w:top w:val="none" w:sz="0" w:space="0" w:color="auto"/>
        <w:left w:val="none" w:sz="0" w:space="0" w:color="auto"/>
        <w:bottom w:val="none" w:sz="0" w:space="0" w:color="auto"/>
        <w:right w:val="none" w:sz="0" w:space="0" w:color="auto"/>
      </w:divBdr>
    </w:div>
    <w:div w:id="1585525616">
      <w:bodyDiv w:val="1"/>
      <w:marLeft w:val="0"/>
      <w:marRight w:val="0"/>
      <w:marTop w:val="0"/>
      <w:marBottom w:val="0"/>
      <w:divBdr>
        <w:top w:val="none" w:sz="0" w:space="0" w:color="auto"/>
        <w:left w:val="none" w:sz="0" w:space="0" w:color="auto"/>
        <w:bottom w:val="none" w:sz="0" w:space="0" w:color="auto"/>
        <w:right w:val="none" w:sz="0" w:space="0" w:color="auto"/>
      </w:divBdr>
      <w:divsChild>
        <w:div w:id="720642249">
          <w:marLeft w:val="0"/>
          <w:marRight w:val="0"/>
          <w:marTop w:val="0"/>
          <w:marBottom w:val="0"/>
          <w:divBdr>
            <w:top w:val="none" w:sz="0" w:space="0" w:color="auto"/>
            <w:left w:val="none" w:sz="0" w:space="0" w:color="auto"/>
            <w:bottom w:val="none" w:sz="0" w:space="0" w:color="auto"/>
            <w:right w:val="none" w:sz="0" w:space="0" w:color="auto"/>
          </w:divBdr>
          <w:divsChild>
            <w:div w:id="64644651">
              <w:marLeft w:val="0"/>
              <w:marRight w:val="0"/>
              <w:marTop w:val="0"/>
              <w:marBottom w:val="0"/>
              <w:divBdr>
                <w:top w:val="none" w:sz="0" w:space="0" w:color="auto"/>
                <w:left w:val="none" w:sz="0" w:space="0" w:color="auto"/>
                <w:bottom w:val="none" w:sz="0" w:space="0" w:color="auto"/>
                <w:right w:val="none" w:sz="0" w:space="0" w:color="auto"/>
              </w:divBdr>
              <w:divsChild>
                <w:div w:id="1345012854">
                  <w:marLeft w:val="0"/>
                  <w:marRight w:val="3600"/>
                  <w:marTop w:val="0"/>
                  <w:marBottom w:val="0"/>
                  <w:divBdr>
                    <w:top w:val="none" w:sz="0" w:space="0" w:color="auto"/>
                    <w:left w:val="none" w:sz="0" w:space="0" w:color="auto"/>
                    <w:bottom w:val="none" w:sz="0" w:space="0" w:color="auto"/>
                    <w:right w:val="none" w:sz="0" w:space="0" w:color="auto"/>
                  </w:divBdr>
                </w:div>
              </w:divsChild>
            </w:div>
          </w:divsChild>
        </w:div>
      </w:divsChild>
    </w:div>
    <w:div w:id="1603369838">
      <w:bodyDiv w:val="1"/>
      <w:marLeft w:val="0"/>
      <w:marRight w:val="0"/>
      <w:marTop w:val="0"/>
      <w:marBottom w:val="0"/>
      <w:divBdr>
        <w:top w:val="none" w:sz="0" w:space="0" w:color="auto"/>
        <w:left w:val="none" w:sz="0" w:space="0" w:color="auto"/>
        <w:bottom w:val="none" w:sz="0" w:space="0" w:color="auto"/>
        <w:right w:val="none" w:sz="0" w:space="0" w:color="auto"/>
      </w:divBdr>
    </w:div>
    <w:div w:id="1678725841">
      <w:bodyDiv w:val="1"/>
      <w:marLeft w:val="0"/>
      <w:marRight w:val="0"/>
      <w:marTop w:val="0"/>
      <w:marBottom w:val="0"/>
      <w:divBdr>
        <w:top w:val="none" w:sz="0" w:space="0" w:color="auto"/>
        <w:left w:val="none" w:sz="0" w:space="0" w:color="auto"/>
        <w:bottom w:val="none" w:sz="0" w:space="0" w:color="auto"/>
        <w:right w:val="none" w:sz="0" w:space="0" w:color="auto"/>
      </w:divBdr>
    </w:div>
    <w:div w:id="1715231202">
      <w:bodyDiv w:val="1"/>
      <w:marLeft w:val="0"/>
      <w:marRight w:val="0"/>
      <w:marTop w:val="0"/>
      <w:marBottom w:val="0"/>
      <w:divBdr>
        <w:top w:val="none" w:sz="0" w:space="0" w:color="auto"/>
        <w:left w:val="none" w:sz="0" w:space="0" w:color="auto"/>
        <w:bottom w:val="none" w:sz="0" w:space="0" w:color="auto"/>
        <w:right w:val="none" w:sz="0" w:space="0" w:color="auto"/>
      </w:divBdr>
    </w:div>
    <w:div w:id="1743061763">
      <w:bodyDiv w:val="1"/>
      <w:marLeft w:val="0"/>
      <w:marRight w:val="0"/>
      <w:marTop w:val="0"/>
      <w:marBottom w:val="0"/>
      <w:divBdr>
        <w:top w:val="none" w:sz="0" w:space="0" w:color="auto"/>
        <w:left w:val="none" w:sz="0" w:space="0" w:color="auto"/>
        <w:bottom w:val="none" w:sz="0" w:space="0" w:color="auto"/>
        <w:right w:val="none" w:sz="0" w:space="0" w:color="auto"/>
      </w:divBdr>
    </w:div>
    <w:div w:id="1759332102">
      <w:bodyDiv w:val="1"/>
      <w:marLeft w:val="0"/>
      <w:marRight w:val="0"/>
      <w:marTop w:val="0"/>
      <w:marBottom w:val="0"/>
      <w:divBdr>
        <w:top w:val="none" w:sz="0" w:space="0" w:color="auto"/>
        <w:left w:val="none" w:sz="0" w:space="0" w:color="auto"/>
        <w:bottom w:val="none" w:sz="0" w:space="0" w:color="auto"/>
        <w:right w:val="none" w:sz="0" w:space="0" w:color="auto"/>
      </w:divBdr>
    </w:div>
    <w:div w:id="1765612542">
      <w:bodyDiv w:val="1"/>
      <w:marLeft w:val="0"/>
      <w:marRight w:val="0"/>
      <w:marTop w:val="0"/>
      <w:marBottom w:val="0"/>
      <w:divBdr>
        <w:top w:val="none" w:sz="0" w:space="0" w:color="auto"/>
        <w:left w:val="none" w:sz="0" w:space="0" w:color="auto"/>
        <w:bottom w:val="none" w:sz="0" w:space="0" w:color="auto"/>
        <w:right w:val="none" w:sz="0" w:space="0" w:color="auto"/>
      </w:divBdr>
    </w:div>
    <w:div w:id="1817453036">
      <w:bodyDiv w:val="1"/>
      <w:marLeft w:val="0"/>
      <w:marRight w:val="0"/>
      <w:marTop w:val="0"/>
      <w:marBottom w:val="0"/>
      <w:divBdr>
        <w:top w:val="none" w:sz="0" w:space="0" w:color="auto"/>
        <w:left w:val="none" w:sz="0" w:space="0" w:color="auto"/>
        <w:bottom w:val="none" w:sz="0" w:space="0" w:color="auto"/>
        <w:right w:val="none" w:sz="0" w:space="0" w:color="auto"/>
      </w:divBdr>
    </w:div>
    <w:div w:id="1926722723">
      <w:bodyDiv w:val="1"/>
      <w:marLeft w:val="0"/>
      <w:marRight w:val="0"/>
      <w:marTop w:val="0"/>
      <w:marBottom w:val="0"/>
      <w:divBdr>
        <w:top w:val="none" w:sz="0" w:space="0" w:color="auto"/>
        <w:left w:val="none" w:sz="0" w:space="0" w:color="auto"/>
        <w:bottom w:val="none" w:sz="0" w:space="0" w:color="auto"/>
        <w:right w:val="none" w:sz="0" w:space="0" w:color="auto"/>
      </w:divBdr>
    </w:div>
    <w:div w:id="1957330381">
      <w:bodyDiv w:val="1"/>
      <w:marLeft w:val="0"/>
      <w:marRight w:val="0"/>
      <w:marTop w:val="0"/>
      <w:marBottom w:val="0"/>
      <w:divBdr>
        <w:top w:val="none" w:sz="0" w:space="0" w:color="auto"/>
        <w:left w:val="none" w:sz="0" w:space="0" w:color="auto"/>
        <w:bottom w:val="none" w:sz="0" w:space="0" w:color="auto"/>
        <w:right w:val="none" w:sz="0" w:space="0" w:color="auto"/>
      </w:divBdr>
    </w:div>
    <w:div w:id="1959752237">
      <w:bodyDiv w:val="1"/>
      <w:marLeft w:val="0"/>
      <w:marRight w:val="0"/>
      <w:marTop w:val="0"/>
      <w:marBottom w:val="0"/>
      <w:divBdr>
        <w:top w:val="none" w:sz="0" w:space="0" w:color="auto"/>
        <w:left w:val="none" w:sz="0" w:space="0" w:color="auto"/>
        <w:bottom w:val="none" w:sz="0" w:space="0" w:color="auto"/>
        <w:right w:val="none" w:sz="0" w:space="0" w:color="auto"/>
      </w:divBdr>
    </w:div>
    <w:div w:id="2076855841">
      <w:bodyDiv w:val="1"/>
      <w:marLeft w:val="0"/>
      <w:marRight w:val="0"/>
      <w:marTop w:val="0"/>
      <w:marBottom w:val="0"/>
      <w:divBdr>
        <w:top w:val="none" w:sz="0" w:space="0" w:color="auto"/>
        <w:left w:val="none" w:sz="0" w:space="0" w:color="auto"/>
        <w:bottom w:val="none" w:sz="0" w:space="0" w:color="auto"/>
        <w:right w:val="none" w:sz="0" w:space="0" w:color="auto"/>
      </w:divBdr>
    </w:div>
    <w:div w:id="2104254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8.png"/><Relationship Id="rId42" Type="http://schemas.openxmlformats.org/officeDocument/2006/relationships/header" Target="header1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7.emf"/><Relationship Id="rId38" Type="http://schemas.openxmlformats.org/officeDocument/2006/relationships/footer" Target="footer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footer" Target="footer6.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5.png"/><Relationship Id="rId44"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header" Target="header19.xml"/></Relationships>
</file>

<file path=word/_rels/footnotes.xml.rels><?xml version="1.0" encoding="UTF-8" standalone="yes"?>
<Relationships xmlns="http://schemas.openxmlformats.org/package/2006/relationships"><Relationship Id="rId1" Type="http://schemas.openxmlformats.org/officeDocument/2006/relationships/hyperlink" Target="http://www.aph.gov.au/about_parliament/parliamentary_departments/parliamentary_library/publications_archive/archive/violenceagainstwomen" TargetMode="External"/></Relationships>
</file>

<file path=word/theme/theme1.xml><?xml version="1.0" encoding="utf-8"?>
<a:theme xmlns:a="http://schemas.openxmlformats.org/drawingml/2006/main" name="KPMG NPG landscape">
  <a:themeElements>
    <a:clrScheme name="KPMG NPG standard">
      <a:dk1>
        <a:sysClr val="windowText" lastClr="000000"/>
      </a:dk1>
      <a:lt1>
        <a:sysClr val="window" lastClr="FFFFFF"/>
      </a:lt1>
      <a:dk2>
        <a:srgbClr val="00338D"/>
      </a:dk2>
      <a:lt2>
        <a:srgbClr val="FFFFFF"/>
      </a:lt2>
      <a:accent1>
        <a:srgbClr val="00338D"/>
      </a:accent1>
      <a:accent2>
        <a:srgbClr val="4066B3"/>
      </a:accent2>
      <a:accent3>
        <a:srgbClr val="7599C9"/>
      </a:accent3>
      <a:accent4>
        <a:srgbClr val="BCCCE5"/>
      </a:accent4>
      <a:accent5>
        <a:srgbClr val="747680"/>
      </a:accent5>
      <a:accent6>
        <a:srgbClr val="7AB800"/>
      </a:accent6>
      <a:hlink>
        <a:srgbClr val="9E3039"/>
      </a:hlink>
      <a:folHlink>
        <a:srgbClr val="EBB700"/>
      </a:folHlink>
    </a:clrScheme>
    <a:fontScheme name="KPMG univers old">
      <a:majorFont>
        <a:latin typeface="Univers 55"/>
        <a:ea typeface=""/>
        <a:cs typeface=""/>
      </a:majorFont>
      <a:minorFont>
        <a:latin typeface="Univers 45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spPr>
      <a:bodyPr lIns="36000" tIns="36000" rIns="36000" bIns="36000"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raClrScheme>
      <a:clrScheme name="Default Design 1">
        <a:dk1>
          <a:srgbClr val="000000"/>
        </a:dk1>
        <a:lt1>
          <a:srgbClr val="FFFFFF"/>
        </a:lt1>
        <a:dk2>
          <a:srgbClr val="000000"/>
        </a:dk2>
        <a:lt2>
          <a:srgbClr val="808080"/>
        </a:lt2>
        <a:accent1>
          <a:srgbClr val="00338D"/>
        </a:accent1>
        <a:accent2>
          <a:srgbClr val="6A7F10"/>
        </a:accent2>
        <a:accent3>
          <a:srgbClr val="FFFFFF"/>
        </a:accent3>
        <a:accent4>
          <a:srgbClr val="000000"/>
        </a:accent4>
        <a:accent5>
          <a:srgbClr val="AAADC5"/>
        </a:accent5>
        <a:accent6>
          <a:srgbClr val="5F720D"/>
        </a:accent6>
        <a:hlink>
          <a:srgbClr val="8E258D"/>
        </a:hlink>
        <a:folHlink>
          <a:srgbClr val="007C9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3E5D8-1C22-4778-B74C-ACF5E7AB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47197</Words>
  <Characters>269028</Characters>
  <Application>Microsoft Office Word</Application>
  <DocSecurity>4</DocSecurity>
  <Lines>2241</Lines>
  <Paragraphs>631</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315594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Ackermann, Karen</dc:creator>
  <cp:lastModifiedBy>CIFUENTES, Karen</cp:lastModifiedBy>
  <cp:revision>2</cp:revision>
  <cp:lastPrinted>2016-03-31T06:09:00Z</cp:lastPrinted>
  <dcterms:created xsi:type="dcterms:W3CDTF">2016-08-29T05:39:00Z</dcterms:created>
  <dcterms:modified xsi:type="dcterms:W3CDTF">2016-08-29T05:39:00Z</dcterms:modified>
</cp:coreProperties>
</file>