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F9" w:rsidRPr="009E5BF9" w:rsidRDefault="00263704" w:rsidP="009E5BF9">
      <w:pPr>
        <w:pStyle w:val="Header"/>
        <w:tabs>
          <w:tab w:val="clear" w:pos="4153"/>
          <w:tab w:val="clear" w:pos="8306"/>
          <w:tab w:val="right" w:pos="9639"/>
        </w:tabs>
        <w:spacing w:after="0"/>
        <w:contextualSpacing w:val="0"/>
        <w:jc w:val="right"/>
        <w:rPr>
          <w:rFonts w:ascii="Arial" w:hAnsi="Arial"/>
          <w:noProof/>
          <w:color w:val="auto"/>
        </w:rPr>
      </w:pPr>
      <w:bookmarkStart w:id="0" w:name="_GoBack"/>
      <w:bookmarkEnd w:id="0"/>
      <w:r>
        <w:rPr>
          <w:rFonts w:ascii="Arial" w:hAnsi="Arial"/>
          <w:noProof/>
          <w:color w:val="auto"/>
        </w:rPr>
        <w:t>Research summary: No. 8</w:t>
      </w:r>
      <w:r w:rsidR="009E5BF9">
        <w:rPr>
          <w:rFonts w:ascii="Arial" w:hAnsi="Arial"/>
          <w:noProof/>
          <w:color w:val="auto"/>
        </w:rPr>
        <w:t>/</w:t>
      </w:r>
      <w:r>
        <w:rPr>
          <w:rFonts w:ascii="Arial" w:hAnsi="Arial"/>
          <w:noProof/>
          <w:color w:val="auto"/>
        </w:rPr>
        <w:t>2016</w:t>
      </w:r>
    </w:p>
    <w:p w:rsidR="00847D93" w:rsidRPr="009E5BF9" w:rsidRDefault="008C2B70" w:rsidP="009E5BF9">
      <w:pPr>
        <w:pStyle w:val="Title"/>
        <w:spacing w:before="120" w:after="0" w:line="276" w:lineRule="auto"/>
        <w:contextualSpacing w:val="0"/>
        <w:jc w:val="both"/>
        <w:rPr>
          <w:b/>
          <w:color w:val="500778"/>
          <w:sz w:val="32"/>
        </w:rPr>
      </w:pPr>
      <w:r w:rsidRPr="009E5BF9">
        <w:rPr>
          <w:b/>
          <w:color w:val="500778"/>
          <w:sz w:val="32"/>
        </w:rPr>
        <w:t xml:space="preserve">Productive </w:t>
      </w:r>
      <w:r w:rsidR="00541229" w:rsidRPr="009E5BF9">
        <w:rPr>
          <w:b/>
          <w:color w:val="500778"/>
          <w:sz w:val="32"/>
        </w:rPr>
        <w:t>engagement</w:t>
      </w:r>
      <w:r w:rsidRPr="009E5BF9">
        <w:rPr>
          <w:b/>
          <w:color w:val="500778"/>
          <w:sz w:val="32"/>
        </w:rPr>
        <w:t xml:space="preserve"> and welfare receipt: a life course profile</w:t>
      </w:r>
      <w:r w:rsidR="00380B54" w:rsidRPr="009E5BF9">
        <w:rPr>
          <w:b/>
          <w:color w:val="500778"/>
          <w:sz w:val="32"/>
        </w:rPr>
        <w:t xml:space="preserve"> in Australia</w:t>
      </w:r>
    </w:p>
    <w:p w:rsidR="003408E2" w:rsidRDefault="00622221" w:rsidP="00974DB5">
      <w:pPr>
        <w:spacing w:line="276" w:lineRule="auto"/>
        <w:jc w:val="both"/>
        <w:rPr>
          <w:color w:val="500778"/>
        </w:rPr>
      </w:pPr>
      <w:r w:rsidRPr="009E5BF9">
        <w:rPr>
          <w:color w:val="500778"/>
        </w:rPr>
        <w:t>Peng Yu</w:t>
      </w:r>
    </w:p>
    <w:p w:rsidR="00847D93" w:rsidRDefault="00FD42D9" w:rsidP="005A4694">
      <w:pPr>
        <w:spacing w:before="0" w:after="0" w:line="276" w:lineRule="auto"/>
        <w:jc w:val="both"/>
      </w:pPr>
      <w:r>
        <w:t xml:space="preserve">With the ageing Australian population resulting in higher welfare costs, higher health expenditure and a smaller tax base it </w:t>
      </w:r>
      <w:r w:rsidR="00E421CE">
        <w:t>is i</w:t>
      </w:r>
      <w:r w:rsidR="00541229">
        <w:t>ncreasing</w:t>
      </w:r>
      <w:r w:rsidR="00E421CE">
        <w:t>ly important to promote</w:t>
      </w:r>
      <w:r w:rsidR="00541229">
        <w:t xml:space="preserve"> </w:t>
      </w:r>
      <w:r w:rsidR="00D40EFA">
        <w:t>economic participation</w:t>
      </w:r>
      <w:r w:rsidR="003D3ED3">
        <w:t xml:space="preserve"> and reduc</w:t>
      </w:r>
      <w:r w:rsidR="00E421CE">
        <w:t>e</w:t>
      </w:r>
      <w:r w:rsidR="003D3ED3">
        <w:t xml:space="preserve"> welfare reliance</w:t>
      </w:r>
      <w:r w:rsidR="00874B99">
        <w:t>. This is</w:t>
      </w:r>
      <w:r w:rsidR="00DD428B">
        <w:t xml:space="preserve"> the essence of the current </w:t>
      </w:r>
      <w:r w:rsidR="005A4694">
        <w:t xml:space="preserve">Government </w:t>
      </w:r>
      <w:r w:rsidR="00DD428B">
        <w:t>welfare reform agenda</w:t>
      </w:r>
      <w:r w:rsidR="004B6F74">
        <w:t xml:space="preserve">. </w:t>
      </w:r>
    </w:p>
    <w:p w:rsidR="00DD428B" w:rsidRDefault="00DD428B" w:rsidP="008375EE">
      <w:pPr>
        <w:jc w:val="both"/>
      </w:pPr>
      <w:r>
        <w:t xml:space="preserve">This research aims to </w:t>
      </w:r>
      <w:r w:rsidR="005E418E">
        <w:t xml:space="preserve">inform policy intervention by </w:t>
      </w:r>
      <w:r>
        <w:t>provid</w:t>
      </w:r>
      <w:r w:rsidR="005E418E">
        <w:t>ing</w:t>
      </w:r>
      <w:r>
        <w:t xml:space="preserve"> a life course profile of </w:t>
      </w:r>
      <w:r w:rsidR="006C3EF1">
        <w:t xml:space="preserve">the </w:t>
      </w:r>
      <w:r>
        <w:t>productive engagement</w:t>
      </w:r>
      <w:r w:rsidR="006C3EF1">
        <w:t xml:space="preserve"> (including</w:t>
      </w:r>
      <w:r w:rsidR="0081438B">
        <w:t xml:space="preserve"> </w:t>
      </w:r>
      <w:r w:rsidR="001F6978">
        <w:t>economic participation</w:t>
      </w:r>
      <w:r w:rsidR="0081438B">
        <w:t xml:space="preserve">) </w:t>
      </w:r>
      <w:r>
        <w:t xml:space="preserve">and welfare receipt of Australians using the nationally representative Household, </w:t>
      </w:r>
      <w:r w:rsidR="00720C88">
        <w:t>Income and</w:t>
      </w:r>
      <w:r>
        <w:t xml:space="preserve"> Labour Dynamics in Australia (HILDA) Survey (Release 13.0).</w:t>
      </w:r>
    </w:p>
    <w:p w:rsidR="00881863" w:rsidRDefault="00F27E94" w:rsidP="008375EE">
      <w:pPr>
        <w:jc w:val="both"/>
      </w:pPr>
      <w:r>
        <w:t>There are different w</w:t>
      </w:r>
      <w:r w:rsidR="006C3EF1">
        <w:t>ays of</w:t>
      </w:r>
      <w:r>
        <w:t xml:space="preserve"> defin</w:t>
      </w:r>
      <w:r w:rsidR="006C3EF1">
        <w:t>ing</w:t>
      </w:r>
      <w:r>
        <w:t xml:space="preserve"> p</w:t>
      </w:r>
      <w:r w:rsidR="00D40EFA">
        <w:t>roductive engagement</w:t>
      </w:r>
      <w:r w:rsidR="006C3EF1">
        <w:t>.</w:t>
      </w:r>
      <w:r w:rsidR="00D40EFA">
        <w:rPr>
          <w:rStyle w:val="EndnoteReference"/>
        </w:rPr>
        <w:endnoteReference w:id="1"/>
      </w:r>
      <w:r>
        <w:t xml:space="preserve"> </w:t>
      </w:r>
      <w:r w:rsidR="006C3EF1">
        <w:t>E</w:t>
      </w:r>
      <w:r w:rsidR="001F6978">
        <w:t>mployment</w:t>
      </w:r>
      <w:r>
        <w:t xml:space="preserve"> is</w:t>
      </w:r>
      <w:r w:rsidR="006C3EF1">
        <w:t>, of course,</w:t>
      </w:r>
      <w:r>
        <w:t xml:space="preserve"> a </w:t>
      </w:r>
      <w:r w:rsidR="006C3EF1">
        <w:t xml:space="preserve">significant </w:t>
      </w:r>
      <w:r>
        <w:t>component</w:t>
      </w:r>
      <w:r w:rsidR="006C3EF1">
        <w:t>, as it</w:t>
      </w:r>
      <w:r w:rsidR="001F6978">
        <w:t xml:space="preserve"> </w:t>
      </w:r>
      <w:r w:rsidR="00C004CF">
        <w:t>not only generates income for individuals and famil</w:t>
      </w:r>
      <w:r w:rsidR="006C3EF1">
        <w:t>ies but also contributes to t</w:t>
      </w:r>
      <w:r w:rsidR="00C004CF">
        <w:t>ax revenue and reduces demand</w:t>
      </w:r>
      <w:r w:rsidR="00D76512" w:rsidRPr="00D76512">
        <w:t xml:space="preserve"> </w:t>
      </w:r>
      <w:r w:rsidR="00D76512">
        <w:t>for welfare</w:t>
      </w:r>
      <w:r w:rsidR="00C004CF">
        <w:t xml:space="preserve">. Studying </w:t>
      </w:r>
      <w:r w:rsidR="001F6978">
        <w:t>(</w:t>
      </w:r>
      <w:r w:rsidR="006C3EF1">
        <w:t xml:space="preserve">attending </w:t>
      </w:r>
      <w:r w:rsidR="001F6978">
        <w:t xml:space="preserve">school or any course of study) is also </w:t>
      </w:r>
      <w:r w:rsidR="006C3EF1">
        <w:t xml:space="preserve">defined as </w:t>
      </w:r>
      <w:r>
        <w:t>productive engagement</w:t>
      </w:r>
      <w:r w:rsidR="006C3EF1">
        <w:t>,</w:t>
      </w:r>
      <w:r w:rsidR="001F6978">
        <w:t xml:space="preserve"> as it</w:t>
      </w:r>
      <w:r w:rsidR="00C004CF">
        <w:t xml:space="preserve"> helps accumulate human capital</w:t>
      </w:r>
      <w:r w:rsidR="005A4694">
        <w:t xml:space="preserve"> — </w:t>
      </w:r>
      <w:r w:rsidR="002F3EA6">
        <w:t>a key determinant of earnings</w:t>
      </w:r>
      <w:r w:rsidR="00C004CF">
        <w:t xml:space="preserve"> and</w:t>
      </w:r>
      <w:r w:rsidR="00D76512">
        <w:t xml:space="preserve"> </w:t>
      </w:r>
      <w:r w:rsidR="00C004CF">
        <w:t xml:space="preserve">productivity. </w:t>
      </w:r>
      <w:r w:rsidR="0046755D">
        <w:t>V</w:t>
      </w:r>
      <w:r w:rsidR="001F6978">
        <w:t>olunteer</w:t>
      </w:r>
      <w:r>
        <w:t>/</w:t>
      </w:r>
      <w:r w:rsidR="001F6978">
        <w:t xml:space="preserve">charity work </w:t>
      </w:r>
      <w:r w:rsidR="00C004CF">
        <w:t>and caring activities</w:t>
      </w:r>
      <w:r w:rsidR="0046755D">
        <w:t xml:space="preserve"> (caring for elderly or disabled household members)</w:t>
      </w:r>
      <w:r w:rsidR="00C004CF">
        <w:t xml:space="preserve">, </w:t>
      </w:r>
      <w:r w:rsidR="006C3EF1">
        <w:t>al</w:t>
      </w:r>
      <w:r w:rsidR="00C004CF">
        <w:t>though</w:t>
      </w:r>
      <w:r w:rsidR="0046755D">
        <w:t xml:space="preserve"> </w:t>
      </w:r>
      <w:r>
        <w:t>not directly generating</w:t>
      </w:r>
      <w:r w:rsidR="00C004CF">
        <w:t xml:space="preserve"> income, bring </w:t>
      </w:r>
      <w:r w:rsidR="00D76512">
        <w:t xml:space="preserve">valuable </w:t>
      </w:r>
      <w:r w:rsidR="00C004CF">
        <w:t xml:space="preserve">social </w:t>
      </w:r>
      <w:r w:rsidR="006C3EF1">
        <w:t xml:space="preserve">and economic </w:t>
      </w:r>
      <w:r w:rsidR="00C004CF">
        <w:t>benefits</w:t>
      </w:r>
      <w:r w:rsidR="008A6C44">
        <w:rPr>
          <w:rStyle w:val="EndnoteReference"/>
        </w:rPr>
        <w:endnoteReference w:id="2"/>
      </w:r>
      <w:r w:rsidR="001F6978">
        <w:t>, so</w:t>
      </w:r>
      <w:r w:rsidR="0046755D">
        <w:t xml:space="preserve"> are also commonly regard</w:t>
      </w:r>
      <w:r w:rsidR="001F6978">
        <w:t xml:space="preserve">ed </w:t>
      </w:r>
      <w:r w:rsidR="0046755D">
        <w:t>as</w:t>
      </w:r>
      <w:r w:rsidR="001F6978">
        <w:t xml:space="preserve"> </w:t>
      </w:r>
      <w:r w:rsidR="006C3EF1">
        <w:t>aspects</w:t>
      </w:r>
      <w:r>
        <w:t xml:space="preserve"> of </w:t>
      </w:r>
      <w:r w:rsidR="001F6978">
        <w:t>productive engagement</w:t>
      </w:r>
      <w:r w:rsidR="00C004CF">
        <w:t>. Other activities such as childcare and domestic work are arguably productive but</w:t>
      </w:r>
      <w:r w:rsidR="0046755D">
        <w:t xml:space="preserve"> difficult to measure, and thus </w:t>
      </w:r>
      <w:r w:rsidR="00C004CF">
        <w:t>are not considered in th</w:t>
      </w:r>
      <w:r>
        <w:t>e</w:t>
      </w:r>
      <w:r w:rsidR="00D76512">
        <w:t xml:space="preserve"> </w:t>
      </w:r>
      <w:r>
        <w:t xml:space="preserve">current </w:t>
      </w:r>
      <w:r w:rsidR="00C004CF">
        <w:t>research</w:t>
      </w:r>
      <w:r w:rsidR="003E487A">
        <w:rPr>
          <w:rStyle w:val="EndnoteReference"/>
        </w:rPr>
        <w:endnoteReference w:id="3"/>
      </w:r>
      <w:r w:rsidR="0046755D">
        <w:t xml:space="preserve">. </w:t>
      </w:r>
    </w:p>
    <w:p w:rsidR="00881863" w:rsidRDefault="00E421CE" w:rsidP="00EF44AA">
      <w:pPr>
        <w:jc w:val="both"/>
      </w:pPr>
      <w:r>
        <w:t xml:space="preserve">To average out cohort and time differences and get a better estimate of </w:t>
      </w:r>
      <w:r w:rsidR="00A87817">
        <w:t xml:space="preserve">the </w:t>
      </w:r>
      <w:r>
        <w:t>age profile, we have pooled the sample in the first 13 waves of the HILDA Survey (2001</w:t>
      </w:r>
      <w:r w:rsidR="006C3EF1">
        <w:t>–</w:t>
      </w:r>
      <w:r>
        <w:t xml:space="preserve">2013). </w:t>
      </w:r>
      <w:r w:rsidR="00A87817">
        <w:t xml:space="preserve">This </w:t>
      </w:r>
      <w:r w:rsidR="00E95E84">
        <w:t xml:space="preserve">also </w:t>
      </w:r>
      <w:r w:rsidR="00A87817">
        <w:t>greatly increases the sample size, especially useful for the</w:t>
      </w:r>
      <w:r w:rsidR="00B364F8">
        <w:t xml:space="preserve"> analysis of </w:t>
      </w:r>
      <w:r w:rsidR="002F3EA6">
        <w:t>smaller</w:t>
      </w:r>
      <w:r w:rsidR="00A87817">
        <w:t xml:space="preserve"> group</w:t>
      </w:r>
      <w:r w:rsidR="00B364F8">
        <w:t>s</w:t>
      </w:r>
      <w:r w:rsidR="005109A7">
        <w:t xml:space="preserve"> of interest (e.g.</w:t>
      </w:r>
      <w:r w:rsidR="00A87817">
        <w:t xml:space="preserve"> </w:t>
      </w:r>
      <w:r w:rsidR="00200257">
        <w:t xml:space="preserve">young </w:t>
      </w:r>
      <w:r w:rsidR="00A87817">
        <w:t xml:space="preserve">people with disability). </w:t>
      </w:r>
      <w:r w:rsidR="00265FC6">
        <w:t xml:space="preserve">Nonetheless, </w:t>
      </w:r>
      <w:r w:rsidR="006C3EF1">
        <w:t>for</w:t>
      </w:r>
      <w:r w:rsidR="002F3EA6">
        <w:t xml:space="preserve"> some specific groups at certain ages </w:t>
      </w:r>
      <w:r w:rsidR="00265FC6">
        <w:t>the sample size is relatively small</w:t>
      </w:r>
      <w:r w:rsidR="006C3EF1">
        <w:t>,</w:t>
      </w:r>
      <w:r w:rsidR="00265FC6">
        <w:t xml:space="preserve"> and </w:t>
      </w:r>
      <w:r w:rsidR="00A27B58">
        <w:t xml:space="preserve">thus </w:t>
      </w:r>
      <w:r w:rsidR="00DB29EA">
        <w:t xml:space="preserve">the results </w:t>
      </w:r>
      <w:r w:rsidR="006C3EF1">
        <w:t xml:space="preserve">of the analysis </w:t>
      </w:r>
      <w:r w:rsidR="00DB29EA">
        <w:t>may be</w:t>
      </w:r>
      <w:r w:rsidR="00265FC6">
        <w:t xml:space="preserve"> less reliable.</w:t>
      </w:r>
      <w:r w:rsidR="00363982">
        <w:t xml:space="preserve"> Table 1 </w:t>
      </w:r>
      <w:r w:rsidR="00EF44AA">
        <w:t xml:space="preserve">lists </w:t>
      </w:r>
      <w:r w:rsidR="00363982">
        <w:t xml:space="preserve">selected characteristics of the sample. </w:t>
      </w:r>
    </w:p>
    <w:p w:rsidR="00881863" w:rsidRPr="00504C95" w:rsidRDefault="003218C6" w:rsidP="00EF44AA">
      <w:pPr>
        <w:jc w:val="both"/>
        <w:rPr>
          <w:b/>
        </w:rPr>
      </w:pPr>
      <w:r w:rsidRPr="00504C95">
        <w:rPr>
          <w:b/>
        </w:rPr>
        <w:t xml:space="preserve">Table 1: </w:t>
      </w:r>
      <w:r w:rsidR="00BB1135" w:rsidRPr="00504C95">
        <w:rPr>
          <w:b/>
        </w:rPr>
        <w:t>Characteristics of the pooled sample</w:t>
      </w:r>
      <w:r w:rsidRPr="00504C95">
        <w:rPr>
          <w:b/>
        </w:rPr>
        <w:t xml:space="preserve"> </w:t>
      </w:r>
    </w:p>
    <w:tbl>
      <w:tblPr>
        <w:tblStyle w:val="MediumShading2-Accent6"/>
        <w:tblpPr w:leftFromText="180" w:rightFromText="180" w:vertAnchor="text" w:tblpXSpec="center" w:tblpY="1"/>
        <w:tblOverlap w:val="never"/>
        <w:tblW w:w="10457" w:type="dxa"/>
        <w:shd w:val="clear" w:color="auto" w:fill="FF6600"/>
        <w:tblLayout w:type="fixed"/>
        <w:tblLook w:val="04A0" w:firstRow="1" w:lastRow="0" w:firstColumn="1" w:lastColumn="0" w:noHBand="0" w:noVBand="1"/>
        <w:tblCaption w:val="Characteristics of the pooled sample"/>
        <w:tblDescription w:val="This table has a vertical axis of Ages Groups in ranges of 5 years such as 15-19 years, 20-24 years, 25-29 years until the group of 80-84 years and the last group of 85+. The horizontal columns headings are: Number of people per wave, Female, Indigenous, Migrant, Disability, Single, Remote and very remote. The figures listed are in percentages. The total of people per wave was 247,826."/>
      </w:tblPr>
      <w:tblGrid>
        <w:gridCol w:w="1042"/>
        <w:gridCol w:w="1779"/>
        <w:gridCol w:w="1017"/>
        <w:gridCol w:w="1352"/>
        <w:gridCol w:w="1045"/>
        <w:gridCol w:w="1194"/>
        <w:gridCol w:w="938"/>
        <w:gridCol w:w="2090"/>
      </w:tblGrid>
      <w:tr w:rsidR="00BE32A7" w:rsidRPr="000E5423" w:rsidTr="00622221">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1042" w:type="dxa"/>
            <w:tcBorders>
              <w:top w:val="nil"/>
              <w:bottom w:val="nil"/>
            </w:tcBorders>
            <w:shd w:val="clear" w:color="auto" w:fill="78BE20"/>
          </w:tcPr>
          <w:p w:rsidR="009B0642" w:rsidRPr="00BE32A7" w:rsidRDefault="009B0642" w:rsidP="00BE32A7">
            <w:pPr>
              <w:spacing w:line="240" w:lineRule="auto"/>
              <w:rPr>
                <w:sz w:val="18"/>
                <w:szCs w:val="18"/>
              </w:rPr>
            </w:pPr>
            <w:r w:rsidRPr="00BE32A7">
              <w:rPr>
                <w:sz w:val="18"/>
                <w:szCs w:val="18"/>
              </w:rPr>
              <w:t>Age groups</w:t>
            </w:r>
          </w:p>
        </w:tc>
        <w:tc>
          <w:tcPr>
            <w:tcW w:w="1779" w:type="dxa"/>
            <w:tcBorders>
              <w:top w:val="nil"/>
              <w:bottom w:val="nil"/>
            </w:tcBorders>
            <w:shd w:val="clear" w:color="auto" w:fill="78BE20"/>
          </w:tcPr>
          <w:p w:rsidR="009B0642" w:rsidRPr="00BE32A7" w:rsidRDefault="009B0642" w:rsidP="00BE32A7">
            <w:pPr>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BE32A7">
              <w:rPr>
                <w:sz w:val="18"/>
                <w:szCs w:val="18"/>
              </w:rPr>
              <w:t>No. of obs. (person-wave)</w:t>
            </w:r>
          </w:p>
        </w:tc>
        <w:tc>
          <w:tcPr>
            <w:tcW w:w="1017" w:type="dxa"/>
            <w:tcBorders>
              <w:top w:val="nil"/>
              <w:bottom w:val="nil"/>
            </w:tcBorders>
            <w:shd w:val="clear" w:color="auto" w:fill="78BE20"/>
          </w:tcPr>
          <w:p w:rsidR="009B0642" w:rsidRPr="00BE32A7" w:rsidRDefault="009B0642" w:rsidP="00BE32A7">
            <w:pPr>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BE32A7">
              <w:rPr>
                <w:sz w:val="18"/>
                <w:szCs w:val="18"/>
              </w:rPr>
              <w:t xml:space="preserve">Female (%) </w:t>
            </w:r>
          </w:p>
        </w:tc>
        <w:tc>
          <w:tcPr>
            <w:tcW w:w="1352" w:type="dxa"/>
            <w:tcBorders>
              <w:top w:val="nil"/>
              <w:bottom w:val="nil"/>
            </w:tcBorders>
            <w:shd w:val="clear" w:color="auto" w:fill="78BE20"/>
          </w:tcPr>
          <w:p w:rsidR="009B0642" w:rsidRPr="00BE32A7" w:rsidRDefault="009B0642" w:rsidP="00BE32A7">
            <w:pPr>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BE32A7">
              <w:rPr>
                <w:sz w:val="18"/>
                <w:szCs w:val="18"/>
              </w:rPr>
              <w:t>Indigenous (%)</w:t>
            </w:r>
          </w:p>
        </w:tc>
        <w:tc>
          <w:tcPr>
            <w:tcW w:w="1045" w:type="dxa"/>
            <w:tcBorders>
              <w:top w:val="nil"/>
              <w:bottom w:val="nil"/>
            </w:tcBorders>
            <w:shd w:val="clear" w:color="auto" w:fill="78BE20"/>
          </w:tcPr>
          <w:p w:rsidR="009B0642" w:rsidRPr="00BE32A7" w:rsidRDefault="003C3519" w:rsidP="00BE32A7">
            <w:pPr>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BE32A7">
              <w:rPr>
                <w:sz w:val="18"/>
                <w:szCs w:val="18"/>
              </w:rPr>
              <w:t>M</w:t>
            </w:r>
            <w:r w:rsidR="009B0642" w:rsidRPr="00BE32A7">
              <w:rPr>
                <w:sz w:val="18"/>
                <w:szCs w:val="18"/>
              </w:rPr>
              <w:t>igrant (%)</w:t>
            </w:r>
          </w:p>
        </w:tc>
        <w:tc>
          <w:tcPr>
            <w:tcW w:w="1194" w:type="dxa"/>
            <w:tcBorders>
              <w:top w:val="nil"/>
              <w:bottom w:val="nil"/>
            </w:tcBorders>
            <w:shd w:val="clear" w:color="auto" w:fill="78BE20"/>
          </w:tcPr>
          <w:p w:rsidR="009B0642" w:rsidRPr="00BE32A7" w:rsidRDefault="009B0642" w:rsidP="00BE32A7">
            <w:pPr>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BE32A7">
              <w:rPr>
                <w:sz w:val="18"/>
                <w:szCs w:val="18"/>
              </w:rPr>
              <w:t>Disability (%)</w:t>
            </w:r>
          </w:p>
        </w:tc>
        <w:tc>
          <w:tcPr>
            <w:tcW w:w="938" w:type="dxa"/>
            <w:tcBorders>
              <w:top w:val="nil"/>
              <w:bottom w:val="nil"/>
            </w:tcBorders>
            <w:shd w:val="clear" w:color="auto" w:fill="78BE20"/>
          </w:tcPr>
          <w:p w:rsidR="009B0642" w:rsidRPr="00BE32A7" w:rsidRDefault="009B0642" w:rsidP="00BE32A7">
            <w:pPr>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BE32A7">
              <w:rPr>
                <w:sz w:val="18"/>
                <w:szCs w:val="18"/>
              </w:rPr>
              <w:t>Single (%)</w:t>
            </w:r>
          </w:p>
        </w:tc>
        <w:tc>
          <w:tcPr>
            <w:tcW w:w="2090" w:type="dxa"/>
            <w:tcBorders>
              <w:top w:val="nil"/>
              <w:bottom w:val="nil"/>
            </w:tcBorders>
            <w:shd w:val="clear" w:color="auto" w:fill="78BE20"/>
          </w:tcPr>
          <w:p w:rsidR="009B0642" w:rsidRPr="00BE32A7" w:rsidRDefault="009B0642" w:rsidP="00BE32A7">
            <w:pPr>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BE32A7">
              <w:rPr>
                <w:sz w:val="18"/>
                <w:szCs w:val="18"/>
              </w:rPr>
              <w:t>Remote/very remote</w:t>
            </w:r>
            <w:r w:rsidR="00363982" w:rsidRPr="00BE32A7">
              <w:rPr>
                <w:sz w:val="18"/>
                <w:szCs w:val="18"/>
              </w:rPr>
              <w:t xml:space="preserve"> area</w:t>
            </w:r>
            <w:r w:rsidRPr="00BE32A7">
              <w:rPr>
                <w:sz w:val="18"/>
                <w:szCs w:val="18"/>
              </w:rPr>
              <w:t xml:space="preserve"> (%)</w:t>
            </w:r>
          </w:p>
        </w:tc>
      </w:tr>
      <w:tr w:rsidR="00BE32A7" w:rsidRPr="000E5423" w:rsidTr="00BE32A7">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042" w:type="dxa"/>
            <w:tcBorders>
              <w:top w:val="nil"/>
            </w:tcBorders>
            <w:shd w:val="clear" w:color="auto" w:fill="78BE20"/>
          </w:tcPr>
          <w:p w:rsidR="009B0642" w:rsidRPr="00B16942" w:rsidRDefault="009B0642" w:rsidP="00881863">
            <w:pPr>
              <w:spacing w:beforeLines="20" w:before="48" w:after="0" w:line="240" w:lineRule="auto"/>
              <w:jc w:val="both"/>
              <w:rPr>
                <w:b w:val="0"/>
                <w:sz w:val="18"/>
                <w:szCs w:val="18"/>
              </w:rPr>
            </w:pPr>
            <w:r>
              <w:rPr>
                <w:b w:val="0"/>
                <w:sz w:val="18"/>
                <w:szCs w:val="18"/>
              </w:rPr>
              <w:t>15</w:t>
            </w:r>
            <w:r w:rsidR="003C3519">
              <w:rPr>
                <w:b w:val="0"/>
                <w:sz w:val="18"/>
                <w:szCs w:val="18"/>
              </w:rPr>
              <w:t>–</w:t>
            </w:r>
            <w:r>
              <w:rPr>
                <w:b w:val="0"/>
                <w:sz w:val="18"/>
                <w:szCs w:val="18"/>
              </w:rPr>
              <w:t>19</w:t>
            </w:r>
          </w:p>
        </w:tc>
        <w:tc>
          <w:tcPr>
            <w:tcW w:w="1779" w:type="dxa"/>
            <w:tcBorders>
              <w:top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18,633</w:t>
            </w:r>
          </w:p>
        </w:tc>
        <w:tc>
          <w:tcPr>
            <w:tcW w:w="1017" w:type="dxa"/>
            <w:tcBorders>
              <w:top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50.2</w:t>
            </w:r>
          </w:p>
        </w:tc>
        <w:tc>
          <w:tcPr>
            <w:tcW w:w="1352" w:type="dxa"/>
            <w:tcBorders>
              <w:top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5.0</w:t>
            </w:r>
          </w:p>
        </w:tc>
        <w:tc>
          <w:tcPr>
            <w:tcW w:w="1045" w:type="dxa"/>
            <w:tcBorders>
              <w:top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6.4</w:t>
            </w:r>
          </w:p>
        </w:tc>
        <w:tc>
          <w:tcPr>
            <w:tcW w:w="1194" w:type="dxa"/>
            <w:tcBorders>
              <w:top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12..2</w:t>
            </w:r>
          </w:p>
        </w:tc>
        <w:tc>
          <w:tcPr>
            <w:tcW w:w="938" w:type="dxa"/>
            <w:tcBorders>
              <w:top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93.5</w:t>
            </w:r>
          </w:p>
        </w:tc>
        <w:tc>
          <w:tcPr>
            <w:tcW w:w="2090" w:type="dxa"/>
            <w:tcBorders>
              <w:top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w:t>
            </w:r>
          </w:p>
        </w:tc>
      </w:tr>
      <w:tr w:rsidR="00BE32A7" w:rsidRPr="000E5423" w:rsidTr="00BE32A7">
        <w:trPr>
          <w:trHeight w:val="212"/>
        </w:trPr>
        <w:tc>
          <w:tcPr>
            <w:cnfStyle w:val="001000000000" w:firstRow="0" w:lastRow="0" w:firstColumn="1" w:lastColumn="0" w:oddVBand="0" w:evenVBand="0" w:oddHBand="0" w:evenHBand="0" w:firstRowFirstColumn="0" w:firstRowLastColumn="0" w:lastRowFirstColumn="0" w:lastRowLastColumn="0"/>
            <w:tcW w:w="1042" w:type="dxa"/>
            <w:shd w:val="clear" w:color="auto" w:fill="78BE20"/>
          </w:tcPr>
          <w:p w:rsidR="009B0642" w:rsidRPr="00B16942" w:rsidRDefault="009B0642" w:rsidP="00881863">
            <w:pPr>
              <w:spacing w:beforeLines="20" w:before="48" w:after="0" w:line="240" w:lineRule="auto"/>
              <w:jc w:val="both"/>
              <w:rPr>
                <w:b w:val="0"/>
                <w:sz w:val="18"/>
                <w:szCs w:val="18"/>
              </w:rPr>
            </w:pPr>
            <w:r>
              <w:rPr>
                <w:b w:val="0"/>
                <w:sz w:val="18"/>
                <w:szCs w:val="18"/>
              </w:rPr>
              <w:t>20</w:t>
            </w:r>
            <w:r w:rsidR="003C3519">
              <w:rPr>
                <w:b w:val="0"/>
                <w:sz w:val="18"/>
                <w:szCs w:val="18"/>
              </w:rPr>
              <w:t>–</w:t>
            </w:r>
            <w:r>
              <w:rPr>
                <w:b w:val="0"/>
                <w:sz w:val="18"/>
                <w:szCs w:val="18"/>
              </w:rPr>
              <w:t>24</w:t>
            </w:r>
          </w:p>
        </w:tc>
        <w:tc>
          <w:tcPr>
            <w:tcW w:w="1779"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17,822</w:t>
            </w:r>
          </w:p>
        </w:tc>
        <w:tc>
          <w:tcPr>
            <w:tcW w:w="1017"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50.4</w:t>
            </w:r>
          </w:p>
        </w:tc>
        <w:tc>
          <w:tcPr>
            <w:tcW w:w="1352"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4.5</w:t>
            </w:r>
          </w:p>
        </w:tc>
        <w:tc>
          <w:tcPr>
            <w:tcW w:w="1045"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10.1</w:t>
            </w:r>
          </w:p>
        </w:tc>
        <w:tc>
          <w:tcPr>
            <w:tcW w:w="1194"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13.2</w:t>
            </w:r>
          </w:p>
        </w:tc>
        <w:tc>
          <w:tcPr>
            <w:tcW w:w="938"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64.8</w:t>
            </w:r>
          </w:p>
        </w:tc>
        <w:tc>
          <w:tcPr>
            <w:tcW w:w="2090"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1.8</w:t>
            </w:r>
          </w:p>
        </w:tc>
      </w:tr>
      <w:tr w:rsidR="00BE32A7" w:rsidRPr="000E5423" w:rsidTr="00BE32A7">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042" w:type="dxa"/>
            <w:shd w:val="clear" w:color="auto" w:fill="78BE20"/>
          </w:tcPr>
          <w:p w:rsidR="009B0642" w:rsidRPr="00B16942" w:rsidRDefault="009B0642" w:rsidP="00881863">
            <w:pPr>
              <w:spacing w:beforeLines="20" w:before="48" w:after="0" w:line="240" w:lineRule="auto"/>
              <w:jc w:val="both"/>
              <w:rPr>
                <w:b w:val="0"/>
                <w:sz w:val="18"/>
                <w:szCs w:val="18"/>
              </w:rPr>
            </w:pPr>
            <w:r>
              <w:rPr>
                <w:b w:val="0"/>
                <w:sz w:val="18"/>
                <w:szCs w:val="18"/>
              </w:rPr>
              <w:t>25</w:t>
            </w:r>
            <w:r w:rsidR="003C3519">
              <w:rPr>
                <w:b w:val="0"/>
                <w:sz w:val="18"/>
                <w:szCs w:val="18"/>
              </w:rPr>
              <w:t>–</w:t>
            </w:r>
            <w:r>
              <w:rPr>
                <w:b w:val="0"/>
                <w:sz w:val="18"/>
                <w:szCs w:val="18"/>
              </w:rPr>
              <w:t>29</w:t>
            </w:r>
          </w:p>
        </w:tc>
        <w:tc>
          <w:tcPr>
            <w:tcW w:w="1779"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16,198</w:t>
            </w:r>
          </w:p>
        </w:tc>
        <w:tc>
          <w:tcPr>
            <w:tcW w:w="1017"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50.8</w:t>
            </w:r>
          </w:p>
        </w:tc>
        <w:tc>
          <w:tcPr>
            <w:tcW w:w="1352"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3.3</w:t>
            </w:r>
          </w:p>
        </w:tc>
        <w:tc>
          <w:tcPr>
            <w:tcW w:w="1045"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15.7</w:t>
            </w:r>
          </w:p>
        </w:tc>
        <w:tc>
          <w:tcPr>
            <w:tcW w:w="1194"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13.4</w:t>
            </w:r>
          </w:p>
        </w:tc>
        <w:tc>
          <w:tcPr>
            <w:tcW w:w="938"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37.0</w:t>
            </w:r>
          </w:p>
        </w:tc>
        <w:tc>
          <w:tcPr>
            <w:tcW w:w="2090"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w:t>
            </w:r>
          </w:p>
        </w:tc>
      </w:tr>
      <w:tr w:rsidR="00BE32A7" w:rsidRPr="000E5423" w:rsidTr="00BE32A7">
        <w:trPr>
          <w:trHeight w:val="212"/>
        </w:trPr>
        <w:tc>
          <w:tcPr>
            <w:cnfStyle w:val="001000000000" w:firstRow="0" w:lastRow="0" w:firstColumn="1" w:lastColumn="0" w:oddVBand="0" w:evenVBand="0" w:oddHBand="0" w:evenHBand="0" w:firstRowFirstColumn="0" w:firstRowLastColumn="0" w:lastRowFirstColumn="0" w:lastRowLastColumn="0"/>
            <w:tcW w:w="1042" w:type="dxa"/>
            <w:shd w:val="clear" w:color="auto" w:fill="78BE20"/>
          </w:tcPr>
          <w:p w:rsidR="009B0642" w:rsidRPr="00B16942" w:rsidRDefault="009B0642" w:rsidP="00881863">
            <w:pPr>
              <w:spacing w:beforeLines="20" w:before="48" w:after="0" w:line="240" w:lineRule="auto"/>
              <w:jc w:val="both"/>
              <w:rPr>
                <w:b w:val="0"/>
                <w:sz w:val="18"/>
                <w:szCs w:val="18"/>
              </w:rPr>
            </w:pPr>
            <w:r>
              <w:rPr>
                <w:b w:val="0"/>
                <w:sz w:val="18"/>
                <w:szCs w:val="18"/>
              </w:rPr>
              <w:t>30</w:t>
            </w:r>
            <w:r w:rsidR="003C3519">
              <w:rPr>
                <w:b w:val="0"/>
                <w:sz w:val="18"/>
                <w:szCs w:val="18"/>
              </w:rPr>
              <w:t>–</w:t>
            </w:r>
            <w:r>
              <w:rPr>
                <w:b w:val="0"/>
                <w:sz w:val="18"/>
                <w:szCs w:val="18"/>
              </w:rPr>
              <w:t>34</w:t>
            </w:r>
          </w:p>
        </w:tc>
        <w:tc>
          <w:tcPr>
            <w:tcW w:w="1779"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16,086</w:t>
            </w:r>
          </w:p>
        </w:tc>
        <w:tc>
          <w:tcPr>
            <w:tcW w:w="1017"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51.8</w:t>
            </w:r>
          </w:p>
        </w:tc>
        <w:tc>
          <w:tcPr>
            <w:tcW w:w="1352"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2.6</w:t>
            </w:r>
          </w:p>
        </w:tc>
        <w:tc>
          <w:tcPr>
            <w:tcW w:w="1045"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18.6</w:t>
            </w:r>
          </w:p>
        </w:tc>
        <w:tc>
          <w:tcPr>
            <w:tcW w:w="1194"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15.4</w:t>
            </w:r>
          </w:p>
        </w:tc>
        <w:tc>
          <w:tcPr>
            <w:tcW w:w="938"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25.0</w:t>
            </w:r>
          </w:p>
        </w:tc>
        <w:tc>
          <w:tcPr>
            <w:tcW w:w="2090"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w:t>
            </w:r>
          </w:p>
        </w:tc>
      </w:tr>
      <w:tr w:rsidR="00BE32A7" w:rsidRPr="000E5423" w:rsidTr="00BE32A7">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042" w:type="dxa"/>
            <w:shd w:val="clear" w:color="auto" w:fill="78BE20"/>
          </w:tcPr>
          <w:p w:rsidR="009B0642" w:rsidRPr="00B16942" w:rsidRDefault="009B0642" w:rsidP="00881863">
            <w:pPr>
              <w:spacing w:beforeLines="20" w:before="48" w:after="0" w:line="240" w:lineRule="auto"/>
              <w:jc w:val="both"/>
              <w:rPr>
                <w:b w:val="0"/>
                <w:sz w:val="18"/>
                <w:szCs w:val="18"/>
              </w:rPr>
            </w:pPr>
            <w:r>
              <w:rPr>
                <w:b w:val="0"/>
                <w:sz w:val="18"/>
                <w:szCs w:val="18"/>
              </w:rPr>
              <w:t>35</w:t>
            </w:r>
            <w:r w:rsidR="003C3519">
              <w:rPr>
                <w:b w:val="0"/>
                <w:sz w:val="18"/>
                <w:szCs w:val="18"/>
              </w:rPr>
              <w:t>–</w:t>
            </w:r>
            <w:r>
              <w:rPr>
                <w:b w:val="0"/>
                <w:sz w:val="18"/>
                <w:szCs w:val="18"/>
              </w:rPr>
              <w:t>39</w:t>
            </w:r>
          </w:p>
        </w:tc>
        <w:tc>
          <w:tcPr>
            <w:tcW w:w="1779"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17,373</w:t>
            </w:r>
          </w:p>
        </w:tc>
        <w:tc>
          <w:tcPr>
            <w:tcW w:w="1017"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52.0</w:t>
            </w:r>
          </w:p>
        </w:tc>
        <w:tc>
          <w:tcPr>
            <w:tcW w:w="1352"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w:t>
            </w:r>
          </w:p>
        </w:tc>
        <w:tc>
          <w:tcPr>
            <w:tcW w:w="1045"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20.4</w:t>
            </w:r>
          </w:p>
        </w:tc>
        <w:tc>
          <w:tcPr>
            <w:tcW w:w="1194"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17.0</w:t>
            </w:r>
          </w:p>
        </w:tc>
        <w:tc>
          <w:tcPr>
            <w:tcW w:w="938"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22.3</w:t>
            </w:r>
          </w:p>
        </w:tc>
        <w:tc>
          <w:tcPr>
            <w:tcW w:w="2090"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w:t>
            </w:r>
          </w:p>
        </w:tc>
      </w:tr>
      <w:tr w:rsidR="00BE32A7" w:rsidRPr="000E5423" w:rsidTr="00BE32A7">
        <w:trPr>
          <w:trHeight w:val="212"/>
        </w:trPr>
        <w:tc>
          <w:tcPr>
            <w:cnfStyle w:val="001000000000" w:firstRow="0" w:lastRow="0" w:firstColumn="1" w:lastColumn="0" w:oddVBand="0" w:evenVBand="0" w:oddHBand="0" w:evenHBand="0" w:firstRowFirstColumn="0" w:firstRowLastColumn="0" w:lastRowFirstColumn="0" w:lastRowLastColumn="0"/>
            <w:tcW w:w="1042" w:type="dxa"/>
            <w:shd w:val="clear" w:color="auto" w:fill="78BE20"/>
          </w:tcPr>
          <w:p w:rsidR="009B0642" w:rsidRPr="00B16942" w:rsidRDefault="009B0642" w:rsidP="00881863">
            <w:pPr>
              <w:spacing w:beforeLines="20" w:before="48" w:after="0" w:line="240" w:lineRule="auto"/>
              <w:jc w:val="both"/>
              <w:rPr>
                <w:b w:val="0"/>
                <w:sz w:val="18"/>
                <w:szCs w:val="18"/>
              </w:rPr>
            </w:pPr>
            <w:r>
              <w:rPr>
                <w:b w:val="0"/>
                <w:sz w:val="18"/>
                <w:szCs w:val="18"/>
              </w:rPr>
              <w:t>40</w:t>
            </w:r>
            <w:r w:rsidR="003C3519">
              <w:rPr>
                <w:b w:val="0"/>
                <w:sz w:val="18"/>
                <w:szCs w:val="18"/>
              </w:rPr>
              <w:t>–</w:t>
            </w:r>
            <w:r>
              <w:rPr>
                <w:b w:val="0"/>
                <w:sz w:val="18"/>
                <w:szCs w:val="18"/>
              </w:rPr>
              <w:t>44</w:t>
            </w:r>
          </w:p>
        </w:tc>
        <w:tc>
          <w:tcPr>
            <w:tcW w:w="1779"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18,372</w:t>
            </w:r>
          </w:p>
        </w:tc>
        <w:tc>
          <w:tcPr>
            <w:tcW w:w="1017"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52.0</w:t>
            </w:r>
          </w:p>
        </w:tc>
        <w:tc>
          <w:tcPr>
            <w:tcW w:w="1352"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w:t>
            </w:r>
          </w:p>
        </w:tc>
        <w:tc>
          <w:tcPr>
            <w:tcW w:w="1045"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21.9</w:t>
            </w:r>
          </w:p>
        </w:tc>
        <w:tc>
          <w:tcPr>
            <w:tcW w:w="1194"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20.0</w:t>
            </w:r>
          </w:p>
        </w:tc>
        <w:tc>
          <w:tcPr>
            <w:tcW w:w="938"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23.5</w:t>
            </w:r>
          </w:p>
        </w:tc>
        <w:tc>
          <w:tcPr>
            <w:tcW w:w="2090"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w:t>
            </w:r>
          </w:p>
        </w:tc>
      </w:tr>
      <w:tr w:rsidR="00BE32A7" w:rsidRPr="000E5423" w:rsidTr="00BE32A7">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042" w:type="dxa"/>
            <w:shd w:val="clear" w:color="auto" w:fill="78BE20"/>
          </w:tcPr>
          <w:p w:rsidR="009B0642" w:rsidRPr="00B16942" w:rsidRDefault="009B0642" w:rsidP="00881863">
            <w:pPr>
              <w:spacing w:beforeLines="20" w:before="48" w:after="0" w:line="240" w:lineRule="auto"/>
              <w:jc w:val="both"/>
              <w:rPr>
                <w:b w:val="0"/>
                <w:sz w:val="18"/>
                <w:szCs w:val="18"/>
              </w:rPr>
            </w:pPr>
            <w:r>
              <w:rPr>
                <w:b w:val="0"/>
                <w:sz w:val="18"/>
                <w:szCs w:val="18"/>
              </w:rPr>
              <w:t>45</w:t>
            </w:r>
            <w:r w:rsidR="003C3519">
              <w:rPr>
                <w:b w:val="0"/>
                <w:sz w:val="18"/>
                <w:szCs w:val="18"/>
              </w:rPr>
              <w:t>–</w:t>
            </w:r>
            <w:r>
              <w:rPr>
                <w:b w:val="0"/>
                <w:sz w:val="18"/>
                <w:szCs w:val="18"/>
              </w:rPr>
              <w:t>49</w:t>
            </w:r>
          </w:p>
        </w:tc>
        <w:tc>
          <w:tcPr>
            <w:tcW w:w="1779"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17,963</w:t>
            </w:r>
          </w:p>
        </w:tc>
        <w:tc>
          <w:tcPr>
            <w:tcW w:w="1017"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51.2</w:t>
            </w:r>
          </w:p>
        </w:tc>
        <w:tc>
          <w:tcPr>
            <w:tcW w:w="1352"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w:t>
            </w:r>
          </w:p>
        </w:tc>
        <w:tc>
          <w:tcPr>
            <w:tcW w:w="1045"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23.5</w:t>
            </w:r>
          </w:p>
        </w:tc>
        <w:tc>
          <w:tcPr>
            <w:tcW w:w="1194"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24.2</w:t>
            </w:r>
          </w:p>
        </w:tc>
        <w:tc>
          <w:tcPr>
            <w:tcW w:w="938"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24.8</w:t>
            </w:r>
          </w:p>
        </w:tc>
        <w:tc>
          <w:tcPr>
            <w:tcW w:w="2090"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w:t>
            </w:r>
          </w:p>
        </w:tc>
      </w:tr>
      <w:tr w:rsidR="00BE32A7" w:rsidRPr="000E5423" w:rsidTr="00BE32A7">
        <w:trPr>
          <w:trHeight w:val="212"/>
        </w:trPr>
        <w:tc>
          <w:tcPr>
            <w:cnfStyle w:val="001000000000" w:firstRow="0" w:lastRow="0" w:firstColumn="1" w:lastColumn="0" w:oddVBand="0" w:evenVBand="0" w:oddHBand="0" w:evenHBand="0" w:firstRowFirstColumn="0" w:firstRowLastColumn="0" w:lastRowFirstColumn="0" w:lastRowLastColumn="0"/>
            <w:tcW w:w="1042" w:type="dxa"/>
            <w:shd w:val="clear" w:color="auto" w:fill="78BE20"/>
          </w:tcPr>
          <w:p w:rsidR="009B0642" w:rsidRPr="00B16942" w:rsidRDefault="009B0642" w:rsidP="00881863">
            <w:pPr>
              <w:spacing w:beforeLines="20" w:before="48" w:after="0" w:line="240" w:lineRule="auto"/>
              <w:jc w:val="both"/>
              <w:rPr>
                <w:b w:val="0"/>
                <w:sz w:val="18"/>
                <w:szCs w:val="18"/>
              </w:rPr>
            </w:pPr>
            <w:r>
              <w:rPr>
                <w:b w:val="0"/>
                <w:sz w:val="18"/>
                <w:szCs w:val="18"/>
              </w:rPr>
              <w:t>50</w:t>
            </w:r>
            <w:r w:rsidR="003C3519">
              <w:rPr>
                <w:b w:val="0"/>
                <w:sz w:val="18"/>
                <w:szCs w:val="18"/>
              </w:rPr>
              <w:t>–</w:t>
            </w:r>
            <w:r>
              <w:rPr>
                <w:b w:val="0"/>
                <w:sz w:val="18"/>
                <w:szCs w:val="18"/>
              </w:rPr>
              <w:t>54</w:t>
            </w:r>
          </w:p>
        </w:tc>
        <w:tc>
          <w:tcPr>
            <w:tcW w:w="1779"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16,094</w:t>
            </w:r>
          </w:p>
        </w:tc>
        <w:tc>
          <w:tcPr>
            <w:tcW w:w="1017"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51.4</w:t>
            </w:r>
          </w:p>
        </w:tc>
        <w:tc>
          <w:tcPr>
            <w:tcW w:w="1352"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w:t>
            </w:r>
          </w:p>
        </w:tc>
        <w:tc>
          <w:tcPr>
            <w:tcW w:w="1045"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25.0</w:t>
            </w:r>
          </w:p>
        </w:tc>
        <w:tc>
          <w:tcPr>
            <w:tcW w:w="1194"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29.3</w:t>
            </w:r>
          </w:p>
        </w:tc>
        <w:tc>
          <w:tcPr>
            <w:tcW w:w="938"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25.4</w:t>
            </w:r>
          </w:p>
        </w:tc>
        <w:tc>
          <w:tcPr>
            <w:tcW w:w="2090"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w:t>
            </w:r>
          </w:p>
        </w:tc>
      </w:tr>
      <w:tr w:rsidR="00BE32A7" w:rsidRPr="000E5423" w:rsidTr="00BE32A7">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042" w:type="dxa"/>
            <w:shd w:val="clear" w:color="auto" w:fill="78BE20"/>
          </w:tcPr>
          <w:p w:rsidR="009B0642" w:rsidRPr="00B16942" w:rsidRDefault="009B0642" w:rsidP="00881863">
            <w:pPr>
              <w:spacing w:beforeLines="20" w:before="48" w:after="0" w:line="240" w:lineRule="auto"/>
              <w:jc w:val="both"/>
              <w:rPr>
                <w:b w:val="0"/>
                <w:sz w:val="18"/>
                <w:szCs w:val="18"/>
              </w:rPr>
            </w:pPr>
            <w:r>
              <w:rPr>
                <w:b w:val="0"/>
                <w:sz w:val="18"/>
                <w:szCs w:val="18"/>
              </w:rPr>
              <w:t>55</w:t>
            </w:r>
            <w:r w:rsidR="003C3519">
              <w:rPr>
                <w:b w:val="0"/>
                <w:sz w:val="18"/>
                <w:szCs w:val="18"/>
              </w:rPr>
              <w:t>–</w:t>
            </w:r>
            <w:r>
              <w:rPr>
                <w:b w:val="0"/>
                <w:sz w:val="18"/>
                <w:szCs w:val="18"/>
              </w:rPr>
              <w:t>59</w:t>
            </w:r>
          </w:p>
        </w:tc>
        <w:tc>
          <w:tcPr>
            <w:tcW w:w="1779"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13,880</w:t>
            </w:r>
          </w:p>
        </w:tc>
        <w:tc>
          <w:tcPr>
            <w:tcW w:w="1017"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51.6</w:t>
            </w:r>
          </w:p>
        </w:tc>
        <w:tc>
          <w:tcPr>
            <w:tcW w:w="1352"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w:t>
            </w:r>
          </w:p>
        </w:tc>
        <w:tc>
          <w:tcPr>
            <w:tcW w:w="1045"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26.6</w:t>
            </w:r>
          </w:p>
        </w:tc>
        <w:tc>
          <w:tcPr>
            <w:tcW w:w="1194"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36.5</w:t>
            </w:r>
          </w:p>
        </w:tc>
        <w:tc>
          <w:tcPr>
            <w:tcW w:w="938"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25.6</w:t>
            </w:r>
          </w:p>
        </w:tc>
        <w:tc>
          <w:tcPr>
            <w:tcW w:w="2090"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w:t>
            </w:r>
          </w:p>
        </w:tc>
      </w:tr>
      <w:tr w:rsidR="00BE32A7" w:rsidRPr="000E5423" w:rsidTr="00BE32A7">
        <w:trPr>
          <w:trHeight w:val="212"/>
        </w:trPr>
        <w:tc>
          <w:tcPr>
            <w:cnfStyle w:val="001000000000" w:firstRow="0" w:lastRow="0" w:firstColumn="1" w:lastColumn="0" w:oddVBand="0" w:evenVBand="0" w:oddHBand="0" w:evenHBand="0" w:firstRowFirstColumn="0" w:firstRowLastColumn="0" w:lastRowFirstColumn="0" w:lastRowLastColumn="0"/>
            <w:tcW w:w="1042" w:type="dxa"/>
            <w:shd w:val="clear" w:color="auto" w:fill="78BE20"/>
          </w:tcPr>
          <w:p w:rsidR="009B0642" w:rsidRPr="00B16942" w:rsidRDefault="009B0642" w:rsidP="00881863">
            <w:pPr>
              <w:spacing w:beforeLines="20" w:before="48" w:after="0" w:line="240" w:lineRule="auto"/>
              <w:jc w:val="both"/>
              <w:rPr>
                <w:b w:val="0"/>
                <w:sz w:val="18"/>
                <w:szCs w:val="18"/>
              </w:rPr>
            </w:pPr>
            <w:r>
              <w:rPr>
                <w:b w:val="0"/>
                <w:sz w:val="18"/>
                <w:szCs w:val="18"/>
              </w:rPr>
              <w:t>60</w:t>
            </w:r>
            <w:r w:rsidR="003C3519">
              <w:rPr>
                <w:b w:val="0"/>
                <w:sz w:val="18"/>
                <w:szCs w:val="18"/>
              </w:rPr>
              <w:t>–</w:t>
            </w:r>
            <w:r>
              <w:rPr>
                <w:b w:val="0"/>
                <w:sz w:val="18"/>
                <w:szCs w:val="18"/>
              </w:rPr>
              <w:t>64</w:t>
            </w:r>
          </w:p>
        </w:tc>
        <w:tc>
          <w:tcPr>
            <w:tcW w:w="1779"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11,709</w:t>
            </w:r>
          </w:p>
        </w:tc>
        <w:tc>
          <w:tcPr>
            <w:tcW w:w="1017"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50.8</w:t>
            </w:r>
          </w:p>
        </w:tc>
        <w:tc>
          <w:tcPr>
            <w:tcW w:w="1352"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w:t>
            </w:r>
          </w:p>
        </w:tc>
        <w:tc>
          <w:tcPr>
            <w:tcW w:w="1045"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28.8</w:t>
            </w:r>
          </w:p>
        </w:tc>
        <w:tc>
          <w:tcPr>
            <w:tcW w:w="1194"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43.3</w:t>
            </w:r>
          </w:p>
        </w:tc>
        <w:tc>
          <w:tcPr>
            <w:tcW w:w="938"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25.8</w:t>
            </w:r>
          </w:p>
        </w:tc>
        <w:tc>
          <w:tcPr>
            <w:tcW w:w="2090"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w:t>
            </w:r>
          </w:p>
        </w:tc>
      </w:tr>
      <w:tr w:rsidR="00BE32A7" w:rsidRPr="000E5423" w:rsidTr="00BE32A7">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042" w:type="dxa"/>
            <w:shd w:val="clear" w:color="auto" w:fill="78BE20"/>
          </w:tcPr>
          <w:p w:rsidR="009B0642" w:rsidRPr="00B16942" w:rsidRDefault="009B0642" w:rsidP="00881863">
            <w:pPr>
              <w:spacing w:beforeLines="20" w:before="48" w:after="0" w:line="240" w:lineRule="auto"/>
              <w:jc w:val="both"/>
              <w:rPr>
                <w:b w:val="0"/>
                <w:sz w:val="18"/>
                <w:szCs w:val="18"/>
              </w:rPr>
            </w:pPr>
            <w:r>
              <w:rPr>
                <w:b w:val="0"/>
                <w:sz w:val="18"/>
                <w:szCs w:val="18"/>
              </w:rPr>
              <w:t>65</w:t>
            </w:r>
            <w:r w:rsidR="003C3519">
              <w:rPr>
                <w:b w:val="0"/>
                <w:sz w:val="18"/>
                <w:szCs w:val="18"/>
              </w:rPr>
              <w:t>–</w:t>
            </w:r>
            <w:r>
              <w:rPr>
                <w:b w:val="0"/>
                <w:sz w:val="18"/>
                <w:szCs w:val="18"/>
              </w:rPr>
              <w:t>69</w:t>
            </w:r>
          </w:p>
        </w:tc>
        <w:tc>
          <w:tcPr>
            <w:tcW w:w="1779" w:type="dxa"/>
            <w:tcBorders>
              <w:bottom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9,563</w:t>
            </w:r>
          </w:p>
        </w:tc>
        <w:tc>
          <w:tcPr>
            <w:tcW w:w="1017" w:type="dxa"/>
            <w:tcBorders>
              <w:bottom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51.5</w:t>
            </w:r>
          </w:p>
        </w:tc>
        <w:tc>
          <w:tcPr>
            <w:tcW w:w="1352" w:type="dxa"/>
            <w:tcBorders>
              <w:bottom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w:t>
            </w:r>
          </w:p>
        </w:tc>
        <w:tc>
          <w:tcPr>
            <w:tcW w:w="1045" w:type="dxa"/>
            <w:tcBorders>
              <w:bottom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29.9</w:t>
            </w:r>
          </w:p>
        </w:tc>
        <w:tc>
          <w:tcPr>
            <w:tcW w:w="1194" w:type="dxa"/>
            <w:tcBorders>
              <w:bottom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46.3</w:t>
            </w:r>
          </w:p>
        </w:tc>
        <w:tc>
          <w:tcPr>
            <w:tcW w:w="938" w:type="dxa"/>
            <w:tcBorders>
              <w:bottom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28.3</w:t>
            </w:r>
          </w:p>
        </w:tc>
        <w:tc>
          <w:tcPr>
            <w:tcW w:w="2090" w:type="dxa"/>
            <w:tcBorders>
              <w:bottom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w:t>
            </w:r>
          </w:p>
        </w:tc>
      </w:tr>
      <w:tr w:rsidR="00BE32A7" w:rsidRPr="000E5423" w:rsidTr="00BE32A7">
        <w:trPr>
          <w:trHeight w:val="212"/>
        </w:trPr>
        <w:tc>
          <w:tcPr>
            <w:cnfStyle w:val="001000000000" w:firstRow="0" w:lastRow="0" w:firstColumn="1" w:lastColumn="0" w:oddVBand="0" w:evenVBand="0" w:oddHBand="0" w:evenHBand="0" w:firstRowFirstColumn="0" w:firstRowLastColumn="0" w:lastRowFirstColumn="0" w:lastRowLastColumn="0"/>
            <w:tcW w:w="1042" w:type="dxa"/>
            <w:tcBorders>
              <w:top w:val="nil"/>
            </w:tcBorders>
            <w:shd w:val="clear" w:color="auto" w:fill="78BE20"/>
          </w:tcPr>
          <w:p w:rsidR="009B0642" w:rsidRPr="00B16942" w:rsidRDefault="009B0642" w:rsidP="00881863">
            <w:pPr>
              <w:spacing w:beforeLines="20" w:before="48" w:after="0" w:line="240" w:lineRule="auto"/>
              <w:jc w:val="both"/>
              <w:rPr>
                <w:b w:val="0"/>
                <w:sz w:val="18"/>
                <w:szCs w:val="18"/>
              </w:rPr>
            </w:pPr>
            <w:r>
              <w:rPr>
                <w:b w:val="0"/>
                <w:sz w:val="18"/>
                <w:szCs w:val="18"/>
              </w:rPr>
              <w:t>70</w:t>
            </w:r>
            <w:r w:rsidR="003C3519">
              <w:rPr>
                <w:b w:val="0"/>
                <w:sz w:val="18"/>
                <w:szCs w:val="18"/>
              </w:rPr>
              <w:t>–</w:t>
            </w:r>
            <w:r>
              <w:rPr>
                <w:b w:val="0"/>
                <w:sz w:val="18"/>
                <w:szCs w:val="18"/>
              </w:rPr>
              <w:t>74</w:t>
            </w:r>
          </w:p>
        </w:tc>
        <w:tc>
          <w:tcPr>
            <w:tcW w:w="1779" w:type="dxa"/>
            <w:tcBorders>
              <w:top w:val="nil"/>
            </w:tcBorders>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7,688</w:t>
            </w:r>
          </w:p>
        </w:tc>
        <w:tc>
          <w:tcPr>
            <w:tcW w:w="1017" w:type="dxa"/>
            <w:tcBorders>
              <w:top w:val="nil"/>
            </w:tcBorders>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52.7</w:t>
            </w:r>
          </w:p>
        </w:tc>
        <w:tc>
          <w:tcPr>
            <w:tcW w:w="1352" w:type="dxa"/>
            <w:tcBorders>
              <w:top w:val="nil"/>
            </w:tcBorders>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w:t>
            </w:r>
          </w:p>
        </w:tc>
        <w:tc>
          <w:tcPr>
            <w:tcW w:w="1045" w:type="dxa"/>
            <w:tcBorders>
              <w:top w:val="nil"/>
            </w:tcBorders>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30.8</w:t>
            </w:r>
          </w:p>
        </w:tc>
        <w:tc>
          <w:tcPr>
            <w:tcW w:w="1194" w:type="dxa"/>
            <w:tcBorders>
              <w:top w:val="nil"/>
            </w:tcBorders>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51.9</w:t>
            </w:r>
          </w:p>
        </w:tc>
        <w:tc>
          <w:tcPr>
            <w:tcW w:w="938" w:type="dxa"/>
            <w:tcBorders>
              <w:top w:val="nil"/>
            </w:tcBorders>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32.3</w:t>
            </w:r>
          </w:p>
        </w:tc>
        <w:tc>
          <w:tcPr>
            <w:tcW w:w="2090" w:type="dxa"/>
            <w:tcBorders>
              <w:top w:val="nil"/>
            </w:tcBorders>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1.8</w:t>
            </w:r>
          </w:p>
        </w:tc>
      </w:tr>
      <w:tr w:rsidR="00BE32A7" w:rsidRPr="000E5423" w:rsidTr="00BE32A7">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042" w:type="dxa"/>
            <w:shd w:val="clear" w:color="auto" w:fill="78BE20"/>
          </w:tcPr>
          <w:p w:rsidR="009B0642" w:rsidRPr="00B16942" w:rsidRDefault="009B0642" w:rsidP="00881863">
            <w:pPr>
              <w:spacing w:beforeLines="20" w:before="48" w:after="0" w:line="240" w:lineRule="auto"/>
              <w:jc w:val="both"/>
              <w:rPr>
                <w:b w:val="0"/>
                <w:sz w:val="18"/>
                <w:szCs w:val="18"/>
              </w:rPr>
            </w:pPr>
            <w:r>
              <w:rPr>
                <w:b w:val="0"/>
                <w:sz w:val="18"/>
                <w:szCs w:val="18"/>
              </w:rPr>
              <w:t>75</w:t>
            </w:r>
            <w:r w:rsidR="003C3519">
              <w:rPr>
                <w:b w:val="0"/>
                <w:sz w:val="18"/>
                <w:szCs w:val="18"/>
              </w:rPr>
              <w:t>–</w:t>
            </w:r>
            <w:r>
              <w:rPr>
                <w:b w:val="0"/>
                <w:sz w:val="18"/>
                <w:szCs w:val="18"/>
              </w:rPr>
              <w:t>79</w:t>
            </w:r>
          </w:p>
        </w:tc>
        <w:tc>
          <w:tcPr>
            <w:tcW w:w="1779"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6,179</w:t>
            </w:r>
          </w:p>
        </w:tc>
        <w:tc>
          <w:tcPr>
            <w:tcW w:w="1017"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54.8</w:t>
            </w:r>
          </w:p>
        </w:tc>
        <w:tc>
          <w:tcPr>
            <w:tcW w:w="1352"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0.7</w:t>
            </w:r>
          </w:p>
        </w:tc>
        <w:tc>
          <w:tcPr>
            <w:tcW w:w="1045"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27.8</w:t>
            </w:r>
          </w:p>
        </w:tc>
        <w:tc>
          <w:tcPr>
            <w:tcW w:w="1194"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59.4</w:t>
            </w:r>
          </w:p>
        </w:tc>
        <w:tc>
          <w:tcPr>
            <w:tcW w:w="938"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41.7</w:t>
            </w:r>
          </w:p>
        </w:tc>
        <w:tc>
          <w:tcPr>
            <w:tcW w:w="2090" w:type="dxa"/>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w:t>
            </w:r>
          </w:p>
        </w:tc>
      </w:tr>
      <w:tr w:rsidR="00BE32A7" w:rsidRPr="000E5423" w:rsidTr="00BE32A7">
        <w:trPr>
          <w:trHeight w:val="212"/>
        </w:trPr>
        <w:tc>
          <w:tcPr>
            <w:cnfStyle w:val="001000000000" w:firstRow="0" w:lastRow="0" w:firstColumn="1" w:lastColumn="0" w:oddVBand="0" w:evenVBand="0" w:oddHBand="0" w:evenHBand="0" w:firstRowFirstColumn="0" w:firstRowLastColumn="0" w:lastRowFirstColumn="0" w:lastRowLastColumn="0"/>
            <w:tcW w:w="1042" w:type="dxa"/>
            <w:shd w:val="clear" w:color="auto" w:fill="78BE20"/>
          </w:tcPr>
          <w:p w:rsidR="009B0642" w:rsidRPr="00B16942" w:rsidRDefault="009B0642" w:rsidP="00881863">
            <w:pPr>
              <w:spacing w:beforeLines="20" w:before="48" w:after="0" w:line="240" w:lineRule="auto"/>
              <w:jc w:val="both"/>
              <w:rPr>
                <w:b w:val="0"/>
                <w:sz w:val="18"/>
                <w:szCs w:val="18"/>
              </w:rPr>
            </w:pPr>
            <w:r>
              <w:rPr>
                <w:b w:val="0"/>
                <w:sz w:val="18"/>
                <w:szCs w:val="18"/>
              </w:rPr>
              <w:t>80</w:t>
            </w:r>
            <w:r w:rsidR="003C3519">
              <w:rPr>
                <w:b w:val="0"/>
                <w:sz w:val="18"/>
                <w:szCs w:val="18"/>
              </w:rPr>
              <w:t>–</w:t>
            </w:r>
            <w:r>
              <w:rPr>
                <w:b w:val="0"/>
                <w:sz w:val="18"/>
                <w:szCs w:val="18"/>
              </w:rPr>
              <w:t>84</w:t>
            </w:r>
          </w:p>
        </w:tc>
        <w:tc>
          <w:tcPr>
            <w:tcW w:w="1779"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4,249</w:t>
            </w:r>
          </w:p>
        </w:tc>
        <w:tc>
          <w:tcPr>
            <w:tcW w:w="1017"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58.7</w:t>
            </w:r>
          </w:p>
        </w:tc>
        <w:tc>
          <w:tcPr>
            <w:tcW w:w="1352"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w:t>
            </w:r>
          </w:p>
        </w:tc>
        <w:tc>
          <w:tcPr>
            <w:tcW w:w="1045"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25.3</w:t>
            </w:r>
          </w:p>
        </w:tc>
        <w:tc>
          <w:tcPr>
            <w:tcW w:w="1194"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68.1</w:t>
            </w:r>
          </w:p>
        </w:tc>
        <w:tc>
          <w:tcPr>
            <w:tcW w:w="938"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54.4</w:t>
            </w:r>
          </w:p>
        </w:tc>
        <w:tc>
          <w:tcPr>
            <w:tcW w:w="2090" w:type="dxa"/>
            <w:shd w:val="clear" w:color="auto" w:fill="FFFFFF"/>
          </w:tcPr>
          <w:p w:rsidR="009B0642" w:rsidRPr="00B16942" w:rsidRDefault="009B0642" w:rsidP="00881863">
            <w:pPr>
              <w:spacing w:beforeLines="20" w:before="48"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w:t>
            </w:r>
          </w:p>
        </w:tc>
      </w:tr>
      <w:tr w:rsidR="00BE32A7" w:rsidRPr="000E5423" w:rsidTr="00BE32A7">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042" w:type="dxa"/>
            <w:shd w:val="clear" w:color="auto" w:fill="78BE20"/>
          </w:tcPr>
          <w:p w:rsidR="009B0642" w:rsidRPr="00B16942" w:rsidRDefault="009B0642" w:rsidP="00881863">
            <w:pPr>
              <w:spacing w:beforeLines="20" w:before="48" w:after="0" w:line="240" w:lineRule="auto"/>
              <w:jc w:val="both"/>
              <w:rPr>
                <w:b w:val="0"/>
                <w:sz w:val="18"/>
                <w:szCs w:val="18"/>
              </w:rPr>
            </w:pPr>
            <w:r>
              <w:rPr>
                <w:b w:val="0"/>
                <w:sz w:val="18"/>
                <w:szCs w:val="18"/>
              </w:rPr>
              <w:t>85+</w:t>
            </w:r>
          </w:p>
        </w:tc>
        <w:tc>
          <w:tcPr>
            <w:tcW w:w="1779" w:type="dxa"/>
            <w:tcBorders>
              <w:bottom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2,637</w:t>
            </w:r>
          </w:p>
        </w:tc>
        <w:tc>
          <w:tcPr>
            <w:tcW w:w="1017" w:type="dxa"/>
            <w:tcBorders>
              <w:bottom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65.9</w:t>
            </w:r>
          </w:p>
        </w:tc>
        <w:tc>
          <w:tcPr>
            <w:tcW w:w="1352" w:type="dxa"/>
            <w:tcBorders>
              <w:bottom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w:t>
            </w:r>
          </w:p>
        </w:tc>
        <w:tc>
          <w:tcPr>
            <w:tcW w:w="1045" w:type="dxa"/>
            <w:tcBorders>
              <w:bottom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21.5</w:t>
            </w:r>
          </w:p>
        </w:tc>
        <w:tc>
          <w:tcPr>
            <w:tcW w:w="1194" w:type="dxa"/>
            <w:tcBorders>
              <w:bottom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76.5</w:t>
            </w:r>
          </w:p>
        </w:tc>
        <w:tc>
          <w:tcPr>
            <w:tcW w:w="938" w:type="dxa"/>
            <w:tcBorders>
              <w:bottom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74.8</w:t>
            </w:r>
          </w:p>
        </w:tc>
        <w:tc>
          <w:tcPr>
            <w:tcW w:w="2090" w:type="dxa"/>
            <w:tcBorders>
              <w:bottom w:val="nil"/>
            </w:tcBorders>
            <w:shd w:val="clear" w:color="auto" w:fill="FFFFFF"/>
          </w:tcPr>
          <w:p w:rsidR="009B0642" w:rsidRPr="00B16942" w:rsidRDefault="009B0642" w:rsidP="00881863">
            <w:pPr>
              <w:spacing w:beforeLines="20" w:before="48"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w:t>
            </w:r>
          </w:p>
        </w:tc>
      </w:tr>
      <w:tr w:rsidR="00BE32A7" w:rsidRPr="000E5423" w:rsidTr="00BE32A7">
        <w:trPr>
          <w:trHeight w:val="299"/>
        </w:trPr>
        <w:tc>
          <w:tcPr>
            <w:cnfStyle w:val="001000000000" w:firstRow="0" w:lastRow="0" w:firstColumn="1" w:lastColumn="0" w:oddVBand="0" w:evenVBand="0" w:oddHBand="0" w:evenHBand="0" w:firstRowFirstColumn="0" w:firstRowLastColumn="0" w:lastRowFirstColumn="0" w:lastRowLastColumn="0"/>
            <w:tcW w:w="1042" w:type="dxa"/>
            <w:tcBorders>
              <w:top w:val="nil"/>
              <w:bottom w:val="nil"/>
            </w:tcBorders>
            <w:shd w:val="clear" w:color="auto" w:fill="78BE20"/>
          </w:tcPr>
          <w:p w:rsidR="009B0642" w:rsidRPr="00B16942" w:rsidRDefault="009B0642" w:rsidP="00BE32A7">
            <w:pPr>
              <w:spacing w:line="240" w:lineRule="auto"/>
              <w:jc w:val="both"/>
              <w:rPr>
                <w:b w:val="0"/>
                <w:sz w:val="18"/>
                <w:szCs w:val="18"/>
              </w:rPr>
            </w:pPr>
            <w:r>
              <w:rPr>
                <w:b w:val="0"/>
                <w:sz w:val="18"/>
                <w:szCs w:val="18"/>
              </w:rPr>
              <w:t>Total</w:t>
            </w:r>
          </w:p>
        </w:tc>
        <w:tc>
          <w:tcPr>
            <w:tcW w:w="1779" w:type="dxa"/>
            <w:tcBorders>
              <w:top w:val="nil"/>
              <w:bottom w:val="nil"/>
            </w:tcBorders>
            <w:shd w:val="clear" w:color="auto" w:fill="78BE20"/>
          </w:tcPr>
          <w:p w:rsidR="009B0642" w:rsidRPr="00B16942" w:rsidRDefault="009B0642" w:rsidP="00BE32A7">
            <w:pPr>
              <w:spacing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247,826</w:t>
            </w:r>
          </w:p>
        </w:tc>
        <w:tc>
          <w:tcPr>
            <w:tcW w:w="1017" w:type="dxa"/>
            <w:tcBorders>
              <w:top w:val="nil"/>
              <w:bottom w:val="nil"/>
            </w:tcBorders>
            <w:shd w:val="clear" w:color="auto" w:fill="78BE20"/>
          </w:tcPr>
          <w:p w:rsidR="009B0642" w:rsidRPr="00B16942" w:rsidRDefault="009B0642" w:rsidP="00BE32A7">
            <w:pPr>
              <w:spacing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51.2</w:t>
            </w:r>
          </w:p>
        </w:tc>
        <w:tc>
          <w:tcPr>
            <w:tcW w:w="1352" w:type="dxa"/>
            <w:tcBorders>
              <w:top w:val="nil"/>
              <w:bottom w:val="nil"/>
            </w:tcBorders>
            <w:shd w:val="clear" w:color="auto" w:fill="78BE20"/>
          </w:tcPr>
          <w:p w:rsidR="009B0642" w:rsidRPr="00B16942" w:rsidRDefault="009B0642" w:rsidP="00BE32A7">
            <w:pPr>
              <w:spacing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w:t>
            </w:r>
          </w:p>
        </w:tc>
        <w:tc>
          <w:tcPr>
            <w:tcW w:w="1045" w:type="dxa"/>
            <w:tcBorders>
              <w:top w:val="nil"/>
              <w:bottom w:val="nil"/>
            </w:tcBorders>
            <w:shd w:val="clear" w:color="auto" w:fill="78BE20"/>
          </w:tcPr>
          <w:p w:rsidR="009B0642" w:rsidRPr="00B16942" w:rsidRDefault="009B0642" w:rsidP="00BE32A7">
            <w:pPr>
              <w:spacing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16.1</w:t>
            </w:r>
          </w:p>
        </w:tc>
        <w:tc>
          <w:tcPr>
            <w:tcW w:w="1194" w:type="dxa"/>
            <w:tcBorders>
              <w:top w:val="nil"/>
              <w:bottom w:val="nil"/>
            </w:tcBorders>
            <w:shd w:val="clear" w:color="auto" w:fill="78BE20"/>
          </w:tcPr>
          <w:p w:rsidR="009B0642" w:rsidRPr="00B16942" w:rsidRDefault="009B0642" w:rsidP="00BE32A7">
            <w:pPr>
              <w:spacing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26.9</w:t>
            </w:r>
          </w:p>
        </w:tc>
        <w:tc>
          <w:tcPr>
            <w:tcW w:w="938" w:type="dxa"/>
            <w:tcBorders>
              <w:top w:val="nil"/>
              <w:bottom w:val="nil"/>
            </w:tcBorders>
            <w:shd w:val="clear" w:color="auto" w:fill="78BE20"/>
          </w:tcPr>
          <w:p w:rsidR="009B0642" w:rsidRPr="00B16942" w:rsidRDefault="009B0642" w:rsidP="00BE32A7">
            <w:pPr>
              <w:spacing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38.1</w:t>
            </w:r>
          </w:p>
        </w:tc>
        <w:tc>
          <w:tcPr>
            <w:tcW w:w="2090" w:type="dxa"/>
            <w:tcBorders>
              <w:top w:val="nil"/>
              <w:bottom w:val="nil"/>
            </w:tcBorders>
            <w:shd w:val="clear" w:color="auto" w:fill="78BE20"/>
          </w:tcPr>
          <w:p w:rsidR="009B0642" w:rsidRPr="00B16942" w:rsidRDefault="009B0642" w:rsidP="00BE32A7">
            <w:pPr>
              <w:spacing w:line="240" w:lineRule="auto"/>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w:t>
            </w:r>
          </w:p>
        </w:tc>
      </w:tr>
    </w:tbl>
    <w:p w:rsidR="00BE32A7" w:rsidRPr="00881863" w:rsidRDefault="00BB1135" w:rsidP="006C16BF">
      <w:pPr>
        <w:jc w:val="both"/>
        <w:rPr>
          <w:sz w:val="16"/>
        </w:rPr>
      </w:pPr>
      <w:r w:rsidRPr="00363982">
        <w:rPr>
          <w:sz w:val="16"/>
        </w:rPr>
        <w:t>Source: HILDA Release 13.0</w:t>
      </w:r>
      <w:r w:rsidR="00846D8F" w:rsidRPr="00363982">
        <w:rPr>
          <w:sz w:val="16"/>
        </w:rPr>
        <w:t xml:space="preserve"> (2001</w:t>
      </w:r>
      <w:r w:rsidR="003C3519">
        <w:rPr>
          <w:sz w:val="16"/>
        </w:rPr>
        <w:t>–</w:t>
      </w:r>
      <w:r w:rsidR="00846D8F" w:rsidRPr="00363982">
        <w:rPr>
          <w:sz w:val="16"/>
        </w:rPr>
        <w:t>2013)</w:t>
      </w:r>
      <w:r w:rsidRPr="00363982">
        <w:rPr>
          <w:sz w:val="16"/>
        </w:rPr>
        <w:t>.</w:t>
      </w:r>
      <w:r w:rsidR="00A27B58" w:rsidRPr="00363982">
        <w:rPr>
          <w:sz w:val="16"/>
        </w:rPr>
        <w:t xml:space="preserve"> The actual number of observations varies with characteristics due t</w:t>
      </w:r>
      <w:r w:rsidR="009B0642" w:rsidRPr="00363982">
        <w:rPr>
          <w:sz w:val="16"/>
        </w:rPr>
        <w:t>o missing values in the survey. The stat</w:t>
      </w:r>
      <w:r w:rsidR="003C3519">
        <w:rPr>
          <w:sz w:val="16"/>
        </w:rPr>
        <w:t>istic</w:t>
      </w:r>
      <w:r w:rsidR="009B0642" w:rsidRPr="00363982">
        <w:rPr>
          <w:sz w:val="16"/>
        </w:rPr>
        <w:t xml:space="preserve">s </w:t>
      </w:r>
      <w:r w:rsidR="00F7790B" w:rsidRPr="00363982">
        <w:rPr>
          <w:sz w:val="16"/>
        </w:rPr>
        <w:t xml:space="preserve">in this table </w:t>
      </w:r>
      <w:r w:rsidR="009B0642" w:rsidRPr="00363982">
        <w:rPr>
          <w:sz w:val="16"/>
        </w:rPr>
        <w:t xml:space="preserve">are not weighted. </w:t>
      </w:r>
      <w:r w:rsidR="00720C88">
        <w:rPr>
          <w:sz w:val="16"/>
        </w:rPr>
        <w:t xml:space="preserve">Disability is defined as having any long-term health condition, impairment or disability </w:t>
      </w:r>
      <w:r w:rsidR="005449E3">
        <w:rPr>
          <w:sz w:val="16"/>
        </w:rPr>
        <w:t xml:space="preserve">(such as hearing and speech problems) </w:t>
      </w:r>
      <w:r w:rsidR="00720C88">
        <w:rPr>
          <w:sz w:val="16"/>
        </w:rPr>
        <w:t>that restricts everyday activities</w:t>
      </w:r>
      <w:r w:rsidR="005449E3">
        <w:rPr>
          <w:sz w:val="16"/>
        </w:rPr>
        <w:t>,</w:t>
      </w:r>
      <w:r w:rsidR="00720C88">
        <w:rPr>
          <w:sz w:val="16"/>
        </w:rPr>
        <w:t xml:space="preserve"> and </w:t>
      </w:r>
      <w:r w:rsidR="005449E3">
        <w:rPr>
          <w:sz w:val="16"/>
        </w:rPr>
        <w:t xml:space="preserve">has lasted or is likely to last, for six months or more. </w:t>
      </w:r>
    </w:p>
    <w:p w:rsidR="003408E2" w:rsidRPr="003408E2" w:rsidRDefault="003408E2" w:rsidP="003408E2">
      <w:pPr>
        <w:pStyle w:val="Heading2"/>
        <w:keepNext w:val="0"/>
        <w:keepLines w:val="0"/>
        <w:spacing w:before="0" w:after="0"/>
        <w:contextualSpacing w:val="0"/>
        <w:rPr>
          <w:rFonts w:asciiTheme="majorHAnsi" w:hAnsiTheme="majorHAnsi" w:cs="Times New Roman"/>
          <w:b/>
          <w:bCs w:val="0"/>
          <w:iCs w:val="0"/>
          <w:color w:val="500778"/>
          <w:sz w:val="20"/>
          <w:szCs w:val="20"/>
        </w:rPr>
      </w:pPr>
      <w:r w:rsidRPr="003408E2">
        <w:rPr>
          <w:rFonts w:asciiTheme="majorHAnsi" w:hAnsiTheme="majorHAnsi" w:cs="Times New Roman"/>
          <w:b/>
          <w:bCs w:val="0"/>
          <w:iCs w:val="0"/>
          <w:color w:val="500778"/>
          <w:sz w:val="20"/>
          <w:szCs w:val="20"/>
        </w:rPr>
        <w:lastRenderedPageBreak/>
        <w:t>The proportion of HILDA respondents studying, working, volunteering and caregiving</w:t>
      </w:r>
    </w:p>
    <w:p w:rsidR="006C16BF" w:rsidRDefault="006C16BF" w:rsidP="006C16BF">
      <w:pPr>
        <w:jc w:val="both"/>
      </w:pPr>
      <w:r>
        <w:t xml:space="preserve">Figure 1 shows the proportion of HILDA respondents studying, working, </w:t>
      </w:r>
      <w:r w:rsidR="005109A7">
        <w:t>volunteering and caregiving by five</w:t>
      </w:r>
      <w:r>
        <w:t>-year age groups. Note that population weights are applied in Figure 1 and the subsequent analyses, so the average rate of (non-)engagement of an age group in the sample can be interpreted as the estimated likelihood of (non-)engagement of all Australians in the same age group.</w:t>
      </w:r>
    </w:p>
    <w:p w:rsidR="006C16BF" w:rsidRDefault="006C16BF" w:rsidP="006C16BF">
      <w:pPr>
        <w:jc w:val="both"/>
      </w:pPr>
      <w:r>
        <w:t>The estimated likelihood of employment is 52.8 per cent at 15–19 years of age, sharply increasing to 77.5 per cent at 20–24 and staying around 80 per cent until it drops abruptly to 64.9 per cent</w:t>
      </w:r>
      <w:r w:rsidRPr="00A96477">
        <w:t xml:space="preserve"> </w:t>
      </w:r>
      <w:r>
        <w:t xml:space="preserve">at 55–59. It then drops again to 42.9 per cent at 60–64, to 18.9 per cent at 65–69, to 8.6 per cent at 70–74, and further to 4.4 per cent at 75–79. As expected, the employment rate is very low after age 80 (less than 2 per cent). </w:t>
      </w:r>
    </w:p>
    <w:p w:rsidR="006C16BF" w:rsidRDefault="006C16BF" w:rsidP="006C16BF">
      <w:pPr>
        <w:jc w:val="both"/>
      </w:pPr>
      <w:r>
        <w:t>The estimated likelihood of studying is 89 per cent at 15</w:t>
      </w:r>
      <w:r w:rsidR="00E203AB">
        <w:t>–</w:t>
      </w:r>
      <w:r>
        <w:t>19</w:t>
      </w:r>
      <w:r w:rsidR="00E203AB">
        <w:t xml:space="preserve"> years of age</w:t>
      </w:r>
      <w:r>
        <w:t>, and then decreases sharply to 51.0 per cent at 20</w:t>
      </w:r>
      <w:r w:rsidR="00E203AB">
        <w:t>–</w:t>
      </w:r>
      <w:r>
        <w:t>24 and to 26.9 per cent at 25</w:t>
      </w:r>
      <w:r w:rsidR="00E203AB">
        <w:t>–</w:t>
      </w:r>
      <w:r>
        <w:t xml:space="preserve">29. From </w:t>
      </w:r>
      <w:r w:rsidR="00E203AB">
        <w:t>this point onwards,</w:t>
      </w:r>
      <w:r>
        <w:t xml:space="preserve"> the likelihood continues to decrease from 18.4 per cent </w:t>
      </w:r>
      <w:r w:rsidR="001164E2">
        <w:t xml:space="preserve">at 30–34 </w:t>
      </w:r>
      <w:r>
        <w:t xml:space="preserve">to less than 2 per cent </w:t>
      </w:r>
      <w:r w:rsidR="001164E2">
        <w:t>at 65–</w:t>
      </w:r>
      <w:r>
        <w:t>69</w:t>
      </w:r>
      <w:r w:rsidR="001164E2">
        <w:t xml:space="preserve"> or older</w:t>
      </w:r>
      <w:r>
        <w:t xml:space="preserve">. </w:t>
      </w:r>
    </w:p>
    <w:p w:rsidR="00220E0A" w:rsidRDefault="001164E2" w:rsidP="006C16BF">
      <w:pPr>
        <w:jc w:val="both"/>
      </w:pPr>
      <w:r>
        <w:t>By</w:t>
      </w:r>
      <w:r w:rsidR="006C16BF">
        <w:t xml:space="preserve"> contrast, the likelihood of caregiving increases with age, </w:t>
      </w:r>
      <w:r>
        <w:t xml:space="preserve">rising </w:t>
      </w:r>
      <w:r w:rsidR="006C16BF">
        <w:t>from less than 2 per cent at 15</w:t>
      </w:r>
      <w:r>
        <w:t>–</w:t>
      </w:r>
      <w:r w:rsidR="006C16BF">
        <w:t xml:space="preserve">19 </w:t>
      </w:r>
      <w:r>
        <w:t xml:space="preserve">year of age </w:t>
      </w:r>
      <w:r w:rsidR="006C16BF">
        <w:t xml:space="preserve">to over 15 per cent at 85+. Volunteering also tends to be more prevalent at </w:t>
      </w:r>
      <w:r>
        <w:t>older ages, reaching a peak (</w:t>
      </w:r>
      <w:r w:rsidR="006C16BF">
        <w:t>about 30 per cent) at 65</w:t>
      </w:r>
      <w:r>
        <w:t>–</w:t>
      </w:r>
      <w:r w:rsidR="006C16BF">
        <w:t>69 before gradually declining to 10.9 per cent at 85+.</w:t>
      </w:r>
    </w:p>
    <w:p w:rsidR="003218C6" w:rsidRPr="00504C95" w:rsidRDefault="003218C6" w:rsidP="00E51764">
      <w:pPr>
        <w:spacing w:after="0"/>
        <w:jc w:val="both"/>
        <w:rPr>
          <w:b/>
          <w:i/>
          <w:smallCaps/>
        </w:rPr>
      </w:pPr>
      <w:r w:rsidRPr="00504C95">
        <w:rPr>
          <w:b/>
        </w:rPr>
        <w:t xml:space="preserve">Figure 1: </w:t>
      </w:r>
      <w:r w:rsidR="00496054" w:rsidRPr="00504C95">
        <w:rPr>
          <w:rStyle w:val="BookTitle"/>
          <w:rFonts w:eastAsiaTheme="majorEastAsia"/>
          <w:b/>
          <w:i w:val="0"/>
          <w:iCs w:val="0"/>
          <w:smallCaps w:val="0"/>
        </w:rPr>
        <w:t>Pro</w:t>
      </w:r>
      <w:r w:rsidR="006D34A8" w:rsidRPr="00504C95">
        <w:rPr>
          <w:rStyle w:val="BookTitle"/>
          <w:rFonts w:eastAsiaTheme="majorEastAsia"/>
          <w:b/>
          <w:i w:val="0"/>
          <w:iCs w:val="0"/>
          <w:smallCaps w:val="0"/>
        </w:rPr>
        <w:t xml:space="preserve">ductive engagement </w:t>
      </w:r>
      <w:r w:rsidR="00496054" w:rsidRPr="00504C95">
        <w:rPr>
          <w:rStyle w:val="BookTitle"/>
          <w:rFonts w:eastAsiaTheme="majorEastAsia"/>
          <w:b/>
          <w:i w:val="0"/>
          <w:iCs w:val="0"/>
          <w:smallCaps w:val="0"/>
        </w:rPr>
        <w:t xml:space="preserve">over </w:t>
      </w:r>
      <w:r w:rsidR="002C0FD6" w:rsidRPr="00504C95">
        <w:rPr>
          <w:rStyle w:val="BookTitle"/>
          <w:rFonts w:eastAsiaTheme="majorEastAsia"/>
          <w:b/>
          <w:i w:val="0"/>
          <w:iCs w:val="0"/>
          <w:smallCaps w:val="0"/>
        </w:rPr>
        <w:t>the</w:t>
      </w:r>
      <w:r w:rsidR="00496054" w:rsidRPr="00504C95">
        <w:rPr>
          <w:rStyle w:val="BookTitle"/>
          <w:rFonts w:eastAsiaTheme="majorEastAsia"/>
          <w:b/>
          <w:i w:val="0"/>
          <w:iCs w:val="0"/>
          <w:smallCaps w:val="0"/>
        </w:rPr>
        <w:t xml:space="preserve"> life course</w:t>
      </w:r>
    </w:p>
    <w:p w:rsidR="003218C6" w:rsidRDefault="003C3519" w:rsidP="00E51764">
      <w:pPr>
        <w:jc w:val="both"/>
      </w:pPr>
      <w:r>
        <w:rPr>
          <w:noProof/>
        </w:rPr>
        <w:drawing>
          <wp:inline distT="0" distB="0" distL="0" distR="0" wp14:anchorId="2FAE6636" wp14:editId="5093F531">
            <wp:extent cx="5943600" cy="3086100"/>
            <wp:effectExtent l="0" t="0" r="19050" b="19050"/>
            <wp:docPr id="1" name="Chart 1" descr="This line graph has a vertical axis of perentage from 0 to 100%. The horizontal axis is for age in in ranges of 5 years - from 15-19 to 80-84 years. The last section is for 85+ years.&#10;&#10;The lines show results for those Working, Studying, Volunteering and Caregiving." title="Productive engagement over the life cours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5BF9" w:rsidRDefault="009E5BF9" w:rsidP="00981E3C">
      <w:pPr>
        <w:pStyle w:val="Heading2"/>
        <w:keepNext w:val="0"/>
        <w:keepLines w:val="0"/>
        <w:spacing w:before="0" w:after="0"/>
        <w:contextualSpacing w:val="0"/>
        <w:rPr>
          <w:rFonts w:asciiTheme="majorHAnsi" w:hAnsiTheme="majorHAnsi" w:cs="Times New Roman"/>
          <w:b/>
          <w:bCs w:val="0"/>
          <w:iCs w:val="0"/>
          <w:color w:val="500778"/>
          <w:sz w:val="20"/>
          <w:szCs w:val="20"/>
        </w:rPr>
      </w:pPr>
    </w:p>
    <w:p w:rsidR="00981E3C" w:rsidRPr="003408E2" w:rsidRDefault="00981E3C" w:rsidP="00981E3C">
      <w:pPr>
        <w:pStyle w:val="Heading2"/>
        <w:keepNext w:val="0"/>
        <w:keepLines w:val="0"/>
        <w:spacing w:before="0" w:after="0"/>
        <w:contextualSpacing w:val="0"/>
        <w:rPr>
          <w:rFonts w:asciiTheme="majorHAnsi" w:hAnsiTheme="majorHAnsi" w:cs="Times New Roman"/>
          <w:b/>
          <w:bCs w:val="0"/>
          <w:iCs w:val="0"/>
          <w:color w:val="500778"/>
          <w:sz w:val="20"/>
          <w:szCs w:val="20"/>
        </w:rPr>
      </w:pPr>
      <w:r>
        <w:rPr>
          <w:rFonts w:asciiTheme="majorHAnsi" w:hAnsiTheme="majorHAnsi" w:cs="Times New Roman"/>
          <w:b/>
          <w:bCs w:val="0"/>
          <w:iCs w:val="0"/>
          <w:color w:val="500778"/>
          <w:sz w:val="20"/>
          <w:szCs w:val="20"/>
        </w:rPr>
        <w:t>Non-engagement in productive activities and welfare receipt</w:t>
      </w:r>
    </w:p>
    <w:p w:rsidR="009C642C" w:rsidRDefault="009C642C" w:rsidP="009C642C">
      <w:pPr>
        <w:jc w:val="both"/>
      </w:pPr>
      <w:r>
        <w:t>Figure 2 provides an alternative measure of productive engagement</w:t>
      </w:r>
      <w:r w:rsidR="00DA70BF">
        <w:t xml:space="preserve"> </w:t>
      </w:r>
      <w:r w:rsidR="003C6F6C">
        <w:t>—</w:t>
      </w:r>
      <w:r w:rsidR="00DA70BF">
        <w:t xml:space="preserve"> </w:t>
      </w:r>
      <w:r>
        <w:t xml:space="preserve">the proportion of people </w:t>
      </w:r>
      <w:r w:rsidRPr="003C3519">
        <w:rPr>
          <w:b/>
        </w:rPr>
        <w:t>not</w:t>
      </w:r>
      <w:r>
        <w:t xml:space="preserve"> </w:t>
      </w:r>
      <w:r w:rsidR="00B919E5">
        <w:t xml:space="preserve">actively engaged in any of these </w:t>
      </w:r>
      <w:r w:rsidR="003C3519">
        <w:t>activities</w:t>
      </w:r>
      <w:r w:rsidR="00257CA4">
        <w:t xml:space="preserve"> (</w:t>
      </w:r>
      <w:r w:rsidR="00DA70BF">
        <w:t>sample mean is</w:t>
      </w:r>
      <w:r w:rsidR="00257CA4">
        <w:t xml:space="preserve"> 19.4</w:t>
      </w:r>
      <w:r w:rsidR="006C16BF">
        <w:t xml:space="preserve"> per cent</w:t>
      </w:r>
      <w:r w:rsidR="00257CA4">
        <w:t>)</w:t>
      </w:r>
      <w:r w:rsidR="00DA70BF">
        <w:t xml:space="preserve"> </w:t>
      </w:r>
      <w:r w:rsidR="003C3519">
        <w:t>—</w:t>
      </w:r>
      <w:r w:rsidR="00DA70BF">
        <w:t xml:space="preserve"> </w:t>
      </w:r>
      <w:r w:rsidR="003C6F6C">
        <w:t>over the life course</w:t>
      </w:r>
      <w:r>
        <w:t>.</w:t>
      </w:r>
      <w:r w:rsidR="00257CA4">
        <w:t xml:space="preserve"> </w:t>
      </w:r>
      <w:r w:rsidR="003C3519">
        <w:t>This proportion</w:t>
      </w:r>
      <w:r>
        <w:t xml:space="preserve"> is mostly around 10</w:t>
      </w:r>
      <w:r w:rsidR="006C16BF">
        <w:t xml:space="preserve"> per cent</w:t>
      </w:r>
      <w:r>
        <w:t xml:space="preserve"> at ages up to 50</w:t>
      </w:r>
      <w:r w:rsidR="003C3519">
        <w:t>–</w:t>
      </w:r>
      <w:r>
        <w:t xml:space="preserve">54, except for </w:t>
      </w:r>
      <w:r w:rsidR="00927150">
        <w:t xml:space="preserve">the </w:t>
      </w:r>
      <w:r>
        <w:t>15</w:t>
      </w:r>
      <w:r w:rsidR="003C3519">
        <w:t>–</w:t>
      </w:r>
      <w:r>
        <w:t xml:space="preserve">24 </w:t>
      </w:r>
      <w:r w:rsidR="00927150">
        <w:t xml:space="preserve">age </w:t>
      </w:r>
      <w:proofErr w:type="gramStart"/>
      <w:r w:rsidR="00927150">
        <w:t>group</w:t>
      </w:r>
      <w:proofErr w:type="gramEnd"/>
      <w:r w:rsidR="00927150">
        <w:t xml:space="preserve"> </w:t>
      </w:r>
      <w:r w:rsidR="00DA44DF">
        <w:t>(2.4</w:t>
      </w:r>
      <w:r w:rsidR="006C16BF">
        <w:t xml:space="preserve"> per cent</w:t>
      </w:r>
      <w:r w:rsidR="00DA44DF">
        <w:t xml:space="preserve">) </w:t>
      </w:r>
      <w:r>
        <w:t>whe</w:t>
      </w:r>
      <w:r w:rsidR="00927150">
        <w:t>re</w:t>
      </w:r>
      <w:r>
        <w:t xml:space="preserve"> most young people are studying. </w:t>
      </w:r>
      <w:r w:rsidR="003C6F6C">
        <w:t>T</w:t>
      </w:r>
      <w:r>
        <w:t xml:space="preserve">he </w:t>
      </w:r>
      <w:r w:rsidR="007502DC">
        <w:t>proportion</w:t>
      </w:r>
      <w:r>
        <w:t xml:space="preserve"> increases </w:t>
      </w:r>
      <w:r w:rsidR="00B919E5">
        <w:t>sharply</w:t>
      </w:r>
      <w:r>
        <w:t xml:space="preserve"> </w:t>
      </w:r>
      <w:r w:rsidR="003C6F6C">
        <w:t>after ages 55</w:t>
      </w:r>
      <w:r w:rsidR="003C3519">
        <w:t>–</w:t>
      </w:r>
      <w:r w:rsidR="003C6F6C">
        <w:t xml:space="preserve">59 </w:t>
      </w:r>
      <w:r w:rsidR="00927150">
        <w:t>(</w:t>
      </w:r>
      <w:r>
        <w:t>20.8</w:t>
      </w:r>
      <w:r w:rsidR="006C16BF">
        <w:t xml:space="preserve"> per cent</w:t>
      </w:r>
      <w:r w:rsidR="00927150">
        <w:t>), rising</w:t>
      </w:r>
      <w:r>
        <w:t xml:space="preserve"> to 76.8</w:t>
      </w:r>
      <w:r w:rsidR="006C16BF">
        <w:t xml:space="preserve"> per cent</w:t>
      </w:r>
      <w:r>
        <w:t xml:space="preserve"> at age 85+. </w:t>
      </w:r>
    </w:p>
    <w:p w:rsidR="00A26B6A" w:rsidRDefault="009C642C" w:rsidP="003408E2">
      <w:pPr>
        <w:jc w:val="both"/>
      </w:pPr>
      <w:r>
        <w:t xml:space="preserve">For brevity, this research summary </w:t>
      </w:r>
      <w:r w:rsidR="00927150">
        <w:t>identifies all</w:t>
      </w:r>
      <w:r w:rsidR="00DA44DF">
        <w:t xml:space="preserve"> </w:t>
      </w:r>
      <w:r w:rsidR="00B919E5">
        <w:t xml:space="preserve">people who are </w:t>
      </w:r>
      <w:r>
        <w:t>not working/studying/volunteering/caregiving</w:t>
      </w:r>
      <w:r w:rsidR="00B919E5">
        <w:t xml:space="preserve"> as </w:t>
      </w:r>
      <w:r w:rsidR="00927150">
        <w:t>‘</w:t>
      </w:r>
      <w:r w:rsidR="00B919E5">
        <w:t xml:space="preserve">not </w:t>
      </w:r>
      <w:r>
        <w:t>engage</w:t>
      </w:r>
      <w:r w:rsidR="00B919E5">
        <w:t>d</w:t>
      </w:r>
      <w:r w:rsidR="00927150">
        <w:t>’</w:t>
      </w:r>
      <w:r>
        <w:t xml:space="preserve">. However, it should be noted that </w:t>
      </w:r>
      <w:r w:rsidR="00927150">
        <w:t xml:space="preserve">some of these </w:t>
      </w:r>
      <w:r>
        <w:t>people</w:t>
      </w:r>
      <w:r w:rsidR="00B919E5">
        <w:t xml:space="preserve"> may be engaged</w:t>
      </w:r>
      <w:r>
        <w:t xml:space="preserve"> in productive activities</w:t>
      </w:r>
      <w:r w:rsidR="00927150">
        <w:t xml:space="preserve"> that are</w:t>
      </w:r>
      <w:r>
        <w:t xml:space="preserve"> not covered in this research (e.g. caring for children). </w:t>
      </w:r>
    </w:p>
    <w:p w:rsidR="008F2076" w:rsidRDefault="008F2076" w:rsidP="00A26B6A">
      <w:pPr>
        <w:spacing w:before="0" w:after="0" w:line="240" w:lineRule="auto"/>
        <w:jc w:val="both"/>
      </w:pPr>
      <w:r>
        <w:t xml:space="preserve">Figure 2 also </w:t>
      </w:r>
      <w:r w:rsidR="008811C6">
        <w:t>plots</w:t>
      </w:r>
      <w:r w:rsidR="00005326">
        <w:t xml:space="preserve"> </w:t>
      </w:r>
      <w:r w:rsidR="007309A8">
        <w:t xml:space="preserve">the rate of </w:t>
      </w:r>
      <w:r w:rsidR="00005326">
        <w:t>welfare receipt (sample mean = 24.9</w:t>
      </w:r>
      <w:r w:rsidR="006C16BF">
        <w:t xml:space="preserve"> per cent</w:t>
      </w:r>
      <w:r w:rsidR="00005326">
        <w:t>)</w:t>
      </w:r>
      <w:r w:rsidR="008811C6">
        <w:t xml:space="preserve"> over the life course</w:t>
      </w:r>
      <w:r w:rsidR="00005326">
        <w:t xml:space="preserve">. </w:t>
      </w:r>
      <w:r w:rsidR="006C3EF1">
        <w:t>Welfare receipt, in this research, is defined as receiving any income support benefit</w:t>
      </w:r>
      <w:r w:rsidR="006C3EF1" w:rsidRPr="000F037A">
        <w:t xml:space="preserve"> </w:t>
      </w:r>
      <w:r w:rsidR="006C3EF1">
        <w:t>from the Gover</w:t>
      </w:r>
      <w:r w:rsidR="00DA70BF">
        <w:t>nment, including pensions (e.g.</w:t>
      </w:r>
      <w:r w:rsidR="006C3EF1">
        <w:t xml:space="preserve"> Disability Suppor</w:t>
      </w:r>
      <w:r w:rsidR="00DA70BF">
        <w:t>t Pension) and allowances (e.g.</w:t>
      </w:r>
      <w:r w:rsidR="006C3EF1">
        <w:t xml:space="preserve"> </w:t>
      </w:r>
      <w:proofErr w:type="spellStart"/>
      <w:r w:rsidR="006C3EF1">
        <w:t>Newstart</w:t>
      </w:r>
      <w:proofErr w:type="spellEnd"/>
      <w:r w:rsidR="006C3EF1">
        <w:t xml:space="preserve"> Allowance). </w:t>
      </w:r>
      <w:r w:rsidR="007309A8">
        <w:t>It shows a similar</w:t>
      </w:r>
      <w:r w:rsidR="00927150">
        <w:t>, but usually slightly higher,</w:t>
      </w:r>
      <w:r w:rsidR="00DA70BF">
        <w:t xml:space="preserve"> trajectory </w:t>
      </w:r>
      <w:r w:rsidR="00FD42D9">
        <w:t>than</w:t>
      </w:r>
      <w:r w:rsidR="003C6F6C">
        <w:t xml:space="preserve"> the rate of non-engagement</w:t>
      </w:r>
      <w:r>
        <w:t xml:space="preserve">. </w:t>
      </w:r>
      <w:r w:rsidR="009C642C">
        <w:t xml:space="preserve">Note that </w:t>
      </w:r>
      <w:r w:rsidR="00927150">
        <w:t xml:space="preserve">in the </w:t>
      </w:r>
      <w:r w:rsidR="008811C6">
        <w:t>15</w:t>
      </w:r>
      <w:r w:rsidR="003C3519">
        <w:t>–</w:t>
      </w:r>
      <w:r w:rsidR="008811C6">
        <w:t xml:space="preserve">24 </w:t>
      </w:r>
      <w:r w:rsidR="00927150">
        <w:t xml:space="preserve">age </w:t>
      </w:r>
      <w:proofErr w:type="gramStart"/>
      <w:r w:rsidR="00927150">
        <w:t>group</w:t>
      </w:r>
      <w:proofErr w:type="gramEnd"/>
      <w:r w:rsidR="00927150">
        <w:t xml:space="preserve"> </w:t>
      </w:r>
      <w:r>
        <w:t xml:space="preserve">the </w:t>
      </w:r>
      <w:r w:rsidR="00005326">
        <w:t>rate</w:t>
      </w:r>
      <w:r>
        <w:t xml:space="preserve"> of </w:t>
      </w:r>
      <w:r w:rsidR="00005326">
        <w:t>welfare receipt</w:t>
      </w:r>
      <w:r>
        <w:t xml:space="preserve"> </w:t>
      </w:r>
      <w:r w:rsidR="007309A8">
        <w:t>is</w:t>
      </w:r>
      <w:r>
        <w:t xml:space="preserve"> </w:t>
      </w:r>
      <w:r w:rsidR="007309A8">
        <w:t>mark</w:t>
      </w:r>
      <w:r w:rsidR="00927150">
        <w:t>ed</w:t>
      </w:r>
      <w:r w:rsidR="007309A8">
        <w:t>ly</w:t>
      </w:r>
      <w:r w:rsidR="009C642C">
        <w:t xml:space="preserve"> </w:t>
      </w:r>
      <w:r w:rsidR="00927150">
        <w:t>higher than the rate of</w:t>
      </w:r>
      <w:r>
        <w:t xml:space="preserve"> non-engagement</w:t>
      </w:r>
      <w:r w:rsidR="00515FED">
        <w:t>,</w:t>
      </w:r>
      <w:r w:rsidR="00005326" w:rsidRPr="00005326">
        <w:t xml:space="preserve"> </w:t>
      </w:r>
      <w:r>
        <w:t xml:space="preserve">probably because some </w:t>
      </w:r>
      <w:r w:rsidR="00504C95">
        <w:t>students</w:t>
      </w:r>
      <w:r>
        <w:t xml:space="preserve"> are receiving Youth Allowance</w:t>
      </w:r>
      <w:r w:rsidR="00515FED">
        <w:t xml:space="preserve"> while studying</w:t>
      </w:r>
      <w:r>
        <w:t xml:space="preserve">. </w:t>
      </w:r>
      <w:r w:rsidR="00005326">
        <w:t xml:space="preserve">This </w:t>
      </w:r>
      <w:r w:rsidR="00134D1E">
        <w:t>is also</w:t>
      </w:r>
      <w:r w:rsidR="00005326">
        <w:t xml:space="preserve"> true </w:t>
      </w:r>
      <w:r w:rsidR="00927150">
        <w:t xml:space="preserve">for seniors aged </w:t>
      </w:r>
      <w:r w:rsidR="00A30C9B">
        <w:t>65</w:t>
      </w:r>
      <w:r w:rsidR="003C3519">
        <w:t>–</w:t>
      </w:r>
      <w:r w:rsidR="00A30C9B">
        <w:t>69 or older</w:t>
      </w:r>
      <w:r w:rsidR="00DA70BF">
        <w:t xml:space="preserve">, </w:t>
      </w:r>
      <w:r w:rsidR="00FD42D9">
        <w:t xml:space="preserve">most of whom </w:t>
      </w:r>
      <w:r>
        <w:t>are eligible for</w:t>
      </w:r>
      <w:r w:rsidR="00DA70BF">
        <w:t xml:space="preserve"> the</w:t>
      </w:r>
      <w:r>
        <w:t xml:space="preserve"> Age Pension</w:t>
      </w:r>
      <w:r w:rsidR="00DA70BF">
        <w:t>,</w:t>
      </w:r>
      <w:r>
        <w:t xml:space="preserve"> </w:t>
      </w:r>
      <w:r w:rsidR="00005326">
        <w:t>w</w:t>
      </w:r>
      <w:r w:rsidR="00DA70BF">
        <w:t>ith</w:t>
      </w:r>
      <w:r>
        <w:t xml:space="preserve"> many</w:t>
      </w:r>
      <w:r w:rsidR="00927150">
        <w:t xml:space="preserve"> of them</w:t>
      </w:r>
      <w:r>
        <w:t xml:space="preserve"> still engaging in productive activities</w:t>
      </w:r>
      <w:r w:rsidR="00EA2150">
        <w:t xml:space="preserve"> (e.g. volunteering and </w:t>
      </w:r>
      <w:r w:rsidR="00EA2150">
        <w:lastRenderedPageBreak/>
        <w:t>caregiving)</w:t>
      </w:r>
      <w:r>
        <w:t xml:space="preserve">. </w:t>
      </w:r>
      <w:r w:rsidR="00927150">
        <w:t>By</w:t>
      </w:r>
      <w:r>
        <w:t xml:space="preserve"> contrast, </w:t>
      </w:r>
      <w:r w:rsidR="00927150">
        <w:t>in the</w:t>
      </w:r>
      <w:r>
        <w:t xml:space="preserve"> 25</w:t>
      </w:r>
      <w:r w:rsidR="003C3519">
        <w:t>–</w:t>
      </w:r>
      <w:r w:rsidR="007309A8">
        <w:t xml:space="preserve">44 </w:t>
      </w:r>
      <w:r w:rsidR="00927150">
        <w:t xml:space="preserve">age </w:t>
      </w:r>
      <w:proofErr w:type="gramStart"/>
      <w:r w:rsidR="00927150">
        <w:t>group</w:t>
      </w:r>
      <w:proofErr w:type="gramEnd"/>
      <w:r w:rsidR="00927150">
        <w:t xml:space="preserve"> </w:t>
      </w:r>
      <w:r w:rsidR="007309A8">
        <w:t>the rate</w:t>
      </w:r>
      <w:r>
        <w:t xml:space="preserve"> of non-engagement </w:t>
      </w:r>
      <w:r w:rsidR="007309A8">
        <w:t>is</w:t>
      </w:r>
      <w:r>
        <w:t xml:space="preserve"> generally higher than th</w:t>
      </w:r>
      <w:r w:rsidR="007309A8">
        <w:t>at</w:t>
      </w:r>
      <w:r>
        <w:t xml:space="preserve"> of welfare receipt. This is </w:t>
      </w:r>
      <w:r w:rsidR="00A54B02">
        <w:t>almost wholly</w:t>
      </w:r>
      <w:r>
        <w:t xml:space="preserve"> driven by </w:t>
      </w:r>
      <w:r w:rsidR="00D03B27">
        <w:t>women</w:t>
      </w:r>
      <w:r w:rsidR="003701FB">
        <w:t xml:space="preserve"> (</w:t>
      </w:r>
      <w:r w:rsidR="008811C6">
        <w:t xml:space="preserve">for </w:t>
      </w:r>
      <w:r w:rsidR="003701FB">
        <w:t xml:space="preserve">males </w:t>
      </w:r>
      <w:r w:rsidR="008811C6">
        <w:t>the rate of welfare receipt is always higher</w:t>
      </w:r>
      <w:r w:rsidR="00947707">
        <w:t xml:space="preserve"> than </w:t>
      </w:r>
      <w:r w:rsidR="007309A8">
        <w:t>th</w:t>
      </w:r>
      <w:r w:rsidR="00947707">
        <w:t>at of non-engagement</w:t>
      </w:r>
      <w:r w:rsidR="00515FED">
        <w:t xml:space="preserve"> throughout the life course</w:t>
      </w:r>
      <w:r w:rsidR="00947707">
        <w:t>)</w:t>
      </w:r>
      <w:r w:rsidR="00A54B02">
        <w:t xml:space="preserve">. </w:t>
      </w:r>
      <w:r w:rsidR="008D4A41">
        <w:t>F</w:t>
      </w:r>
      <w:r w:rsidR="00947707">
        <w:t>or women aged 25</w:t>
      </w:r>
      <w:r w:rsidR="003C3519">
        <w:t>–</w:t>
      </w:r>
      <w:r w:rsidR="00947707">
        <w:t>44</w:t>
      </w:r>
      <w:r w:rsidR="003701FB">
        <w:t xml:space="preserve"> </w:t>
      </w:r>
      <w:r>
        <w:t>non-engagement</w:t>
      </w:r>
      <w:r w:rsidR="00D03B27">
        <w:t xml:space="preserve"> </w:t>
      </w:r>
      <w:r w:rsidR="003701FB">
        <w:t xml:space="preserve">is </w:t>
      </w:r>
      <w:r w:rsidR="00947707">
        <w:t>likely</w:t>
      </w:r>
      <w:r w:rsidR="00EA2150">
        <w:t xml:space="preserve"> </w:t>
      </w:r>
      <w:r w:rsidR="00927150">
        <w:t xml:space="preserve">to be </w:t>
      </w:r>
      <w:r w:rsidR="003701FB">
        <w:t xml:space="preserve">due to </w:t>
      </w:r>
      <w:r w:rsidR="00FD42D9">
        <w:t>having and raising children</w:t>
      </w:r>
      <w:r w:rsidR="00EA2150">
        <w:t xml:space="preserve"> (</w:t>
      </w:r>
      <w:r w:rsidR="008D4A41">
        <w:t xml:space="preserve">generally </w:t>
      </w:r>
      <w:r w:rsidR="00EA2150">
        <w:t xml:space="preserve">a </w:t>
      </w:r>
      <w:r w:rsidR="00B86FF3">
        <w:t xml:space="preserve">matter of </w:t>
      </w:r>
      <w:r w:rsidR="00EA2150">
        <w:t>choice)</w:t>
      </w:r>
      <w:r w:rsidR="00947707">
        <w:t>. In this case</w:t>
      </w:r>
      <w:r w:rsidR="009F0692">
        <w:t>,</w:t>
      </w:r>
      <w:r w:rsidR="00A76863">
        <w:t xml:space="preserve"> non-engagement</w:t>
      </w:r>
      <w:r>
        <w:t xml:space="preserve"> does not necessarily </w:t>
      </w:r>
      <w:r w:rsidR="003701FB">
        <w:t>imply</w:t>
      </w:r>
      <w:r>
        <w:t xml:space="preserve"> economic disadvantage</w:t>
      </w:r>
      <w:r w:rsidR="009F0692">
        <w:t>,</w:t>
      </w:r>
      <w:r w:rsidR="00CA0430">
        <w:t xml:space="preserve"> and </w:t>
      </w:r>
      <w:r w:rsidR="00A76863">
        <w:t>thus</w:t>
      </w:r>
      <w:r w:rsidR="009F0692">
        <w:t xml:space="preserve"> does</w:t>
      </w:r>
      <w:r w:rsidR="00A76863">
        <w:t xml:space="preserve"> not necessarily lead to</w:t>
      </w:r>
      <w:r w:rsidR="003F01B4">
        <w:t xml:space="preserve"> </w:t>
      </w:r>
      <w:r w:rsidR="00515FED">
        <w:t xml:space="preserve">welfare </w:t>
      </w:r>
      <w:r w:rsidR="003F01B4">
        <w:t>receipt</w:t>
      </w:r>
      <w:r>
        <w:t xml:space="preserve">. </w:t>
      </w:r>
    </w:p>
    <w:p w:rsidR="0006150F" w:rsidRPr="009E5BF9" w:rsidRDefault="009306D5" w:rsidP="009E5BF9">
      <w:pPr>
        <w:keepNext/>
        <w:spacing w:after="0"/>
        <w:jc w:val="both"/>
        <w:rPr>
          <w:b/>
        </w:rPr>
      </w:pPr>
      <w:r w:rsidRPr="00504C95">
        <w:rPr>
          <w:b/>
        </w:rPr>
        <w:t xml:space="preserve">Figure 2: </w:t>
      </w:r>
      <w:r w:rsidR="003C5DDD">
        <w:rPr>
          <w:b/>
        </w:rPr>
        <w:t>Rates of n</w:t>
      </w:r>
      <w:r w:rsidR="002C0FD6" w:rsidRPr="00504C95">
        <w:rPr>
          <w:b/>
        </w:rPr>
        <w:t>on-</w:t>
      </w:r>
      <w:r w:rsidR="00B364F8" w:rsidRPr="009E5BF9">
        <w:rPr>
          <w:b/>
        </w:rPr>
        <w:t>engagement</w:t>
      </w:r>
      <w:r w:rsidRPr="009E5BF9">
        <w:rPr>
          <w:b/>
        </w:rPr>
        <w:t xml:space="preserve"> and welfare receipt</w:t>
      </w:r>
      <w:r w:rsidR="002C0FD6" w:rsidRPr="009E5BF9">
        <w:rPr>
          <w:b/>
        </w:rPr>
        <w:t xml:space="preserve"> across the life course</w:t>
      </w:r>
    </w:p>
    <w:p w:rsidR="0059362C" w:rsidRDefault="00FC5267" w:rsidP="00E51764">
      <w:pPr>
        <w:jc w:val="both"/>
      </w:pPr>
      <w:r>
        <w:rPr>
          <w:noProof/>
        </w:rPr>
        <w:drawing>
          <wp:inline distT="0" distB="0" distL="0" distR="0" wp14:anchorId="30BCFDC6" wp14:editId="5D60566A">
            <wp:extent cx="5943600" cy="2971800"/>
            <wp:effectExtent l="0" t="0" r="19050" b="19050"/>
            <wp:docPr id="3" name="Chart 3" descr="This line graph has a vertical axis of percentage from 0 - 100%. The horizontal axis is in ranges of 5 years from 15-19 years to 80 - 84 years and the last increment is for 85+.&#10;&#10;The lines show those on government benefits and those not engaged." title="Rates of non-engagement and welfare receipt across the life cour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5BF9" w:rsidRDefault="009E5BF9" w:rsidP="00981E3C">
      <w:pPr>
        <w:pStyle w:val="Heading2"/>
        <w:keepNext w:val="0"/>
        <w:keepLines w:val="0"/>
        <w:spacing w:before="0" w:after="0"/>
        <w:contextualSpacing w:val="0"/>
        <w:rPr>
          <w:rFonts w:asciiTheme="majorHAnsi" w:hAnsiTheme="majorHAnsi" w:cs="Times New Roman"/>
          <w:b/>
          <w:bCs w:val="0"/>
          <w:iCs w:val="0"/>
          <w:color w:val="500778"/>
          <w:sz w:val="20"/>
          <w:szCs w:val="20"/>
        </w:rPr>
      </w:pPr>
    </w:p>
    <w:p w:rsidR="00981E3C" w:rsidRPr="003408E2" w:rsidRDefault="00981E3C" w:rsidP="00981E3C">
      <w:pPr>
        <w:pStyle w:val="Heading2"/>
        <w:keepNext w:val="0"/>
        <w:keepLines w:val="0"/>
        <w:spacing w:before="0" w:after="0"/>
        <w:contextualSpacing w:val="0"/>
        <w:rPr>
          <w:rFonts w:asciiTheme="majorHAnsi" w:hAnsiTheme="majorHAnsi" w:cs="Times New Roman"/>
          <w:b/>
          <w:bCs w:val="0"/>
          <w:iCs w:val="0"/>
          <w:color w:val="500778"/>
          <w:sz w:val="20"/>
          <w:szCs w:val="20"/>
        </w:rPr>
      </w:pPr>
      <w:r>
        <w:rPr>
          <w:rFonts w:asciiTheme="majorHAnsi" w:hAnsiTheme="majorHAnsi" w:cs="Times New Roman"/>
          <w:b/>
          <w:bCs w:val="0"/>
          <w:iCs w:val="0"/>
          <w:color w:val="500778"/>
          <w:sz w:val="20"/>
          <w:szCs w:val="20"/>
        </w:rPr>
        <w:t xml:space="preserve">Long-term health conditions or disability and productive engagement </w:t>
      </w:r>
    </w:p>
    <w:p w:rsidR="00981E3C" w:rsidRDefault="00981E3C" w:rsidP="00981E3C">
      <w:pPr>
        <w:jc w:val="both"/>
      </w:pPr>
      <w:r>
        <w:t>Health is likely to be a significant influencing factor for both productive engagement and welfare receipt. Figure 3 contrasts people with long-term health conditions or disability (both defined as disability for brevity) with the general population. While people with disability are more likely to be not engaged and on income support than others of the same age, this difference diminishes at older ages and disappears after age 85. Within the group of people with disability, the rate of non-engagement is always lower than the rate of welfare receipt.</w:t>
      </w:r>
    </w:p>
    <w:p w:rsidR="008B098A" w:rsidRPr="00504C95" w:rsidRDefault="002C0FD6" w:rsidP="009E5BF9">
      <w:pPr>
        <w:keepNext/>
        <w:spacing w:after="0"/>
        <w:jc w:val="both"/>
        <w:rPr>
          <w:rFonts w:eastAsiaTheme="majorEastAsia"/>
          <w:b/>
          <w:spacing w:val="5"/>
        </w:rPr>
      </w:pPr>
      <w:r w:rsidRPr="00504C95">
        <w:rPr>
          <w:b/>
        </w:rPr>
        <w:t xml:space="preserve">Figure </w:t>
      </w:r>
      <w:r w:rsidR="00CE6657" w:rsidRPr="00504C95">
        <w:rPr>
          <w:b/>
        </w:rPr>
        <w:t>3</w:t>
      </w:r>
      <w:r w:rsidRPr="00504C95">
        <w:rPr>
          <w:b/>
        </w:rPr>
        <w:t>: Non-</w:t>
      </w:r>
      <w:r w:rsidRPr="00504C95">
        <w:rPr>
          <w:rStyle w:val="BookTitle"/>
          <w:rFonts w:eastAsiaTheme="majorEastAsia"/>
          <w:b/>
          <w:i w:val="0"/>
          <w:iCs w:val="0"/>
          <w:smallCaps w:val="0"/>
        </w:rPr>
        <w:t>engagement and welfare receipt, people with disability</w:t>
      </w:r>
      <w:r w:rsidR="007D14A7" w:rsidRPr="00504C95">
        <w:rPr>
          <w:rStyle w:val="BookTitle"/>
          <w:rFonts w:eastAsiaTheme="majorEastAsia"/>
          <w:b/>
          <w:i w:val="0"/>
          <w:iCs w:val="0"/>
          <w:smallCaps w:val="0"/>
        </w:rPr>
        <w:t xml:space="preserve"> vs. general population</w:t>
      </w:r>
    </w:p>
    <w:p w:rsidR="002C0FD6" w:rsidRDefault="0025759C" w:rsidP="00E51764">
      <w:pPr>
        <w:jc w:val="both"/>
      </w:pPr>
      <w:r>
        <w:rPr>
          <w:noProof/>
        </w:rPr>
        <w:drawing>
          <wp:inline distT="0" distB="0" distL="0" distR="0" wp14:anchorId="53E01745" wp14:editId="56E98815">
            <wp:extent cx="5895975" cy="3028950"/>
            <wp:effectExtent l="0" t="0" r="9525" b="19050"/>
            <wp:docPr id="5" name="Chart 5" descr="This line graph has a vertical axis of percentage from 0 - 100%. The horizontal axis is in ranges of 5 years from 15-19 years to 80 - 84 years and the last increment is for 85+.&#10;&#10;The lines show those: on government benefits, not engaged, on government benefits - people with disability and not engaged - people with disability." title="Non-engagement and welfare receipt, people with disability vs. general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5BF9" w:rsidRDefault="009E5BF9" w:rsidP="00E51764">
      <w:pPr>
        <w:jc w:val="both"/>
      </w:pPr>
    </w:p>
    <w:p w:rsidR="00504C95" w:rsidRDefault="00CE6657" w:rsidP="00E51764">
      <w:pPr>
        <w:jc w:val="both"/>
      </w:pPr>
      <w:r>
        <w:lastRenderedPageBreak/>
        <w:t xml:space="preserve">Figure 4 </w:t>
      </w:r>
      <w:r w:rsidR="00926AA4">
        <w:t>further</w:t>
      </w:r>
      <w:r w:rsidR="007B475C">
        <w:t xml:space="preserve"> </w:t>
      </w:r>
      <w:r w:rsidR="009C642C">
        <w:t>reveals</w:t>
      </w:r>
      <w:r>
        <w:t xml:space="preserve"> that the differences in productive engagement between people with disability and the general population </w:t>
      </w:r>
      <w:r w:rsidR="007410A4">
        <w:t xml:space="preserve">mainly </w:t>
      </w:r>
      <w:r w:rsidR="003F6467">
        <w:t>result from the fact that</w:t>
      </w:r>
      <w:r>
        <w:t xml:space="preserve"> people with disability have much lower rates of employment </w:t>
      </w:r>
      <w:r w:rsidR="00522A8C">
        <w:t>than the general population</w:t>
      </w:r>
      <w:r w:rsidR="003F6467">
        <w:t>,</w:t>
      </w:r>
      <w:r w:rsidR="007410A4">
        <w:t xml:space="preserve"> especially</w:t>
      </w:r>
      <w:r w:rsidR="00522A8C">
        <w:t xml:space="preserve"> </w:t>
      </w:r>
      <w:r w:rsidR="003F6467">
        <w:t>during</w:t>
      </w:r>
      <w:r>
        <w:t xml:space="preserve"> the prime working ages. The differences </w:t>
      </w:r>
      <w:r w:rsidR="002A1801">
        <w:t>between people with disability and the</w:t>
      </w:r>
      <w:r w:rsidR="003F6467">
        <w:t xml:space="preserve"> general</w:t>
      </w:r>
      <w:r w:rsidR="002A1801">
        <w:t xml:space="preserve"> population for </w:t>
      </w:r>
      <w:r w:rsidR="003F6467">
        <w:t>studying, volunteering and caregiving</w:t>
      </w:r>
      <w:r w:rsidR="00926AA4">
        <w:t xml:space="preserve"> </w:t>
      </w:r>
      <w:r>
        <w:t xml:space="preserve">are fairly small. </w:t>
      </w:r>
      <w:r w:rsidR="00926AA4">
        <w:t>I</w:t>
      </w:r>
      <w:r>
        <w:t>n fact</w:t>
      </w:r>
      <w:r w:rsidR="003F6467">
        <w:t>,</w:t>
      </w:r>
      <w:r>
        <w:t xml:space="preserve"> people with dis</w:t>
      </w:r>
      <w:r w:rsidR="007B475C">
        <w:t xml:space="preserve">ability </w:t>
      </w:r>
      <w:r w:rsidR="007F1054">
        <w:t>have higher rate</w:t>
      </w:r>
      <w:r w:rsidR="00926AA4">
        <w:t>s</w:t>
      </w:r>
      <w:r w:rsidR="007F1054">
        <w:t xml:space="preserve"> of </w:t>
      </w:r>
      <w:r w:rsidR="00926AA4">
        <w:t>caregiving</w:t>
      </w:r>
      <w:r w:rsidR="007B475C">
        <w:t xml:space="preserve"> </w:t>
      </w:r>
      <w:r w:rsidR="00926AA4">
        <w:t xml:space="preserve">over </w:t>
      </w:r>
      <w:r w:rsidR="003F6467">
        <w:t xml:space="preserve">most of </w:t>
      </w:r>
      <w:r w:rsidR="00926AA4">
        <w:t>the life course</w:t>
      </w:r>
      <w:r>
        <w:t>.</w:t>
      </w:r>
    </w:p>
    <w:p w:rsidR="006D34A8" w:rsidRPr="00504C95" w:rsidRDefault="006D34A8" w:rsidP="009E5BF9">
      <w:pPr>
        <w:spacing w:after="0"/>
        <w:rPr>
          <w:b/>
          <w:i/>
          <w:smallCaps/>
        </w:rPr>
      </w:pPr>
      <w:r w:rsidRPr="00504C95">
        <w:rPr>
          <w:b/>
        </w:rPr>
        <w:t xml:space="preserve">Figure </w:t>
      </w:r>
      <w:r w:rsidR="00CE6657" w:rsidRPr="00504C95">
        <w:rPr>
          <w:b/>
        </w:rPr>
        <w:t>4</w:t>
      </w:r>
      <w:r w:rsidRPr="00504C95">
        <w:rPr>
          <w:b/>
        </w:rPr>
        <w:t xml:space="preserve">: </w:t>
      </w:r>
      <w:r w:rsidRPr="00504C95">
        <w:rPr>
          <w:rStyle w:val="BookTitle"/>
          <w:rFonts w:eastAsiaTheme="majorEastAsia"/>
          <w:b/>
          <w:i w:val="0"/>
          <w:iCs w:val="0"/>
          <w:smallCaps w:val="0"/>
        </w:rPr>
        <w:t>Productive engagement over the life course, people with disability</w:t>
      </w:r>
      <w:r w:rsidR="007D14A7" w:rsidRPr="00504C95">
        <w:rPr>
          <w:rStyle w:val="BookTitle"/>
          <w:rFonts w:eastAsiaTheme="majorEastAsia"/>
          <w:b/>
          <w:i w:val="0"/>
          <w:iCs w:val="0"/>
          <w:smallCaps w:val="0"/>
        </w:rPr>
        <w:t xml:space="preserve"> vs. general population</w:t>
      </w:r>
    </w:p>
    <w:p w:rsidR="006D34A8" w:rsidRDefault="007F01E4" w:rsidP="006D34A8">
      <w:pPr>
        <w:jc w:val="both"/>
      </w:pPr>
      <w:r>
        <w:rPr>
          <w:noProof/>
        </w:rPr>
        <w:drawing>
          <wp:inline distT="0" distB="0" distL="0" distR="0" wp14:anchorId="58167B8C" wp14:editId="718E959B">
            <wp:extent cx="5943600" cy="2952750"/>
            <wp:effectExtent l="0" t="0" r="19050" b="19050"/>
            <wp:docPr id="6" name="Chart 6" descr="This line graph has a vertical axis of percentage from 0 - 100%. The horizontal axis is in ranges of 5 years from 15-19 years to 80 - 84 years and the last increment is for 85+.&#10;&#10;The lines show those: working, studying, volunteering, caregiving, working - disability, studying - disability, volunteering - disability and caregiving - disability." title="Productive engagement over the life course, people with disability vs. general popul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1801" w:rsidRDefault="002A1801" w:rsidP="002A1801">
      <w:pPr>
        <w:jc w:val="both"/>
      </w:pPr>
      <w:r>
        <w:t>Preliminary multivariate analysis shows that</w:t>
      </w:r>
      <w:r w:rsidR="009709F0">
        <w:t>,</w:t>
      </w:r>
      <w:r>
        <w:t xml:space="preserve"> on average</w:t>
      </w:r>
      <w:r w:rsidR="009709F0">
        <w:t>,</w:t>
      </w:r>
      <w:r>
        <w:t xml:space="preserve"> rates of </w:t>
      </w:r>
      <w:r w:rsidR="009709F0">
        <w:t xml:space="preserve">both </w:t>
      </w:r>
      <w:r>
        <w:t xml:space="preserve">non-engagement and welfare receipt are higher among females, Indigenous </w:t>
      </w:r>
      <w:r w:rsidR="009709F0">
        <w:t>Australians</w:t>
      </w:r>
      <w:r>
        <w:t xml:space="preserve">, migrants (especially those from non-English speaking countries), people with </w:t>
      </w:r>
      <w:r w:rsidR="00E03AF4">
        <w:t xml:space="preserve">a </w:t>
      </w:r>
      <w:r>
        <w:t xml:space="preserve">disability, single people, and people living in regional areas. </w:t>
      </w:r>
    </w:p>
    <w:p w:rsidR="001C60E8" w:rsidRPr="00622221" w:rsidRDefault="002A1801" w:rsidP="00622221">
      <w:pPr>
        <w:jc w:val="both"/>
      </w:pPr>
      <w:r>
        <w:t xml:space="preserve">Overall, the research highlights the potential </w:t>
      </w:r>
      <w:r w:rsidR="009709F0">
        <w:t>for</w:t>
      </w:r>
      <w:r>
        <w:t xml:space="preserve"> more productive engagement among people aged 55 and over</w:t>
      </w:r>
      <w:r w:rsidR="009709F0">
        <w:t>, whose</w:t>
      </w:r>
      <w:r>
        <w:t xml:space="preserve"> rates of non-engagement are </w:t>
      </w:r>
      <w:r w:rsidR="009709F0">
        <w:t xml:space="preserve">currently </w:t>
      </w:r>
      <w:r>
        <w:t xml:space="preserve">substantially higher than </w:t>
      </w:r>
      <w:r w:rsidR="009709F0">
        <w:t>among</w:t>
      </w:r>
      <w:r>
        <w:t xml:space="preserve"> younger </w:t>
      </w:r>
      <w:r w:rsidR="009709F0">
        <w:t>groups</w:t>
      </w:r>
      <w:r w:rsidR="00622221">
        <w:t>.</w:t>
      </w:r>
    </w:p>
    <w:p w:rsidR="00622221" w:rsidRDefault="00622221" w:rsidP="004316C9">
      <w:pPr>
        <w:spacing w:before="0" w:after="0" w:line="240" w:lineRule="auto"/>
        <w:rPr>
          <w:sz w:val="22"/>
          <w:szCs w:val="22"/>
        </w:rPr>
      </w:pPr>
    </w:p>
    <w:p w:rsidR="00622221" w:rsidRPr="003408E2" w:rsidRDefault="00622221" w:rsidP="004316C9">
      <w:pPr>
        <w:spacing w:before="0" w:after="0" w:line="240" w:lineRule="auto"/>
      </w:pPr>
    </w:p>
    <w:sectPr w:rsidR="00622221" w:rsidRPr="003408E2" w:rsidSect="009E5BF9">
      <w:footerReference w:type="default" r:id="rId13"/>
      <w:headerReference w:type="first" r:id="rId14"/>
      <w:footerReference w:type="first" r:id="rId15"/>
      <w:pgSz w:w="11906" w:h="16838" w:code="9"/>
      <w:pgMar w:top="1276" w:right="1080" w:bottom="1440" w:left="1080" w:header="426"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475" w:rsidRDefault="00FD2475">
      <w:r>
        <w:separator/>
      </w:r>
    </w:p>
  </w:endnote>
  <w:endnote w:type="continuationSeparator" w:id="0">
    <w:p w:rsidR="00FD2475" w:rsidRDefault="00FD2475">
      <w:r>
        <w:continuationSeparator/>
      </w:r>
    </w:p>
  </w:endnote>
  <w:endnote w:id="1">
    <w:p w:rsidR="00D40EFA" w:rsidRDefault="00D40EFA" w:rsidP="00D40EFA">
      <w:pPr>
        <w:pStyle w:val="EndnoteText"/>
      </w:pPr>
      <w:r>
        <w:rPr>
          <w:rStyle w:val="EndnoteReference"/>
        </w:rPr>
        <w:endnoteRef/>
      </w:r>
      <w:r>
        <w:t xml:space="preserve"> Morrow-Howell N &amp; Wang Y 2013, Productive engagement of older adults: elements of a cross-cultural research agenda, </w:t>
      </w:r>
      <w:r w:rsidRPr="001F4242">
        <w:rPr>
          <w:i/>
        </w:rPr>
        <w:t>Ageing International</w:t>
      </w:r>
      <w:r>
        <w:t>, vol. 38, no. 2, pp.159</w:t>
      </w:r>
      <w:r w:rsidR="003C3519">
        <w:t>–</w:t>
      </w:r>
      <w:r>
        <w:t xml:space="preserve">70. </w:t>
      </w:r>
    </w:p>
  </w:endnote>
  <w:endnote w:id="2">
    <w:p w:rsidR="00084F0E" w:rsidRPr="00D76512" w:rsidRDefault="008A6C44" w:rsidP="008A6C44">
      <w:pPr>
        <w:pStyle w:val="EndnoteText"/>
        <w:rPr>
          <w:rFonts w:asciiTheme="minorHAnsi" w:hAnsiTheme="minorHAnsi" w:cstheme="minorHAnsi"/>
        </w:rPr>
      </w:pPr>
      <w:r w:rsidRPr="00D76512">
        <w:rPr>
          <w:rStyle w:val="EndnoteReference"/>
          <w:rFonts w:asciiTheme="minorHAnsi" w:hAnsiTheme="minorHAnsi" w:cstheme="minorHAnsi"/>
        </w:rPr>
        <w:endnoteRef/>
      </w:r>
      <w:r w:rsidRPr="00D76512">
        <w:rPr>
          <w:rFonts w:asciiTheme="minorHAnsi" w:hAnsiTheme="minorHAnsi" w:cstheme="minorHAnsi"/>
        </w:rPr>
        <w:t xml:space="preserve"> </w:t>
      </w:r>
      <w:r w:rsidR="00DC5670">
        <w:rPr>
          <w:rFonts w:asciiTheme="minorHAnsi" w:hAnsiTheme="minorHAnsi" w:cstheme="minorHAnsi"/>
        </w:rPr>
        <w:t>NSA (</w:t>
      </w:r>
      <w:r w:rsidR="00A526E1" w:rsidRPr="00084F0E">
        <w:rPr>
          <w:rFonts w:asciiTheme="minorHAnsi" w:hAnsiTheme="minorHAnsi" w:cstheme="minorHAnsi"/>
        </w:rPr>
        <w:t xml:space="preserve">National Seniors Australia 2009, </w:t>
      </w:r>
      <w:r w:rsidR="00A526E1" w:rsidRPr="00084F0E">
        <w:rPr>
          <w:rFonts w:asciiTheme="minorHAnsi" w:eastAsia="Sabon-Italic" w:hAnsiTheme="minorHAnsi" w:cstheme="minorHAnsi"/>
          <w:i/>
          <w:iCs/>
        </w:rPr>
        <w:t>Still Putting In: Measuring the Economic and Social Contributions of Older Australians</w:t>
      </w:r>
      <w:r w:rsidR="00A526E1" w:rsidRPr="00084F0E">
        <w:rPr>
          <w:rFonts w:asciiTheme="minorHAnsi" w:hAnsiTheme="minorHAnsi" w:cstheme="minorHAnsi"/>
        </w:rPr>
        <w:t>, Research Report, National Seniors Australia Productive Ageing Centre, Department</w:t>
      </w:r>
      <w:r w:rsidR="00A526E1">
        <w:rPr>
          <w:rFonts w:asciiTheme="minorHAnsi" w:hAnsiTheme="minorHAnsi" w:cstheme="minorHAnsi"/>
        </w:rPr>
        <w:t xml:space="preserve"> of Health and Ageing, Canberra</w:t>
      </w:r>
      <w:r w:rsidR="00DC5670">
        <w:rPr>
          <w:rFonts w:asciiTheme="minorHAnsi" w:hAnsiTheme="minorHAnsi" w:cstheme="minorHAnsi"/>
        </w:rPr>
        <w:t xml:space="preserve">) estimated the </w:t>
      </w:r>
      <w:r w:rsidRPr="00D76512">
        <w:rPr>
          <w:rFonts w:asciiTheme="minorHAnsi" w:hAnsiTheme="minorHAnsi" w:cstheme="minorHAnsi"/>
        </w:rPr>
        <w:t xml:space="preserve">monetary value of unpaid volunteering, childcare and caregiving work by older Australians </w:t>
      </w:r>
      <w:r w:rsidR="00DC5670">
        <w:rPr>
          <w:rFonts w:asciiTheme="minorHAnsi" w:hAnsiTheme="minorHAnsi" w:cstheme="minorHAnsi"/>
        </w:rPr>
        <w:t xml:space="preserve">to be </w:t>
      </w:r>
      <w:r w:rsidRPr="00D76512">
        <w:rPr>
          <w:rFonts w:asciiTheme="minorHAnsi" w:hAnsiTheme="minorHAnsi" w:cstheme="minorHAnsi"/>
        </w:rPr>
        <w:t>approximately $6.8 billion a year (</w:t>
      </w:r>
      <w:r>
        <w:rPr>
          <w:rFonts w:asciiTheme="minorHAnsi" w:hAnsiTheme="minorHAnsi" w:cstheme="minorHAnsi"/>
        </w:rPr>
        <w:t xml:space="preserve">cited in </w:t>
      </w:r>
      <w:proofErr w:type="spellStart"/>
      <w:r w:rsidRPr="00D76512">
        <w:rPr>
          <w:rFonts w:asciiTheme="minorHAnsi" w:hAnsiTheme="minorHAnsi" w:cstheme="minorHAnsi"/>
        </w:rPr>
        <w:t>Loh</w:t>
      </w:r>
      <w:proofErr w:type="spellEnd"/>
      <w:r w:rsidR="003E487A">
        <w:rPr>
          <w:rFonts w:asciiTheme="minorHAnsi" w:hAnsiTheme="minorHAnsi" w:cstheme="minorHAnsi"/>
        </w:rPr>
        <w:t xml:space="preserve"> &amp; </w:t>
      </w:r>
      <w:proofErr w:type="spellStart"/>
      <w:r w:rsidR="003E487A">
        <w:rPr>
          <w:rFonts w:asciiTheme="minorHAnsi" w:hAnsiTheme="minorHAnsi" w:cstheme="minorHAnsi"/>
        </w:rPr>
        <w:t>Kendig</w:t>
      </w:r>
      <w:proofErr w:type="spellEnd"/>
      <w:r w:rsidRPr="00D76512">
        <w:rPr>
          <w:rFonts w:asciiTheme="minorHAnsi" w:hAnsiTheme="minorHAnsi" w:cstheme="minorHAnsi"/>
        </w:rPr>
        <w:t xml:space="preserve"> 2013</w:t>
      </w:r>
      <w:r w:rsidR="00A526E1" w:rsidRPr="00084F0E">
        <w:rPr>
          <w:szCs w:val="22"/>
        </w:rPr>
        <w:t xml:space="preserve">, Productive engagement across the life course: paid work and beyond, </w:t>
      </w:r>
      <w:r w:rsidR="00A526E1" w:rsidRPr="00084F0E">
        <w:rPr>
          <w:i/>
          <w:szCs w:val="22"/>
        </w:rPr>
        <w:t>Australian Journal of Social Issues</w:t>
      </w:r>
      <w:r w:rsidR="00A526E1" w:rsidRPr="00084F0E">
        <w:rPr>
          <w:szCs w:val="22"/>
        </w:rPr>
        <w:t>, vol. 48, no. 1, pp.111</w:t>
      </w:r>
      <w:r w:rsidR="003C3519">
        <w:rPr>
          <w:szCs w:val="22"/>
        </w:rPr>
        <w:t>–</w:t>
      </w:r>
      <w:r w:rsidR="00A526E1" w:rsidRPr="00084F0E">
        <w:rPr>
          <w:szCs w:val="22"/>
        </w:rPr>
        <w:t>37</w:t>
      </w:r>
      <w:r w:rsidRPr="00D76512">
        <w:rPr>
          <w:rFonts w:asciiTheme="minorHAnsi" w:hAnsiTheme="minorHAnsi" w:cstheme="minorHAnsi"/>
        </w:rPr>
        <w:t>)</w:t>
      </w:r>
      <w:r w:rsidR="00DC5670">
        <w:rPr>
          <w:rFonts w:asciiTheme="minorHAnsi" w:hAnsiTheme="minorHAnsi" w:cstheme="minorHAnsi"/>
        </w:rPr>
        <w:t>.</w:t>
      </w:r>
    </w:p>
  </w:endnote>
  <w:endnote w:id="3">
    <w:p w:rsidR="00084F0E" w:rsidRPr="00A526E1" w:rsidRDefault="003E487A" w:rsidP="00A526E1">
      <w:pPr>
        <w:pStyle w:val="EndnoteText"/>
      </w:pPr>
      <w:r>
        <w:rPr>
          <w:rStyle w:val="EndnoteReference"/>
        </w:rPr>
        <w:endnoteRef/>
      </w:r>
      <w:r>
        <w:t xml:space="preserve"> </w:t>
      </w:r>
      <w:proofErr w:type="spellStart"/>
      <w:r>
        <w:t>Loh</w:t>
      </w:r>
      <w:proofErr w:type="spellEnd"/>
      <w:r>
        <w:t xml:space="preserve"> &amp; </w:t>
      </w:r>
      <w:proofErr w:type="spellStart"/>
      <w:r>
        <w:t>Kendig</w:t>
      </w:r>
      <w:proofErr w:type="spellEnd"/>
      <w:r>
        <w:t xml:space="preserve"> (2013)</w:t>
      </w:r>
      <w:r w:rsidR="00C135A7">
        <w:t xml:space="preserve"> </w:t>
      </w:r>
      <w:r>
        <w:t xml:space="preserve">considered childcare and domestic work </w:t>
      </w:r>
      <w:r w:rsidR="00C135A7">
        <w:t>(</w:t>
      </w:r>
      <w:r w:rsidR="000D3B74">
        <w:t>based on</w:t>
      </w:r>
      <w:r w:rsidR="00C135A7">
        <w:t xml:space="preserve"> the Self-Complete Questionnaire</w:t>
      </w:r>
      <w:r w:rsidR="000D3B74">
        <w:t xml:space="preserve"> of the HILDA Survey </w:t>
      </w:r>
      <w:r w:rsidR="004C648A">
        <w:t>w</w:t>
      </w:r>
      <w:r w:rsidR="000D3B74">
        <w:t>ave 10</w:t>
      </w:r>
      <w:r w:rsidR="00C135A7">
        <w:t>)</w:t>
      </w:r>
      <w:r w:rsidR="009709F0">
        <w:t>,</w:t>
      </w:r>
      <w:r w:rsidR="00C135A7">
        <w:t xml:space="preserve"> </w:t>
      </w:r>
      <w:r w:rsidR="00A526E1">
        <w:t>but not study</w:t>
      </w:r>
      <w:r w:rsidR="009709F0">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abon-Italic">
    <w:altName w:val="MS Mincho"/>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9E5BF9" w:rsidRDefault="009E5BF9" w:rsidP="009E5BF9">
    <w:pPr>
      <w:pStyle w:val="Footer"/>
      <w:tabs>
        <w:tab w:val="clear" w:pos="10433"/>
        <w:tab w:val="right" w:pos="9781"/>
      </w:tabs>
      <w:rPr>
        <w:rFonts w:asciiTheme="minorHAnsi" w:hAnsiTheme="minorHAnsi" w:cstheme="minorHAnsi"/>
        <w:color w:val="000000" w:themeColor="text1"/>
        <w:sz w:val="16"/>
        <w:szCs w:val="16"/>
      </w:rPr>
    </w:pPr>
    <w:r w:rsidRPr="0074638C">
      <w:rPr>
        <w:rFonts w:ascii="Arial" w:hAnsi="Arial" w:cs="Arial"/>
        <w:color w:val="000000" w:themeColor="text1"/>
        <w:sz w:val="16"/>
        <w:szCs w:val="16"/>
      </w:rPr>
      <w:t xml:space="preserve">For queries regarding this research, please email </w:t>
    </w:r>
    <w:hyperlink r:id="rId1" w:history="1">
      <w:r w:rsidRPr="0074638C">
        <w:rPr>
          <w:rStyle w:val="Hyperlink"/>
          <w:rFonts w:ascii="Arial" w:hAnsi="Arial" w:cs="Arial"/>
          <w:b w:val="0"/>
          <w:sz w:val="16"/>
          <w:szCs w:val="16"/>
        </w:rPr>
        <w:t>NCLD@dss.gov.au</w:t>
      </w:r>
    </w:hyperlink>
    <w:r>
      <w:rPr>
        <w:b/>
        <w:color w:val="000000" w:themeColor="text1"/>
      </w:rPr>
      <w:tab/>
    </w:r>
    <w:r w:rsidRPr="00B42948">
      <w:rPr>
        <w:rFonts w:asciiTheme="minorHAnsi" w:hAnsiTheme="minorHAnsi" w:cstheme="minorHAnsi"/>
        <w:color w:val="000000" w:themeColor="text1"/>
        <w:sz w:val="16"/>
        <w:szCs w:val="16"/>
      </w:rPr>
      <w:t xml:space="preserve">Page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PAGE  \* Arabic  \* MERGEFORMAT </w:instrText>
    </w:r>
    <w:r w:rsidRPr="00B42948">
      <w:rPr>
        <w:rFonts w:asciiTheme="minorHAnsi" w:hAnsiTheme="minorHAnsi" w:cstheme="minorHAnsi"/>
        <w:b/>
        <w:color w:val="000000" w:themeColor="text1"/>
        <w:sz w:val="16"/>
        <w:szCs w:val="16"/>
      </w:rPr>
      <w:fldChar w:fldCharType="separate"/>
    </w:r>
    <w:r w:rsidR="00552431">
      <w:rPr>
        <w:rFonts w:asciiTheme="minorHAnsi" w:hAnsiTheme="minorHAnsi" w:cstheme="minorHAnsi"/>
        <w:b/>
        <w:noProof/>
        <w:color w:val="000000" w:themeColor="text1"/>
        <w:sz w:val="16"/>
        <w:szCs w:val="16"/>
      </w:rPr>
      <w:t>4</w:t>
    </w:r>
    <w:r w:rsidRPr="00B42948">
      <w:rPr>
        <w:rFonts w:asciiTheme="minorHAnsi" w:hAnsiTheme="minorHAnsi" w:cstheme="minorHAnsi"/>
        <w:b/>
        <w:color w:val="000000" w:themeColor="text1"/>
        <w:sz w:val="16"/>
        <w:szCs w:val="16"/>
      </w:rPr>
      <w:fldChar w:fldCharType="end"/>
    </w:r>
    <w:r w:rsidRPr="00B42948">
      <w:rPr>
        <w:rFonts w:asciiTheme="minorHAnsi" w:hAnsiTheme="minorHAnsi" w:cstheme="minorHAnsi"/>
        <w:color w:val="000000" w:themeColor="text1"/>
        <w:sz w:val="16"/>
        <w:szCs w:val="16"/>
      </w:rPr>
      <w:t xml:space="preserve"> of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NUMPAGES  \* Arabic  \* MERGEFORMAT </w:instrText>
    </w:r>
    <w:r w:rsidRPr="00B42948">
      <w:rPr>
        <w:rFonts w:asciiTheme="minorHAnsi" w:hAnsiTheme="minorHAnsi" w:cstheme="minorHAnsi"/>
        <w:b/>
        <w:color w:val="000000" w:themeColor="text1"/>
        <w:sz w:val="16"/>
        <w:szCs w:val="16"/>
      </w:rPr>
      <w:fldChar w:fldCharType="separate"/>
    </w:r>
    <w:r w:rsidR="00552431">
      <w:rPr>
        <w:rFonts w:asciiTheme="minorHAnsi" w:hAnsiTheme="minorHAnsi" w:cstheme="minorHAnsi"/>
        <w:b/>
        <w:noProof/>
        <w:color w:val="000000" w:themeColor="text1"/>
        <w:sz w:val="16"/>
        <w:szCs w:val="16"/>
      </w:rPr>
      <w:t>4</w:t>
    </w:r>
    <w:r w:rsidRPr="00B42948">
      <w:rPr>
        <w:rFonts w:asciiTheme="minorHAnsi" w:hAnsiTheme="minorHAnsi" w:cstheme="minorHAnsi"/>
        <w:b/>
        <w:color w:val="000000" w:themeColor="text1"/>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F9" w:rsidRPr="009E5BF9" w:rsidRDefault="009E5BF9" w:rsidP="009E5BF9">
    <w:pPr>
      <w:pStyle w:val="Footer"/>
      <w:tabs>
        <w:tab w:val="clear" w:pos="10433"/>
        <w:tab w:val="right" w:pos="9781"/>
      </w:tabs>
      <w:rPr>
        <w:rFonts w:asciiTheme="minorHAnsi" w:hAnsiTheme="minorHAnsi" w:cstheme="minorHAnsi"/>
        <w:color w:val="000000" w:themeColor="text1"/>
        <w:sz w:val="16"/>
        <w:szCs w:val="16"/>
      </w:rPr>
    </w:pPr>
    <w:r w:rsidRPr="0074638C">
      <w:rPr>
        <w:rFonts w:ascii="Arial" w:hAnsi="Arial" w:cs="Arial"/>
        <w:color w:val="000000" w:themeColor="text1"/>
        <w:sz w:val="16"/>
        <w:szCs w:val="16"/>
      </w:rPr>
      <w:t xml:space="preserve">For queries regarding this research, please email </w:t>
    </w:r>
    <w:hyperlink r:id="rId1" w:history="1">
      <w:r w:rsidRPr="0074638C">
        <w:rPr>
          <w:rStyle w:val="Hyperlink"/>
          <w:rFonts w:ascii="Arial" w:hAnsi="Arial" w:cs="Arial"/>
          <w:b w:val="0"/>
          <w:sz w:val="16"/>
          <w:szCs w:val="16"/>
        </w:rPr>
        <w:t>NCLD@dss.gov.au</w:t>
      </w:r>
    </w:hyperlink>
    <w:r>
      <w:rPr>
        <w:b/>
        <w:color w:val="000000" w:themeColor="text1"/>
      </w:rPr>
      <w:tab/>
    </w:r>
    <w:r w:rsidRPr="00B42948">
      <w:rPr>
        <w:rFonts w:asciiTheme="minorHAnsi" w:hAnsiTheme="minorHAnsi" w:cstheme="minorHAnsi"/>
        <w:color w:val="000000" w:themeColor="text1"/>
        <w:sz w:val="16"/>
        <w:szCs w:val="16"/>
      </w:rPr>
      <w:t xml:space="preserve">Page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PAGE  \* Arabic  \* MERGEFORMAT </w:instrText>
    </w:r>
    <w:r w:rsidRPr="00B42948">
      <w:rPr>
        <w:rFonts w:asciiTheme="minorHAnsi" w:hAnsiTheme="minorHAnsi" w:cstheme="minorHAnsi"/>
        <w:b/>
        <w:color w:val="000000" w:themeColor="text1"/>
        <w:sz w:val="16"/>
        <w:szCs w:val="16"/>
      </w:rPr>
      <w:fldChar w:fldCharType="separate"/>
    </w:r>
    <w:r w:rsidR="00552431">
      <w:rPr>
        <w:rFonts w:asciiTheme="minorHAnsi" w:hAnsiTheme="minorHAnsi" w:cstheme="minorHAnsi"/>
        <w:b/>
        <w:noProof/>
        <w:color w:val="000000" w:themeColor="text1"/>
        <w:sz w:val="16"/>
        <w:szCs w:val="16"/>
      </w:rPr>
      <w:t>1</w:t>
    </w:r>
    <w:r w:rsidRPr="00B42948">
      <w:rPr>
        <w:rFonts w:asciiTheme="minorHAnsi" w:hAnsiTheme="minorHAnsi" w:cstheme="minorHAnsi"/>
        <w:b/>
        <w:color w:val="000000" w:themeColor="text1"/>
        <w:sz w:val="16"/>
        <w:szCs w:val="16"/>
      </w:rPr>
      <w:fldChar w:fldCharType="end"/>
    </w:r>
    <w:r w:rsidRPr="00B42948">
      <w:rPr>
        <w:rFonts w:asciiTheme="minorHAnsi" w:hAnsiTheme="minorHAnsi" w:cstheme="minorHAnsi"/>
        <w:color w:val="000000" w:themeColor="text1"/>
        <w:sz w:val="16"/>
        <w:szCs w:val="16"/>
      </w:rPr>
      <w:t xml:space="preserve"> of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NUMPAGES  \* Arabic  \* MERGEFORMAT </w:instrText>
    </w:r>
    <w:r w:rsidRPr="00B42948">
      <w:rPr>
        <w:rFonts w:asciiTheme="minorHAnsi" w:hAnsiTheme="minorHAnsi" w:cstheme="minorHAnsi"/>
        <w:b/>
        <w:color w:val="000000" w:themeColor="text1"/>
        <w:sz w:val="16"/>
        <w:szCs w:val="16"/>
      </w:rPr>
      <w:fldChar w:fldCharType="separate"/>
    </w:r>
    <w:r w:rsidR="00552431">
      <w:rPr>
        <w:rFonts w:asciiTheme="minorHAnsi" w:hAnsiTheme="minorHAnsi" w:cstheme="minorHAnsi"/>
        <w:b/>
        <w:noProof/>
        <w:color w:val="000000" w:themeColor="text1"/>
        <w:sz w:val="16"/>
        <w:szCs w:val="16"/>
      </w:rPr>
      <w:t>4</w:t>
    </w:r>
    <w:r w:rsidRPr="00B42948">
      <w:rPr>
        <w:rFonts w:asciiTheme="minorHAnsi" w:hAnsiTheme="minorHAnsi" w:cstheme="minorHAnsi"/>
        <w:b/>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475" w:rsidRDefault="00FD2475">
      <w:r>
        <w:separator/>
      </w:r>
    </w:p>
  </w:footnote>
  <w:footnote w:type="continuationSeparator" w:id="0">
    <w:p w:rsidR="00FD2475" w:rsidRDefault="00FD2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F9" w:rsidRDefault="009E5BF9" w:rsidP="009E5BF9">
    <w:pPr>
      <w:pStyle w:val="Header"/>
      <w:spacing w:after="120"/>
      <w:rPr>
        <w:noProof/>
      </w:rPr>
    </w:pPr>
    <w:r w:rsidRPr="00360B93">
      <w:rPr>
        <w:noProof/>
      </w:rPr>
      <w:drawing>
        <wp:anchor distT="0" distB="0" distL="114300" distR="114300" simplePos="0" relativeHeight="251659264" behindDoc="0" locked="0" layoutInCell="1" allowOverlap="1" wp14:anchorId="437FA59B" wp14:editId="13010407">
          <wp:simplePos x="0" y="0"/>
          <wp:positionH relativeFrom="column">
            <wp:posOffset>-31115</wp:posOffset>
          </wp:positionH>
          <wp:positionV relativeFrom="paragraph">
            <wp:posOffset>-127635</wp:posOffset>
          </wp:positionV>
          <wp:extent cx="2313940" cy="616585"/>
          <wp:effectExtent l="0" t="0" r="0" b="0"/>
          <wp:wrapNone/>
          <wp:docPr id="8" name="Picture 20" descr="Australian Government, Department of Social Services logo"/>
          <wp:cNvGraphicFramePr/>
          <a:graphic xmlns:a="http://schemas.openxmlformats.org/drawingml/2006/main">
            <a:graphicData uri="http://schemas.openxmlformats.org/drawingml/2006/picture">
              <pic:pic xmlns:pic="http://schemas.openxmlformats.org/drawingml/2006/picture">
                <pic:nvPicPr>
                  <pic:cNvPr id="21" name="Picture 20" descr="Australian Government, Department of Social Services logo"/>
                  <pic:cNvPicPr/>
                </pic:nvPicPr>
                <pic:blipFill rotWithShape="1">
                  <a:blip r:embed="rId1" cstate="print">
                    <a:extLst>
                      <a:ext uri="{28A0092B-C50C-407E-A947-70E740481C1C}">
                        <a14:useLocalDpi xmlns:a14="http://schemas.microsoft.com/office/drawing/2010/main" val="0"/>
                      </a:ext>
                    </a:extLst>
                  </a:blip>
                  <a:srcRect l="6380" r="57907" b="50000"/>
                  <a:stretch/>
                </pic:blipFill>
                <pic:spPr>
                  <a:xfrm>
                    <a:off x="0" y="0"/>
                    <a:ext cx="2313940" cy="616585"/>
                  </a:xfrm>
                  <a:prstGeom prst="rect">
                    <a:avLst/>
                  </a:prstGeom>
                </pic:spPr>
              </pic:pic>
            </a:graphicData>
          </a:graphic>
        </wp:anchor>
      </w:drawing>
    </w:r>
  </w:p>
  <w:p w:rsidR="009E5BF9" w:rsidRDefault="009E5BF9" w:rsidP="009E5BF9">
    <w:pPr>
      <w:pStyle w:val="Header"/>
      <w:spacing w:after="120"/>
      <w:rPr>
        <w:noProof/>
      </w:rPr>
    </w:pPr>
    <w:r>
      <w:rPr>
        <w:rFonts w:ascii="Calibri" w:hAnsi="Calibri"/>
        <w:b/>
        <w:bCs/>
        <w:smallCaps/>
        <w:noProof/>
        <w:color w:val="500778"/>
        <w:kern w:val="24"/>
        <w:sz w:val="40"/>
        <w:szCs w:val="40"/>
      </w:rPr>
      <w:drawing>
        <wp:anchor distT="0" distB="0" distL="114300" distR="114300" simplePos="0" relativeHeight="251660288" behindDoc="1" locked="0" layoutInCell="1" allowOverlap="1" wp14:anchorId="2904366B" wp14:editId="21A8715A">
          <wp:simplePos x="0" y="0"/>
          <wp:positionH relativeFrom="column">
            <wp:posOffset>4560570</wp:posOffset>
          </wp:positionH>
          <wp:positionV relativeFrom="paragraph">
            <wp:posOffset>98425</wp:posOffset>
          </wp:positionV>
          <wp:extent cx="1666875" cy="762000"/>
          <wp:effectExtent l="0" t="0" r="9525" b="0"/>
          <wp:wrapNone/>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66875" cy="762000"/>
                  </a:xfrm>
                  <a:prstGeom prst="rect">
                    <a:avLst/>
                  </a:prstGeom>
                  <a:noFill/>
                </pic:spPr>
              </pic:pic>
            </a:graphicData>
          </a:graphic>
          <wp14:sizeRelH relativeFrom="margin">
            <wp14:pctWidth>0</wp14:pctWidth>
          </wp14:sizeRelH>
          <wp14:sizeRelV relativeFrom="margin">
            <wp14:pctHeight>0</wp14:pctHeight>
          </wp14:sizeRelV>
        </wp:anchor>
      </w:drawing>
    </w:r>
  </w:p>
  <w:p w:rsidR="009E5BF9" w:rsidRDefault="009E5BF9" w:rsidP="009E5BF9">
    <w:pPr>
      <w:pStyle w:val="Header"/>
      <w:tabs>
        <w:tab w:val="clear" w:pos="4153"/>
        <w:tab w:val="clear" w:pos="8306"/>
        <w:tab w:val="right" w:pos="9639"/>
      </w:tabs>
      <w:spacing w:after="0"/>
      <w:contextualSpacing w:val="0"/>
      <w:rPr>
        <w:noProof/>
      </w:rPr>
    </w:pPr>
  </w:p>
  <w:p w:rsidR="009E5BF9" w:rsidRPr="00901FB7" w:rsidRDefault="009E5BF9" w:rsidP="009E5BF9">
    <w:pPr>
      <w:pStyle w:val="Header"/>
      <w:tabs>
        <w:tab w:val="clear" w:pos="4153"/>
        <w:tab w:val="clear" w:pos="8306"/>
        <w:tab w:val="right" w:pos="9639"/>
      </w:tabs>
      <w:spacing w:after="0"/>
      <w:contextualSpacing w:val="0"/>
      <w:rPr>
        <w:noProof/>
        <w:color w:val="FFFFFF" w:themeColor="background1"/>
      </w:rPr>
    </w:pPr>
  </w:p>
  <w:p w:rsidR="009E5BF9" w:rsidRPr="00901FB7" w:rsidRDefault="009E5BF9" w:rsidP="009E5BF9">
    <w:pPr>
      <w:pStyle w:val="Header"/>
      <w:tabs>
        <w:tab w:val="clear" w:pos="4153"/>
        <w:tab w:val="clear" w:pos="8306"/>
        <w:tab w:val="right" w:pos="9639"/>
      </w:tabs>
      <w:spacing w:after="0"/>
      <w:contextualSpacing w:val="0"/>
      <w:rPr>
        <w:noProof/>
        <w:color w:val="FFFFFF" w:themeColor="background1"/>
      </w:rPr>
    </w:pPr>
    <w:r w:rsidRPr="00901FB7">
      <w:rPr>
        <w:noProof/>
        <w:color w:val="FFFFFF" w:themeColor="background1"/>
      </w:rPr>
      <mc:AlternateContent>
        <mc:Choice Requires="wps">
          <w:drawing>
            <wp:anchor distT="0" distB="0" distL="114300" distR="114300" simplePos="0" relativeHeight="251661312" behindDoc="0" locked="0" layoutInCell="1" allowOverlap="1" wp14:anchorId="5611524D" wp14:editId="718F2E2F">
              <wp:simplePos x="0" y="0"/>
              <wp:positionH relativeFrom="column">
                <wp:posOffset>-95250</wp:posOffset>
              </wp:positionH>
              <wp:positionV relativeFrom="paragraph">
                <wp:posOffset>136525</wp:posOffset>
              </wp:positionV>
              <wp:extent cx="4666280" cy="338554"/>
              <wp:effectExtent l="0" t="0" r="0" b="0"/>
              <wp:wrapNone/>
              <wp:docPr id="15" name="TextBox 14"/>
              <wp:cNvGraphicFramePr/>
              <a:graphic xmlns:a="http://schemas.openxmlformats.org/drawingml/2006/main">
                <a:graphicData uri="http://schemas.microsoft.com/office/word/2010/wordprocessingShape">
                  <wps:wsp>
                    <wps:cNvSpPr txBox="1"/>
                    <wps:spPr>
                      <a:xfrm>
                        <a:off x="0" y="0"/>
                        <a:ext cx="4666280" cy="338554"/>
                      </a:xfrm>
                      <a:prstGeom prst="rect">
                        <a:avLst/>
                      </a:prstGeom>
                      <a:noFill/>
                    </wps:spPr>
                    <wps:txbx>
                      <w:txbxContent>
                        <w:p w:rsidR="009E5BF9" w:rsidRPr="00901FB7" w:rsidRDefault="009E5BF9" w:rsidP="009E5BF9">
                          <w:pPr>
                            <w:pStyle w:val="NormalWeb"/>
                            <w:spacing w:before="0" w:beforeAutospacing="0" w:after="0" w:afterAutospacing="0"/>
                            <w:rPr>
                              <w:rFonts w:ascii="Georgia" w:hAnsi="Georgia" w:cstheme="minorHAnsi"/>
                              <w:sz w:val="28"/>
                            </w:rPr>
                          </w:pPr>
                          <w:r w:rsidRPr="00901FB7">
                            <w:rPr>
                              <w:rFonts w:ascii="Georgia" w:hAnsi="Georgia" w:cstheme="minorHAnsi"/>
                              <w:b/>
                              <w:bCs/>
                              <w:color w:val="500778"/>
                              <w:kern w:val="24"/>
                              <w:sz w:val="28"/>
                              <w:szCs w:val="32"/>
                            </w:rPr>
                            <w:t>National Centre for Longitudinal Data</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14" o:spid="_x0000_s1026" type="#_x0000_t202" style="position:absolute;margin-left:-7.5pt;margin-top:10.75pt;width:367.4pt;height:26.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" filled="f" stroked="f">
              <v:textbox style="mso-fit-shape-to-text:t">
                <w:txbxContent>
                  <w:p w:rsidR="009E5BF9" w:rsidRPr="00901FB7" w:rsidRDefault="009E5BF9" w:rsidP="009E5BF9">
                    <w:pPr>
                      <w:pStyle w:val="NormalWeb"/>
                      <w:spacing w:before="0" w:beforeAutospacing="0" w:after="0" w:afterAutospacing="0"/>
                      <w:rPr>
                        <w:rFonts w:ascii="Georgia" w:hAnsi="Georgia" w:cstheme="minorHAnsi"/>
                        <w:sz w:val="28"/>
                      </w:rPr>
                    </w:pPr>
                    <w:r w:rsidRPr="00901FB7">
                      <w:rPr>
                        <w:rFonts w:ascii="Georgia" w:hAnsi="Georgia" w:cstheme="minorHAnsi"/>
                        <w:b/>
                        <w:bCs/>
                        <w:color w:val="500778"/>
                        <w:kern w:val="24"/>
                        <w:sz w:val="28"/>
                        <w:szCs w:val="32"/>
                      </w:rPr>
                      <w:t>National Centre for Longitudinal Data</w:t>
                    </w:r>
                  </w:p>
                </w:txbxContent>
              </v:textbox>
            </v:shape>
          </w:pict>
        </mc:Fallback>
      </mc:AlternateContent>
    </w:r>
  </w:p>
  <w:p w:rsidR="009E5BF9" w:rsidRPr="00901FB7" w:rsidRDefault="009E5BF9" w:rsidP="009E5BF9">
    <w:pPr>
      <w:pStyle w:val="Header"/>
      <w:tabs>
        <w:tab w:val="clear" w:pos="4153"/>
        <w:tab w:val="clear" w:pos="8306"/>
        <w:tab w:val="right" w:pos="9639"/>
      </w:tabs>
      <w:spacing w:after="0"/>
      <w:contextualSpacing w:val="0"/>
      <w:rPr>
        <w:noProof/>
        <w:color w:val="FFFFFF" w:themeColor="background1"/>
      </w:rPr>
    </w:pPr>
  </w:p>
  <w:p w:rsidR="009E5BF9" w:rsidRPr="00901FB7" w:rsidRDefault="009E5BF9" w:rsidP="009E5BF9">
    <w:pPr>
      <w:pStyle w:val="Header"/>
      <w:tabs>
        <w:tab w:val="clear" w:pos="4153"/>
        <w:tab w:val="clear" w:pos="8306"/>
        <w:tab w:val="right" w:pos="9639"/>
      </w:tabs>
      <w:spacing w:after="0"/>
      <w:contextualSpacing w:val="0"/>
      <w:rPr>
        <w:noProof/>
        <w:color w:val="FFFFFF" w:themeColor="background1"/>
      </w:rPr>
    </w:pPr>
  </w:p>
  <w:p w:rsidR="00360B93" w:rsidRPr="009E5BF9" w:rsidRDefault="009E5BF9" w:rsidP="009E5BF9">
    <w:pPr>
      <w:pStyle w:val="Header"/>
      <w:tabs>
        <w:tab w:val="clear" w:pos="4153"/>
        <w:tab w:val="clear" w:pos="8306"/>
        <w:tab w:val="right" w:pos="9639"/>
      </w:tabs>
      <w:spacing w:after="0"/>
      <w:contextualSpacing w:val="0"/>
      <w:rPr>
        <w:rFonts w:ascii="Arial" w:hAnsi="Arial"/>
        <w:noProof/>
        <w:color w:val="auto"/>
      </w:rPr>
    </w:pPr>
    <w:r w:rsidRPr="00901FB7">
      <w:rPr>
        <w:noProof/>
        <w:color w:val="FFFFFF" w:themeColor="background1"/>
      </w:rPr>
      <mc:AlternateContent>
        <mc:Choice Requires="wps">
          <w:drawing>
            <wp:anchor distT="0" distB="0" distL="114300" distR="114300" simplePos="0" relativeHeight="251662336" behindDoc="0" locked="0" layoutInCell="1" allowOverlap="1" wp14:anchorId="1CEBB597" wp14:editId="19A226B8">
              <wp:simplePos x="0" y="0"/>
              <wp:positionH relativeFrom="column">
                <wp:align>left</wp:align>
              </wp:positionH>
              <wp:positionV relativeFrom="paragraph">
                <wp:posOffset>6985</wp:posOffset>
              </wp:positionV>
              <wp:extent cx="6249600" cy="0"/>
              <wp:effectExtent l="0" t="0" r="18415" b="19050"/>
              <wp:wrapNone/>
              <wp:docPr id="7" name="Straight Connector 4" descr="Decorative"/>
              <wp:cNvGraphicFramePr/>
              <a:graphic xmlns:a="http://schemas.openxmlformats.org/drawingml/2006/main">
                <a:graphicData uri="http://schemas.microsoft.com/office/word/2010/wordprocessingShape">
                  <wps:wsp>
                    <wps:cNvCnPr/>
                    <wps:spPr>
                      <a:xfrm>
                        <a:off x="0" y="0"/>
                        <a:ext cx="6249600" cy="0"/>
                      </a:xfrm>
                      <a:prstGeom prst="line">
                        <a:avLst/>
                      </a:prstGeom>
                      <a:ln w="19050">
                        <a:solidFill>
                          <a:srgbClr val="5007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alt="Decorative" style="position:absolute;z-index:251662336;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 from="0,.55pt" to="49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" strokecolor="#500778" strokeweight="1.5pt"/>
          </w:pict>
        </mc:Fallback>
      </mc:AlternateContent>
    </w:r>
    <w:r w:rsidRPr="00901FB7">
      <w:rPr>
        <w:noProof/>
        <w:color w:val="FFFFFF" w:themeColor="background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9C4483"/>
    <w:multiLevelType w:val="hybridMultilevel"/>
    <w:tmpl w:val="346C5A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7"/>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1"/>
  </w:num>
  <w:num w:numId="23">
    <w:abstractNumId w:val="17"/>
  </w:num>
  <w:num w:numId="24">
    <w:abstractNumId w:val="59"/>
  </w:num>
  <w:num w:numId="25">
    <w:abstractNumId w:val="33"/>
  </w:num>
  <w:num w:numId="26">
    <w:abstractNumId w:val="38"/>
  </w:num>
  <w:num w:numId="27">
    <w:abstractNumId w:val="19"/>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4"/>
  </w:num>
  <w:num w:numId="35">
    <w:abstractNumId w:val="24"/>
  </w:num>
  <w:num w:numId="36">
    <w:abstractNumId w:val="46"/>
  </w:num>
  <w:num w:numId="37">
    <w:abstractNumId w:val="8"/>
  </w:num>
  <w:num w:numId="38">
    <w:abstractNumId w:val="29"/>
  </w:num>
  <w:num w:numId="39">
    <w:abstractNumId w:val="23"/>
  </w:num>
  <w:num w:numId="40">
    <w:abstractNumId w:val="32"/>
  </w:num>
  <w:num w:numId="41">
    <w:abstractNumId w:val="36"/>
  </w:num>
  <w:num w:numId="42">
    <w:abstractNumId w:val="22"/>
  </w:num>
  <w:num w:numId="43">
    <w:abstractNumId w:val="14"/>
  </w:num>
  <w:num w:numId="44">
    <w:abstractNumId w:val="40"/>
  </w:num>
  <w:num w:numId="45">
    <w:abstractNumId w:val="45"/>
  </w:num>
  <w:num w:numId="46">
    <w:abstractNumId w:val="31"/>
  </w:num>
  <w:num w:numId="47">
    <w:abstractNumId w:val="30"/>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5"/>
  </w:num>
  <w:num w:numId="55">
    <w:abstractNumId w:val="18"/>
  </w:num>
  <w:num w:numId="56">
    <w:abstractNumId w:val="28"/>
  </w:num>
  <w:num w:numId="57">
    <w:abstractNumId w:val="27"/>
  </w:num>
  <w:num w:numId="58">
    <w:abstractNumId w:val="10"/>
  </w:num>
  <w:num w:numId="59">
    <w:abstractNumId w:val="35"/>
  </w:num>
  <w:num w:numId="60">
    <w:abstractNumId w:val="6"/>
  </w:num>
  <w:num w:numId="61">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C6"/>
    <w:rsid w:val="00002C18"/>
    <w:rsid w:val="00005326"/>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4D71"/>
    <w:rsid w:val="0006150F"/>
    <w:rsid w:val="00067CD0"/>
    <w:rsid w:val="00074CF9"/>
    <w:rsid w:val="00080ECC"/>
    <w:rsid w:val="00080F2E"/>
    <w:rsid w:val="00081CEB"/>
    <w:rsid w:val="00083791"/>
    <w:rsid w:val="00084F0E"/>
    <w:rsid w:val="00086E3C"/>
    <w:rsid w:val="00087B2C"/>
    <w:rsid w:val="00087DBD"/>
    <w:rsid w:val="00090570"/>
    <w:rsid w:val="00090753"/>
    <w:rsid w:val="00094FB3"/>
    <w:rsid w:val="00096F54"/>
    <w:rsid w:val="00097BFF"/>
    <w:rsid w:val="000A669D"/>
    <w:rsid w:val="000A66A8"/>
    <w:rsid w:val="000C014D"/>
    <w:rsid w:val="000D3B74"/>
    <w:rsid w:val="000D4703"/>
    <w:rsid w:val="000D58B6"/>
    <w:rsid w:val="000D693C"/>
    <w:rsid w:val="000E12D4"/>
    <w:rsid w:val="000F037A"/>
    <w:rsid w:val="000F1A80"/>
    <w:rsid w:val="00104669"/>
    <w:rsid w:val="00110028"/>
    <w:rsid w:val="001164E2"/>
    <w:rsid w:val="00116EDF"/>
    <w:rsid w:val="00121197"/>
    <w:rsid w:val="00124B26"/>
    <w:rsid w:val="00130C4E"/>
    <w:rsid w:val="00131B54"/>
    <w:rsid w:val="00134D1E"/>
    <w:rsid w:val="001354B7"/>
    <w:rsid w:val="001404FA"/>
    <w:rsid w:val="001413C5"/>
    <w:rsid w:val="00142956"/>
    <w:rsid w:val="00143502"/>
    <w:rsid w:val="00144494"/>
    <w:rsid w:val="00144868"/>
    <w:rsid w:val="00157709"/>
    <w:rsid w:val="00163151"/>
    <w:rsid w:val="00167330"/>
    <w:rsid w:val="00167CF4"/>
    <w:rsid w:val="00185F6A"/>
    <w:rsid w:val="001943DD"/>
    <w:rsid w:val="00195374"/>
    <w:rsid w:val="001A127F"/>
    <w:rsid w:val="001A1F53"/>
    <w:rsid w:val="001A3CA4"/>
    <w:rsid w:val="001A3EA4"/>
    <w:rsid w:val="001B3AEC"/>
    <w:rsid w:val="001B4456"/>
    <w:rsid w:val="001B5000"/>
    <w:rsid w:val="001B5AA9"/>
    <w:rsid w:val="001B6F28"/>
    <w:rsid w:val="001C60E8"/>
    <w:rsid w:val="001D0326"/>
    <w:rsid w:val="001D3A6A"/>
    <w:rsid w:val="001D4585"/>
    <w:rsid w:val="001D5D54"/>
    <w:rsid w:val="001E41C8"/>
    <w:rsid w:val="001F3AD7"/>
    <w:rsid w:val="001F4242"/>
    <w:rsid w:val="001F6978"/>
    <w:rsid w:val="00200257"/>
    <w:rsid w:val="00207630"/>
    <w:rsid w:val="00213082"/>
    <w:rsid w:val="00213B52"/>
    <w:rsid w:val="0021714E"/>
    <w:rsid w:val="00220E0A"/>
    <w:rsid w:val="00222187"/>
    <w:rsid w:val="00222C8D"/>
    <w:rsid w:val="00222E33"/>
    <w:rsid w:val="00227B95"/>
    <w:rsid w:val="0023523A"/>
    <w:rsid w:val="002353DF"/>
    <w:rsid w:val="00235F71"/>
    <w:rsid w:val="00243C80"/>
    <w:rsid w:val="00244CB7"/>
    <w:rsid w:val="0025272A"/>
    <w:rsid w:val="0025759C"/>
    <w:rsid w:val="0025775A"/>
    <w:rsid w:val="00257CA4"/>
    <w:rsid w:val="00263704"/>
    <w:rsid w:val="00265FC6"/>
    <w:rsid w:val="00271922"/>
    <w:rsid w:val="0027204E"/>
    <w:rsid w:val="00273412"/>
    <w:rsid w:val="00274ACF"/>
    <w:rsid w:val="00285F1B"/>
    <w:rsid w:val="00295831"/>
    <w:rsid w:val="00296F1B"/>
    <w:rsid w:val="002A0A00"/>
    <w:rsid w:val="002A1801"/>
    <w:rsid w:val="002A6DF5"/>
    <w:rsid w:val="002B33CD"/>
    <w:rsid w:val="002C0FD6"/>
    <w:rsid w:val="002C609B"/>
    <w:rsid w:val="002D00B0"/>
    <w:rsid w:val="002D2E16"/>
    <w:rsid w:val="002F19EF"/>
    <w:rsid w:val="002F3EA6"/>
    <w:rsid w:val="00302415"/>
    <w:rsid w:val="0030355B"/>
    <w:rsid w:val="003102F6"/>
    <w:rsid w:val="00313304"/>
    <w:rsid w:val="00313C48"/>
    <w:rsid w:val="003162AD"/>
    <w:rsid w:val="00321148"/>
    <w:rsid w:val="00321798"/>
    <w:rsid w:val="003218C6"/>
    <w:rsid w:val="00325F44"/>
    <w:rsid w:val="00326976"/>
    <w:rsid w:val="003311D7"/>
    <w:rsid w:val="00332B8B"/>
    <w:rsid w:val="003408E2"/>
    <w:rsid w:val="00347104"/>
    <w:rsid w:val="0035213F"/>
    <w:rsid w:val="003555D2"/>
    <w:rsid w:val="00360B93"/>
    <w:rsid w:val="00362E57"/>
    <w:rsid w:val="00363982"/>
    <w:rsid w:val="00363DF3"/>
    <w:rsid w:val="003656B1"/>
    <w:rsid w:val="00365836"/>
    <w:rsid w:val="003701FB"/>
    <w:rsid w:val="0037056B"/>
    <w:rsid w:val="00377173"/>
    <w:rsid w:val="003774DA"/>
    <w:rsid w:val="00380127"/>
    <w:rsid w:val="00380B54"/>
    <w:rsid w:val="00390B1E"/>
    <w:rsid w:val="00392557"/>
    <w:rsid w:val="003945C0"/>
    <w:rsid w:val="003A06C2"/>
    <w:rsid w:val="003B6D2E"/>
    <w:rsid w:val="003C3519"/>
    <w:rsid w:val="003C430D"/>
    <w:rsid w:val="003C5DDD"/>
    <w:rsid w:val="003C6F6C"/>
    <w:rsid w:val="003C7404"/>
    <w:rsid w:val="003D3C5A"/>
    <w:rsid w:val="003D3ED3"/>
    <w:rsid w:val="003D404A"/>
    <w:rsid w:val="003E487A"/>
    <w:rsid w:val="003E6FDA"/>
    <w:rsid w:val="003F01B4"/>
    <w:rsid w:val="003F3072"/>
    <w:rsid w:val="003F6467"/>
    <w:rsid w:val="00401A2A"/>
    <w:rsid w:val="004103D7"/>
    <w:rsid w:val="004104F9"/>
    <w:rsid w:val="004126B7"/>
    <w:rsid w:val="0041307C"/>
    <w:rsid w:val="00415137"/>
    <w:rsid w:val="004167B4"/>
    <w:rsid w:val="004302B7"/>
    <w:rsid w:val="00430D7E"/>
    <w:rsid w:val="004316C9"/>
    <w:rsid w:val="00433B04"/>
    <w:rsid w:val="00440BD3"/>
    <w:rsid w:val="00446F93"/>
    <w:rsid w:val="0045218A"/>
    <w:rsid w:val="00463D04"/>
    <w:rsid w:val="004649E2"/>
    <w:rsid w:val="00464E8C"/>
    <w:rsid w:val="00466D36"/>
    <w:rsid w:val="00466E76"/>
    <w:rsid w:val="00467185"/>
    <w:rsid w:val="0046755D"/>
    <w:rsid w:val="00467771"/>
    <w:rsid w:val="0047050C"/>
    <w:rsid w:val="00475504"/>
    <w:rsid w:val="00480F21"/>
    <w:rsid w:val="00484FED"/>
    <w:rsid w:val="0049026A"/>
    <w:rsid w:val="00494830"/>
    <w:rsid w:val="00495AF1"/>
    <w:rsid w:val="00496054"/>
    <w:rsid w:val="004A292B"/>
    <w:rsid w:val="004B6F74"/>
    <w:rsid w:val="004C648A"/>
    <w:rsid w:val="004F775C"/>
    <w:rsid w:val="005015E4"/>
    <w:rsid w:val="0050291D"/>
    <w:rsid w:val="00504C95"/>
    <w:rsid w:val="0050697E"/>
    <w:rsid w:val="005109A7"/>
    <w:rsid w:val="005147E3"/>
    <w:rsid w:val="00515FED"/>
    <w:rsid w:val="00522A8C"/>
    <w:rsid w:val="00524B3C"/>
    <w:rsid w:val="005315A9"/>
    <w:rsid w:val="005316BE"/>
    <w:rsid w:val="00532B56"/>
    <w:rsid w:val="00540AD0"/>
    <w:rsid w:val="00541229"/>
    <w:rsid w:val="0054322A"/>
    <w:rsid w:val="00543923"/>
    <w:rsid w:val="005449E3"/>
    <w:rsid w:val="005519C9"/>
    <w:rsid w:val="005523D1"/>
    <w:rsid w:val="00552431"/>
    <w:rsid w:val="00554A9C"/>
    <w:rsid w:val="0055681D"/>
    <w:rsid w:val="00557624"/>
    <w:rsid w:val="0056023E"/>
    <w:rsid w:val="00561823"/>
    <w:rsid w:val="00564573"/>
    <w:rsid w:val="005658EF"/>
    <w:rsid w:val="0057047B"/>
    <w:rsid w:val="005733C1"/>
    <w:rsid w:val="00580468"/>
    <w:rsid w:val="005822A3"/>
    <w:rsid w:val="005856F3"/>
    <w:rsid w:val="0059070B"/>
    <w:rsid w:val="0059350F"/>
    <w:rsid w:val="0059362C"/>
    <w:rsid w:val="00594445"/>
    <w:rsid w:val="005A4694"/>
    <w:rsid w:val="005B1225"/>
    <w:rsid w:val="005C09F4"/>
    <w:rsid w:val="005C45C2"/>
    <w:rsid w:val="005C561A"/>
    <w:rsid w:val="005C5B93"/>
    <w:rsid w:val="005C66FF"/>
    <w:rsid w:val="005C785A"/>
    <w:rsid w:val="005D03CA"/>
    <w:rsid w:val="005D45AB"/>
    <w:rsid w:val="005E418E"/>
    <w:rsid w:val="005E4662"/>
    <w:rsid w:val="005E5BEC"/>
    <w:rsid w:val="005F093F"/>
    <w:rsid w:val="005F214A"/>
    <w:rsid w:val="005F6BD6"/>
    <w:rsid w:val="00601C99"/>
    <w:rsid w:val="00606DDC"/>
    <w:rsid w:val="00607597"/>
    <w:rsid w:val="00622221"/>
    <w:rsid w:val="006255E4"/>
    <w:rsid w:val="00641020"/>
    <w:rsid w:val="006410C1"/>
    <w:rsid w:val="0064528C"/>
    <w:rsid w:val="00647F05"/>
    <w:rsid w:val="006530EF"/>
    <w:rsid w:val="00654D06"/>
    <w:rsid w:val="006576E0"/>
    <w:rsid w:val="00661536"/>
    <w:rsid w:val="00671094"/>
    <w:rsid w:val="0067233D"/>
    <w:rsid w:val="006745AE"/>
    <w:rsid w:val="00675BEF"/>
    <w:rsid w:val="00676AF3"/>
    <w:rsid w:val="00676D10"/>
    <w:rsid w:val="00680F71"/>
    <w:rsid w:val="00682A53"/>
    <w:rsid w:val="0069174B"/>
    <w:rsid w:val="00693FA1"/>
    <w:rsid w:val="006B05E3"/>
    <w:rsid w:val="006B09BC"/>
    <w:rsid w:val="006B42A0"/>
    <w:rsid w:val="006B4E59"/>
    <w:rsid w:val="006C16BF"/>
    <w:rsid w:val="006C3402"/>
    <w:rsid w:val="006C3622"/>
    <w:rsid w:val="006C395C"/>
    <w:rsid w:val="006C3EF1"/>
    <w:rsid w:val="006C45D4"/>
    <w:rsid w:val="006D0041"/>
    <w:rsid w:val="006D34A8"/>
    <w:rsid w:val="006E1F3C"/>
    <w:rsid w:val="006E6073"/>
    <w:rsid w:val="006F38D7"/>
    <w:rsid w:val="006F7300"/>
    <w:rsid w:val="00703C09"/>
    <w:rsid w:val="00712300"/>
    <w:rsid w:val="00720739"/>
    <w:rsid w:val="00720C88"/>
    <w:rsid w:val="00721695"/>
    <w:rsid w:val="007242B4"/>
    <w:rsid w:val="00724368"/>
    <w:rsid w:val="0072578C"/>
    <w:rsid w:val="00725FB2"/>
    <w:rsid w:val="00727EDA"/>
    <w:rsid w:val="007309A8"/>
    <w:rsid w:val="00730C64"/>
    <w:rsid w:val="007322AF"/>
    <w:rsid w:val="00735122"/>
    <w:rsid w:val="00735477"/>
    <w:rsid w:val="00736DCA"/>
    <w:rsid w:val="007410A4"/>
    <w:rsid w:val="00742399"/>
    <w:rsid w:val="007457E8"/>
    <w:rsid w:val="0074640C"/>
    <w:rsid w:val="0075003D"/>
    <w:rsid w:val="007502DC"/>
    <w:rsid w:val="00751B37"/>
    <w:rsid w:val="0075333B"/>
    <w:rsid w:val="00754D44"/>
    <w:rsid w:val="00767B7E"/>
    <w:rsid w:val="007746A9"/>
    <w:rsid w:val="00780E79"/>
    <w:rsid w:val="00785465"/>
    <w:rsid w:val="00787656"/>
    <w:rsid w:val="00794E8B"/>
    <w:rsid w:val="00796404"/>
    <w:rsid w:val="00796BB1"/>
    <w:rsid w:val="007A4B82"/>
    <w:rsid w:val="007A67EA"/>
    <w:rsid w:val="007B15AF"/>
    <w:rsid w:val="007B475C"/>
    <w:rsid w:val="007B7E83"/>
    <w:rsid w:val="007C1631"/>
    <w:rsid w:val="007C636F"/>
    <w:rsid w:val="007D0EF8"/>
    <w:rsid w:val="007D14A7"/>
    <w:rsid w:val="007D39EB"/>
    <w:rsid w:val="007F01E4"/>
    <w:rsid w:val="007F1054"/>
    <w:rsid w:val="00807CC8"/>
    <w:rsid w:val="008113DD"/>
    <w:rsid w:val="008131E7"/>
    <w:rsid w:val="00813711"/>
    <w:rsid w:val="00814279"/>
    <w:rsid w:val="0081438B"/>
    <w:rsid w:val="008263C2"/>
    <w:rsid w:val="008375EE"/>
    <w:rsid w:val="00842959"/>
    <w:rsid w:val="0084297F"/>
    <w:rsid w:val="008451FE"/>
    <w:rsid w:val="008466A1"/>
    <w:rsid w:val="00846C1D"/>
    <w:rsid w:val="00846D8F"/>
    <w:rsid w:val="00847D93"/>
    <w:rsid w:val="00851758"/>
    <w:rsid w:val="00856D5A"/>
    <w:rsid w:val="008609EB"/>
    <w:rsid w:val="00862D6D"/>
    <w:rsid w:val="008653E0"/>
    <w:rsid w:val="008657FB"/>
    <w:rsid w:val="00871D4F"/>
    <w:rsid w:val="00874B99"/>
    <w:rsid w:val="00874FB3"/>
    <w:rsid w:val="00880BE3"/>
    <w:rsid w:val="008811C6"/>
    <w:rsid w:val="00881863"/>
    <w:rsid w:val="00882588"/>
    <w:rsid w:val="00894E7E"/>
    <w:rsid w:val="00895792"/>
    <w:rsid w:val="008A3738"/>
    <w:rsid w:val="008A6C44"/>
    <w:rsid w:val="008B098A"/>
    <w:rsid w:val="008B1214"/>
    <w:rsid w:val="008B645B"/>
    <w:rsid w:val="008B67B8"/>
    <w:rsid w:val="008B774D"/>
    <w:rsid w:val="008C123E"/>
    <w:rsid w:val="008C2B70"/>
    <w:rsid w:val="008C3ED0"/>
    <w:rsid w:val="008C5585"/>
    <w:rsid w:val="008C5E94"/>
    <w:rsid w:val="008D4A41"/>
    <w:rsid w:val="008E6E9D"/>
    <w:rsid w:val="008F2076"/>
    <w:rsid w:val="008F558B"/>
    <w:rsid w:val="008F68F7"/>
    <w:rsid w:val="008F7480"/>
    <w:rsid w:val="009037B6"/>
    <w:rsid w:val="00906CBE"/>
    <w:rsid w:val="00906FFA"/>
    <w:rsid w:val="00910384"/>
    <w:rsid w:val="009139C0"/>
    <w:rsid w:val="009161C8"/>
    <w:rsid w:val="009164AD"/>
    <w:rsid w:val="00922289"/>
    <w:rsid w:val="00926AA4"/>
    <w:rsid w:val="00927150"/>
    <w:rsid w:val="009306D5"/>
    <w:rsid w:val="00936F46"/>
    <w:rsid w:val="0094271E"/>
    <w:rsid w:val="00943142"/>
    <w:rsid w:val="00943A29"/>
    <w:rsid w:val="00947707"/>
    <w:rsid w:val="009503F1"/>
    <w:rsid w:val="0095197E"/>
    <w:rsid w:val="00952AB2"/>
    <w:rsid w:val="009551E0"/>
    <w:rsid w:val="00955801"/>
    <w:rsid w:val="0095654E"/>
    <w:rsid w:val="00956F3C"/>
    <w:rsid w:val="0095779B"/>
    <w:rsid w:val="0096485D"/>
    <w:rsid w:val="009709F0"/>
    <w:rsid w:val="00974DB5"/>
    <w:rsid w:val="00981E3C"/>
    <w:rsid w:val="009900F0"/>
    <w:rsid w:val="00991769"/>
    <w:rsid w:val="009928F2"/>
    <w:rsid w:val="00994E9F"/>
    <w:rsid w:val="00996931"/>
    <w:rsid w:val="009A4CD8"/>
    <w:rsid w:val="009B0642"/>
    <w:rsid w:val="009B3ED1"/>
    <w:rsid w:val="009C433C"/>
    <w:rsid w:val="009C642C"/>
    <w:rsid w:val="009D2031"/>
    <w:rsid w:val="009D28B7"/>
    <w:rsid w:val="009D7E1A"/>
    <w:rsid w:val="009E2162"/>
    <w:rsid w:val="009E31E9"/>
    <w:rsid w:val="009E5BF9"/>
    <w:rsid w:val="009F0692"/>
    <w:rsid w:val="00A006EB"/>
    <w:rsid w:val="00A03709"/>
    <w:rsid w:val="00A04B35"/>
    <w:rsid w:val="00A06C77"/>
    <w:rsid w:val="00A10147"/>
    <w:rsid w:val="00A13D26"/>
    <w:rsid w:val="00A146A5"/>
    <w:rsid w:val="00A17411"/>
    <w:rsid w:val="00A2223D"/>
    <w:rsid w:val="00A223EF"/>
    <w:rsid w:val="00A26B6A"/>
    <w:rsid w:val="00A27B58"/>
    <w:rsid w:val="00A30C9B"/>
    <w:rsid w:val="00A34A74"/>
    <w:rsid w:val="00A35351"/>
    <w:rsid w:val="00A42ADE"/>
    <w:rsid w:val="00A526E1"/>
    <w:rsid w:val="00A54B02"/>
    <w:rsid w:val="00A60693"/>
    <w:rsid w:val="00A67728"/>
    <w:rsid w:val="00A76863"/>
    <w:rsid w:val="00A81A4F"/>
    <w:rsid w:val="00A82E14"/>
    <w:rsid w:val="00A87817"/>
    <w:rsid w:val="00A901E9"/>
    <w:rsid w:val="00A96477"/>
    <w:rsid w:val="00A9762C"/>
    <w:rsid w:val="00AA4067"/>
    <w:rsid w:val="00AB1A5B"/>
    <w:rsid w:val="00AC0A54"/>
    <w:rsid w:val="00AC125E"/>
    <w:rsid w:val="00AC45DF"/>
    <w:rsid w:val="00AC474D"/>
    <w:rsid w:val="00AC4DFD"/>
    <w:rsid w:val="00AC58FD"/>
    <w:rsid w:val="00AC60CD"/>
    <w:rsid w:val="00AD60E6"/>
    <w:rsid w:val="00AD793A"/>
    <w:rsid w:val="00AE02E7"/>
    <w:rsid w:val="00AE5956"/>
    <w:rsid w:val="00AE619F"/>
    <w:rsid w:val="00AF30CC"/>
    <w:rsid w:val="00AF373A"/>
    <w:rsid w:val="00AF7EFE"/>
    <w:rsid w:val="00B03BEE"/>
    <w:rsid w:val="00B049AA"/>
    <w:rsid w:val="00B0517E"/>
    <w:rsid w:val="00B056E2"/>
    <w:rsid w:val="00B11314"/>
    <w:rsid w:val="00B1192C"/>
    <w:rsid w:val="00B138E3"/>
    <w:rsid w:val="00B16942"/>
    <w:rsid w:val="00B23267"/>
    <w:rsid w:val="00B25891"/>
    <w:rsid w:val="00B27149"/>
    <w:rsid w:val="00B364F8"/>
    <w:rsid w:val="00B40BC7"/>
    <w:rsid w:val="00B40D26"/>
    <w:rsid w:val="00B438B9"/>
    <w:rsid w:val="00B4451B"/>
    <w:rsid w:val="00B51316"/>
    <w:rsid w:val="00B72D62"/>
    <w:rsid w:val="00B843C8"/>
    <w:rsid w:val="00B86FF3"/>
    <w:rsid w:val="00B919E5"/>
    <w:rsid w:val="00B951E2"/>
    <w:rsid w:val="00B96F37"/>
    <w:rsid w:val="00BA607C"/>
    <w:rsid w:val="00BB1135"/>
    <w:rsid w:val="00BB3E2A"/>
    <w:rsid w:val="00BB66E3"/>
    <w:rsid w:val="00BC16F5"/>
    <w:rsid w:val="00BC287D"/>
    <w:rsid w:val="00BC4A76"/>
    <w:rsid w:val="00BD32E5"/>
    <w:rsid w:val="00BD6C6D"/>
    <w:rsid w:val="00BD7ADD"/>
    <w:rsid w:val="00BE32A7"/>
    <w:rsid w:val="00BE41C3"/>
    <w:rsid w:val="00BE6767"/>
    <w:rsid w:val="00BE68D7"/>
    <w:rsid w:val="00BF7763"/>
    <w:rsid w:val="00C004CF"/>
    <w:rsid w:val="00C04D5E"/>
    <w:rsid w:val="00C135A7"/>
    <w:rsid w:val="00C24EA2"/>
    <w:rsid w:val="00C24F70"/>
    <w:rsid w:val="00C33479"/>
    <w:rsid w:val="00C3471F"/>
    <w:rsid w:val="00C47BA2"/>
    <w:rsid w:val="00C612DC"/>
    <w:rsid w:val="00C622CB"/>
    <w:rsid w:val="00C64D15"/>
    <w:rsid w:val="00C74F74"/>
    <w:rsid w:val="00C7554B"/>
    <w:rsid w:val="00C83E31"/>
    <w:rsid w:val="00C916A4"/>
    <w:rsid w:val="00CA0430"/>
    <w:rsid w:val="00CA2A52"/>
    <w:rsid w:val="00CA2B15"/>
    <w:rsid w:val="00CA42BC"/>
    <w:rsid w:val="00CA6490"/>
    <w:rsid w:val="00CB5744"/>
    <w:rsid w:val="00CB7022"/>
    <w:rsid w:val="00CD1937"/>
    <w:rsid w:val="00CE214C"/>
    <w:rsid w:val="00CE6657"/>
    <w:rsid w:val="00CE6858"/>
    <w:rsid w:val="00CF50BE"/>
    <w:rsid w:val="00CF6A52"/>
    <w:rsid w:val="00CF7637"/>
    <w:rsid w:val="00D03583"/>
    <w:rsid w:val="00D03B27"/>
    <w:rsid w:val="00D117B4"/>
    <w:rsid w:val="00D15A48"/>
    <w:rsid w:val="00D169F7"/>
    <w:rsid w:val="00D26D01"/>
    <w:rsid w:val="00D33DA3"/>
    <w:rsid w:val="00D40EFA"/>
    <w:rsid w:val="00D4723B"/>
    <w:rsid w:val="00D55EE8"/>
    <w:rsid w:val="00D5785A"/>
    <w:rsid w:val="00D57DA5"/>
    <w:rsid w:val="00D611DC"/>
    <w:rsid w:val="00D64C48"/>
    <w:rsid w:val="00D66D7A"/>
    <w:rsid w:val="00D731C4"/>
    <w:rsid w:val="00D76512"/>
    <w:rsid w:val="00D76BB8"/>
    <w:rsid w:val="00D81BAA"/>
    <w:rsid w:val="00D85BE0"/>
    <w:rsid w:val="00D87C1A"/>
    <w:rsid w:val="00D87FD7"/>
    <w:rsid w:val="00D92167"/>
    <w:rsid w:val="00D9502B"/>
    <w:rsid w:val="00D97047"/>
    <w:rsid w:val="00D97108"/>
    <w:rsid w:val="00DA008A"/>
    <w:rsid w:val="00DA44DF"/>
    <w:rsid w:val="00DA4DD1"/>
    <w:rsid w:val="00DA70BF"/>
    <w:rsid w:val="00DB29EA"/>
    <w:rsid w:val="00DC5665"/>
    <w:rsid w:val="00DC5670"/>
    <w:rsid w:val="00DD428B"/>
    <w:rsid w:val="00DD4F44"/>
    <w:rsid w:val="00DD5D8B"/>
    <w:rsid w:val="00DE0109"/>
    <w:rsid w:val="00DE0F9E"/>
    <w:rsid w:val="00DE5D76"/>
    <w:rsid w:val="00E03AF4"/>
    <w:rsid w:val="00E04C8D"/>
    <w:rsid w:val="00E0650C"/>
    <w:rsid w:val="00E128D8"/>
    <w:rsid w:val="00E203AB"/>
    <w:rsid w:val="00E30D45"/>
    <w:rsid w:val="00E36E0B"/>
    <w:rsid w:val="00E4012A"/>
    <w:rsid w:val="00E421CE"/>
    <w:rsid w:val="00E42FE4"/>
    <w:rsid w:val="00E46FAA"/>
    <w:rsid w:val="00E51764"/>
    <w:rsid w:val="00E5750B"/>
    <w:rsid w:val="00E60E2E"/>
    <w:rsid w:val="00E63A24"/>
    <w:rsid w:val="00E65DE0"/>
    <w:rsid w:val="00E71A2D"/>
    <w:rsid w:val="00E8698A"/>
    <w:rsid w:val="00E923F2"/>
    <w:rsid w:val="00E95403"/>
    <w:rsid w:val="00E95E84"/>
    <w:rsid w:val="00EA2150"/>
    <w:rsid w:val="00EA31CC"/>
    <w:rsid w:val="00EB14DF"/>
    <w:rsid w:val="00EB2B64"/>
    <w:rsid w:val="00EB3A07"/>
    <w:rsid w:val="00EB4143"/>
    <w:rsid w:val="00EB4728"/>
    <w:rsid w:val="00EC207A"/>
    <w:rsid w:val="00EC3F31"/>
    <w:rsid w:val="00ED3C91"/>
    <w:rsid w:val="00ED4112"/>
    <w:rsid w:val="00EE5ED4"/>
    <w:rsid w:val="00EE6C37"/>
    <w:rsid w:val="00EE764E"/>
    <w:rsid w:val="00EF1347"/>
    <w:rsid w:val="00EF2BEB"/>
    <w:rsid w:val="00EF44AA"/>
    <w:rsid w:val="00F01129"/>
    <w:rsid w:val="00F03D93"/>
    <w:rsid w:val="00F03D9E"/>
    <w:rsid w:val="00F04E5B"/>
    <w:rsid w:val="00F16D06"/>
    <w:rsid w:val="00F227BF"/>
    <w:rsid w:val="00F27E94"/>
    <w:rsid w:val="00F374B2"/>
    <w:rsid w:val="00F40AFC"/>
    <w:rsid w:val="00F4730E"/>
    <w:rsid w:val="00F50A92"/>
    <w:rsid w:val="00F53F24"/>
    <w:rsid w:val="00F63341"/>
    <w:rsid w:val="00F71FCA"/>
    <w:rsid w:val="00F7536E"/>
    <w:rsid w:val="00F7790B"/>
    <w:rsid w:val="00F81F93"/>
    <w:rsid w:val="00F86F1B"/>
    <w:rsid w:val="00F92A21"/>
    <w:rsid w:val="00F92E9B"/>
    <w:rsid w:val="00F95814"/>
    <w:rsid w:val="00FA01D9"/>
    <w:rsid w:val="00FA031C"/>
    <w:rsid w:val="00FA72C0"/>
    <w:rsid w:val="00FB13C1"/>
    <w:rsid w:val="00FB420B"/>
    <w:rsid w:val="00FB79BE"/>
    <w:rsid w:val="00FC1C5F"/>
    <w:rsid w:val="00FC5267"/>
    <w:rsid w:val="00FC5C0C"/>
    <w:rsid w:val="00FC64EF"/>
    <w:rsid w:val="00FD2475"/>
    <w:rsid w:val="00FD2673"/>
    <w:rsid w:val="00FD42D9"/>
    <w:rsid w:val="00FE2A29"/>
    <w:rsid w:val="00FE69A7"/>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List Bullet" w:qFormat="1"/>
    <w:lsdException w:name="Title" w:uiPriority="99" w:qFormat="1"/>
    <w:lsdException w:name="Subtitle" w:qFormat="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096F54"/>
    <w:pPr>
      <w:keepNext/>
      <w:keepLines/>
      <w:spacing w:before="240" w:line="240" w:lineRule="auto"/>
      <w:contextualSpacing/>
      <w:outlineLvl w:val="0"/>
    </w:pPr>
    <w:rPr>
      <w:rFonts w:ascii="Georgia" w:hAnsi="Georgia" w:cs="Arial"/>
      <w:bCs/>
      <w:color w:val="A6192E"/>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096F54"/>
    <w:pPr>
      <w:keepNext/>
      <w:keepLines/>
      <w:spacing w:line="240" w:lineRule="auto"/>
      <w:contextualSpacing/>
      <w:outlineLvl w:val="2"/>
    </w:pPr>
    <w:rPr>
      <w:rFonts w:ascii="Georgia" w:hAnsi="Georgia" w:cs="Arial"/>
      <w:bCs/>
      <w:color w:val="A6192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6BE"/>
    <w:pPr>
      <w:tabs>
        <w:tab w:val="center" w:pos="4153"/>
        <w:tab w:val="right" w:pos="8306"/>
      </w:tabs>
      <w:spacing w:before="0" w:after="737" w:line="240" w:lineRule="auto"/>
      <w:contextualSpacing/>
    </w:pPr>
    <w:rPr>
      <w:rFonts w:ascii="Georgia" w:hAnsi="Georgia"/>
      <w:color w:val="A6192E"/>
    </w:rPr>
  </w:style>
  <w:style w:type="paragraph" w:styleId="Title">
    <w:name w:val="Title"/>
    <w:basedOn w:val="Normal"/>
    <w:link w:val="TitleChar"/>
    <w:uiPriority w:val="99"/>
    <w:qFormat/>
    <w:rsid w:val="003408E2"/>
    <w:pPr>
      <w:spacing w:before="0" w:after="60" w:line="240" w:lineRule="auto"/>
      <w:contextualSpacing/>
      <w:outlineLvl w:val="0"/>
    </w:pPr>
    <w:rPr>
      <w:rFonts w:ascii="Georgia" w:hAnsi="Georgia" w:cs="Arial"/>
      <w:bCs/>
      <w:color w:val="A6192E"/>
      <w:spacing w:val="-4"/>
      <w:kern w:val="28"/>
      <w:sz w:val="5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096F54"/>
    <w:pPr>
      <w:tabs>
        <w:tab w:val="right" w:pos="10433"/>
      </w:tabs>
      <w:spacing w:before="0" w:after="0" w:line="240" w:lineRule="auto"/>
    </w:pPr>
    <w:rPr>
      <w:rFonts w:ascii="Georgia" w:hAnsi="Georgia"/>
      <w:color w:val="A6192E"/>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096F54"/>
    <w:pPr>
      <w:spacing w:before="120" w:after="120"/>
      <w:ind w:left="397"/>
      <w:contextualSpacing/>
    </w:pPr>
    <w:rPr>
      <w:rFonts w:ascii="Georgia" w:hAnsi="Georgia" w:cs="Arial"/>
      <w:bCs/>
      <w:i/>
      <w:iCs/>
      <w:color w:val="A6192E"/>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096F54"/>
    <w:rPr>
      <w:rFonts w:ascii="Georgia" w:hAnsi="Georgia" w:cs="Arial"/>
      <w:bCs/>
      <w:i/>
      <w:iCs/>
      <w:color w:val="A6192E"/>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096F54"/>
    <w:rPr>
      <w:rFonts w:ascii="Georgia" w:hAnsi="Georgia" w:cs="Arial"/>
      <w:bCs/>
      <w:color w:val="A6192E"/>
      <w:kern w:val="32"/>
      <w:sz w:val="32"/>
      <w:szCs w:val="32"/>
    </w:rPr>
  </w:style>
  <w:style w:type="character" w:customStyle="1" w:styleId="Heading3Char">
    <w:name w:val="Heading 3 Char"/>
    <w:basedOn w:val="DefaultParagraphFont"/>
    <w:link w:val="Heading3"/>
    <w:uiPriority w:val="2"/>
    <w:rsid w:val="00096F54"/>
    <w:rPr>
      <w:rFonts w:ascii="Georgia" w:hAnsi="Georgia" w:cs="Arial"/>
      <w:bCs/>
      <w:color w:val="A6192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5316BE"/>
    <w:rPr>
      <w:rFonts w:ascii="Georgia" w:hAnsi="Georgia"/>
      <w:color w:val="A6192E"/>
      <w:szCs w:val="24"/>
    </w:rPr>
  </w:style>
  <w:style w:type="character" w:customStyle="1" w:styleId="TitleChar">
    <w:name w:val="Title Char"/>
    <w:basedOn w:val="DefaultParagraphFont"/>
    <w:link w:val="Title"/>
    <w:uiPriority w:val="99"/>
    <w:rsid w:val="003408E2"/>
    <w:rPr>
      <w:rFonts w:ascii="Georgia" w:hAnsi="Georgia" w:cs="Arial"/>
      <w:bCs/>
      <w:color w:val="A6192E"/>
      <w:spacing w:val="-4"/>
      <w:kern w:val="28"/>
      <w:sz w:val="56"/>
      <w:szCs w:val="32"/>
    </w:rPr>
  </w:style>
  <w:style w:type="character" w:customStyle="1" w:styleId="FooterChar">
    <w:name w:val="Footer Char"/>
    <w:basedOn w:val="DefaultParagraphFont"/>
    <w:link w:val="Footer"/>
    <w:rsid w:val="00096F54"/>
    <w:rPr>
      <w:rFonts w:ascii="Georgia" w:hAnsi="Georgia"/>
      <w:color w:val="A6192E"/>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paragraph" w:styleId="ListParagraph">
    <w:name w:val="List Paragraph"/>
    <w:basedOn w:val="Normal"/>
    <w:link w:val="ListParagraphChar"/>
    <w:uiPriority w:val="34"/>
    <w:qFormat/>
    <w:rsid w:val="003218C6"/>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3218C6"/>
    <w:rPr>
      <w:i/>
      <w:iCs/>
      <w:smallCaps/>
      <w:spacing w:val="5"/>
    </w:rPr>
  </w:style>
  <w:style w:type="table" w:styleId="MediumShading2-Accent6">
    <w:name w:val="Medium Shading 2 Accent 6"/>
    <w:basedOn w:val="TableNormal"/>
    <w:uiPriority w:val="64"/>
    <w:rsid w:val="003218C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6"/>
      </w:tcPr>
    </w:tblStylePr>
    <w:tblStylePr w:type="lastCol">
      <w:rPr>
        <w:b/>
        <w:bCs/>
        <w:color w:val="FFFFFF" w:themeColor="background1"/>
      </w:rPr>
      <w:tblPr/>
      <w:tcPr>
        <w:tcBorders>
          <w:left w:val="nil"/>
          <w:right w:val="nil"/>
          <w:insideH w:val="nil"/>
          <w:insideV w:val="nil"/>
        </w:tcBorders>
        <w:shd w:val="clear" w:color="auto" w:fill="5007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218C6"/>
    <w:rPr>
      <w:rFonts w:ascii="Arial" w:eastAsiaTheme="minorHAnsi" w:hAnsi="Arial" w:cstheme="minorBidi"/>
      <w:sz w:val="22"/>
      <w:szCs w:val="22"/>
      <w:lang w:eastAsia="en-US"/>
    </w:rPr>
  </w:style>
  <w:style w:type="paragraph" w:styleId="EndnoteText">
    <w:name w:val="endnote text"/>
    <w:basedOn w:val="Normal"/>
    <w:link w:val="EndnoteTextChar"/>
    <w:uiPriority w:val="99"/>
    <w:unhideWhenUsed/>
    <w:rsid w:val="003218C6"/>
    <w:pPr>
      <w:spacing w:before="0" w:after="0" w:line="240" w:lineRule="auto"/>
    </w:pPr>
    <w:rPr>
      <w:rFonts w:eastAsiaTheme="minorHAnsi" w:cstheme="minorBidi"/>
      <w:szCs w:val="20"/>
      <w:lang w:eastAsia="en-US"/>
    </w:rPr>
  </w:style>
  <w:style w:type="character" w:customStyle="1" w:styleId="EndnoteTextChar">
    <w:name w:val="Endnote Text Char"/>
    <w:basedOn w:val="DefaultParagraphFont"/>
    <w:link w:val="EndnoteText"/>
    <w:uiPriority w:val="99"/>
    <w:rsid w:val="003218C6"/>
    <w:rPr>
      <w:rFonts w:ascii="Arial" w:eastAsiaTheme="minorHAnsi" w:hAnsi="Arial" w:cstheme="minorBidi"/>
      <w:lang w:eastAsia="en-US"/>
    </w:rPr>
  </w:style>
  <w:style w:type="character" w:styleId="EndnoteReference">
    <w:name w:val="endnote reference"/>
    <w:basedOn w:val="DefaultParagraphFont"/>
    <w:uiPriority w:val="99"/>
    <w:unhideWhenUsed/>
    <w:rsid w:val="003218C6"/>
    <w:rPr>
      <w:vertAlign w:val="superscript"/>
    </w:rPr>
  </w:style>
  <w:style w:type="paragraph" w:styleId="NormalWeb">
    <w:name w:val="Normal (Web)"/>
    <w:basedOn w:val="Normal"/>
    <w:uiPriority w:val="99"/>
    <w:unhideWhenUsed/>
    <w:rsid w:val="00360B93"/>
    <w:pPr>
      <w:spacing w:before="100" w:beforeAutospacing="1" w:after="100" w:afterAutospacing="1" w:line="240" w:lineRule="auto"/>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List Bullet" w:qFormat="1"/>
    <w:lsdException w:name="Title" w:uiPriority="99" w:qFormat="1"/>
    <w:lsdException w:name="Subtitle" w:qFormat="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096F54"/>
    <w:pPr>
      <w:keepNext/>
      <w:keepLines/>
      <w:spacing w:before="240" w:line="240" w:lineRule="auto"/>
      <w:contextualSpacing/>
      <w:outlineLvl w:val="0"/>
    </w:pPr>
    <w:rPr>
      <w:rFonts w:ascii="Georgia" w:hAnsi="Georgia" w:cs="Arial"/>
      <w:bCs/>
      <w:color w:val="A6192E"/>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096F54"/>
    <w:pPr>
      <w:keepNext/>
      <w:keepLines/>
      <w:spacing w:line="240" w:lineRule="auto"/>
      <w:contextualSpacing/>
      <w:outlineLvl w:val="2"/>
    </w:pPr>
    <w:rPr>
      <w:rFonts w:ascii="Georgia" w:hAnsi="Georgia" w:cs="Arial"/>
      <w:bCs/>
      <w:color w:val="A6192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6BE"/>
    <w:pPr>
      <w:tabs>
        <w:tab w:val="center" w:pos="4153"/>
        <w:tab w:val="right" w:pos="8306"/>
      </w:tabs>
      <w:spacing w:before="0" w:after="737" w:line="240" w:lineRule="auto"/>
      <w:contextualSpacing/>
    </w:pPr>
    <w:rPr>
      <w:rFonts w:ascii="Georgia" w:hAnsi="Georgia"/>
      <w:color w:val="A6192E"/>
    </w:rPr>
  </w:style>
  <w:style w:type="paragraph" w:styleId="Title">
    <w:name w:val="Title"/>
    <w:basedOn w:val="Normal"/>
    <w:link w:val="TitleChar"/>
    <w:uiPriority w:val="99"/>
    <w:qFormat/>
    <w:rsid w:val="003408E2"/>
    <w:pPr>
      <w:spacing w:before="0" w:after="60" w:line="240" w:lineRule="auto"/>
      <w:contextualSpacing/>
      <w:outlineLvl w:val="0"/>
    </w:pPr>
    <w:rPr>
      <w:rFonts w:ascii="Georgia" w:hAnsi="Georgia" w:cs="Arial"/>
      <w:bCs/>
      <w:color w:val="A6192E"/>
      <w:spacing w:val="-4"/>
      <w:kern w:val="28"/>
      <w:sz w:val="5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096F54"/>
    <w:pPr>
      <w:tabs>
        <w:tab w:val="right" w:pos="10433"/>
      </w:tabs>
      <w:spacing w:before="0" w:after="0" w:line="240" w:lineRule="auto"/>
    </w:pPr>
    <w:rPr>
      <w:rFonts w:ascii="Georgia" w:hAnsi="Georgia"/>
      <w:color w:val="A6192E"/>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096F54"/>
    <w:pPr>
      <w:spacing w:before="120" w:after="120"/>
      <w:ind w:left="397"/>
      <w:contextualSpacing/>
    </w:pPr>
    <w:rPr>
      <w:rFonts w:ascii="Georgia" w:hAnsi="Georgia" w:cs="Arial"/>
      <w:bCs/>
      <w:i/>
      <w:iCs/>
      <w:color w:val="A6192E"/>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096F54"/>
    <w:rPr>
      <w:rFonts w:ascii="Georgia" w:hAnsi="Georgia" w:cs="Arial"/>
      <w:bCs/>
      <w:i/>
      <w:iCs/>
      <w:color w:val="A6192E"/>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096F54"/>
    <w:rPr>
      <w:rFonts w:ascii="Georgia" w:hAnsi="Georgia" w:cs="Arial"/>
      <w:bCs/>
      <w:color w:val="A6192E"/>
      <w:kern w:val="32"/>
      <w:sz w:val="32"/>
      <w:szCs w:val="32"/>
    </w:rPr>
  </w:style>
  <w:style w:type="character" w:customStyle="1" w:styleId="Heading3Char">
    <w:name w:val="Heading 3 Char"/>
    <w:basedOn w:val="DefaultParagraphFont"/>
    <w:link w:val="Heading3"/>
    <w:uiPriority w:val="2"/>
    <w:rsid w:val="00096F54"/>
    <w:rPr>
      <w:rFonts w:ascii="Georgia" w:hAnsi="Georgia" w:cs="Arial"/>
      <w:bCs/>
      <w:color w:val="A6192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5316BE"/>
    <w:rPr>
      <w:rFonts w:ascii="Georgia" w:hAnsi="Georgia"/>
      <w:color w:val="A6192E"/>
      <w:szCs w:val="24"/>
    </w:rPr>
  </w:style>
  <w:style w:type="character" w:customStyle="1" w:styleId="TitleChar">
    <w:name w:val="Title Char"/>
    <w:basedOn w:val="DefaultParagraphFont"/>
    <w:link w:val="Title"/>
    <w:uiPriority w:val="99"/>
    <w:rsid w:val="003408E2"/>
    <w:rPr>
      <w:rFonts w:ascii="Georgia" w:hAnsi="Georgia" w:cs="Arial"/>
      <w:bCs/>
      <w:color w:val="A6192E"/>
      <w:spacing w:val="-4"/>
      <w:kern w:val="28"/>
      <w:sz w:val="56"/>
      <w:szCs w:val="32"/>
    </w:rPr>
  </w:style>
  <w:style w:type="character" w:customStyle="1" w:styleId="FooterChar">
    <w:name w:val="Footer Char"/>
    <w:basedOn w:val="DefaultParagraphFont"/>
    <w:link w:val="Footer"/>
    <w:rsid w:val="00096F54"/>
    <w:rPr>
      <w:rFonts w:ascii="Georgia" w:hAnsi="Georgia"/>
      <w:color w:val="A6192E"/>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paragraph" w:styleId="ListParagraph">
    <w:name w:val="List Paragraph"/>
    <w:basedOn w:val="Normal"/>
    <w:link w:val="ListParagraphChar"/>
    <w:uiPriority w:val="34"/>
    <w:qFormat/>
    <w:rsid w:val="003218C6"/>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3218C6"/>
    <w:rPr>
      <w:i/>
      <w:iCs/>
      <w:smallCaps/>
      <w:spacing w:val="5"/>
    </w:rPr>
  </w:style>
  <w:style w:type="table" w:styleId="MediumShading2-Accent6">
    <w:name w:val="Medium Shading 2 Accent 6"/>
    <w:basedOn w:val="TableNormal"/>
    <w:uiPriority w:val="64"/>
    <w:rsid w:val="003218C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6"/>
      </w:tcPr>
    </w:tblStylePr>
    <w:tblStylePr w:type="lastCol">
      <w:rPr>
        <w:b/>
        <w:bCs/>
        <w:color w:val="FFFFFF" w:themeColor="background1"/>
      </w:rPr>
      <w:tblPr/>
      <w:tcPr>
        <w:tcBorders>
          <w:left w:val="nil"/>
          <w:right w:val="nil"/>
          <w:insideH w:val="nil"/>
          <w:insideV w:val="nil"/>
        </w:tcBorders>
        <w:shd w:val="clear" w:color="auto" w:fill="5007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218C6"/>
    <w:rPr>
      <w:rFonts w:ascii="Arial" w:eastAsiaTheme="minorHAnsi" w:hAnsi="Arial" w:cstheme="minorBidi"/>
      <w:sz w:val="22"/>
      <w:szCs w:val="22"/>
      <w:lang w:eastAsia="en-US"/>
    </w:rPr>
  </w:style>
  <w:style w:type="paragraph" w:styleId="EndnoteText">
    <w:name w:val="endnote text"/>
    <w:basedOn w:val="Normal"/>
    <w:link w:val="EndnoteTextChar"/>
    <w:uiPriority w:val="99"/>
    <w:unhideWhenUsed/>
    <w:rsid w:val="003218C6"/>
    <w:pPr>
      <w:spacing w:before="0" w:after="0" w:line="240" w:lineRule="auto"/>
    </w:pPr>
    <w:rPr>
      <w:rFonts w:eastAsiaTheme="minorHAnsi" w:cstheme="minorBidi"/>
      <w:szCs w:val="20"/>
      <w:lang w:eastAsia="en-US"/>
    </w:rPr>
  </w:style>
  <w:style w:type="character" w:customStyle="1" w:styleId="EndnoteTextChar">
    <w:name w:val="Endnote Text Char"/>
    <w:basedOn w:val="DefaultParagraphFont"/>
    <w:link w:val="EndnoteText"/>
    <w:uiPriority w:val="99"/>
    <w:rsid w:val="003218C6"/>
    <w:rPr>
      <w:rFonts w:ascii="Arial" w:eastAsiaTheme="minorHAnsi" w:hAnsi="Arial" w:cstheme="minorBidi"/>
      <w:lang w:eastAsia="en-US"/>
    </w:rPr>
  </w:style>
  <w:style w:type="character" w:styleId="EndnoteReference">
    <w:name w:val="endnote reference"/>
    <w:basedOn w:val="DefaultParagraphFont"/>
    <w:uiPriority w:val="99"/>
    <w:unhideWhenUsed/>
    <w:rsid w:val="003218C6"/>
    <w:rPr>
      <w:vertAlign w:val="superscript"/>
    </w:rPr>
  </w:style>
  <w:style w:type="paragraph" w:styleId="NormalWeb">
    <w:name w:val="Normal (Web)"/>
    <w:basedOn w:val="Normal"/>
    <w:uiPriority w:val="99"/>
    <w:unhideWhenUsed/>
    <w:rsid w:val="00360B93"/>
    <w:pPr>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PRINFNAS002N\Users\YUPENG\0_Annette\Analysis\Prodengage\participationoverlifecourse_w1_13_ageca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RINFNAS002N\Users\YUPENG\0_Annette\Analysis\Prodengage\participationoverlifecourse_w1_13_ageca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RINFNAS002N\Users\YUPENG\0_Annette\Analysis\Prodengage\participationoverlifecourse_w1_13_ageca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RINFNAS002N\Users\YUPENG\0_Annette\Analysis\Prodengage\participationoverlifecourse_w1_13_agec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All!$B$2</c:f>
              <c:strCache>
                <c:ptCount val="1"/>
                <c:pt idx="0">
                  <c:v>Working</c:v>
                </c:pt>
              </c:strCache>
            </c:strRef>
          </c:tx>
          <c:spPr>
            <a:ln w="31750">
              <a:solidFill>
                <a:srgbClr val="00B050"/>
              </a:solidFill>
            </a:ln>
          </c:spPr>
          <c:marker>
            <c:symbol val="none"/>
          </c:marker>
          <c:cat>
            <c:strRef>
              <c:f>All!$A$3:$A$17</c:f>
              <c:strCache>
                <c:ptCount val="15"/>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c:v>
                </c:pt>
              </c:strCache>
            </c:strRef>
          </c:cat>
          <c:val>
            <c:numRef>
              <c:f>All!$B$3:$B$17</c:f>
              <c:numCache>
                <c:formatCode>General</c:formatCode>
                <c:ptCount val="15"/>
                <c:pt idx="0">
                  <c:v>52.77</c:v>
                </c:pt>
                <c:pt idx="1">
                  <c:v>77.180000000000007</c:v>
                </c:pt>
                <c:pt idx="2">
                  <c:v>79.77</c:v>
                </c:pt>
                <c:pt idx="3">
                  <c:v>79.13</c:v>
                </c:pt>
                <c:pt idx="4">
                  <c:v>79.569999999999993</c:v>
                </c:pt>
                <c:pt idx="5">
                  <c:v>81.37</c:v>
                </c:pt>
                <c:pt idx="6">
                  <c:v>82.19</c:v>
                </c:pt>
                <c:pt idx="7">
                  <c:v>77.48</c:v>
                </c:pt>
                <c:pt idx="8">
                  <c:v>64.86</c:v>
                </c:pt>
                <c:pt idx="9">
                  <c:v>42.89</c:v>
                </c:pt>
                <c:pt idx="10">
                  <c:v>18.850000000000001</c:v>
                </c:pt>
                <c:pt idx="11">
                  <c:v>8.6300000000000008</c:v>
                </c:pt>
                <c:pt idx="12">
                  <c:v>4.41</c:v>
                </c:pt>
                <c:pt idx="13">
                  <c:v>1.71</c:v>
                </c:pt>
                <c:pt idx="14">
                  <c:v>0.53</c:v>
                </c:pt>
              </c:numCache>
            </c:numRef>
          </c:val>
          <c:smooth val="0"/>
        </c:ser>
        <c:ser>
          <c:idx val="2"/>
          <c:order val="1"/>
          <c:tx>
            <c:strRef>
              <c:f>All!$C$2</c:f>
              <c:strCache>
                <c:ptCount val="1"/>
                <c:pt idx="0">
                  <c:v>Studying</c:v>
                </c:pt>
              </c:strCache>
            </c:strRef>
          </c:tx>
          <c:spPr>
            <a:ln w="31750" cmpd="dbl">
              <a:solidFill>
                <a:srgbClr val="FFC000"/>
              </a:solidFill>
              <a:prstDash val="solid"/>
            </a:ln>
          </c:spPr>
          <c:marker>
            <c:symbol val="none"/>
          </c:marker>
          <c:cat>
            <c:strRef>
              <c:f>All!$A$3:$A$17</c:f>
              <c:strCache>
                <c:ptCount val="15"/>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c:v>
                </c:pt>
              </c:strCache>
            </c:strRef>
          </c:cat>
          <c:val>
            <c:numRef>
              <c:f>All!$C$3:$C$17</c:f>
              <c:numCache>
                <c:formatCode>General</c:formatCode>
                <c:ptCount val="15"/>
                <c:pt idx="0">
                  <c:v>89.09</c:v>
                </c:pt>
                <c:pt idx="1">
                  <c:v>51</c:v>
                </c:pt>
                <c:pt idx="2">
                  <c:v>26.92</c:v>
                </c:pt>
                <c:pt idx="3">
                  <c:v>18.41</c:v>
                </c:pt>
                <c:pt idx="4">
                  <c:v>15.74</c:v>
                </c:pt>
                <c:pt idx="5">
                  <c:v>13.66</c:v>
                </c:pt>
                <c:pt idx="6">
                  <c:v>11.74</c:v>
                </c:pt>
                <c:pt idx="7">
                  <c:v>9.1</c:v>
                </c:pt>
                <c:pt idx="8">
                  <c:v>5.98</c:v>
                </c:pt>
                <c:pt idx="9">
                  <c:v>3.8</c:v>
                </c:pt>
                <c:pt idx="10">
                  <c:v>1.84</c:v>
                </c:pt>
                <c:pt idx="11">
                  <c:v>1.1200000000000001</c:v>
                </c:pt>
                <c:pt idx="12">
                  <c:v>0.81</c:v>
                </c:pt>
                <c:pt idx="13">
                  <c:v>0.27</c:v>
                </c:pt>
                <c:pt idx="14">
                  <c:v>0.19</c:v>
                </c:pt>
              </c:numCache>
            </c:numRef>
          </c:val>
          <c:smooth val="0"/>
        </c:ser>
        <c:ser>
          <c:idx val="3"/>
          <c:order val="2"/>
          <c:tx>
            <c:strRef>
              <c:f>All!$D$2</c:f>
              <c:strCache>
                <c:ptCount val="1"/>
                <c:pt idx="0">
                  <c:v>Volunteering</c:v>
                </c:pt>
              </c:strCache>
            </c:strRef>
          </c:tx>
          <c:spPr>
            <a:ln w="38100" cmpd="dbl">
              <a:solidFill>
                <a:srgbClr val="92D050"/>
              </a:solidFill>
              <a:prstDash val="sysDot"/>
            </a:ln>
          </c:spPr>
          <c:marker>
            <c:symbol val="none"/>
          </c:marker>
          <c:cat>
            <c:strRef>
              <c:f>All!$A$3:$A$17</c:f>
              <c:strCache>
                <c:ptCount val="15"/>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c:v>
                </c:pt>
              </c:strCache>
            </c:strRef>
          </c:cat>
          <c:val>
            <c:numRef>
              <c:f>All!$D$3:$D$17</c:f>
              <c:numCache>
                <c:formatCode>General</c:formatCode>
                <c:ptCount val="15"/>
                <c:pt idx="0">
                  <c:v>10.38</c:v>
                </c:pt>
                <c:pt idx="1">
                  <c:v>12</c:v>
                </c:pt>
                <c:pt idx="2">
                  <c:v>12.38</c:v>
                </c:pt>
                <c:pt idx="3">
                  <c:v>14.92</c:v>
                </c:pt>
                <c:pt idx="4">
                  <c:v>19.940000000000001</c:v>
                </c:pt>
                <c:pt idx="5">
                  <c:v>25.06</c:v>
                </c:pt>
                <c:pt idx="6">
                  <c:v>24.05</c:v>
                </c:pt>
                <c:pt idx="7">
                  <c:v>21.85</c:v>
                </c:pt>
                <c:pt idx="8">
                  <c:v>23.48</c:v>
                </c:pt>
                <c:pt idx="9">
                  <c:v>24.9</c:v>
                </c:pt>
                <c:pt idx="10">
                  <c:v>30.2</c:v>
                </c:pt>
                <c:pt idx="11">
                  <c:v>28.56</c:v>
                </c:pt>
                <c:pt idx="12">
                  <c:v>24.6</c:v>
                </c:pt>
                <c:pt idx="13">
                  <c:v>18.45</c:v>
                </c:pt>
                <c:pt idx="14">
                  <c:v>10.94</c:v>
                </c:pt>
              </c:numCache>
            </c:numRef>
          </c:val>
          <c:smooth val="0"/>
        </c:ser>
        <c:ser>
          <c:idx val="0"/>
          <c:order val="3"/>
          <c:tx>
            <c:strRef>
              <c:f>All!$H$2</c:f>
              <c:strCache>
                <c:ptCount val="1"/>
                <c:pt idx="0">
                  <c:v>Caregiving</c:v>
                </c:pt>
              </c:strCache>
            </c:strRef>
          </c:tx>
          <c:spPr>
            <a:ln>
              <a:solidFill>
                <a:srgbClr val="7030A0"/>
              </a:solidFill>
              <a:prstDash val="sysDash"/>
            </a:ln>
          </c:spPr>
          <c:marker>
            <c:symbol val="none"/>
          </c:marker>
          <c:cat>
            <c:strRef>
              <c:f>All!$A$3:$A$17</c:f>
              <c:strCache>
                <c:ptCount val="15"/>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c:v>
                </c:pt>
              </c:strCache>
            </c:strRef>
          </c:cat>
          <c:val>
            <c:numRef>
              <c:f>All!$H$3:$H$17</c:f>
              <c:numCache>
                <c:formatCode>General</c:formatCode>
                <c:ptCount val="15"/>
                <c:pt idx="0">
                  <c:v>1.72</c:v>
                </c:pt>
                <c:pt idx="1">
                  <c:v>2.1800000000000002</c:v>
                </c:pt>
                <c:pt idx="2">
                  <c:v>2.7</c:v>
                </c:pt>
                <c:pt idx="3">
                  <c:v>3</c:v>
                </c:pt>
                <c:pt idx="4">
                  <c:v>4.37</c:v>
                </c:pt>
                <c:pt idx="5">
                  <c:v>5.53</c:v>
                </c:pt>
                <c:pt idx="6">
                  <c:v>6.57</c:v>
                </c:pt>
                <c:pt idx="7">
                  <c:v>8.25</c:v>
                </c:pt>
                <c:pt idx="8">
                  <c:v>7.47</c:v>
                </c:pt>
                <c:pt idx="9">
                  <c:v>8.82</c:v>
                </c:pt>
                <c:pt idx="10">
                  <c:v>8.34</c:v>
                </c:pt>
                <c:pt idx="11">
                  <c:v>10.119999999999999</c:v>
                </c:pt>
                <c:pt idx="12">
                  <c:v>11.28</c:v>
                </c:pt>
                <c:pt idx="13">
                  <c:v>14.62</c:v>
                </c:pt>
                <c:pt idx="14">
                  <c:v>15.57</c:v>
                </c:pt>
              </c:numCache>
            </c:numRef>
          </c:val>
          <c:smooth val="0"/>
        </c:ser>
        <c:dLbls>
          <c:showLegendKey val="0"/>
          <c:showVal val="0"/>
          <c:showCatName val="0"/>
          <c:showSerName val="0"/>
          <c:showPercent val="0"/>
          <c:showBubbleSize val="0"/>
        </c:dLbls>
        <c:marker val="1"/>
        <c:smooth val="0"/>
        <c:axId val="186233600"/>
        <c:axId val="186235520"/>
      </c:lineChart>
      <c:catAx>
        <c:axId val="186233600"/>
        <c:scaling>
          <c:orientation val="minMax"/>
        </c:scaling>
        <c:delete val="0"/>
        <c:axPos val="b"/>
        <c:title>
          <c:tx>
            <c:rich>
              <a:bodyPr/>
              <a:lstStyle/>
              <a:p>
                <a:pPr>
                  <a:defRPr/>
                </a:pPr>
                <a:r>
                  <a:rPr lang="en-US"/>
                  <a:t>Age</a:t>
                </a:r>
              </a:p>
            </c:rich>
          </c:tx>
          <c:overlay val="0"/>
        </c:title>
        <c:numFmt formatCode="General" sourceLinked="1"/>
        <c:majorTickMark val="out"/>
        <c:minorTickMark val="none"/>
        <c:tickLblPos val="nextTo"/>
        <c:txPr>
          <a:bodyPr rot="-1920000"/>
          <a:lstStyle/>
          <a:p>
            <a:pPr>
              <a:defRPr/>
            </a:pPr>
            <a:endParaRPr lang="en-US"/>
          </a:p>
        </c:txPr>
        <c:crossAx val="186235520"/>
        <c:crosses val="autoZero"/>
        <c:auto val="1"/>
        <c:lblAlgn val="ctr"/>
        <c:lblOffset val="100"/>
        <c:tickLblSkip val="1"/>
        <c:tickMarkSkip val="1"/>
        <c:noMultiLvlLbl val="0"/>
      </c:catAx>
      <c:valAx>
        <c:axId val="186235520"/>
        <c:scaling>
          <c:orientation val="minMax"/>
          <c:max val="100"/>
        </c:scaling>
        <c:delete val="0"/>
        <c:axPos val="l"/>
        <c:title>
          <c:tx>
            <c:rich>
              <a:bodyPr rot="-5400000" vert="horz"/>
              <a:lstStyle/>
              <a:p>
                <a:pPr>
                  <a:defRPr/>
                </a:pPr>
                <a:r>
                  <a:rPr lang="en-US"/>
                  <a:t>Per cent</a:t>
                </a:r>
              </a:p>
            </c:rich>
          </c:tx>
          <c:overlay val="0"/>
        </c:title>
        <c:numFmt formatCode="General" sourceLinked="1"/>
        <c:majorTickMark val="out"/>
        <c:minorTickMark val="none"/>
        <c:tickLblPos val="nextTo"/>
        <c:crossAx val="1862336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All!$I$2</c:f>
              <c:strCache>
                <c:ptCount val="1"/>
                <c:pt idx="0">
                  <c:v>On government benefits</c:v>
                </c:pt>
              </c:strCache>
            </c:strRef>
          </c:tx>
          <c:spPr>
            <a:ln w="31750">
              <a:solidFill>
                <a:srgbClr val="00B050"/>
              </a:solidFill>
            </a:ln>
          </c:spPr>
          <c:marker>
            <c:symbol val="none"/>
          </c:marker>
          <c:cat>
            <c:strRef>
              <c:f>All!$A$3:$A$17</c:f>
              <c:strCache>
                <c:ptCount val="15"/>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c:v>
                </c:pt>
              </c:strCache>
            </c:strRef>
          </c:cat>
          <c:val>
            <c:numRef>
              <c:f>All!$I$3:$I$17</c:f>
              <c:numCache>
                <c:formatCode>General</c:formatCode>
                <c:ptCount val="15"/>
                <c:pt idx="0">
                  <c:v>17.170000000000002</c:v>
                </c:pt>
                <c:pt idx="1">
                  <c:v>17.420000000000002</c:v>
                </c:pt>
                <c:pt idx="2">
                  <c:v>8.64</c:v>
                </c:pt>
                <c:pt idx="3">
                  <c:v>6.99</c:v>
                </c:pt>
                <c:pt idx="4">
                  <c:v>8.81</c:v>
                </c:pt>
                <c:pt idx="5">
                  <c:v>9.6</c:v>
                </c:pt>
                <c:pt idx="6">
                  <c:v>11.46</c:v>
                </c:pt>
                <c:pt idx="7">
                  <c:v>14.15</c:v>
                </c:pt>
                <c:pt idx="8">
                  <c:v>22.96</c:v>
                </c:pt>
                <c:pt idx="9">
                  <c:v>39.340000000000003</c:v>
                </c:pt>
                <c:pt idx="10">
                  <c:v>69.89</c:v>
                </c:pt>
                <c:pt idx="11">
                  <c:v>80.33</c:v>
                </c:pt>
                <c:pt idx="12">
                  <c:v>86.33</c:v>
                </c:pt>
                <c:pt idx="13">
                  <c:v>87.44</c:v>
                </c:pt>
                <c:pt idx="14">
                  <c:v>90.86</c:v>
                </c:pt>
              </c:numCache>
            </c:numRef>
          </c:val>
          <c:smooth val="0"/>
        </c:ser>
        <c:ser>
          <c:idx val="1"/>
          <c:order val="1"/>
          <c:tx>
            <c:strRef>
              <c:f>All!$G$2</c:f>
              <c:strCache>
                <c:ptCount val="1"/>
                <c:pt idx="0">
                  <c:v>Not engaged</c:v>
                </c:pt>
              </c:strCache>
            </c:strRef>
          </c:tx>
          <c:spPr>
            <a:ln w="38100" cmpd="thinThick">
              <a:solidFill>
                <a:srgbClr val="500778"/>
              </a:solidFill>
              <a:prstDash val="sysDot"/>
            </a:ln>
          </c:spPr>
          <c:marker>
            <c:symbol val="none"/>
          </c:marker>
          <c:cat>
            <c:strRef>
              <c:f>All!$A$3:$A$17</c:f>
              <c:strCache>
                <c:ptCount val="15"/>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c:v>
                </c:pt>
              </c:strCache>
            </c:strRef>
          </c:cat>
          <c:val>
            <c:numRef>
              <c:f>All!$G$3:$G$17</c:f>
              <c:numCache>
                <c:formatCode>General</c:formatCode>
                <c:ptCount val="15"/>
                <c:pt idx="0">
                  <c:v>2.39</c:v>
                </c:pt>
                <c:pt idx="1">
                  <c:v>8.39</c:v>
                </c:pt>
                <c:pt idx="2">
                  <c:v>11.96</c:v>
                </c:pt>
                <c:pt idx="3">
                  <c:v>13.04</c:v>
                </c:pt>
                <c:pt idx="4">
                  <c:v>12.1</c:v>
                </c:pt>
                <c:pt idx="5">
                  <c:v>9.77</c:v>
                </c:pt>
                <c:pt idx="6">
                  <c:v>9.26</c:v>
                </c:pt>
                <c:pt idx="7">
                  <c:v>12.4</c:v>
                </c:pt>
                <c:pt idx="8">
                  <c:v>20.78</c:v>
                </c:pt>
                <c:pt idx="9">
                  <c:v>35.81</c:v>
                </c:pt>
                <c:pt idx="10">
                  <c:v>50.81</c:v>
                </c:pt>
                <c:pt idx="11">
                  <c:v>57.66</c:v>
                </c:pt>
                <c:pt idx="12">
                  <c:v>62.8</c:v>
                </c:pt>
                <c:pt idx="13">
                  <c:v>70.599999999999994</c:v>
                </c:pt>
                <c:pt idx="14">
                  <c:v>76.75</c:v>
                </c:pt>
              </c:numCache>
            </c:numRef>
          </c:val>
          <c:smooth val="0"/>
        </c:ser>
        <c:dLbls>
          <c:showLegendKey val="0"/>
          <c:showVal val="0"/>
          <c:showCatName val="0"/>
          <c:showSerName val="0"/>
          <c:showPercent val="0"/>
          <c:showBubbleSize val="0"/>
        </c:dLbls>
        <c:marker val="1"/>
        <c:smooth val="0"/>
        <c:axId val="201130752"/>
        <c:axId val="201132672"/>
      </c:lineChart>
      <c:catAx>
        <c:axId val="201130752"/>
        <c:scaling>
          <c:orientation val="minMax"/>
        </c:scaling>
        <c:delete val="0"/>
        <c:axPos val="b"/>
        <c:title>
          <c:tx>
            <c:rich>
              <a:bodyPr/>
              <a:lstStyle/>
              <a:p>
                <a:pPr>
                  <a:defRPr/>
                </a:pPr>
                <a:r>
                  <a:rPr lang="en-US"/>
                  <a:t>Age</a:t>
                </a:r>
              </a:p>
            </c:rich>
          </c:tx>
          <c:overlay val="0"/>
        </c:title>
        <c:majorTickMark val="out"/>
        <c:minorTickMark val="none"/>
        <c:tickLblPos val="nextTo"/>
        <c:txPr>
          <a:bodyPr rot="-2700000"/>
          <a:lstStyle/>
          <a:p>
            <a:pPr>
              <a:defRPr/>
            </a:pPr>
            <a:endParaRPr lang="en-US"/>
          </a:p>
        </c:txPr>
        <c:crossAx val="201132672"/>
        <c:crosses val="autoZero"/>
        <c:auto val="1"/>
        <c:lblAlgn val="ctr"/>
        <c:lblOffset val="100"/>
        <c:noMultiLvlLbl val="0"/>
      </c:catAx>
      <c:valAx>
        <c:axId val="201132672"/>
        <c:scaling>
          <c:orientation val="minMax"/>
        </c:scaling>
        <c:delete val="0"/>
        <c:axPos val="l"/>
        <c:title>
          <c:tx>
            <c:rich>
              <a:bodyPr rot="-5400000" vert="horz"/>
              <a:lstStyle/>
              <a:p>
                <a:pPr>
                  <a:defRPr/>
                </a:pPr>
                <a:r>
                  <a:rPr lang="en-US"/>
                  <a:t>Per cent</a:t>
                </a:r>
              </a:p>
            </c:rich>
          </c:tx>
          <c:overlay val="0"/>
        </c:title>
        <c:numFmt formatCode="General" sourceLinked="1"/>
        <c:majorTickMark val="out"/>
        <c:minorTickMark val="none"/>
        <c:tickLblPos val="nextTo"/>
        <c:crossAx val="201130752"/>
        <c:crosses val="autoZero"/>
        <c:crossBetween val="between"/>
      </c:valAx>
    </c:plotArea>
    <c:legend>
      <c:legendPos val="r"/>
      <c:layout>
        <c:manualLayout>
          <c:xMode val="edge"/>
          <c:yMode val="edge"/>
          <c:x val="0.13038814859681003"/>
          <c:y val="7.8039235480180366E-2"/>
          <c:w val="0.47395820714718351"/>
          <c:h val="0.28811326468806786"/>
        </c:manualLayout>
      </c:layout>
      <c:overlay val="1"/>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All!$I$2</c:f>
              <c:strCache>
                <c:ptCount val="1"/>
                <c:pt idx="0">
                  <c:v>On government benefits - general population</c:v>
                </c:pt>
              </c:strCache>
            </c:strRef>
          </c:tx>
          <c:spPr>
            <a:ln w="31750">
              <a:solidFill>
                <a:srgbClr val="FFC000"/>
              </a:solidFill>
            </a:ln>
          </c:spPr>
          <c:marker>
            <c:symbol val="none"/>
          </c:marker>
          <c:cat>
            <c:strRef>
              <c:f>All!$A$3:$A$17</c:f>
              <c:strCache>
                <c:ptCount val="15"/>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c:v>
                </c:pt>
              </c:strCache>
            </c:strRef>
          </c:cat>
          <c:val>
            <c:numRef>
              <c:f>All!$I$3:$I$17</c:f>
              <c:numCache>
                <c:formatCode>General</c:formatCode>
                <c:ptCount val="15"/>
                <c:pt idx="0">
                  <c:v>17.170000000000002</c:v>
                </c:pt>
                <c:pt idx="1">
                  <c:v>17.420000000000002</c:v>
                </c:pt>
                <c:pt idx="2">
                  <c:v>8.64</c:v>
                </c:pt>
                <c:pt idx="3">
                  <c:v>6.99</c:v>
                </c:pt>
                <c:pt idx="4">
                  <c:v>8.81</c:v>
                </c:pt>
                <c:pt idx="5">
                  <c:v>9.6</c:v>
                </c:pt>
                <c:pt idx="6">
                  <c:v>11.46</c:v>
                </c:pt>
                <c:pt idx="7">
                  <c:v>14.15</c:v>
                </c:pt>
                <c:pt idx="8">
                  <c:v>22.96</c:v>
                </c:pt>
                <c:pt idx="9">
                  <c:v>39.340000000000003</c:v>
                </c:pt>
                <c:pt idx="10">
                  <c:v>69.89</c:v>
                </c:pt>
                <c:pt idx="11">
                  <c:v>80.33</c:v>
                </c:pt>
                <c:pt idx="12">
                  <c:v>86.33</c:v>
                </c:pt>
                <c:pt idx="13">
                  <c:v>87.44</c:v>
                </c:pt>
                <c:pt idx="14">
                  <c:v>90.86</c:v>
                </c:pt>
              </c:numCache>
            </c:numRef>
          </c:val>
          <c:smooth val="0"/>
        </c:ser>
        <c:ser>
          <c:idx val="1"/>
          <c:order val="1"/>
          <c:tx>
            <c:strRef>
              <c:f>All!$G$2</c:f>
              <c:strCache>
                <c:ptCount val="1"/>
                <c:pt idx="0">
                  <c:v>Not engaged - general population</c:v>
                </c:pt>
              </c:strCache>
            </c:strRef>
          </c:tx>
          <c:spPr>
            <a:ln w="38100" cmpd="thinThick">
              <a:solidFill>
                <a:srgbClr val="00B050"/>
              </a:solidFill>
              <a:prstDash val="sysDot"/>
            </a:ln>
          </c:spPr>
          <c:marker>
            <c:symbol val="none"/>
          </c:marker>
          <c:cat>
            <c:strRef>
              <c:f>All!$A$3:$A$17</c:f>
              <c:strCache>
                <c:ptCount val="15"/>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c:v>
                </c:pt>
              </c:strCache>
            </c:strRef>
          </c:cat>
          <c:val>
            <c:numRef>
              <c:f>All!$G$3:$G$17</c:f>
              <c:numCache>
                <c:formatCode>General</c:formatCode>
                <c:ptCount val="15"/>
                <c:pt idx="0">
                  <c:v>2.39</c:v>
                </c:pt>
                <c:pt idx="1">
                  <c:v>8.39</c:v>
                </c:pt>
                <c:pt idx="2">
                  <c:v>11.96</c:v>
                </c:pt>
                <c:pt idx="3">
                  <c:v>13.04</c:v>
                </c:pt>
                <c:pt idx="4">
                  <c:v>12.1</c:v>
                </c:pt>
                <c:pt idx="5">
                  <c:v>9.77</c:v>
                </c:pt>
                <c:pt idx="6">
                  <c:v>9.26</c:v>
                </c:pt>
                <c:pt idx="7">
                  <c:v>12.4</c:v>
                </c:pt>
                <c:pt idx="8">
                  <c:v>20.78</c:v>
                </c:pt>
                <c:pt idx="9">
                  <c:v>35.81</c:v>
                </c:pt>
                <c:pt idx="10">
                  <c:v>50.81</c:v>
                </c:pt>
                <c:pt idx="11">
                  <c:v>57.66</c:v>
                </c:pt>
                <c:pt idx="12">
                  <c:v>62.8</c:v>
                </c:pt>
                <c:pt idx="13">
                  <c:v>70.599999999999994</c:v>
                </c:pt>
                <c:pt idx="14">
                  <c:v>76.75</c:v>
                </c:pt>
              </c:numCache>
            </c:numRef>
          </c:val>
          <c:smooth val="0"/>
        </c:ser>
        <c:ser>
          <c:idx val="2"/>
          <c:order val="2"/>
          <c:tx>
            <c:v>On government benefits - people with disability</c:v>
          </c:tx>
          <c:spPr>
            <a:ln w="34925" cmpd="dbl">
              <a:solidFill>
                <a:srgbClr val="7030A0"/>
              </a:solidFill>
            </a:ln>
          </c:spPr>
          <c:marker>
            <c:symbol val="none"/>
          </c:marker>
          <c:cat>
            <c:strRef>
              <c:f>All!$A$3:$A$17</c:f>
              <c:strCache>
                <c:ptCount val="15"/>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c:v>
                </c:pt>
              </c:strCache>
            </c:strRef>
          </c:cat>
          <c:val>
            <c:numRef>
              <c:f>All!$AP$3:$AP$17</c:f>
              <c:numCache>
                <c:formatCode>General</c:formatCode>
                <c:ptCount val="15"/>
                <c:pt idx="0">
                  <c:v>26.65</c:v>
                </c:pt>
                <c:pt idx="1">
                  <c:v>37.28</c:v>
                </c:pt>
                <c:pt idx="2">
                  <c:v>30.71</c:v>
                </c:pt>
                <c:pt idx="3">
                  <c:v>25.83</c:v>
                </c:pt>
                <c:pt idx="4">
                  <c:v>29.04</c:v>
                </c:pt>
                <c:pt idx="5">
                  <c:v>29.42</c:v>
                </c:pt>
                <c:pt idx="6">
                  <c:v>30.86</c:v>
                </c:pt>
                <c:pt idx="7">
                  <c:v>36.01</c:v>
                </c:pt>
                <c:pt idx="8">
                  <c:v>47.09</c:v>
                </c:pt>
                <c:pt idx="9">
                  <c:v>57.02</c:v>
                </c:pt>
                <c:pt idx="10">
                  <c:v>78.11</c:v>
                </c:pt>
                <c:pt idx="11">
                  <c:v>84.26</c:v>
                </c:pt>
                <c:pt idx="12">
                  <c:v>89.08</c:v>
                </c:pt>
                <c:pt idx="13">
                  <c:v>88.88</c:v>
                </c:pt>
                <c:pt idx="14">
                  <c:v>91.25</c:v>
                </c:pt>
              </c:numCache>
            </c:numRef>
          </c:val>
          <c:smooth val="0"/>
        </c:ser>
        <c:ser>
          <c:idx val="3"/>
          <c:order val="3"/>
          <c:tx>
            <c:v>Not engaged - people with disability</c:v>
          </c:tx>
          <c:spPr>
            <a:ln w="34925" cmpd="dbl">
              <a:solidFill>
                <a:srgbClr val="92D050"/>
              </a:solidFill>
              <a:prstDash val="dash"/>
            </a:ln>
          </c:spPr>
          <c:marker>
            <c:symbol val="none"/>
          </c:marker>
          <c:cat>
            <c:strRef>
              <c:f>All!$A$3:$A$17</c:f>
              <c:strCache>
                <c:ptCount val="15"/>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c:v>
                </c:pt>
              </c:strCache>
            </c:strRef>
          </c:cat>
          <c:val>
            <c:numRef>
              <c:f>All!$AN$3:$AN$17</c:f>
              <c:numCache>
                <c:formatCode>General</c:formatCode>
                <c:ptCount val="15"/>
                <c:pt idx="0">
                  <c:v>4.9800000000000004</c:v>
                </c:pt>
                <c:pt idx="1">
                  <c:v>20.010000000000002</c:v>
                </c:pt>
                <c:pt idx="2">
                  <c:v>21.91</c:v>
                </c:pt>
                <c:pt idx="3">
                  <c:v>21.61</c:v>
                </c:pt>
                <c:pt idx="4">
                  <c:v>22.19</c:v>
                </c:pt>
                <c:pt idx="5">
                  <c:v>23.44</c:v>
                </c:pt>
                <c:pt idx="6">
                  <c:v>21.74</c:v>
                </c:pt>
                <c:pt idx="7">
                  <c:v>26.72</c:v>
                </c:pt>
                <c:pt idx="8">
                  <c:v>32.22</c:v>
                </c:pt>
                <c:pt idx="9">
                  <c:v>44.92</c:v>
                </c:pt>
                <c:pt idx="10">
                  <c:v>57.93</c:v>
                </c:pt>
                <c:pt idx="11">
                  <c:v>63.01</c:v>
                </c:pt>
                <c:pt idx="12">
                  <c:v>68.2</c:v>
                </c:pt>
                <c:pt idx="13">
                  <c:v>72.599999999999994</c:v>
                </c:pt>
                <c:pt idx="14">
                  <c:v>76.47</c:v>
                </c:pt>
              </c:numCache>
            </c:numRef>
          </c:val>
          <c:smooth val="0"/>
        </c:ser>
        <c:dLbls>
          <c:showLegendKey val="0"/>
          <c:showVal val="0"/>
          <c:showCatName val="0"/>
          <c:showSerName val="0"/>
          <c:showPercent val="0"/>
          <c:showBubbleSize val="0"/>
        </c:dLbls>
        <c:marker val="1"/>
        <c:smooth val="0"/>
        <c:axId val="201172096"/>
        <c:axId val="201174016"/>
      </c:lineChart>
      <c:catAx>
        <c:axId val="201172096"/>
        <c:scaling>
          <c:orientation val="minMax"/>
        </c:scaling>
        <c:delete val="0"/>
        <c:axPos val="b"/>
        <c:title>
          <c:tx>
            <c:rich>
              <a:bodyPr/>
              <a:lstStyle/>
              <a:p>
                <a:pPr>
                  <a:defRPr/>
                </a:pPr>
                <a:r>
                  <a:rPr lang="en-US"/>
                  <a:t>Age</a:t>
                </a:r>
              </a:p>
            </c:rich>
          </c:tx>
          <c:overlay val="0"/>
        </c:title>
        <c:majorTickMark val="out"/>
        <c:minorTickMark val="none"/>
        <c:tickLblPos val="nextTo"/>
        <c:txPr>
          <a:bodyPr rot="-2700000"/>
          <a:lstStyle/>
          <a:p>
            <a:pPr>
              <a:defRPr/>
            </a:pPr>
            <a:endParaRPr lang="en-US"/>
          </a:p>
        </c:txPr>
        <c:crossAx val="201174016"/>
        <c:crosses val="autoZero"/>
        <c:auto val="1"/>
        <c:lblAlgn val="ctr"/>
        <c:lblOffset val="100"/>
        <c:noMultiLvlLbl val="0"/>
      </c:catAx>
      <c:valAx>
        <c:axId val="201174016"/>
        <c:scaling>
          <c:orientation val="minMax"/>
        </c:scaling>
        <c:delete val="0"/>
        <c:axPos val="l"/>
        <c:title>
          <c:tx>
            <c:rich>
              <a:bodyPr rot="-5400000" vert="horz"/>
              <a:lstStyle/>
              <a:p>
                <a:pPr>
                  <a:defRPr/>
                </a:pPr>
                <a:r>
                  <a:rPr lang="en-US"/>
                  <a:t>Per cent</a:t>
                </a:r>
              </a:p>
            </c:rich>
          </c:tx>
          <c:overlay val="0"/>
        </c:title>
        <c:numFmt formatCode="General" sourceLinked="1"/>
        <c:majorTickMark val="out"/>
        <c:minorTickMark val="none"/>
        <c:tickLblPos val="nextTo"/>
        <c:crossAx val="201172096"/>
        <c:crosses val="autoZero"/>
        <c:crossBetween val="between"/>
      </c:valAx>
    </c:plotArea>
    <c:legend>
      <c:legendPos val="r"/>
      <c:layout>
        <c:manualLayout>
          <c:xMode val="edge"/>
          <c:yMode val="edge"/>
          <c:x val="0.11543088363954505"/>
          <c:y val="3.2857996198751016E-2"/>
          <c:w val="0.52098406116036788"/>
          <c:h val="0.37794483236765214"/>
        </c:manualLayout>
      </c:layout>
      <c:overlay val="1"/>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All!$B$2</c:f>
              <c:strCache>
                <c:ptCount val="1"/>
                <c:pt idx="0">
                  <c:v>Working - population</c:v>
                </c:pt>
              </c:strCache>
            </c:strRef>
          </c:tx>
          <c:spPr>
            <a:ln w="38100">
              <a:solidFill>
                <a:srgbClr val="500778"/>
              </a:solidFill>
            </a:ln>
          </c:spPr>
          <c:marker>
            <c:symbol val="none"/>
          </c:marker>
          <c:cat>
            <c:strRef>
              <c:f>All!$A$3:$A$17</c:f>
              <c:strCache>
                <c:ptCount val="15"/>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c:v>
                </c:pt>
              </c:strCache>
            </c:strRef>
          </c:cat>
          <c:val>
            <c:numRef>
              <c:f>All!$B$3:$B$17</c:f>
              <c:numCache>
                <c:formatCode>General</c:formatCode>
                <c:ptCount val="15"/>
                <c:pt idx="0">
                  <c:v>52.77</c:v>
                </c:pt>
                <c:pt idx="1">
                  <c:v>77.180000000000007</c:v>
                </c:pt>
                <c:pt idx="2">
                  <c:v>79.77</c:v>
                </c:pt>
                <c:pt idx="3">
                  <c:v>79.13</c:v>
                </c:pt>
                <c:pt idx="4">
                  <c:v>79.569999999999993</c:v>
                </c:pt>
                <c:pt idx="5">
                  <c:v>81.37</c:v>
                </c:pt>
                <c:pt idx="6">
                  <c:v>82.19</c:v>
                </c:pt>
                <c:pt idx="7">
                  <c:v>77.48</c:v>
                </c:pt>
                <c:pt idx="8">
                  <c:v>64.86</c:v>
                </c:pt>
                <c:pt idx="9">
                  <c:v>42.89</c:v>
                </c:pt>
                <c:pt idx="10">
                  <c:v>18.850000000000001</c:v>
                </c:pt>
                <c:pt idx="11">
                  <c:v>8.6300000000000008</c:v>
                </c:pt>
                <c:pt idx="12">
                  <c:v>4.41</c:v>
                </c:pt>
                <c:pt idx="13">
                  <c:v>1.71</c:v>
                </c:pt>
                <c:pt idx="14">
                  <c:v>0.53</c:v>
                </c:pt>
              </c:numCache>
            </c:numRef>
          </c:val>
          <c:smooth val="0"/>
        </c:ser>
        <c:ser>
          <c:idx val="2"/>
          <c:order val="1"/>
          <c:tx>
            <c:strRef>
              <c:f>All!$C$2</c:f>
              <c:strCache>
                <c:ptCount val="1"/>
                <c:pt idx="0">
                  <c:v>Studying - population</c:v>
                </c:pt>
              </c:strCache>
            </c:strRef>
          </c:tx>
          <c:spPr>
            <a:ln w="38100" cmpd="dbl">
              <a:solidFill>
                <a:srgbClr val="500778"/>
              </a:solidFill>
              <a:prstDash val="solid"/>
            </a:ln>
          </c:spPr>
          <c:marker>
            <c:symbol val="none"/>
          </c:marker>
          <c:cat>
            <c:strRef>
              <c:f>All!$A$3:$A$17</c:f>
              <c:strCache>
                <c:ptCount val="15"/>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c:v>
                </c:pt>
              </c:strCache>
            </c:strRef>
          </c:cat>
          <c:val>
            <c:numRef>
              <c:f>All!$C$3:$C$17</c:f>
              <c:numCache>
                <c:formatCode>General</c:formatCode>
                <c:ptCount val="15"/>
                <c:pt idx="0">
                  <c:v>89.09</c:v>
                </c:pt>
                <c:pt idx="1">
                  <c:v>51</c:v>
                </c:pt>
                <c:pt idx="2">
                  <c:v>26.92</c:v>
                </c:pt>
                <c:pt idx="3">
                  <c:v>18.41</c:v>
                </c:pt>
                <c:pt idx="4">
                  <c:v>15.74</c:v>
                </c:pt>
                <c:pt idx="5">
                  <c:v>13.66</c:v>
                </c:pt>
                <c:pt idx="6">
                  <c:v>11.74</c:v>
                </c:pt>
                <c:pt idx="7">
                  <c:v>9.1</c:v>
                </c:pt>
                <c:pt idx="8">
                  <c:v>5.98</c:v>
                </c:pt>
                <c:pt idx="9">
                  <c:v>3.8</c:v>
                </c:pt>
                <c:pt idx="10">
                  <c:v>1.84</c:v>
                </c:pt>
                <c:pt idx="11">
                  <c:v>1.1200000000000001</c:v>
                </c:pt>
                <c:pt idx="12">
                  <c:v>0.81</c:v>
                </c:pt>
                <c:pt idx="13">
                  <c:v>0.27</c:v>
                </c:pt>
                <c:pt idx="14">
                  <c:v>0.19</c:v>
                </c:pt>
              </c:numCache>
            </c:numRef>
          </c:val>
          <c:smooth val="0"/>
        </c:ser>
        <c:ser>
          <c:idx val="3"/>
          <c:order val="2"/>
          <c:tx>
            <c:strRef>
              <c:f>All!$D$2</c:f>
              <c:strCache>
                <c:ptCount val="1"/>
                <c:pt idx="0">
                  <c:v>Volunteering - population</c:v>
                </c:pt>
              </c:strCache>
            </c:strRef>
          </c:tx>
          <c:spPr>
            <a:ln w="44450" cmpd="dbl">
              <a:solidFill>
                <a:srgbClr val="500778"/>
              </a:solidFill>
              <a:prstDash val="sysDot"/>
            </a:ln>
          </c:spPr>
          <c:marker>
            <c:symbol val="none"/>
          </c:marker>
          <c:cat>
            <c:strRef>
              <c:f>All!$A$3:$A$17</c:f>
              <c:strCache>
                <c:ptCount val="15"/>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c:v>
                </c:pt>
              </c:strCache>
            </c:strRef>
          </c:cat>
          <c:val>
            <c:numRef>
              <c:f>All!$D$3:$D$17</c:f>
              <c:numCache>
                <c:formatCode>General</c:formatCode>
                <c:ptCount val="15"/>
                <c:pt idx="0">
                  <c:v>10.38</c:v>
                </c:pt>
                <c:pt idx="1">
                  <c:v>12</c:v>
                </c:pt>
                <c:pt idx="2">
                  <c:v>12.38</c:v>
                </c:pt>
                <c:pt idx="3">
                  <c:v>14.92</c:v>
                </c:pt>
                <c:pt idx="4">
                  <c:v>19.940000000000001</c:v>
                </c:pt>
                <c:pt idx="5">
                  <c:v>25.06</c:v>
                </c:pt>
                <c:pt idx="6">
                  <c:v>24.05</c:v>
                </c:pt>
                <c:pt idx="7">
                  <c:v>21.85</c:v>
                </c:pt>
                <c:pt idx="8">
                  <c:v>23.48</c:v>
                </c:pt>
                <c:pt idx="9">
                  <c:v>24.9</c:v>
                </c:pt>
                <c:pt idx="10">
                  <c:v>30.2</c:v>
                </c:pt>
                <c:pt idx="11">
                  <c:v>28.56</c:v>
                </c:pt>
                <c:pt idx="12">
                  <c:v>24.6</c:v>
                </c:pt>
                <c:pt idx="13">
                  <c:v>18.45</c:v>
                </c:pt>
                <c:pt idx="14">
                  <c:v>10.94</c:v>
                </c:pt>
              </c:numCache>
            </c:numRef>
          </c:val>
          <c:smooth val="0"/>
        </c:ser>
        <c:ser>
          <c:idx val="0"/>
          <c:order val="3"/>
          <c:tx>
            <c:strRef>
              <c:f>All!$H$2</c:f>
              <c:strCache>
                <c:ptCount val="1"/>
                <c:pt idx="0">
                  <c:v>Caregiving -population</c:v>
                </c:pt>
              </c:strCache>
            </c:strRef>
          </c:tx>
          <c:spPr>
            <a:ln w="38100">
              <a:solidFill>
                <a:srgbClr val="500778"/>
              </a:solidFill>
              <a:prstDash val="sysDash"/>
            </a:ln>
          </c:spPr>
          <c:marker>
            <c:symbol val="none"/>
          </c:marker>
          <c:cat>
            <c:strRef>
              <c:f>All!$A$3:$A$17</c:f>
              <c:strCache>
                <c:ptCount val="15"/>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c:v>
                </c:pt>
              </c:strCache>
            </c:strRef>
          </c:cat>
          <c:val>
            <c:numRef>
              <c:f>All!$H$3:$H$17</c:f>
              <c:numCache>
                <c:formatCode>General</c:formatCode>
                <c:ptCount val="15"/>
                <c:pt idx="0">
                  <c:v>1.72</c:v>
                </c:pt>
                <c:pt idx="1">
                  <c:v>2.1800000000000002</c:v>
                </c:pt>
                <c:pt idx="2">
                  <c:v>2.7</c:v>
                </c:pt>
                <c:pt idx="3">
                  <c:v>3</c:v>
                </c:pt>
                <c:pt idx="4">
                  <c:v>4.37</c:v>
                </c:pt>
                <c:pt idx="5">
                  <c:v>5.53</c:v>
                </c:pt>
                <c:pt idx="6">
                  <c:v>6.57</c:v>
                </c:pt>
                <c:pt idx="7">
                  <c:v>8.25</c:v>
                </c:pt>
                <c:pt idx="8">
                  <c:v>7.47</c:v>
                </c:pt>
                <c:pt idx="9">
                  <c:v>8.82</c:v>
                </c:pt>
                <c:pt idx="10">
                  <c:v>8.34</c:v>
                </c:pt>
                <c:pt idx="11">
                  <c:v>10.119999999999999</c:v>
                </c:pt>
                <c:pt idx="12">
                  <c:v>11.28</c:v>
                </c:pt>
                <c:pt idx="13">
                  <c:v>14.62</c:v>
                </c:pt>
                <c:pt idx="14">
                  <c:v>15.57</c:v>
                </c:pt>
              </c:numCache>
            </c:numRef>
          </c:val>
          <c:smooth val="0"/>
        </c:ser>
        <c:ser>
          <c:idx val="4"/>
          <c:order val="4"/>
          <c:tx>
            <c:v>Working - disability</c:v>
          </c:tx>
          <c:spPr>
            <a:ln w="25400">
              <a:solidFill>
                <a:srgbClr val="78BE20"/>
              </a:solidFill>
              <a:prstDash val="solid"/>
            </a:ln>
          </c:spPr>
          <c:marker>
            <c:symbol val="none"/>
          </c:marker>
          <c:val>
            <c:numRef>
              <c:f>All!$AI$3:$AI$17</c:f>
              <c:numCache>
                <c:formatCode>General</c:formatCode>
                <c:ptCount val="15"/>
                <c:pt idx="0">
                  <c:v>43.02</c:v>
                </c:pt>
                <c:pt idx="1">
                  <c:v>61</c:v>
                </c:pt>
                <c:pt idx="2">
                  <c:v>64.62</c:v>
                </c:pt>
                <c:pt idx="3">
                  <c:v>64.86</c:v>
                </c:pt>
                <c:pt idx="4">
                  <c:v>61.87</c:v>
                </c:pt>
                <c:pt idx="5">
                  <c:v>61.17</c:v>
                </c:pt>
                <c:pt idx="6">
                  <c:v>61.48</c:v>
                </c:pt>
                <c:pt idx="7">
                  <c:v>54</c:v>
                </c:pt>
                <c:pt idx="8">
                  <c:v>43.49</c:v>
                </c:pt>
                <c:pt idx="9">
                  <c:v>28.87</c:v>
                </c:pt>
                <c:pt idx="10">
                  <c:v>12.62</c:v>
                </c:pt>
                <c:pt idx="11">
                  <c:v>6.15</c:v>
                </c:pt>
                <c:pt idx="12">
                  <c:v>3.04</c:v>
                </c:pt>
                <c:pt idx="13">
                  <c:v>1.49</c:v>
                </c:pt>
                <c:pt idx="14">
                  <c:v>0.53</c:v>
                </c:pt>
              </c:numCache>
            </c:numRef>
          </c:val>
          <c:smooth val="0"/>
        </c:ser>
        <c:ser>
          <c:idx val="5"/>
          <c:order val="5"/>
          <c:tx>
            <c:v>Studying - disability</c:v>
          </c:tx>
          <c:spPr>
            <a:ln w="12700" cmpd="dbl">
              <a:solidFill>
                <a:srgbClr val="78BE20"/>
              </a:solidFill>
              <a:prstDash val="solid"/>
            </a:ln>
          </c:spPr>
          <c:marker>
            <c:symbol val="none"/>
          </c:marker>
          <c:val>
            <c:numRef>
              <c:f>All!$AJ$3:$AJ$17</c:f>
              <c:numCache>
                <c:formatCode>General</c:formatCode>
                <c:ptCount val="15"/>
                <c:pt idx="0">
                  <c:v>84.18</c:v>
                </c:pt>
                <c:pt idx="1">
                  <c:v>41.84</c:v>
                </c:pt>
                <c:pt idx="2">
                  <c:v>25.39</c:v>
                </c:pt>
                <c:pt idx="3">
                  <c:v>20.91</c:v>
                </c:pt>
                <c:pt idx="4">
                  <c:v>17.899999999999999</c:v>
                </c:pt>
                <c:pt idx="5">
                  <c:v>13.8</c:v>
                </c:pt>
                <c:pt idx="6">
                  <c:v>12.57</c:v>
                </c:pt>
                <c:pt idx="7">
                  <c:v>8.56</c:v>
                </c:pt>
                <c:pt idx="8">
                  <c:v>5.3</c:v>
                </c:pt>
                <c:pt idx="9">
                  <c:v>3.66</c:v>
                </c:pt>
                <c:pt idx="10">
                  <c:v>1.62</c:v>
                </c:pt>
                <c:pt idx="11">
                  <c:v>1.07</c:v>
                </c:pt>
                <c:pt idx="12">
                  <c:v>0.93</c:v>
                </c:pt>
                <c:pt idx="13">
                  <c:v>0.25</c:v>
                </c:pt>
                <c:pt idx="14">
                  <c:v>0.19</c:v>
                </c:pt>
              </c:numCache>
            </c:numRef>
          </c:val>
          <c:smooth val="0"/>
        </c:ser>
        <c:ser>
          <c:idx val="6"/>
          <c:order val="6"/>
          <c:tx>
            <c:v>Volunteering - disability</c:v>
          </c:tx>
          <c:spPr>
            <a:ln w="25400">
              <a:solidFill>
                <a:srgbClr val="78BE20"/>
              </a:solidFill>
              <a:prstDash val="sysDot"/>
            </a:ln>
          </c:spPr>
          <c:marker>
            <c:symbol val="none"/>
          </c:marker>
          <c:val>
            <c:numRef>
              <c:f>All!$AK$3:$AK$17</c:f>
              <c:numCache>
                <c:formatCode>General</c:formatCode>
                <c:ptCount val="15"/>
                <c:pt idx="0">
                  <c:v>11.87</c:v>
                </c:pt>
                <c:pt idx="1">
                  <c:v>12.07</c:v>
                </c:pt>
                <c:pt idx="2">
                  <c:v>14.62</c:v>
                </c:pt>
                <c:pt idx="3">
                  <c:v>16.329999999999998</c:v>
                </c:pt>
                <c:pt idx="4">
                  <c:v>19.64</c:v>
                </c:pt>
                <c:pt idx="5">
                  <c:v>21.93</c:v>
                </c:pt>
                <c:pt idx="6">
                  <c:v>21.18</c:v>
                </c:pt>
                <c:pt idx="7">
                  <c:v>20.420000000000002</c:v>
                </c:pt>
                <c:pt idx="8">
                  <c:v>23.71</c:v>
                </c:pt>
                <c:pt idx="9">
                  <c:v>22.54</c:v>
                </c:pt>
                <c:pt idx="10">
                  <c:v>26.77</c:v>
                </c:pt>
                <c:pt idx="11">
                  <c:v>24.82</c:v>
                </c:pt>
                <c:pt idx="12">
                  <c:v>20.37</c:v>
                </c:pt>
                <c:pt idx="13">
                  <c:v>15.3</c:v>
                </c:pt>
                <c:pt idx="14">
                  <c:v>9.2899999999999991</c:v>
                </c:pt>
              </c:numCache>
            </c:numRef>
          </c:val>
          <c:smooth val="0"/>
        </c:ser>
        <c:ser>
          <c:idx val="7"/>
          <c:order val="7"/>
          <c:tx>
            <c:v>Caregiving - disability</c:v>
          </c:tx>
          <c:spPr>
            <a:ln w="25400">
              <a:solidFill>
                <a:srgbClr val="78BE20"/>
              </a:solidFill>
              <a:prstDash val="dash"/>
            </a:ln>
          </c:spPr>
          <c:marker>
            <c:symbol val="none"/>
          </c:marker>
          <c:val>
            <c:numRef>
              <c:f>All!$AO$3:$AO$17</c:f>
              <c:numCache>
                <c:formatCode>General</c:formatCode>
                <c:ptCount val="15"/>
                <c:pt idx="0">
                  <c:v>3.71</c:v>
                </c:pt>
                <c:pt idx="1">
                  <c:v>3.88</c:v>
                </c:pt>
                <c:pt idx="2">
                  <c:v>5.14</c:v>
                </c:pt>
                <c:pt idx="3">
                  <c:v>7.5</c:v>
                </c:pt>
                <c:pt idx="4">
                  <c:v>7.99</c:v>
                </c:pt>
                <c:pt idx="5">
                  <c:v>9.82</c:v>
                </c:pt>
                <c:pt idx="6">
                  <c:v>12.05</c:v>
                </c:pt>
                <c:pt idx="7">
                  <c:v>11.94</c:v>
                </c:pt>
                <c:pt idx="8">
                  <c:v>11.42</c:v>
                </c:pt>
                <c:pt idx="9">
                  <c:v>10.71</c:v>
                </c:pt>
                <c:pt idx="10">
                  <c:v>10.25</c:v>
                </c:pt>
                <c:pt idx="11">
                  <c:v>11.53</c:v>
                </c:pt>
                <c:pt idx="12">
                  <c:v>11.07</c:v>
                </c:pt>
                <c:pt idx="13">
                  <c:v>16.39</c:v>
                </c:pt>
                <c:pt idx="14">
                  <c:v>15.41</c:v>
                </c:pt>
              </c:numCache>
            </c:numRef>
          </c:val>
          <c:smooth val="0"/>
        </c:ser>
        <c:dLbls>
          <c:showLegendKey val="0"/>
          <c:showVal val="0"/>
          <c:showCatName val="0"/>
          <c:showSerName val="0"/>
          <c:showPercent val="0"/>
          <c:showBubbleSize val="0"/>
        </c:dLbls>
        <c:marker val="1"/>
        <c:smooth val="0"/>
        <c:axId val="208499456"/>
        <c:axId val="208501376"/>
      </c:lineChart>
      <c:catAx>
        <c:axId val="208499456"/>
        <c:scaling>
          <c:orientation val="minMax"/>
        </c:scaling>
        <c:delete val="0"/>
        <c:axPos val="b"/>
        <c:title>
          <c:tx>
            <c:rich>
              <a:bodyPr/>
              <a:lstStyle/>
              <a:p>
                <a:pPr>
                  <a:defRPr/>
                </a:pPr>
                <a:r>
                  <a:rPr lang="en-US"/>
                  <a:t>Age</a:t>
                </a:r>
              </a:p>
            </c:rich>
          </c:tx>
          <c:overlay val="0"/>
        </c:title>
        <c:numFmt formatCode="General" sourceLinked="1"/>
        <c:majorTickMark val="out"/>
        <c:minorTickMark val="none"/>
        <c:tickLblPos val="nextTo"/>
        <c:txPr>
          <a:bodyPr rot="-2700000"/>
          <a:lstStyle/>
          <a:p>
            <a:pPr>
              <a:defRPr/>
            </a:pPr>
            <a:endParaRPr lang="en-US"/>
          </a:p>
        </c:txPr>
        <c:crossAx val="208501376"/>
        <c:crosses val="autoZero"/>
        <c:auto val="1"/>
        <c:lblAlgn val="ctr"/>
        <c:lblOffset val="100"/>
        <c:tickLblSkip val="1"/>
        <c:tickMarkSkip val="1"/>
        <c:noMultiLvlLbl val="0"/>
      </c:catAx>
      <c:valAx>
        <c:axId val="208501376"/>
        <c:scaling>
          <c:orientation val="minMax"/>
          <c:max val="100"/>
        </c:scaling>
        <c:delete val="0"/>
        <c:axPos val="l"/>
        <c:title>
          <c:tx>
            <c:rich>
              <a:bodyPr rot="-5400000" vert="horz"/>
              <a:lstStyle/>
              <a:p>
                <a:pPr>
                  <a:defRPr/>
                </a:pPr>
                <a:r>
                  <a:rPr lang="en-US"/>
                  <a:t>Per cent</a:t>
                </a:r>
              </a:p>
            </c:rich>
          </c:tx>
          <c:overlay val="0"/>
        </c:title>
        <c:numFmt formatCode="General" sourceLinked="1"/>
        <c:majorTickMark val="out"/>
        <c:minorTickMark val="none"/>
        <c:tickLblPos val="nextTo"/>
        <c:crossAx val="208499456"/>
        <c:crosses val="autoZero"/>
        <c:crossBetween val="between"/>
      </c:valAx>
    </c:plotArea>
    <c:legend>
      <c:legendPos val="r"/>
      <c:layout>
        <c:manualLayout>
          <c:xMode val="edge"/>
          <c:yMode val="edge"/>
          <c:x val="0.66480769230769232"/>
          <c:y val="0.11181542629751925"/>
          <c:w val="0.32237179487179485"/>
          <c:h val="0.5871218355770044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3411-F6A7-45F1-82B1-843A62E1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thomal</dc:creator>
  <cp:lastModifiedBy>CIFUENTES, Karen</cp:lastModifiedBy>
  <cp:revision>2</cp:revision>
  <cp:lastPrinted>2016-08-09T02:23:00Z</cp:lastPrinted>
  <dcterms:created xsi:type="dcterms:W3CDTF">2016-08-16T01:06:00Z</dcterms:created>
  <dcterms:modified xsi:type="dcterms:W3CDTF">2016-08-16T01:06:00Z</dcterms:modified>
</cp:coreProperties>
</file>