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4A" w:rsidRPr="009E67B4" w:rsidRDefault="005D2923" w:rsidP="009E67B4">
      <w:pPr>
        <w:pStyle w:val="Header"/>
        <w:tabs>
          <w:tab w:val="clear" w:pos="4153"/>
          <w:tab w:val="clear" w:pos="8306"/>
          <w:tab w:val="right" w:pos="9639"/>
        </w:tabs>
        <w:spacing w:after="0"/>
        <w:contextualSpacing w:val="0"/>
        <w:jc w:val="right"/>
        <w:rPr>
          <w:rFonts w:ascii="Arial" w:hAnsi="Arial"/>
          <w:noProof/>
          <w:color w:val="auto"/>
        </w:rPr>
      </w:pPr>
      <w:bookmarkStart w:id="0" w:name="_GoBack"/>
      <w:bookmarkEnd w:id="0"/>
      <w:r>
        <w:rPr>
          <w:rFonts w:ascii="Arial" w:hAnsi="Arial"/>
          <w:noProof/>
          <w:color w:val="auto"/>
        </w:rPr>
        <w:t>Research summary: No.6/2016</w:t>
      </w:r>
    </w:p>
    <w:p w:rsidR="008466A1" w:rsidRPr="009E67B4" w:rsidRDefault="005000E1" w:rsidP="00390DE8">
      <w:pPr>
        <w:pStyle w:val="Title"/>
        <w:spacing w:before="120" w:after="0" w:line="276" w:lineRule="auto"/>
        <w:rPr>
          <w:b/>
          <w:color w:val="500778"/>
          <w:sz w:val="32"/>
        </w:rPr>
      </w:pPr>
      <w:r w:rsidRPr="009E67B4">
        <w:rPr>
          <w:b/>
          <w:color w:val="500778"/>
          <w:sz w:val="32"/>
        </w:rPr>
        <w:t>School</w:t>
      </w:r>
      <w:r w:rsidR="00707BCA">
        <w:rPr>
          <w:b/>
          <w:color w:val="500778"/>
          <w:sz w:val="32"/>
        </w:rPr>
        <w:t>/preschool</w:t>
      </w:r>
      <w:r w:rsidRPr="009E67B4">
        <w:rPr>
          <w:b/>
          <w:color w:val="500778"/>
          <w:sz w:val="32"/>
        </w:rPr>
        <w:t xml:space="preserve"> enrolment of Indigenous children</w:t>
      </w:r>
    </w:p>
    <w:p w:rsidR="008375EE" w:rsidRPr="009E67B4" w:rsidRDefault="002D5C14" w:rsidP="009E67B4">
      <w:pPr>
        <w:jc w:val="both"/>
        <w:rPr>
          <w:color w:val="7030A0"/>
        </w:rPr>
      </w:pPr>
      <w:r w:rsidRPr="009E67B4">
        <w:rPr>
          <w:color w:val="7030A0"/>
        </w:rPr>
        <w:t>Peng Yu</w:t>
      </w:r>
    </w:p>
    <w:p w:rsidR="002D5C14" w:rsidRDefault="002D5C14" w:rsidP="009E67B4">
      <w:pPr>
        <w:autoSpaceDE w:val="0"/>
        <w:autoSpaceDN w:val="0"/>
        <w:adjustRightInd w:val="0"/>
        <w:spacing w:after="0"/>
        <w:jc w:val="both"/>
      </w:pPr>
      <w:r w:rsidRPr="002D5C14">
        <w:rPr>
          <w:rFonts w:eastAsia="Calibri"/>
          <w:szCs w:val="22"/>
          <w:lang w:eastAsia="en-US"/>
        </w:rPr>
        <w:t xml:space="preserve">This </w:t>
      </w:r>
      <w:r>
        <w:rPr>
          <w:rFonts w:eastAsia="Calibri"/>
          <w:szCs w:val="22"/>
          <w:lang w:eastAsia="en-US"/>
        </w:rPr>
        <w:t>research</w:t>
      </w:r>
      <w:r w:rsidRPr="002D5C14">
        <w:rPr>
          <w:rFonts w:eastAsia="Calibri"/>
          <w:szCs w:val="22"/>
          <w:lang w:eastAsia="en-US"/>
        </w:rPr>
        <w:t xml:space="preserve"> use</w:t>
      </w:r>
      <w:r>
        <w:rPr>
          <w:rFonts w:eastAsia="Calibri"/>
          <w:szCs w:val="22"/>
          <w:lang w:eastAsia="en-US"/>
        </w:rPr>
        <w:t>s</w:t>
      </w:r>
      <w:r w:rsidRPr="002D5C14">
        <w:rPr>
          <w:rFonts w:eastAsia="Calibri"/>
          <w:szCs w:val="22"/>
          <w:lang w:eastAsia="en-US"/>
        </w:rPr>
        <w:t xml:space="preserve"> </w:t>
      </w:r>
      <w:r w:rsidR="000B7761">
        <w:rPr>
          <w:rFonts w:eastAsia="Calibri"/>
          <w:i/>
          <w:szCs w:val="22"/>
          <w:lang w:eastAsia="en-US"/>
        </w:rPr>
        <w:t xml:space="preserve">Footprints in Time: </w:t>
      </w:r>
      <w:r w:rsidR="000B7761" w:rsidRPr="00040054">
        <w:rPr>
          <w:rFonts w:eastAsia="Calibri"/>
          <w:szCs w:val="22"/>
          <w:lang w:eastAsia="en-US"/>
        </w:rPr>
        <w:t>The L</w:t>
      </w:r>
      <w:r w:rsidRPr="00040054">
        <w:rPr>
          <w:rFonts w:eastAsia="Calibri"/>
          <w:szCs w:val="22"/>
          <w:lang w:eastAsia="en-US"/>
        </w:rPr>
        <w:t xml:space="preserve">ongitudinal Study of Indigenous Children </w:t>
      </w:r>
      <w:r w:rsidR="00EC6573" w:rsidRPr="00040054">
        <w:rPr>
          <w:rFonts w:eastAsia="Calibri"/>
          <w:szCs w:val="22"/>
          <w:lang w:eastAsia="en-US"/>
        </w:rPr>
        <w:t>(LSIC)</w:t>
      </w:r>
      <w:r w:rsidR="00EC6573">
        <w:rPr>
          <w:rFonts w:eastAsia="Calibri"/>
          <w:i/>
          <w:szCs w:val="22"/>
          <w:lang w:eastAsia="en-US"/>
        </w:rPr>
        <w:t xml:space="preserve"> </w:t>
      </w:r>
      <w:r w:rsidRPr="002D5C14">
        <w:rPr>
          <w:rFonts w:eastAsia="Calibri"/>
          <w:szCs w:val="22"/>
          <w:lang w:eastAsia="en-US"/>
        </w:rPr>
        <w:t xml:space="preserve">to understand the incidence as well as </w:t>
      </w:r>
      <w:r w:rsidR="00040054">
        <w:rPr>
          <w:rFonts w:eastAsia="Calibri"/>
          <w:szCs w:val="22"/>
          <w:lang w:eastAsia="en-US"/>
        </w:rPr>
        <w:t xml:space="preserve">the </w:t>
      </w:r>
      <w:r w:rsidRPr="002D5C14">
        <w:rPr>
          <w:rFonts w:eastAsia="Calibri"/>
          <w:szCs w:val="22"/>
          <w:lang w:eastAsia="en-US"/>
        </w:rPr>
        <w:t xml:space="preserve">key determinants of school enrolment </w:t>
      </w:r>
      <w:r>
        <w:rPr>
          <w:rFonts w:eastAsia="Calibri"/>
          <w:szCs w:val="22"/>
          <w:lang w:eastAsia="en-US"/>
        </w:rPr>
        <w:t xml:space="preserve">of </w:t>
      </w:r>
      <w:r w:rsidRPr="002D5C14">
        <w:rPr>
          <w:rFonts w:eastAsia="Calibri"/>
          <w:szCs w:val="22"/>
          <w:lang w:eastAsia="en-US"/>
        </w:rPr>
        <w:t xml:space="preserve">Indigenous children. The </w:t>
      </w:r>
      <w:r w:rsidRPr="002D5C14">
        <w:rPr>
          <w:rFonts w:eastAsia="Calibri"/>
          <w:i/>
          <w:szCs w:val="22"/>
          <w:lang w:eastAsia="en-US"/>
        </w:rPr>
        <w:t>Footprints in Time</w:t>
      </w:r>
      <w:r w:rsidRPr="002D5C14">
        <w:rPr>
          <w:rFonts w:eastAsia="Calibri"/>
          <w:szCs w:val="22"/>
          <w:lang w:eastAsia="en-US"/>
        </w:rPr>
        <w:t xml:space="preserve"> data has been collected annually since 2008 from two birth cohorts of Indigenous children (1,759 children in total) a</w:t>
      </w:r>
      <w:r w:rsidR="000B7761">
        <w:rPr>
          <w:rFonts w:eastAsia="Calibri"/>
          <w:szCs w:val="22"/>
          <w:lang w:eastAsia="en-US"/>
        </w:rPr>
        <w:t>nd</w:t>
      </w:r>
      <w:r w:rsidRPr="002D5C14">
        <w:rPr>
          <w:rFonts w:eastAsia="Calibri"/>
          <w:szCs w:val="22"/>
          <w:lang w:eastAsia="en-US"/>
        </w:rPr>
        <w:t xml:space="preserve"> their </w:t>
      </w:r>
      <w:r w:rsidR="000B7761">
        <w:rPr>
          <w:rFonts w:eastAsia="Calibri"/>
          <w:szCs w:val="22"/>
          <w:lang w:eastAsia="en-US"/>
        </w:rPr>
        <w:t>parents</w:t>
      </w:r>
      <w:r w:rsidRPr="002D5C14">
        <w:rPr>
          <w:rFonts w:eastAsia="Calibri"/>
          <w:szCs w:val="22"/>
          <w:lang w:eastAsia="en-US"/>
        </w:rPr>
        <w:t xml:space="preserve"> and teachers. </w:t>
      </w:r>
      <w:r w:rsidR="005B64BA" w:rsidRPr="000D7569">
        <w:t>Children in the younger cohort (about 1,000) were mostly born between December 2006 and November 2007, and children in the older cohort (about 750) between December 2003 and November 2004.</w:t>
      </w:r>
    </w:p>
    <w:p w:rsidR="00646F21" w:rsidRPr="002D5C14" w:rsidRDefault="00646F21" w:rsidP="009E67B4">
      <w:pPr>
        <w:autoSpaceDE w:val="0"/>
        <w:autoSpaceDN w:val="0"/>
        <w:adjustRightInd w:val="0"/>
        <w:spacing w:after="0"/>
        <w:jc w:val="both"/>
        <w:rPr>
          <w:rFonts w:eastAsia="Calibri"/>
          <w:szCs w:val="22"/>
          <w:lang w:eastAsia="en-US"/>
        </w:rPr>
      </w:pPr>
      <w:r>
        <w:t xml:space="preserve"> </w:t>
      </w:r>
      <w:r w:rsidRPr="00646F21">
        <w:rPr>
          <w:rFonts w:eastAsia="Calibri"/>
          <w:szCs w:val="22"/>
          <w:lang w:eastAsia="en-US"/>
        </w:rPr>
        <w:t>‘School’ in this research covers various educational institutions, including primary school and other institutions offering transitional education to primary school, which are referred to differently by jurisdictions; for example, kindergarten and preschool.</w:t>
      </w:r>
      <w:r w:rsidR="00932263">
        <w:rPr>
          <w:rFonts w:eastAsia="Calibri"/>
          <w:szCs w:val="22"/>
          <w:lang w:eastAsia="en-US"/>
        </w:rPr>
        <w:t xml:space="preserve"> They are generally termed school hereafter for brevity. </w:t>
      </w:r>
    </w:p>
    <w:p w:rsidR="00F86678" w:rsidRPr="002D5C14" w:rsidRDefault="00932263" w:rsidP="009E67B4">
      <w:pPr>
        <w:autoSpaceDE w:val="0"/>
        <w:autoSpaceDN w:val="0"/>
        <w:adjustRightInd w:val="0"/>
        <w:spacing w:after="0" w:line="276" w:lineRule="auto"/>
        <w:jc w:val="both"/>
        <w:rPr>
          <w:rFonts w:eastAsia="Calibri"/>
          <w:szCs w:val="22"/>
          <w:lang w:eastAsia="en-US"/>
        </w:rPr>
      </w:pPr>
      <w:r>
        <w:t xml:space="preserve">This research uses the first five waves of the </w:t>
      </w:r>
      <w:r w:rsidRPr="002D5C14">
        <w:rPr>
          <w:rFonts w:eastAsia="Calibri"/>
          <w:i/>
          <w:szCs w:val="22"/>
          <w:lang w:eastAsia="en-US"/>
        </w:rPr>
        <w:t>Footprints in Time</w:t>
      </w:r>
      <w:r w:rsidRPr="002D5C14">
        <w:rPr>
          <w:rFonts w:eastAsia="Calibri"/>
          <w:szCs w:val="22"/>
          <w:lang w:eastAsia="en-US"/>
        </w:rPr>
        <w:t xml:space="preserve"> data</w:t>
      </w:r>
      <w:r>
        <w:t xml:space="preserve">. </w:t>
      </w:r>
      <w:r w:rsidR="00F86678" w:rsidRPr="002D5C14">
        <w:rPr>
          <w:rFonts w:eastAsia="Calibri"/>
          <w:szCs w:val="22"/>
          <w:lang w:eastAsia="en-US"/>
        </w:rPr>
        <w:t xml:space="preserve">The </w:t>
      </w:r>
      <w:r w:rsidR="00F86678" w:rsidRPr="002D5C14">
        <w:rPr>
          <w:rFonts w:eastAsia="Calibri"/>
          <w:i/>
          <w:szCs w:val="22"/>
          <w:lang w:eastAsia="en-US"/>
        </w:rPr>
        <w:t>Footprints in Time</w:t>
      </w:r>
      <w:r w:rsidR="00F86678" w:rsidRPr="002D5C14">
        <w:rPr>
          <w:rFonts w:eastAsia="Calibri"/>
          <w:szCs w:val="22"/>
          <w:lang w:eastAsia="en-US"/>
        </w:rPr>
        <w:t xml:space="preserve"> study </w:t>
      </w:r>
      <w:r w:rsidR="00D8540C">
        <w:rPr>
          <w:rFonts w:eastAsia="Calibri"/>
          <w:szCs w:val="22"/>
          <w:lang w:eastAsia="en-US"/>
        </w:rPr>
        <w:t>provides</w:t>
      </w:r>
      <w:r w:rsidR="00F86678" w:rsidRPr="002D5C14">
        <w:rPr>
          <w:rFonts w:eastAsia="Calibri"/>
          <w:szCs w:val="22"/>
          <w:lang w:eastAsia="en-US"/>
        </w:rPr>
        <w:t xml:space="preserve"> enrolment information for the </w:t>
      </w:r>
      <w:r w:rsidR="00631ED3">
        <w:rPr>
          <w:rFonts w:eastAsia="Calibri"/>
          <w:szCs w:val="22"/>
          <w:lang w:eastAsia="en-US"/>
        </w:rPr>
        <w:t xml:space="preserve">older cohort children </w:t>
      </w:r>
      <w:r w:rsidR="00D8540C" w:rsidRPr="002D5C14">
        <w:rPr>
          <w:rFonts w:eastAsia="Calibri"/>
          <w:szCs w:val="22"/>
          <w:lang w:eastAsia="en-US"/>
        </w:rPr>
        <w:t xml:space="preserve">in all the five waves </w:t>
      </w:r>
      <w:r w:rsidR="00631ED3">
        <w:rPr>
          <w:rFonts w:eastAsia="Calibri"/>
          <w:szCs w:val="22"/>
          <w:lang w:eastAsia="en-US"/>
        </w:rPr>
        <w:t xml:space="preserve">and </w:t>
      </w:r>
      <w:r w:rsidR="00F86678" w:rsidRPr="002D5C14">
        <w:rPr>
          <w:rFonts w:eastAsia="Calibri"/>
          <w:szCs w:val="22"/>
          <w:lang w:eastAsia="en-US"/>
        </w:rPr>
        <w:t>for the younger cohort</w:t>
      </w:r>
      <w:r w:rsidR="00D8540C">
        <w:rPr>
          <w:rFonts w:eastAsia="Calibri"/>
          <w:szCs w:val="22"/>
          <w:lang w:eastAsia="en-US"/>
        </w:rPr>
        <w:t xml:space="preserve"> </w:t>
      </w:r>
      <w:r w:rsidR="00646F21">
        <w:rPr>
          <w:rFonts w:eastAsia="Calibri"/>
          <w:szCs w:val="22"/>
          <w:lang w:eastAsia="en-US"/>
        </w:rPr>
        <w:t>in</w:t>
      </w:r>
      <w:r w:rsidR="00D8540C">
        <w:rPr>
          <w:rFonts w:eastAsia="Calibri"/>
          <w:szCs w:val="22"/>
          <w:lang w:eastAsia="en-US"/>
        </w:rPr>
        <w:t xml:space="preserve"> w</w:t>
      </w:r>
      <w:r w:rsidR="00D8540C" w:rsidRPr="002D5C14">
        <w:rPr>
          <w:rFonts w:eastAsia="Calibri"/>
          <w:szCs w:val="22"/>
          <w:lang w:eastAsia="en-US"/>
        </w:rPr>
        <w:t>ave</w:t>
      </w:r>
      <w:r w:rsidR="00646F21">
        <w:rPr>
          <w:rFonts w:eastAsia="Calibri"/>
          <w:szCs w:val="22"/>
          <w:lang w:eastAsia="en-US"/>
        </w:rPr>
        <w:t>s</w:t>
      </w:r>
      <w:r w:rsidR="00D8540C" w:rsidRPr="002D5C14">
        <w:rPr>
          <w:rFonts w:eastAsia="Calibri"/>
          <w:szCs w:val="22"/>
          <w:lang w:eastAsia="en-US"/>
        </w:rPr>
        <w:t xml:space="preserve"> 4 </w:t>
      </w:r>
      <w:r w:rsidR="00646F21">
        <w:rPr>
          <w:rFonts w:eastAsia="Calibri"/>
          <w:szCs w:val="22"/>
          <w:lang w:eastAsia="en-US"/>
        </w:rPr>
        <w:t>and 5</w:t>
      </w:r>
      <w:r w:rsidR="00F86678" w:rsidRPr="002D5C14">
        <w:rPr>
          <w:rFonts w:eastAsia="Calibri"/>
          <w:szCs w:val="22"/>
          <w:lang w:eastAsia="en-US"/>
        </w:rPr>
        <w:t xml:space="preserve">. </w:t>
      </w:r>
    </w:p>
    <w:p w:rsidR="002D5C14" w:rsidRDefault="002D5C14" w:rsidP="009E67B4">
      <w:pPr>
        <w:autoSpaceDE w:val="0"/>
        <w:autoSpaceDN w:val="0"/>
        <w:adjustRightInd w:val="0"/>
        <w:spacing w:after="0"/>
        <w:jc w:val="both"/>
      </w:pPr>
      <w:r>
        <w:t xml:space="preserve">Primary and junior secondary schooling (typically from age </w:t>
      </w:r>
      <w:r w:rsidR="00D8540C">
        <w:t>6</w:t>
      </w:r>
      <w:r>
        <w:t xml:space="preserve"> until at least age 15) is compulsory in Australia. Consequently, the rate of school enrolment of </w:t>
      </w:r>
      <w:r w:rsidR="00D8540C">
        <w:t>6</w:t>
      </w:r>
      <w:r>
        <w:t xml:space="preserve"> to 15-yea</w:t>
      </w:r>
      <w:r w:rsidR="00896D38">
        <w:t xml:space="preserve">r-olds </w:t>
      </w:r>
      <w:r w:rsidR="00D8540C">
        <w:t xml:space="preserve">at the national level </w:t>
      </w:r>
      <w:r w:rsidR="00896D38">
        <w:t>is close to 100 per cent</w:t>
      </w:r>
      <w:r>
        <w:t>. The enrolment rate of Indigenous children in this age group is also high, ranging from 97.6 per cent in</w:t>
      </w:r>
      <w:r w:rsidR="005C1916">
        <w:t xml:space="preserve"> 2008 to 103.6 per cent in 2010 (percentages greater than 100 are due to double counting </w:t>
      </w:r>
      <w:r w:rsidR="00E50786">
        <w:t>caused by simultaneous</w:t>
      </w:r>
      <w:r w:rsidR="005C1916">
        <w:t xml:space="preserve"> cross-border enrolments).</w:t>
      </w:r>
      <w:r>
        <w:rPr>
          <w:rStyle w:val="EndnoteReference"/>
        </w:rPr>
        <w:endnoteReference w:id="1"/>
      </w:r>
      <w:r>
        <w:t xml:space="preserve"> </w:t>
      </w:r>
    </w:p>
    <w:p w:rsidR="0078254A" w:rsidRDefault="0078254A" w:rsidP="009E67B4">
      <w:pPr>
        <w:pStyle w:val="Heading2"/>
        <w:keepNext w:val="0"/>
        <w:keepLines w:val="0"/>
        <w:spacing w:before="0" w:after="0" w:line="276" w:lineRule="auto"/>
        <w:contextualSpacing w:val="0"/>
        <w:jc w:val="both"/>
        <w:rPr>
          <w:rFonts w:asciiTheme="majorHAnsi" w:hAnsiTheme="majorHAnsi" w:cs="Times New Roman"/>
          <w:b/>
          <w:bCs w:val="0"/>
          <w:iCs w:val="0"/>
          <w:color w:val="500778"/>
          <w:sz w:val="22"/>
          <w:szCs w:val="26"/>
        </w:rPr>
      </w:pPr>
    </w:p>
    <w:p w:rsidR="0032758A" w:rsidRPr="0078254A" w:rsidRDefault="0032758A" w:rsidP="009E67B4">
      <w:pPr>
        <w:pStyle w:val="Heading2"/>
        <w:keepNext w:val="0"/>
        <w:keepLines w:val="0"/>
        <w:spacing w:before="0" w:after="0" w:line="276" w:lineRule="auto"/>
        <w:contextualSpacing w:val="0"/>
        <w:jc w:val="both"/>
        <w:rPr>
          <w:rFonts w:asciiTheme="majorHAnsi" w:hAnsiTheme="majorHAnsi" w:cs="Times New Roman"/>
          <w:b/>
          <w:bCs w:val="0"/>
          <w:iCs w:val="0"/>
          <w:color w:val="500778"/>
          <w:sz w:val="22"/>
          <w:szCs w:val="26"/>
        </w:rPr>
      </w:pPr>
      <w:r w:rsidRPr="0078254A">
        <w:rPr>
          <w:rFonts w:asciiTheme="majorHAnsi" w:hAnsiTheme="majorHAnsi" w:cs="Times New Roman"/>
          <w:b/>
          <w:bCs w:val="0"/>
          <w:iCs w:val="0"/>
          <w:color w:val="500778"/>
          <w:sz w:val="22"/>
          <w:szCs w:val="26"/>
        </w:rPr>
        <w:t xml:space="preserve">School enrolment and </w:t>
      </w:r>
      <w:r w:rsidR="0082453C" w:rsidRPr="0078254A">
        <w:rPr>
          <w:rFonts w:asciiTheme="majorHAnsi" w:hAnsiTheme="majorHAnsi" w:cs="Times New Roman"/>
          <w:b/>
          <w:bCs w:val="0"/>
          <w:iCs w:val="0"/>
          <w:color w:val="500778"/>
          <w:sz w:val="22"/>
          <w:szCs w:val="26"/>
        </w:rPr>
        <w:t>main</w:t>
      </w:r>
      <w:r w:rsidRPr="0078254A">
        <w:rPr>
          <w:rFonts w:asciiTheme="majorHAnsi" w:hAnsiTheme="majorHAnsi" w:cs="Times New Roman"/>
          <w:b/>
          <w:bCs w:val="0"/>
          <w:iCs w:val="0"/>
          <w:color w:val="500778"/>
          <w:sz w:val="22"/>
          <w:szCs w:val="26"/>
        </w:rPr>
        <w:t xml:space="preserve"> reasons for non-enrolment </w:t>
      </w:r>
      <w:r w:rsidR="00E6364A">
        <w:rPr>
          <w:rFonts w:asciiTheme="majorHAnsi" w:hAnsiTheme="majorHAnsi" w:cs="Times New Roman"/>
          <w:b/>
          <w:bCs w:val="0"/>
          <w:iCs w:val="0"/>
          <w:color w:val="500778"/>
          <w:sz w:val="22"/>
          <w:szCs w:val="26"/>
        </w:rPr>
        <w:t>using</w:t>
      </w:r>
      <w:r w:rsidR="00797744">
        <w:rPr>
          <w:rFonts w:asciiTheme="majorHAnsi" w:hAnsiTheme="majorHAnsi" w:cs="Times New Roman"/>
          <w:b/>
          <w:bCs w:val="0"/>
          <w:iCs w:val="0"/>
          <w:color w:val="500778"/>
          <w:sz w:val="22"/>
          <w:szCs w:val="26"/>
        </w:rPr>
        <w:t xml:space="preserve"> </w:t>
      </w:r>
      <w:r w:rsidRPr="0078254A">
        <w:rPr>
          <w:rFonts w:asciiTheme="majorHAnsi" w:hAnsiTheme="majorHAnsi" w:cs="Times New Roman"/>
          <w:b/>
          <w:bCs w:val="0"/>
          <w:i/>
          <w:iCs w:val="0"/>
          <w:color w:val="500778"/>
          <w:sz w:val="22"/>
          <w:szCs w:val="26"/>
        </w:rPr>
        <w:t>Footprints in Time</w:t>
      </w:r>
      <w:r w:rsidR="00E6364A">
        <w:rPr>
          <w:rFonts w:asciiTheme="majorHAnsi" w:hAnsiTheme="majorHAnsi" w:cs="Times New Roman"/>
          <w:b/>
          <w:bCs w:val="0"/>
          <w:iCs w:val="0"/>
          <w:color w:val="500778"/>
          <w:sz w:val="22"/>
          <w:szCs w:val="26"/>
        </w:rPr>
        <w:t xml:space="preserve"> data</w:t>
      </w:r>
    </w:p>
    <w:p w:rsidR="00E81AA3" w:rsidRDefault="00E81AA3" w:rsidP="009E67B4">
      <w:pPr>
        <w:autoSpaceDE w:val="0"/>
        <w:autoSpaceDN w:val="0"/>
        <w:adjustRightInd w:val="0"/>
        <w:spacing w:after="0" w:line="276" w:lineRule="auto"/>
        <w:jc w:val="both"/>
        <w:rPr>
          <w:rFonts w:eastAsia="Calibri"/>
          <w:szCs w:val="22"/>
          <w:lang w:eastAsia="en-US"/>
        </w:rPr>
      </w:pPr>
      <w:r w:rsidRPr="002D5C14">
        <w:rPr>
          <w:rFonts w:eastAsia="Calibri"/>
          <w:szCs w:val="22"/>
          <w:lang w:eastAsia="en-US"/>
        </w:rPr>
        <w:t>Table 1 reports enrolment rates and main reasons for non-enrolment by child age. While the comp</w:t>
      </w:r>
      <w:r w:rsidR="0078254A">
        <w:rPr>
          <w:rFonts w:eastAsia="Calibri"/>
          <w:szCs w:val="22"/>
          <w:lang w:eastAsia="en-US"/>
        </w:rPr>
        <w:t xml:space="preserve">ulsory age for school is either </w:t>
      </w:r>
      <w:r w:rsidR="00D8540C">
        <w:rPr>
          <w:rFonts w:eastAsia="Calibri"/>
          <w:szCs w:val="22"/>
          <w:lang w:eastAsia="en-US"/>
        </w:rPr>
        <w:t>5</w:t>
      </w:r>
      <w:r w:rsidRPr="002D5C14">
        <w:rPr>
          <w:rFonts w:eastAsia="Calibri"/>
          <w:szCs w:val="22"/>
          <w:lang w:eastAsia="en-US"/>
        </w:rPr>
        <w:t xml:space="preserve"> (in Tasman</w:t>
      </w:r>
      <w:r w:rsidR="000B7761">
        <w:rPr>
          <w:rFonts w:eastAsia="Calibri"/>
          <w:szCs w:val="22"/>
          <w:lang w:eastAsia="en-US"/>
        </w:rPr>
        <w:t>ia)</w:t>
      </w:r>
      <w:r w:rsidR="0078254A">
        <w:rPr>
          <w:rFonts w:eastAsia="Calibri"/>
          <w:szCs w:val="22"/>
          <w:lang w:eastAsia="en-US"/>
        </w:rPr>
        <w:t>,</w:t>
      </w:r>
      <w:r w:rsidR="000B7761">
        <w:rPr>
          <w:rFonts w:eastAsia="Calibri"/>
          <w:szCs w:val="22"/>
          <w:lang w:eastAsia="en-US"/>
        </w:rPr>
        <w:t xml:space="preserve"> or </w:t>
      </w:r>
      <w:r w:rsidR="00D8540C">
        <w:rPr>
          <w:rFonts w:eastAsia="Calibri"/>
          <w:szCs w:val="22"/>
          <w:lang w:eastAsia="en-US"/>
        </w:rPr>
        <w:t>6</w:t>
      </w:r>
      <w:r w:rsidR="000B7761">
        <w:rPr>
          <w:rFonts w:eastAsia="Calibri"/>
          <w:szCs w:val="22"/>
          <w:lang w:eastAsia="en-US"/>
        </w:rPr>
        <w:t xml:space="preserve"> years (in all other states and t</w:t>
      </w:r>
      <w:r w:rsidRPr="002D5C14">
        <w:rPr>
          <w:rFonts w:eastAsia="Calibri"/>
          <w:szCs w:val="22"/>
          <w:lang w:eastAsia="en-US"/>
        </w:rPr>
        <w:t xml:space="preserve">erritories), most Australian children start school one year earlier. </w:t>
      </w:r>
      <w:r w:rsidR="003C2F45">
        <w:rPr>
          <w:rFonts w:eastAsia="Calibri"/>
          <w:szCs w:val="22"/>
          <w:lang w:eastAsia="en-US"/>
        </w:rPr>
        <w:t xml:space="preserve">Preschool enrolment is not compulsory and is usually 15 hours a week. </w:t>
      </w:r>
    </w:p>
    <w:p w:rsidR="002D5C14" w:rsidRPr="002D5C14" w:rsidRDefault="002D5C14" w:rsidP="00F86678">
      <w:pPr>
        <w:spacing w:before="240" w:after="60" w:line="276" w:lineRule="auto"/>
        <w:rPr>
          <w:rFonts w:eastAsia="Calibri"/>
          <w:b/>
          <w:sz w:val="22"/>
          <w:szCs w:val="22"/>
          <w:lang w:eastAsia="en-US"/>
        </w:rPr>
      </w:pPr>
      <w:r w:rsidRPr="002D5C14">
        <w:rPr>
          <w:rFonts w:eastAsia="Calibri"/>
          <w:b/>
          <w:sz w:val="22"/>
          <w:szCs w:val="22"/>
          <w:lang w:eastAsia="en-US"/>
        </w:rPr>
        <w:t>Table 1: School enrolment rates and reasons for non-enrolment, by child age</w:t>
      </w:r>
    </w:p>
    <w:tbl>
      <w:tblPr>
        <w:tblW w:w="10383" w:type="dxa"/>
        <w:tblInd w:w="-176" w:type="dxa"/>
        <w:tblLook w:val="04A0" w:firstRow="1" w:lastRow="0" w:firstColumn="1" w:lastColumn="0" w:noHBand="0" w:noVBand="1"/>
        <w:tblCaption w:val="School enrolment rates and reasons for non-enrolment, by child age"/>
        <w:tblDescription w:val="The vertical axis of this table has the Total Sample - those enrolled in school and those not enrolled in school. Also on the vertical axis are the main reasons for non-enrolment including the child doesn't need it, the child has a disability or special needs and child is too young. The horizontal axis has 2 columns for age 4, 5 and 6. The first column is Number and the second column is percentage."/>
      </w:tblPr>
      <w:tblGrid>
        <w:gridCol w:w="4942"/>
        <w:gridCol w:w="667"/>
        <w:gridCol w:w="1131"/>
        <w:gridCol w:w="744"/>
        <w:gridCol w:w="1078"/>
        <w:gridCol w:w="599"/>
        <w:gridCol w:w="1222"/>
      </w:tblGrid>
      <w:tr w:rsidR="008E325C" w:rsidRPr="008E325C" w:rsidTr="00CE34C8">
        <w:trPr>
          <w:trHeight w:val="226"/>
        </w:trPr>
        <w:tc>
          <w:tcPr>
            <w:tcW w:w="4942" w:type="dxa"/>
            <w:tcBorders>
              <w:top w:val="single" w:sz="8" w:space="0" w:color="000000"/>
              <w:left w:val="nil"/>
              <w:bottom w:val="single" w:sz="8" w:space="0" w:color="000000"/>
              <w:right w:val="single" w:sz="8" w:space="0" w:color="auto"/>
            </w:tcBorders>
            <w:shd w:val="clear" w:color="000000" w:fill="78BE20"/>
            <w:vAlign w:val="center"/>
            <w:hideMark/>
          </w:tcPr>
          <w:p w:rsidR="008E325C" w:rsidRPr="008E325C" w:rsidRDefault="008E325C" w:rsidP="008E325C">
            <w:pPr>
              <w:spacing w:before="0" w:after="0" w:line="240" w:lineRule="auto"/>
              <w:rPr>
                <w:rFonts w:cs="Arial"/>
                <w:b/>
                <w:bCs/>
                <w:color w:val="FFFFFF"/>
                <w:sz w:val="18"/>
                <w:szCs w:val="18"/>
              </w:rPr>
            </w:pPr>
            <w:r w:rsidRPr="008E325C">
              <w:rPr>
                <w:rFonts w:cs="Arial"/>
                <w:b/>
                <w:bCs/>
                <w:color w:val="FFFFFF"/>
                <w:sz w:val="18"/>
                <w:szCs w:val="18"/>
              </w:rPr>
              <w:t> </w:t>
            </w:r>
          </w:p>
        </w:tc>
        <w:tc>
          <w:tcPr>
            <w:tcW w:w="1798" w:type="dxa"/>
            <w:gridSpan w:val="2"/>
            <w:tcBorders>
              <w:top w:val="single" w:sz="8" w:space="0" w:color="000000"/>
              <w:left w:val="nil"/>
              <w:bottom w:val="single" w:sz="8" w:space="0" w:color="000000"/>
              <w:right w:val="single" w:sz="8" w:space="0" w:color="000000"/>
            </w:tcBorders>
            <w:shd w:val="clear" w:color="000000" w:fill="78BE20"/>
            <w:vAlign w:val="center"/>
            <w:hideMark/>
          </w:tcPr>
          <w:p w:rsidR="008E325C" w:rsidRPr="008E325C" w:rsidRDefault="008E325C" w:rsidP="008E325C">
            <w:pPr>
              <w:spacing w:before="0" w:after="0" w:line="240" w:lineRule="auto"/>
              <w:jc w:val="center"/>
              <w:rPr>
                <w:rFonts w:cs="Arial"/>
                <w:b/>
                <w:bCs/>
                <w:color w:val="FFFFFF"/>
                <w:sz w:val="18"/>
                <w:szCs w:val="18"/>
              </w:rPr>
            </w:pPr>
            <w:r w:rsidRPr="008E325C">
              <w:rPr>
                <w:rFonts w:cs="Arial"/>
                <w:b/>
                <w:bCs/>
                <w:color w:val="FFFFFF"/>
                <w:sz w:val="18"/>
                <w:szCs w:val="18"/>
              </w:rPr>
              <w:t>Age 4</w:t>
            </w:r>
          </w:p>
        </w:tc>
        <w:tc>
          <w:tcPr>
            <w:tcW w:w="1822" w:type="dxa"/>
            <w:gridSpan w:val="2"/>
            <w:tcBorders>
              <w:top w:val="single" w:sz="8" w:space="0" w:color="000000"/>
              <w:left w:val="nil"/>
              <w:bottom w:val="single" w:sz="8" w:space="0" w:color="000000"/>
              <w:right w:val="single" w:sz="8" w:space="0" w:color="000000"/>
            </w:tcBorders>
            <w:shd w:val="clear" w:color="000000" w:fill="78BE20"/>
            <w:vAlign w:val="center"/>
            <w:hideMark/>
          </w:tcPr>
          <w:p w:rsidR="008E325C" w:rsidRPr="008E325C" w:rsidRDefault="008E325C" w:rsidP="008E325C">
            <w:pPr>
              <w:spacing w:before="0" w:after="0" w:line="240" w:lineRule="auto"/>
              <w:jc w:val="center"/>
              <w:rPr>
                <w:rFonts w:cs="Arial"/>
                <w:b/>
                <w:bCs/>
                <w:color w:val="FFFFFF"/>
                <w:sz w:val="18"/>
                <w:szCs w:val="18"/>
              </w:rPr>
            </w:pPr>
            <w:r w:rsidRPr="008E325C">
              <w:rPr>
                <w:rFonts w:cs="Arial"/>
                <w:b/>
                <w:bCs/>
                <w:color w:val="FFFFFF"/>
                <w:sz w:val="18"/>
                <w:szCs w:val="18"/>
              </w:rPr>
              <w:t>Age 5</w:t>
            </w:r>
          </w:p>
        </w:tc>
        <w:tc>
          <w:tcPr>
            <w:tcW w:w="1821" w:type="dxa"/>
            <w:gridSpan w:val="2"/>
            <w:tcBorders>
              <w:top w:val="single" w:sz="8" w:space="0" w:color="000000"/>
              <w:left w:val="nil"/>
              <w:bottom w:val="single" w:sz="8" w:space="0" w:color="000000"/>
              <w:right w:val="nil"/>
            </w:tcBorders>
            <w:shd w:val="clear" w:color="000000" w:fill="78BE20"/>
            <w:vAlign w:val="center"/>
            <w:hideMark/>
          </w:tcPr>
          <w:p w:rsidR="008E325C" w:rsidRPr="008E325C" w:rsidRDefault="008E325C" w:rsidP="008E325C">
            <w:pPr>
              <w:spacing w:before="0" w:after="0" w:line="240" w:lineRule="auto"/>
              <w:jc w:val="center"/>
              <w:rPr>
                <w:rFonts w:cs="Arial"/>
                <w:b/>
                <w:bCs/>
                <w:color w:val="FFFFFF"/>
                <w:sz w:val="18"/>
                <w:szCs w:val="18"/>
              </w:rPr>
            </w:pPr>
            <w:r w:rsidRPr="008E325C">
              <w:rPr>
                <w:rFonts w:cs="Arial"/>
                <w:b/>
                <w:bCs/>
                <w:color w:val="FFFFFF"/>
                <w:sz w:val="18"/>
                <w:szCs w:val="18"/>
              </w:rPr>
              <w:t>Age 6</w:t>
            </w:r>
          </w:p>
        </w:tc>
      </w:tr>
      <w:tr w:rsidR="008E325C" w:rsidRPr="008E325C" w:rsidTr="00CE34C8">
        <w:trPr>
          <w:trHeight w:val="226"/>
        </w:trPr>
        <w:tc>
          <w:tcPr>
            <w:tcW w:w="4942" w:type="dxa"/>
            <w:tcBorders>
              <w:top w:val="nil"/>
              <w:left w:val="nil"/>
              <w:bottom w:val="single" w:sz="8" w:space="0" w:color="000000"/>
              <w:right w:val="single" w:sz="8" w:space="0" w:color="auto"/>
            </w:tcBorders>
            <w:shd w:val="clear" w:color="000000" w:fill="78BE20"/>
            <w:vAlign w:val="center"/>
            <w:hideMark/>
          </w:tcPr>
          <w:p w:rsidR="008E325C" w:rsidRPr="008E325C" w:rsidRDefault="008E325C" w:rsidP="008E325C">
            <w:pPr>
              <w:spacing w:before="0" w:after="0" w:line="240" w:lineRule="auto"/>
              <w:rPr>
                <w:rFonts w:cs="Arial"/>
                <w:b/>
                <w:bCs/>
                <w:color w:val="FFFFFF"/>
                <w:sz w:val="18"/>
                <w:szCs w:val="18"/>
              </w:rPr>
            </w:pPr>
            <w:r w:rsidRPr="008E325C">
              <w:rPr>
                <w:rFonts w:cs="Arial"/>
                <w:b/>
                <w:bCs/>
                <w:color w:val="FFFFFF"/>
                <w:sz w:val="18"/>
                <w:szCs w:val="18"/>
              </w:rPr>
              <w:t> </w:t>
            </w:r>
          </w:p>
        </w:tc>
        <w:tc>
          <w:tcPr>
            <w:tcW w:w="667" w:type="dxa"/>
            <w:tcBorders>
              <w:top w:val="nil"/>
              <w:left w:val="nil"/>
              <w:bottom w:val="single" w:sz="8" w:space="0" w:color="000000"/>
              <w:right w:val="nil"/>
            </w:tcBorders>
            <w:shd w:val="clear" w:color="000000" w:fill="F2F2F2"/>
            <w:vAlign w:val="center"/>
            <w:hideMark/>
          </w:tcPr>
          <w:p w:rsidR="008E325C" w:rsidRPr="008E325C" w:rsidRDefault="008E325C" w:rsidP="008E325C">
            <w:pPr>
              <w:spacing w:before="0" w:after="0" w:line="240" w:lineRule="auto"/>
              <w:jc w:val="right"/>
              <w:rPr>
                <w:rFonts w:cs="Arial"/>
                <w:b/>
                <w:bCs/>
                <w:i/>
                <w:iCs/>
                <w:color w:val="000000"/>
                <w:sz w:val="18"/>
                <w:szCs w:val="18"/>
              </w:rPr>
            </w:pPr>
            <w:r w:rsidRPr="008E325C">
              <w:rPr>
                <w:rFonts w:cs="Arial"/>
                <w:b/>
                <w:bCs/>
                <w:i/>
                <w:iCs/>
                <w:color w:val="000000"/>
                <w:sz w:val="18"/>
                <w:szCs w:val="18"/>
              </w:rPr>
              <w:t>N</w:t>
            </w:r>
          </w:p>
        </w:tc>
        <w:tc>
          <w:tcPr>
            <w:tcW w:w="1131" w:type="dxa"/>
            <w:tcBorders>
              <w:top w:val="nil"/>
              <w:left w:val="nil"/>
              <w:bottom w:val="single" w:sz="8" w:space="0" w:color="000000"/>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b/>
                <w:bCs/>
                <w:i/>
                <w:iCs/>
                <w:color w:val="000000"/>
                <w:sz w:val="18"/>
                <w:szCs w:val="18"/>
              </w:rPr>
            </w:pPr>
            <w:r w:rsidRPr="008E325C">
              <w:rPr>
                <w:rFonts w:cs="Arial"/>
                <w:b/>
                <w:bCs/>
                <w:i/>
                <w:iCs/>
                <w:color w:val="000000"/>
                <w:sz w:val="18"/>
                <w:szCs w:val="18"/>
              </w:rPr>
              <w:t>%</w:t>
            </w:r>
          </w:p>
        </w:tc>
        <w:tc>
          <w:tcPr>
            <w:tcW w:w="744" w:type="dxa"/>
            <w:tcBorders>
              <w:top w:val="nil"/>
              <w:left w:val="nil"/>
              <w:bottom w:val="single" w:sz="8" w:space="0" w:color="000000"/>
              <w:right w:val="nil"/>
            </w:tcBorders>
            <w:shd w:val="clear" w:color="auto" w:fill="auto"/>
            <w:vAlign w:val="center"/>
            <w:hideMark/>
          </w:tcPr>
          <w:p w:rsidR="008E325C" w:rsidRPr="008E325C" w:rsidRDefault="008E325C" w:rsidP="008E325C">
            <w:pPr>
              <w:spacing w:before="0" w:after="0" w:line="240" w:lineRule="auto"/>
              <w:jc w:val="right"/>
              <w:rPr>
                <w:rFonts w:cs="Arial"/>
                <w:b/>
                <w:bCs/>
                <w:i/>
                <w:iCs/>
                <w:color w:val="000000"/>
                <w:sz w:val="18"/>
                <w:szCs w:val="18"/>
              </w:rPr>
            </w:pPr>
            <w:r w:rsidRPr="008E325C">
              <w:rPr>
                <w:rFonts w:cs="Arial"/>
                <w:b/>
                <w:bCs/>
                <w:i/>
                <w:iCs/>
                <w:color w:val="000000"/>
                <w:sz w:val="18"/>
                <w:szCs w:val="18"/>
              </w:rPr>
              <w:t>N</w:t>
            </w:r>
          </w:p>
        </w:tc>
        <w:tc>
          <w:tcPr>
            <w:tcW w:w="1078" w:type="dxa"/>
            <w:tcBorders>
              <w:top w:val="nil"/>
              <w:left w:val="nil"/>
              <w:bottom w:val="single" w:sz="8" w:space="0" w:color="000000"/>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b/>
                <w:bCs/>
                <w:i/>
                <w:iCs/>
                <w:color w:val="000000"/>
                <w:sz w:val="18"/>
                <w:szCs w:val="18"/>
              </w:rPr>
            </w:pPr>
            <w:r w:rsidRPr="008E325C">
              <w:rPr>
                <w:rFonts w:cs="Arial"/>
                <w:b/>
                <w:bCs/>
                <w:i/>
                <w:iCs/>
                <w:color w:val="000000"/>
                <w:sz w:val="18"/>
                <w:szCs w:val="18"/>
              </w:rPr>
              <w:t>%</w:t>
            </w:r>
          </w:p>
        </w:tc>
        <w:tc>
          <w:tcPr>
            <w:tcW w:w="599" w:type="dxa"/>
            <w:tcBorders>
              <w:top w:val="nil"/>
              <w:left w:val="nil"/>
              <w:bottom w:val="single" w:sz="8" w:space="0" w:color="000000"/>
              <w:right w:val="nil"/>
            </w:tcBorders>
            <w:shd w:val="clear" w:color="000000" w:fill="F2F2F2"/>
            <w:vAlign w:val="center"/>
            <w:hideMark/>
          </w:tcPr>
          <w:p w:rsidR="008E325C" w:rsidRPr="008E325C" w:rsidRDefault="008E325C" w:rsidP="008E325C">
            <w:pPr>
              <w:spacing w:before="0" w:after="0" w:line="240" w:lineRule="auto"/>
              <w:jc w:val="right"/>
              <w:rPr>
                <w:rFonts w:cs="Arial"/>
                <w:b/>
                <w:bCs/>
                <w:i/>
                <w:iCs/>
                <w:color w:val="000000"/>
                <w:sz w:val="18"/>
                <w:szCs w:val="18"/>
              </w:rPr>
            </w:pPr>
            <w:r w:rsidRPr="008E325C">
              <w:rPr>
                <w:rFonts w:cs="Arial"/>
                <w:b/>
                <w:bCs/>
                <w:i/>
                <w:iCs/>
                <w:color w:val="000000"/>
                <w:sz w:val="18"/>
                <w:szCs w:val="18"/>
              </w:rPr>
              <w:t>N</w:t>
            </w:r>
          </w:p>
        </w:tc>
        <w:tc>
          <w:tcPr>
            <w:tcW w:w="1222" w:type="dxa"/>
            <w:tcBorders>
              <w:top w:val="nil"/>
              <w:left w:val="nil"/>
              <w:bottom w:val="single" w:sz="8" w:space="0" w:color="000000"/>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b/>
                <w:bCs/>
                <w:i/>
                <w:iCs/>
                <w:color w:val="000000"/>
                <w:sz w:val="18"/>
                <w:szCs w:val="18"/>
              </w:rPr>
            </w:pPr>
            <w:r w:rsidRPr="008E325C">
              <w:rPr>
                <w:rFonts w:cs="Arial"/>
                <w:b/>
                <w:bCs/>
                <w:i/>
                <w:iCs/>
                <w:color w:val="000000"/>
                <w:sz w:val="18"/>
                <w:szCs w:val="18"/>
              </w:rPr>
              <w:t>%</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rPr>
                <w:rFonts w:cs="Arial"/>
                <w:b/>
                <w:bCs/>
                <w:i/>
                <w:iCs/>
                <w:color w:val="FFFFFF"/>
                <w:sz w:val="18"/>
                <w:szCs w:val="18"/>
              </w:rPr>
            </w:pPr>
            <w:r w:rsidRPr="008E325C">
              <w:rPr>
                <w:rFonts w:cs="Arial"/>
                <w:b/>
                <w:bCs/>
                <w:i/>
                <w:iCs/>
                <w:color w:val="FFFFFF"/>
                <w:sz w:val="18"/>
                <w:szCs w:val="18"/>
              </w:rPr>
              <w:t>Total sample:</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i/>
                <w:iCs/>
                <w:color w:val="000000"/>
                <w:sz w:val="18"/>
                <w:szCs w:val="18"/>
              </w:rPr>
            </w:pPr>
            <w:r w:rsidRPr="008E325C">
              <w:rPr>
                <w:rFonts w:cs="Arial"/>
                <w:i/>
                <w:iCs/>
                <w:color w:val="000000"/>
                <w:sz w:val="18"/>
                <w:szCs w:val="18"/>
              </w:rPr>
              <w:t>1,504</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i/>
                <w:iCs/>
                <w:color w:val="000000"/>
                <w:sz w:val="18"/>
                <w:szCs w:val="18"/>
              </w:rPr>
            </w:pPr>
            <w:r w:rsidRPr="008E325C">
              <w:rPr>
                <w:rFonts w:cs="Arial"/>
                <w:i/>
                <w:iCs/>
                <w:color w:val="000000"/>
                <w:sz w:val="18"/>
                <w:szCs w:val="18"/>
              </w:rPr>
              <w:t>100</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i/>
                <w:iCs/>
                <w:color w:val="000000"/>
                <w:sz w:val="18"/>
                <w:szCs w:val="18"/>
              </w:rPr>
            </w:pPr>
            <w:r w:rsidRPr="008E325C">
              <w:rPr>
                <w:rFonts w:cs="Arial"/>
                <w:i/>
                <w:iCs/>
                <w:color w:val="000000"/>
                <w:sz w:val="18"/>
                <w:szCs w:val="18"/>
              </w:rPr>
              <w:t>1,070</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i/>
                <w:iCs/>
                <w:color w:val="000000"/>
                <w:sz w:val="18"/>
                <w:szCs w:val="18"/>
              </w:rPr>
            </w:pPr>
            <w:r w:rsidRPr="008E325C">
              <w:rPr>
                <w:rFonts w:cs="Arial"/>
                <w:i/>
                <w:iCs/>
                <w:color w:val="000000"/>
                <w:sz w:val="18"/>
                <w:szCs w:val="18"/>
              </w:rPr>
              <w:t>100</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i/>
                <w:iCs/>
                <w:color w:val="000000"/>
                <w:sz w:val="18"/>
                <w:szCs w:val="18"/>
              </w:rPr>
            </w:pPr>
            <w:r w:rsidRPr="008E325C">
              <w:rPr>
                <w:rFonts w:cs="Arial"/>
                <w:i/>
                <w:iCs/>
                <w:color w:val="000000"/>
                <w:sz w:val="18"/>
                <w:szCs w:val="18"/>
              </w:rPr>
              <w:t>604</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i/>
                <w:iCs/>
                <w:color w:val="000000"/>
                <w:sz w:val="18"/>
                <w:szCs w:val="18"/>
              </w:rPr>
            </w:pPr>
            <w:r w:rsidRPr="008E325C">
              <w:rPr>
                <w:rFonts w:cs="Arial"/>
                <w:i/>
                <w:iCs/>
                <w:color w:val="000000"/>
                <w:sz w:val="18"/>
                <w:szCs w:val="18"/>
              </w:rPr>
              <w:t>100</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100" w:firstLine="180"/>
              <w:rPr>
                <w:rFonts w:cs="Arial"/>
                <w:color w:val="FFFFFF"/>
                <w:sz w:val="18"/>
                <w:szCs w:val="18"/>
              </w:rPr>
            </w:pPr>
            <w:r w:rsidRPr="008E325C">
              <w:rPr>
                <w:rFonts w:cs="Arial"/>
                <w:color w:val="FFFFFF"/>
                <w:sz w:val="18"/>
                <w:szCs w:val="18"/>
              </w:rPr>
              <w:t xml:space="preserve">Enrolled in </w:t>
            </w:r>
            <w:r w:rsidR="004E5EBE">
              <w:rPr>
                <w:rFonts w:cs="Arial"/>
                <w:color w:val="FFFFFF"/>
                <w:sz w:val="18"/>
                <w:szCs w:val="18"/>
              </w:rPr>
              <w:t xml:space="preserve">primary </w:t>
            </w:r>
            <w:r w:rsidRPr="008E325C">
              <w:rPr>
                <w:rFonts w:cs="Arial"/>
                <w:color w:val="FFFFFF"/>
                <w:sz w:val="18"/>
                <w:szCs w:val="18"/>
              </w:rPr>
              <w:t>school</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1,075</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71.5</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992</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92.7</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598</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99</w:t>
            </w:r>
          </w:p>
        </w:tc>
      </w:tr>
      <w:tr w:rsidR="008E325C" w:rsidRPr="008E325C" w:rsidTr="002F0172">
        <w:trPr>
          <w:trHeight w:val="226"/>
        </w:trPr>
        <w:tc>
          <w:tcPr>
            <w:tcW w:w="4942" w:type="dxa"/>
            <w:tcBorders>
              <w:top w:val="nil"/>
              <w:left w:val="nil"/>
              <w:bottom w:val="single" w:sz="8" w:space="0" w:color="000000"/>
              <w:right w:val="single" w:sz="8" w:space="0" w:color="auto"/>
            </w:tcBorders>
            <w:shd w:val="clear" w:color="000000" w:fill="78BE20"/>
            <w:vAlign w:val="center"/>
            <w:hideMark/>
          </w:tcPr>
          <w:p w:rsidR="008E325C" w:rsidRPr="008E325C" w:rsidRDefault="008E325C" w:rsidP="00CE34C8">
            <w:pPr>
              <w:spacing w:before="0" w:after="0" w:line="240" w:lineRule="auto"/>
              <w:ind w:left="176" w:firstLineChars="2" w:firstLine="4"/>
              <w:rPr>
                <w:rFonts w:cs="Arial"/>
                <w:color w:val="FFFFFF"/>
                <w:sz w:val="18"/>
                <w:szCs w:val="18"/>
              </w:rPr>
            </w:pPr>
            <w:r w:rsidRPr="008E325C">
              <w:rPr>
                <w:rFonts w:cs="Arial"/>
                <w:color w:val="FFFFFF"/>
                <w:sz w:val="18"/>
                <w:szCs w:val="18"/>
              </w:rPr>
              <w:t xml:space="preserve">Not enrolled in </w:t>
            </w:r>
            <w:r w:rsidR="00CE34C8">
              <w:rPr>
                <w:rFonts w:cs="Arial"/>
                <w:color w:val="FFFFFF"/>
                <w:sz w:val="18"/>
                <w:szCs w:val="18"/>
              </w:rPr>
              <w:t xml:space="preserve">primary </w:t>
            </w:r>
            <w:r w:rsidRPr="008E325C">
              <w:rPr>
                <w:rFonts w:cs="Arial"/>
                <w:color w:val="FFFFFF"/>
                <w:sz w:val="18"/>
                <w:szCs w:val="18"/>
              </w:rPr>
              <w:t>school</w:t>
            </w:r>
            <w:r w:rsidR="004736ED">
              <w:rPr>
                <w:rFonts w:cs="Arial"/>
                <w:color w:val="FFFFFF"/>
                <w:sz w:val="18"/>
                <w:szCs w:val="18"/>
              </w:rPr>
              <w:t xml:space="preserve"> </w:t>
            </w:r>
            <w:r w:rsidR="00CE34C8">
              <w:rPr>
                <w:rFonts w:cs="Arial"/>
                <w:color w:val="FFFFFF"/>
                <w:sz w:val="18"/>
                <w:szCs w:val="18"/>
              </w:rPr>
              <w:t>(may be enrolled in other education types)</w:t>
            </w:r>
          </w:p>
        </w:tc>
        <w:tc>
          <w:tcPr>
            <w:tcW w:w="667" w:type="dxa"/>
            <w:tcBorders>
              <w:top w:val="nil"/>
              <w:left w:val="nil"/>
              <w:bottom w:val="single" w:sz="8" w:space="0" w:color="000000"/>
              <w:right w:val="nil"/>
            </w:tcBorders>
            <w:shd w:val="clear" w:color="000000" w:fill="F2F2F2"/>
            <w:hideMark/>
          </w:tcPr>
          <w:p w:rsidR="008E325C" w:rsidRPr="008E325C" w:rsidRDefault="008E325C" w:rsidP="002F0172">
            <w:pPr>
              <w:spacing w:before="0" w:after="0" w:line="240" w:lineRule="auto"/>
              <w:jc w:val="right"/>
              <w:rPr>
                <w:rFonts w:cs="Arial"/>
                <w:color w:val="000000"/>
                <w:sz w:val="18"/>
                <w:szCs w:val="18"/>
              </w:rPr>
            </w:pPr>
            <w:r w:rsidRPr="008E325C">
              <w:rPr>
                <w:rFonts w:cs="Arial"/>
                <w:color w:val="000000"/>
                <w:sz w:val="18"/>
                <w:szCs w:val="18"/>
              </w:rPr>
              <w:t>429</w:t>
            </w:r>
          </w:p>
        </w:tc>
        <w:tc>
          <w:tcPr>
            <w:tcW w:w="1131" w:type="dxa"/>
            <w:tcBorders>
              <w:top w:val="nil"/>
              <w:left w:val="nil"/>
              <w:bottom w:val="single" w:sz="8" w:space="0" w:color="000000"/>
              <w:right w:val="single" w:sz="8" w:space="0" w:color="auto"/>
            </w:tcBorders>
            <w:shd w:val="clear" w:color="000000" w:fill="F2F2F2"/>
            <w:hideMark/>
          </w:tcPr>
          <w:p w:rsidR="008E325C" w:rsidRPr="008E325C" w:rsidRDefault="008E325C" w:rsidP="002F0172">
            <w:pPr>
              <w:spacing w:before="0" w:after="0" w:line="240" w:lineRule="auto"/>
              <w:jc w:val="right"/>
              <w:rPr>
                <w:rFonts w:cs="Arial"/>
                <w:color w:val="000000"/>
                <w:sz w:val="18"/>
                <w:szCs w:val="18"/>
              </w:rPr>
            </w:pPr>
            <w:r w:rsidRPr="008E325C">
              <w:rPr>
                <w:rFonts w:cs="Arial"/>
                <w:color w:val="000000"/>
                <w:sz w:val="18"/>
                <w:szCs w:val="18"/>
              </w:rPr>
              <w:t>28.5</w:t>
            </w:r>
          </w:p>
        </w:tc>
        <w:tc>
          <w:tcPr>
            <w:tcW w:w="744" w:type="dxa"/>
            <w:tcBorders>
              <w:top w:val="nil"/>
              <w:left w:val="nil"/>
              <w:bottom w:val="single" w:sz="8" w:space="0" w:color="000000"/>
              <w:right w:val="nil"/>
            </w:tcBorders>
            <w:shd w:val="clear" w:color="auto" w:fill="auto"/>
            <w:hideMark/>
          </w:tcPr>
          <w:p w:rsidR="008E325C" w:rsidRPr="008E325C" w:rsidRDefault="008E325C" w:rsidP="002F0172">
            <w:pPr>
              <w:spacing w:before="0" w:after="0" w:line="240" w:lineRule="auto"/>
              <w:jc w:val="right"/>
              <w:rPr>
                <w:rFonts w:cs="Arial"/>
                <w:color w:val="000000"/>
                <w:sz w:val="18"/>
                <w:szCs w:val="18"/>
              </w:rPr>
            </w:pPr>
            <w:r w:rsidRPr="008E325C">
              <w:rPr>
                <w:rFonts w:cs="Arial"/>
                <w:color w:val="000000"/>
                <w:sz w:val="18"/>
                <w:szCs w:val="18"/>
              </w:rPr>
              <w:t>78</w:t>
            </w:r>
          </w:p>
        </w:tc>
        <w:tc>
          <w:tcPr>
            <w:tcW w:w="1078" w:type="dxa"/>
            <w:tcBorders>
              <w:top w:val="nil"/>
              <w:left w:val="nil"/>
              <w:bottom w:val="single" w:sz="8" w:space="0" w:color="000000"/>
              <w:right w:val="single" w:sz="8" w:space="0" w:color="auto"/>
            </w:tcBorders>
            <w:shd w:val="clear" w:color="auto" w:fill="auto"/>
            <w:hideMark/>
          </w:tcPr>
          <w:p w:rsidR="008E325C" w:rsidRPr="008E325C" w:rsidRDefault="008E325C" w:rsidP="002F0172">
            <w:pPr>
              <w:spacing w:before="0" w:after="0" w:line="240" w:lineRule="auto"/>
              <w:jc w:val="right"/>
              <w:rPr>
                <w:rFonts w:cs="Arial"/>
                <w:color w:val="000000"/>
                <w:sz w:val="18"/>
                <w:szCs w:val="18"/>
              </w:rPr>
            </w:pPr>
            <w:r w:rsidRPr="008E325C">
              <w:rPr>
                <w:rFonts w:cs="Arial"/>
                <w:color w:val="000000"/>
                <w:sz w:val="18"/>
                <w:szCs w:val="18"/>
              </w:rPr>
              <w:t>7.3</w:t>
            </w:r>
          </w:p>
        </w:tc>
        <w:tc>
          <w:tcPr>
            <w:tcW w:w="599" w:type="dxa"/>
            <w:tcBorders>
              <w:top w:val="nil"/>
              <w:left w:val="nil"/>
              <w:bottom w:val="single" w:sz="8" w:space="0" w:color="000000"/>
              <w:right w:val="nil"/>
            </w:tcBorders>
            <w:shd w:val="clear" w:color="000000" w:fill="F2F2F2"/>
            <w:hideMark/>
          </w:tcPr>
          <w:p w:rsidR="008E325C" w:rsidRPr="008E325C" w:rsidRDefault="008E325C" w:rsidP="002F0172">
            <w:pPr>
              <w:spacing w:before="0" w:after="0" w:line="240" w:lineRule="auto"/>
              <w:jc w:val="right"/>
              <w:rPr>
                <w:rFonts w:cs="Arial"/>
                <w:color w:val="000000"/>
                <w:sz w:val="18"/>
                <w:szCs w:val="18"/>
              </w:rPr>
            </w:pPr>
            <w:r w:rsidRPr="008E325C">
              <w:rPr>
                <w:rFonts w:cs="Arial"/>
                <w:color w:val="000000"/>
                <w:sz w:val="18"/>
                <w:szCs w:val="18"/>
              </w:rPr>
              <w:t>6</w:t>
            </w:r>
          </w:p>
        </w:tc>
        <w:tc>
          <w:tcPr>
            <w:tcW w:w="1222" w:type="dxa"/>
            <w:tcBorders>
              <w:top w:val="nil"/>
              <w:left w:val="nil"/>
              <w:bottom w:val="single" w:sz="8" w:space="0" w:color="000000"/>
              <w:right w:val="single" w:sz="8" w:space="0" w:color="auto"/>
            </w:tcBorders>
            <w:shd w:val="clear" w:color="000000" w:fill="F2F2F2"/>
            <w:hideMark/>
          </w:tcPr>
          <w:p w:rsidR="008E325C" w:rsidRPr="008E325C" w:rsidRDefault="008E325C" w:rsidP="002F0172">
            <w:pPr>
              <w:spacing w:before="0" w:after="0" w:line="240" w:lineRule="auto"/>
              <w:jc w:val="right"/>
              <w:rPr>
                <w:rFonts w:cs="Arial"/>
                <w:color w:val="000000"/>
                <w:sz w:val="18"/>
                <w:szCs w:val="18"/>
              </w:rPr>
            </w:pPr>
            <w:r w:rsidRPr="008E325C">
              <w:rPr>
                <w:rFonts w:cs="Arial"/>
                <w:color w:val="000000"/>
                <w:sz w:val="18"/>
                <w:szCs w:val="18"/>
              </w:rPr>
              <w:t>1</w:t>
            </w:r>
          </w:p>
        </w:tc>
      </w:tr>
      <w:tr w:rsidR="008E325C" w:rsidRPr="008E325C" w:rsidTr="002F0172">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4736ED" w:rsidP="00CE34C8">
            <w:pPr>
              <w:spacing w:before="0" w:after="0" w:line="240" w:lineRule="auto"/>
              <w:ind w:firstLineChars="18" w:firstLine="33"/>
              <w:rPr>
                <w:rFonts w:cs="Arial"/>
                <w:b/>
                <w:bCs/>
                <w:i/>
                <w:iCs/>
                <w:color w:val="FFFFFF"/>
                <w:sz w:val="18"/>
                <w:szCs w:val="18"/>
              </w:rPr>
            </w:pPr>
            <w:r w:rsidRPr="004736ED">
              <w:rPr>
                <w:rFonts w:cs="Arial"/>
                <w:b/>
                <w:bCs/>
                <w:i/>
                <w:iCs/>
                <w:color w:val="FFFFFF"/>
                <w:sz w:val="18"/>
                <w:szCs w:val="18"/>
              </w:rPr>
              <w:t>Main reasons for no</w:t>
            </w:r>
            <w:r>
              <w:rPr>
                <w:rFonts w:cs="Arial"/>
                <w:b/>
                <w:bCs/>
                <w:i/>
                <w:iCs/>
                <w:color w:val="FFFFFF"/>
                <w:sz w:val="18"/>
                <w:szCs w:val="18"/>
              </w:rPr>
              <w:t xml:space="preserve">n-enrolment, asked </w:t>
            </w:r>
            <w:r w:rsidR="00CE34C8">
              <w:rPr>
                <w:rFonts w:cs="Arial"/>
                <w:b/>
                <w:bCs/>
                <w:i/>
                <w:iCs/>
                <w:color w:val="FFFFFF"/>
                <w:sz w:val="18"/>
                <w:szCs w:val="18"/>
              </w:rPr>
              <w:t>where child is</w:t>
            </w:r>
            <w:r>
              <w:rPr>
                <w:rFonts w:cs="Arial"/>
                <w:b/>
                <w:bCs/>
                <w:i/>
                <w:iCs/>
                <w:color w:val="FFFFFF"/>
                <w:sz w:val="18"/>
                <w:szCs w:val="18"/>
              </w:rPr>
              <w:t xml:space="preserve"> not</w:t>
            </w:r>
            <w:r w:rsidR="00CE34C8">
              <w:rPr>
                <w:rFonts w:cs="Arial"/>
                <w:b/>
                <w:bCs/>
                <w:i/>
                <w:iCs/>
                <w:color w:val="FFFFFF"/>
                <w:sz w:val="18"/>
                <w:szCs w:val="18"/>
              </w:rPr>
              <w:t xml:space="preserve"> enrolled</w:t>
            </w:r>
            <w:r>
              <w:rPr>
                <w:rFonts w:cs="Arial"/>
                <w:b/>
                <w:bCs/>
                <w:i/>
                <w:iCs/>
                <w:color w:val="FFFFFF"/>
                <w:sz w:val="18"/>
                <w:szCs w:val="18"/>
              </w:rPr>
              <w:t xml:space="preserve"> in school/preschool/childcare/</w:t>
            </w:r>
            <w:proofErr w:type="spellStart"/>
            <w:r>
              <w:rPr>
                <w:rFonts w:cs="Arial"/>
                <w:b/>
                <w:bCs/>
                <w:i/>
                <w:iCs/>
                <w:color w:val="FFFFFF"/>
                <w:sz w:val="18"/>
                <w:szCs w:val="18"/>
              </w:rPr>
              <w:t>daycare</w:t>
            </w:r>
            <w:proofErr w:type="spellEnd"/>
            <w:r>
              <w:rPr>
                <w:rFonts w:cs="Arial"/>
                <w:b/>
                <w:bCs/>
                <w:i/>
                <w:iCs/>
                <w:color w:val="FFFFFF"/>
                <w:sz w:val="18"/>
                <w:szCs w:val="18"/>
              </w:rPr>
              <w:t>:</w:t>
            </w:r>
          </w:p>
        </w:tc>
        <w:tc>
          <w:tcPr>
            <w:tcW w:w="667" w:type="dxa"/>
            <w:tcBorders>
              <w:top w:val="nil"/>
              <w:left w:val="nil"/>
              <w:bottom w:val="nil"/>
              <w:right w:val="nil"/>
            </w:tcBorders>
            <w:shd w:val="clear" w:color="000000" w:fill="F2F2F2"/>
            <w:hideMark/>
          </w:tcPr>
          <w:p w:rsidR="008E325C" w:rsidRPr="008E325C" w:rsidRDefault="008E325C" w:rsidP="002F0172">
            <w:pPr>
              <w:spacing w:before="0" w:after="0" w:line="240" w:lineRule="auto"/>
              <w:jc w:val="right"/>
              <w:rPr>
                <w:rFonts w:cs="Arial"/>
                <w:i/>
                <w:iCs/>
                <w:color w:val="000000"/>
                <w:sz w:val="18"/>
                <w:szCs w:val="18"/>
              </w:rPr>
            </w:pPr>
            <w:r w:rsidRPr="008E325C">
              <w:rPr>
                <w:rFonts w:cs="Arial"/>
                <w:i/>
                <w:iCs/>
                <w:color w:val="000000"/>
                <w:sz w:val="18"/>
                <w:szCs w:val="18"/>
              </w:rPr>
              <w:t>331</w:t>
            </w:r>
          </w:p>
        </w:tc>
        <w:tc>
          <w:tcPr>
            <w:tcW w:w="1131" w:type="dxa"/>
            <w:tcBorders>
              <w:top w:val="nil"/>
              <w:left w:val="nil"/>
              <w:bottom w:val="nil"/>
              <w:right w:val="single" w:sz="8" w:space="0" w:color="auto"/>
            </w:tcBorders>
            <w:shd w:val="clear" w:color="000000" w:fill="F2F2F2"/>
            <w:hideMark/>
          </w:tcPr>
          <w:p w:rsidR="008E325C" w:rsidRPr="008E325C" w:rsidRDefault="008E325C" w:rsidP="002F0172">
            <w:pPr>
              <w:spacing w:before="0" w:after="0" w:line="240" w:lineRule="auto"/>
              <w:jc w:val="right"/>
              <w:rPr>
                <w:rFonts w:cs="Arial"/>
                <w:i/>
                <w:iCs/>
                <w:color w:val="000000"/>
                <w:sz w:val="18"/>
                <w:szCs w:val="18"/>
              </w:rPr>
            </w:pPr>
            <w:r w:rsidRPr="008E325C">
              <w:rPr>
                <w:rFonts w:cs="Arial"/>
                <w:i/>
                <w:iCs/>
                <w:color w:val="000000"/>
                <w:sz w:val="18"/>
                <w:szCs w:val="18"/>
              </w:rPr>
              <w:t>100</w:t>
            </w:r>
          </w:p>
        </w:tc>
        <w:tc>
          <w:tcPr>
            <w:tcW w:w="744" w:type="dxa"/>
            <w:tcBorders>
              <w:top w:val="nil"/>
              <w:left w:val="nil"/>
              <w:bottom w:val="nil"/>
              <w:right w:val="nil"/>
            </w:tcBorders>
            <w:shd w:val="clear" w:color="auto" w:fill="auto"/>
            <w:hideMark/>
          </w:tcPr>
          <w:p w:rsidR="008E325C" w:rsidRPr="008E325C" w:rsidRDefault="008E325C" w:rsidP="002F0172">
            <w:pPr>
              <w:spacing w:before="0" w:after="0" w:line="240" w:lineRule="auto"/>
              <w:jc w:val="right"/>
              <w:rPr>
                <w:rFonts w:cs="Arial"/>
                <w:i/>
                <w:iCs/>
                <w:color w:val="000000"/>
                <w:sz w:val="18"/>
                <w:szCs w:val="18"/>
              </w:rPr>
            </w:pPr>
            <w:r w:rsidRPr="008E325C">
              <w:rPr>
                <w:rFonts w:cs="Arial"/>
                <w:i/>
                <w:iCs/>
                <w:color w:val="000000"/>
                <w:sz w:val="18"/>
                <w:szCs w:val="18"/>
              </w:rPr>
              <w:t>67</w:t>
            </w:r>
          </w:p>
        </w:tc>
        <w:tc>
          <w:tcPr>
            <w:tcW w:w="1078" w:type="dxa"/>
            <w:tcBorders>
              <w:top w:val="nil"/>
              <w:left w:val="nil"/>
              <w:bottom w:val="nil"/>
              <w:right w:val="single" w:sz="8" w:space="0" w:color="auto"/>
            </w:tcBorders>
            <w:shd w:val="clear" w:color="auto" w:fill="auto"/>
            <w:hideMark/>
          </w:tcPr>
          <w:p w:rsidR="008E325C" w:rsidRPr="008E325C" w:rsidRDefault="008E325C" w:rsidP="002F0172">
            <w:pPr>
              <w:spacing w:before="0" w:after="0" w:line="240" w:lineRule="auto"/>
              <w:jc w:val="right"/>
              <w:rPr>
                <w:rFonts w:cs="Arial"/>
                <w:i/>
                <w:iCs/>
                <w:color w:val="000000"/>
                <w:sz w:val="18"/>
                <w:szCs w:val="18"/>
              </w:rPr>
            </w:pPr>
            <w:r w:rsidRPr="008E325C">
              <w:rPr>
                <w:rFonts w:cs="Arial"/>
                <w:i/>
                <w:iCs/>
                <w:color w:val="000000"/>
                <w:sz w:val="18"/>
                <w:szCs w:val="18"/>
              </w:rPr>
              <w:t>100</w:t>
            </w:r>
          </w:p>
        </w:tc>
        <w:tc>
          <w:tcPr>
            <w:tcW w:w="599" w:type="dxa"/>
            <w:tcBorders>
              <w:top w:val="nil"/>
              <w:left w:val="nil"/>
              <w:bottom w:val="nil"/>
              <w:right w:val="nil"/>
            </w:tcBorders>
            <w:shd w:val="clear" w:color="000000" w:fill="F2F2F2"/>
            <w:hideMark/>
          </w:tcPr>
          <w:p w:rsidR="008E325C" w:rsidRPr="008E325C" w:rsidRDefault="008E325C" w:rsidP="002F0172">
            <w:pPr>
              <w:spacing w:before="0" w:after="0" w:line="240" w:lineRule="auto"/>
              <w:jc w:val="right"/>
              <w:rPr>
                <w:rFonts w:cs="Arial"/>
                <w:i/>
                <w:iCs/>
                <w:color w:val="000000"/>
                <w:sz w:val="18"/>
                <w:szCs w:val="18"/>
              </w:rPr>
            </w:pPr>
            <w:r w:rsidRPr="008E325C">
              <w:rPr>
                <w:rFonts w:cs="Arial"/>
                <w:i/>
                <w:iCs/>
                <w:color w:val="000000"/>
                <w:sz w:val="18"/>
                <w:szCs w:val="18"/>
              </w:rPr>
              <w:t>6</w:t>
            </w:r>
          </w:p>
        </w:tc>
        <w:tc>
          <w:tcPr>
            <w:tcW w:w="1222" w:type="dxa"/>
            <w:tcBorders>
              <w:top w:val="nil"/>
              <w:left w:val="nil"/>
              <w:bottom w:val="nil"/>
              <w:right w:val="single" w:sz="8" w:space="0" w:color="auto"/>
            </w:tcBorders>
            <w:shd w:val="clear" w:color="000000" w:fill="F2F2F2"/>
            <w:hideMark/>
          </w:tcPr>
          <w:p w:rsidR="008E325C" w:rsidRPr="008E325C" w:rsidRDefault="008E325C" w:rsidP="002F0172">
            <w:pPr>
              <w:spacing w:before="0" w:after="0" w:line="240" w:lineRule="auto"/>
              <w:jc w:val="right"/>
              <w:rPr>
                <w:rFonts w:cs="Arial"/>
                <w:i/>
                <w:iCs/>
                <w:color w:val="000000"/>
                <w:sz w:val="18"/>
                <w:szCs w:val="18"/>
              </w:rPr>
            </w:pPr>
            <w:r w:rsidRPr="008E325C">
              <w:rPr>
                <w:rFonts w:cs="Arial"/>
                <w:i/>
                <w:iCs/>
                <w:color w:val="000000"/>
                <w:sz w:val="18"/>
                <w:szCs w:val="18"/>
              </w:rPr>
              <w:t>100</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Child is too young</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94</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28.4</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10</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14.9</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Have decided not to send child yet</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50</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15.1</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10</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14.9</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16.7</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Other</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41</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12.4</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22</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32.8</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5</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83.3</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Child does not need it</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34</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10.3</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4</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6</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Child would be unsettled at school</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33</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10</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1.5</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Cost is too high</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26</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7.9</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4</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6</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Cannot get a place</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17</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5.1</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3</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4.5</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Not available locally</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13</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3.9</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3</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4.5</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Don’t feel comfortable dealing with school</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4</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1.2</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Transport problems</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3</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0.9</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5</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7.5</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Attends childcare (so doesn’t go to school)</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3</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0.9</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2</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3</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Child has disability or special needs</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2</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0.6</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1.5</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Not flexible enough/unsuitable times</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2</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0.6</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1.5</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Concerned with quality of program</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2</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0.6</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Family/partner does not approve</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2</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0.6</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w:t>
            </w: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1.5</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Do not want child taught by non-Indigenous carers</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2</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0.6</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No other Indigenous children at school</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0.3</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nil"/>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No cultural program available</w:t>
            </w:r>
          </w:p>
        </w:tc>
        <w:tc>
          <w:tcPr>
            <w:tcW w:w="667"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w:t>
            </w:r>
          </w:p>
        </w:tc>
        <w:tc>
          <w:tcPr>
            <w:tcW w:w="1131"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0.3</w:t>
            </w:r>
          </w:p>
        </w:tc>
        <w:tc>
          <w:tcPr>
            <w:tcW w:w="744" w:type="dxa"/>
            <w:tcBorders>
              <w:top w:val="nil"/>
              <w:left w:val="nil"/>
              <w:bottom w:val="nil"/>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p>
        </w:tc>
        <w:tc>
          <w:tcPr>
            <w:tcW w:w="1078" w:type="dxa"/>
            <w:tcBorders>
              <w:top w:val="nil"/>
              <w:left w:val="nil"/>
              <w:bottom w:val="nil"/>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599" w:type="dxa"/>
            <w:tcBorders>
              <w:top w:val="nil"/>
              <w:left w:val="nil"/>
              <w:bottom w:val="nil"/>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nil"/>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r w:rsidR="008E325C" w:rsidRPr="008E325C" w:rsidTr="00CE34C8">
        <w:trPr>
          <w:trHeight w:val="226"/>
        </w:trPr>
        <w:tc>
          <w:tcPr>
            <w:tcW w:w="4942" w:type="dxa"/>
            <w:tcBorders>
              <w:top w:val="nil"/>
              <w:left w:val="nil"/>
              <w:bottom w:val="single" w:sz="8" w:space="0" w:color="auto"/>
              <w:right w:val="single" w:sz="8" w:space="0" w:color="auto"/>
            </w:tcBorders>
            <w:shd w:val="clear" w:color="000000" w:fill="78BE20"/>
            <w:vAlign w:val="center"/>
            <w:hideMark/>
          </w:tcPr>
          <w:p w:rsidR="008E325C" w:rsidRPr="008E325C" w:rsidRDefault="008E325C" w:rsidP="008E325C">
            <w:pPr>
              <w:spacing w:before="0" w:after="0" w:line="240" w:lineRule="auto"/>
              <w:ind w:firstLineChars="97" w:firstLine="175"/>
              <w:rPr>
                <w:rFonts w:cs="Arial"/>
                <w:color w:val="FFFFFF"/>
                <w:sz w:val="18"/>
                <w:szCs w:val="18"/>
              </w:rPr>
            </w:pPr>
            <w:r w:rsidRPr="008E325C">
              <w:rPr>
                <w:rFonts w:cs="Arial"/>
                <w:color w:val="FFFFFF"/>
                <w:sz w:val="18"/>
                <w:szCs w:val="18"/>
              </w:rPr>
              <w:t>Too much paperwork to complete</w:t>
            </w:r>
          </w:p>
        </w:tc>
        <w:tc>
          <w:tcPr>
            <w:tcW w:w="667" w:type="dxa"/>
            <w:tcBorders>
              <w:top w:val="nil"/>
              <w:left w:val="nil"/>
              <w:bottom w:val="single" w:sz="8" w:space="0" w:color="auto"/>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1</w:t>
            </w:r>
          </w:p>
        </w:tc>
        <w:tc>
          <w:tcPr>
            <w:tcW w:w="1131" w:type="dxa"/>
            <w:tcBorders>
              <w:top w:val="nil"/>
              <w:left w:val="nil"/>
              <w:bottom w:val="single" w:sz="8" w:space="0" w:color="auto"/>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0.3</w:t>
            </w:r>
          </w:p>
        </w:tc>
        <w:tc>
          <w:tcPr>
            <w:tcW w:w="744" w:type="dxa"/>
            <w:tcBorders>
              <w:top w:val="nil"/>
              <w:left w:val="nil"/>
              <w:bottom w:val="single" w:sz="8" w:space="0" w:color="auto"/>
              <w:right w:val="nil"/>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078" w:type="dxa"/>
            <w:tcBorders>
              <w:top w:val="nil"/>
              <w:left w:val="nil"/>
              <w:bottom w:val="single" w:sz="8" w:space="0" w:color="auto"/>
              <w:right w:val="single" w:sz="8" w:space="0" w:color="auto"/>
            </w:tcBorders>
            <w:shd w:val="clear" w:color="auto" w:fill="auto"/>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599" w:type="dxa"/>
            <w:tcBorders>
              <w:top w:val="nil"/>
              <w:left w:val="nil"/>
              <w:bottom w:val="single" w:sz="8" w:space="0" w:color="auto"/>
              <w:right w:val="nil"/>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c>
          <w:tcPr>
            <w:tcW w:w="1222" w:type="dxa"/>
            <w:tcBorders>
              <w:top w:val="nil"/>
              <w:left w:val="nil"/>
              <w:bottom w:val="single" w:sz="8" w:space="0" w:color="auto"/>
              <w:right w:val="single" w:sz="8" w:space="0" w:color="auto"/>
            </w:tcBorders>
            <w:shd w:val="clear" w:color="000000" w:fill="F2F2F2"/>
            <w:vAlign w:val="center"/>
            <w:hideMark/>
          </w:tcPr>
          <w:p w:rsidR="008E325C" w:rsidRPr="008E325C" w:rsidRDefault="008E325C" w:rsidP="008E325C">
            <w:pPr>
              <w:spacing w:before="0" w:after="0" w:line="240" w:lineRule="auto"/>
              <w:jc w:val="right"/>
              <w:rPr>
                <w:rFonts w:cs="Arial"/>
                <w:color w:val="000000"/>
                <w:sz w:val="18"/>
                <w:szCs w:val="18"/>
              </w:rPr>
            </w:pPr>
            <w:r w:rsidRPr="008E325C">
              <w:rPr>
                <w:rFonts w:cs="Arial"/>
                <w:color w:val="000000"/>
                <w:sz w:val="18"/>
                <w:szCs w:val="18"/>
              </w:rPr>
              <w:t> </w:t>
            </w:r>
          </w:p>
        </w:tc>
      </w:tr>
    </w:tbl>
    <w:p w:rsidR="009E67B4" w:rsidRPr="006A3BA5" w:rsidRDefault="002D5C14" w:rsidP="009E67B4">
      <w:pPr>
        <w:spacing w:before="60" w:line="276" w:lineRule="auto"/>
        <w:rPr>
          <w:rFonts w:eastAsia="Calibri"/>
          <w:sz w:val="16"/>
          <w:szCs w:val="16"/>
          <w:lang w:eastAsia="en-US"/>
        </w:rPr>
      </w:pPr>
      <w:r w:rsidRPr="006A3BA5">
        <w:rPr>
          <w:rFonts w:eastAsia="Calibri"/>
          <w:sz w:val="16"/>
          <w:szCs w:val="16"/>
          <w:lang w:eastAsia="en-US"/>
        </w:rPr>
        <w:lastRenderedPageBreak/>
        <w:t>Note: Since the observations of both cohorts at all five waves are pooled together for th</w:t>
      </w:r>
      <w:r w:rsidR="0063640E" w:rsidRPr="006A3BA5">
        <w:rPr>
          <w:rFonts w:eastAsia="Calibri"/>
          <w:sz w:val="16"/>
          <w:szCs w:val="16"/>
          <w:lang w:eastAsia="en-US"/>
        </w:rPr>
        <w:t>is</w:t>
      </w:r>
      <w:r w:rsidRPr="006A3BA5">
        <w:rPr>
          <w:rFonts w:eastAsia="Calibri"/>
          <w:sz w:val="16"/>
          <w:szCs w:val="16"/>
          <w:lang w:eastAsia="en-US"/>
        </w:rPr>
        <w:t xml:space="preserve"> analysis by age, the number of observations (i.e. </w:t>
      </w:r>
      <w:r w:rsidRPr="006A3BA5">
        <w:rPr>
          <w:rFonts w:eastAsia="Calibri"/>
          <w:i/>
          <w:sz w:val="16"/>
          <w:szCs w:val="16"/>
          <w:lang w:eastAsia="en-US"/>
        </w:rPr>
        <w:t>N</w:t>
      </w:r>
      <w:r w:rsidRPr="006A3BA5">
        <w:rPr>
          <w:rFonts w:eastAsia="Calibri"/>
          <w:sz w:val="16"/>
          <w:szCs w:val="16"/>
          <w:lang w:eastAsia="en-US"/>
        </w:rPr>
        <w:t xml:space="preserve">) in this table refers to person-wave rather than person. Children without valid enrolment information are excluded. A cell is left blank if no information is available or there is no observation. </w:t>
      </w:r>
      <w:r w:rsidR="006A1A4C">
        <w:rPr>
          <w:rFonts w:eastAsia="Calibri"/>
          <w:sz w:val="16"/>
          <w:szCs w:val="16"/>
          <w:lang w:eastAsia="en-US"/>
        </w:rPr>
        <w:t>Main reasons for non-enrolment were not asked if the child was not enrolled in school</w:t>
      </w:r>
      <w:r w:rsidR="00646F21">
        <w:rPr>
          <w:rFonts w:eastAsia="Calibri"/>
          <w:sz w:val="16"/>
          <w:szCs w:val="16"/>
          <w:lang w:eastAsia="en-US"/>
        </w:rPr>
        <w:t xml:space="preserve">/preschool but in childcare, day-care or family day care. </w:t>
      </w:r>
      <w:r w:rsidR="006A1A4C">
        <w:rPr>
          <w:rFonts w:eastAsia="Calibri"/>
          <w:sz w:val="16"/>
          <w:szCs w:val="16"/>
          <w:lang w:eastAsia="en-US"/>
        </w:rPr>
        <w:t xml:space="preserve"> </w:t>
      </w:r>
    </w:p>
    <w:p w:rsidR="004A7FD7" w:rsidRPr="009E67B4" w:rsidRDefault="004A7FD7" w:rsidP="009E67B4">
      <w:pPr>
        <w:spacing w:before="60" w:line="276" w:lineRule="auto"/>
        <w:jc w:val="both"/>
        <w:rPr>
          <w:rFonts w:eastAsia="Calibri"/>
          <w:sz w:val="18"/>
          <w:szCs w:val="22"/>
          <w:lang w:eastAsia="en-US"/>
        </w:rPr>
      </w:pPr>
      <w:r w:rsidRPr="002D5C14">
        <w:rPr>
          <w:rFonts w:eastAsia="Calibri"/>
          <w:szCs w:val="22"/>
          <w:lang w:eastAsia="en-US"/>
        </w:rPr>
        <w:t>As sh</w:t>
      </w:r>
      <w:r>
        <w:rPr>
          <w:rFonts w:eastAsia="Calibri"/>
          <w:szCs w:val="22"/>
          <w:lang w:eastAsia="en-US"/>
        </w:rPr>
        <w:t>own in</w:t>
      </w:r>
      <w:r w:rsidRPr="002D5C14">
        <w:rPr>
          <w:rFonts w:eastAsia="Calibri"/>
          <w:szCs w:val="22"/>
          <w:lang w:eastAsia="en-US"/>
        </w:rPr>
        <w:t xml:space="preserve"> Table 1</w:t>
      </w:r>
      <w:r>
        <w:rPr>
          <w:rFonts w:eastAsia="Calibri"/>
          <w:szCs w:val="22"/>
          <w:lang w:eastAsia="en-US"/>
        </w:rPr>
        <w:t>,</w:t>
      </w:r>
      <w:r w:rsidRPr="002D5C14">
        <w:rPr>
          <w:rFonts w:eastAsia="Calibri"/>
          <w:szCs w:val="22"/>
          <w:lang w:eastAsia="en-US"/>
        </w:rPr>
        <w:t xml:space="preserve"> school enrolment increases quickly </w:t>
      </w:r>
      <w:r>
        <w:rPr>
          <w:rFonts w:eastAsia="Calibri"/>
          <w:szCs w:val="22"/>
          <w:lang w:eastAsia="en-US"/>
        </w:rPr>
        <w:t xml:space="preserve">with age, reaching </w:t>
      </w:r>
      <w:r w:rsidRPr="002D5C14">
        <w:rPr>
          <w:rFonts w:eastAsia="Calibri"/>
          <w:szCs w:val="22"/>
          <w:lang w:eastAsia="en-US"/>
        </w:rPr>
        <w:t>99.0 per cent</w:t>
      </w:r>
      <w:r>
        <w:rPr>
          <w:rFonts w:eastAsia="Calibri"/>
          <w:szCs w:val="22"/>
          <w:lang w:eastAsia="en-US"/>
        </w:rPr>
        <w:t xml:space="preserve"> by age 6. Only seven children aged six or older (including one aged 8) were not enrolled in school; six of them had been enrolled at a previous wave and three were known to have moved recently. No doubt the compulsory enrolment policy plays an important ro</w:t>
      </w:r>
      <w:r w:rsidR="009E67B4">
        <w:rPr>
          <w:rFonts w:eastAsia="Calibri"/>
          <w:szCs w:val="22"/>
          <w:lang w:eastAsia="en-US"/>
        </w:rPr>
        <w:t>le in achieving this high rate.</w:t>
      </w:r>
    </w:p>
    <w:p w:rsidR="004A7FD7" w:rsidRDefault="004A7FD7" w:rsidP="009E67B4">
      <w:pPr>
        <w:autoSpaceDE w:val="0"/>
        <w:autoSpaceDN w:val="0"/>
        <w:adjustRightInd w:val="0"/>
        <w:spacing w:after="0" w:line="276" w:lineRule="auto"/>
        <w:jc w:val="both"/>
        <w:rPr>
          <w:rFonts w:eastAsia="Calibri"/>
          <w:szCs w:val="22"/>
          <w:lang w:eastAsia="en-US"/>
        </w:rPr>
      </w:pPr>
      <w:r>
        <w:rPr>
          <w:rFonts w:eastAsia="Calibri"/>
          <w:szCs w:val="22"/>
          <w:lang w:eastAsia="en-US"/>
        </w:rPr>
        <w:t>A child being ‘too</w:t>
      </w:r>
      <w:r w:rsidRPr="002D5C14">
        <w:rPr>
          <w:rFonts w:eastAsia="Calibri"/>
          <w:szCs w:val="22"/>
          <w:lang w:eastAsia="en-US"/>
        </w:rPr>
        <w:t xml:space="preserve"> young</w:t>
      </w:r>
      <w:r>
        <w:rPr>
          <w:rFonts w:eastAsia="Calibri"/>
          <w:szCs w:val="22"/>
          <w:lang w:eastAsia="en-US"/>
        </w:rPr>
        <w:t>’</w:t>
      </w:r>
      <w:r w:rsidRPr="002D5C14">
        <w:rPr>
          <w:rFonts w:eastAsia="Calibri"/>
          <w:szCs w:val="22"/>
          <w:lang w:eastAsia="en-US"/>
        </w:rPr>
        <w:t xml:space="preserve"> is one of the most common reasons provided by primary carers</w:t>
      </w:r>
      <w:r>
        <w:rPr>
          <w:rFonts w:eastAsia="Calibri"/>
          <w:szCs w:val="22"/>
          <w:lang w:eastAsia="en-US"/>
        </w:rPr>
        <w:t xml:space="preserve"> for non-enrolment.</w:t>
      </w:r>
      <w:r>
        <w:rPr>
          <w:rStyle w:val="EndnoteReference"/>
          <w:rFonts w:eastAsia="Calibri"/>
          <w:szCs w:val="22"/>
          <w:lang w:eastAsia="en-US"/>
        </w:rPr>
        <w:endnoteReference w:id="2"/>
      </w:r>
      <w:r w:rsidRPr="002D5C14">
        <w:rPr>
          <w:rFonts w:eastAsia="Calibri"/>
          <w:szCs w:val="22"/>
          <w:lang w:eastAsia="en-US"/>
        </w:rPr>
        <w:t xml:space="preserve"> As expected, this reason becomes less common as the children get older. Other </w:t>
      </w:r>
      <w:r>
        <w:rPr>
          <w:rFonts w:eastAsia="Calibri"/>
          <w:szCs w:val="22"/>
          <w:lang w:eastAsia="en-US"/>
        </w:rPr>
        <w:t>frequently cited</w:t>
      </w:r>
      <w:r w:rsidRPr="002D5C14">
        <w:rPr>
          <w:rFonts w:eastAsia="Calibri"/>
          <w:szCs w:val="22"/>
          <w:lang w:eastAsia="en-US"/>
        </w:rPr>
        <w:t xml:space="preserve"> reasons include: </w:t>
      </w:r>
      <w:r>
        <w:rPr>
          <w:rFonts w:eastAsia="Calibri"/>
          <w:szCs w:val="22"/>
          <w:lang w:eastAsia="en-US"/>
        </w:rPr>
        <w:t>‘</w:t>
      </w:r>
      <w:r w:rsidRPr="002D5C14">
        <w:rPr>
          <w:rFonts w:eastAsia="Calibri"/>
          <w:szCs w:val="22"/>
          <w:lang w:eastAsia="en-US"/>
        </w:rPr>
        <w:t xml:space="preserve">cost </w:t>
      </w:r>
      <w:r>
        <w:rPr>
          <w:rFonts w:eastAsia="Calibri"/>
          <w:szCs w:val="22"/>
          <w:lang w:eastAsia="en-US"/>
        </w:rPr>
        <w:t xml:space="preserve">is </w:t>
      </w:r>
      <w:r w:rsidRPr="002D5C14">
        <w:rPr>
          <w:rFonts w:eastAsia="Calibri"/>
          <w:szCs w:val="22"/>
          <w:lang w:eastAsia="en-US"/>
        </w:rPr>
        <w:t>too high</w:t>
      </w:r>
      <w:r>
        <w:rPr>
          <w:rFonts w:eastAsia="Calibri"/>
          <w:szCs w:val="22"/>
          <w:lang w:eastAsia="en-US"/>
        </w:rPr>
        <w:t>’</w:t>
      </w:r>
      <w:r w:rsidRPr="002D5C14">
        <w:rPr>
          <w:rFonts w:eastAsia="Calibri"/>
          <w:szCs w:val="22"/>
          <w:lang w:eastAsia="en-US"/>
        </w:rPr>
        <w:t xml:space="preserve">, </w:t>
      </w:r>
      <w:r>
        <w:rPr>
          <w:rFonts w:eastAsia="Calibri"/>
          <w:szCs w:val="22"/>
          <w:lang w:eastAsia="en-US"/>
        </w:rPr>
        <w:t>‘</w:t>
      </w:r>
      <w:r w:rsidRPr="002D5C14">
        <w:rPr>
          <w:rFonts w:eastAsia="Calibri"/>
          <w:szCs w:val="22"/>
          <w:lang w:eastAsia="en-US"/>
        </w:rPr>
        <w:t>child does not need it</w:t>
      </w:r>
      <w:r>
        <w:rPr>
          <w:rFonts w:eastAsia="Calibri"/>
          <w:szCs w:val="22"/>
          <w:lang w:eastAsia="en-US"/>
        </w:rPr>
        <w:t>’</w:t>
      </w:r>
      <w:r w:rsidRPr="002D5C14">
        <w:rPr>
          <w:rFonts w:eastAsia="Calibri"/>
          <w:szCs w:val="22"/>
          <w:lang w:eastAsia="en-US"/>
        </w:rPr>
        <w:t xml:space="preserve">, </w:t>
      </w:r>
      <w:proofErr w:type="gramStart"/>
      <w:r>
        <w:rPr>
          <w:rFonts w:eastAsia="Calibri"/>
          <w:szCs w:val="22"/>
          <w:lang w:eastAsia="en-US"/>
        </w:rPr>
        <w:t>‘</w:t>
      </w:r>
      <w:r w:rsidRPr="002D5C14">
        <w:rPr>
          <w:rFonts w:eastAsia="Calibri"/>
          <w:szCs w:val="22"/>
          <w:lang w:eastAsia="en-US"/>
        </w:rPr>
        <w:t>child would be unsettled at school</w:t>
      </w:r>
      <w:r>
        <w:rPr>
          <w:rFonts w:eastAsia="Calibri"/>
          <w:szCs w:val="22"/>
          <w:lang w:eastAsia="en-US"/>
        </w:rPr>
        <w:t>’</w:t>
      </w:r>
      <w:r w:rsidRPr="002D5C14">
        <w:rPr>
          <w:rFonts w:eastAsia="Calibri"/>
          <w:szCs w:val="22"/>
          <w:lang w:eastAsia="en-US"/>
        </w:rPr>
        <w:t xml:space="preserve">, </w:t>
      </w:r>
      <w:r>
        <w:rPr>
          <w:rFonts w:eastAsia="Calibri"/>
          <w:szCs w:val="22"/>
          <w:lang w:eastAsia="en-US"/>
        </w:rPr>
        <w:t>‘</w:t>
      </w:r>
      <w:r w:rsidRPr="002D5C14">
        <w:rPr>
          <w:rFonts w:eastAsia="Calibri"/>
          <w:szCs w:val="22"/>
          <w:lang w:eastAsia="en-US"/>
        </w:rPr>
        <w:t>have decided not to send child yet</w:t>
      </w:r>
      <w:r>
        <w:rPr>
          <w:rFonts w:eastAsia="Calibri"/>
          <w:szCs w:val="22"/>
          <w:lang w:eastAsia="en-US"/>
        </w:rPr>
        <w:t>’</w:t>
      </w:r>
      <w:r w:rsidRPr="002D5C14">
        <w:rPr>
          <w:rFonts w:eastAsia="Calibri"/>
          <w:szCs w:val="22"/>
          <w:lang w:eastAsia="en-US"/>
        </w:rPr>
        <w:t xml:space="preserve">, </w:t>
      </w:r>
      <w:r>
        <w:rPr>
          <w:rFonts w:eastAsia="Calibri"/>
          <w:szCs w:val="22"/>
          <w:lang w:eastAsia="en-US"/>
        </w:rPr>
        <w:t>‘</w:t>
      </w:r>
      <w:r w:rsidRPr="002D5C14">
        <w:rPr>
          <w:rFonts w:eastAsia="Calibri"/>
          <w:szCs w:val="22"/>
          <w:lang w:eastAsia="en-US"/>
        </w:rPr>
        <w:t>transport problems</w:t>
      </w:r>
      <w:r>
        <w:rPr>
          <w:rFonts w:eastAsia="Calibri"/>
          <w:szCs w:val="22"/>
          <w:lang w:eastAsia="en-US"/>
        </w:rPr>
        <w:t>’</w:t>
      </w:r>
      <w:r w:rsidRPr="002D5C14">
        <w:rPr>
          <w:rFonts w:eastAsia="Calibri"/>
          <w:szCs w:val="22"/>
          <w:lang w:eastAsia="en-US"/>
        </w:rPr>
        <w:t>, and school availability/accessibility issues.</w:t>
      </w:r>
      <w:proofErr w:type="gramEnd"/>
      <w:r w:rsidR="00646F21">
        <w:rPr>
          <w:rFonts w:eastAsia="Calibri"/>
          <w:szCs w:val="22"/>
          <w:lang w:eastAsia="en-US"/>
        </w:rPr>
        <w:t xml:space="preserve"> </w:t>
      </w:r>
      <w:r w:rsidR="00646F21" w:rsidRPr="00646F21">
        <w:rPr>
          <w:rFonts w:eastAsia="Calibri"/>
          <w:szCs w:val="22"/>
          <w:lang w:eastAsia="en-US"/>
        </w:rPr>
        <w:t>A small number of ‘other’ responses not specified in the table included moving home, family travelling, waiting on a birth certificate to enrol the child, and parent wanting to look after the child at home.</w:t>
      </w:r>
    </w:p>
    <w:p w:rsidR="008829F0" w:rsidRPr="0078254A" w:rsidRDefault="0032758A" w:rsidP="009E67B4">
      <w:pPr>
        <w:pStyle w:val="Heading1"/>
        <w:jc w:val="both"/>
        <w:rPr>
          <w:rFonts w:asciiTheme="majorHAnsi" w:hAnsiTheme="majorHAnsi" w:cs="Times New Roman"/>
          <w:b/>
          <w:bCs w:val="0"/>
          <w:color w:val="500778"/>
          <w:kern w:val="0"/>
          <w:sz w:val="22"/>
          <w:szCs w:val="26"/>
        </w:rPr>
      </w:pPr>
      <w:r w:rsidRPr="0078254A">
        <w:rPr>
          <w:rFonts w:asciiTheme="majorHAnsi" w:hAnsiTheme="majorHAnsi" w:cs="Times New Roman"/>
          <w:b/>
          <w:bCs w:val="0"/>
          <w:color w:val="500778"/>
          <w:kern w:val="0"/>
          <w:sz w:val="22"/>
          <w:szCs w:val="26"/>
        </w:rPr>
        <w:t xml:space="preserve">School enrolment and characteristics of </w:t>
      </w:r>
      <w:r w:rsidR="0082453C" w:rsidRPr="0078254A">
        <w:rPr>
          <w:rFonts w:asciiTheme="majorHAnsi" w:hAnsiTheme="majorHAnsi" w:cs="Times New Roman"/>
          <w:b/>
          <w:bCs w:val="0"/>
          <w:color w:val="500778"/>
          <w:kern w:val="0"/>
          <w:sz w:val="22"/>
          <w:szCs w:val="26"/>
        </w:rPr>
        <w:t xml:space="preserve">Indigenous </w:t>
      </w:r>
      <w:r w:rsidRPr="0078254A">
        <w:rPr>
          <w:rFonts w:asciiTheme="majorHAnsi" w:hAnsiTheme="majorHAnsi" w:cs="Times New Roman"/>
          <w:b/>
          <w:bCs w:val="0"/>
          <w:color w:val="500778"/>
          <w:kern w:val="0"/>
          <w:sz w:val="22"/>
          <w:szCs w:val="26"/>
        </w:rPr>
        <w:t>children and family</w:t>
      </w:r>
    </w:p>
    <w:p w:rsidR="00EE53CE" w:rsidRDefault="00EE53CE" w:rsidP="009E67B4">
      <w:pPr>
        <w:spacing w:after="0" w:line="276" w:lineRule="auto"/>
        <w:jc w:val="both"/>
        <w:rPr>
          <w:rFonts w:eastAsia="Calibri"/>
          <w:szCs w:val="22"/>
          <w:lang w:eastAsia="en-US"/>
        </w:rPr>
      </w:pPr>
      <w:r w:rsidRPr="00EE53CE">
        <w:rPr>
          <w:rFonts w:eastAsia="Calibri"/>
          <w:szCs w:val="22"/>
          <w:lang w:eastAsia="en-US"/>
        </w:rPr>
        <w:t>Table 2 lists by child age selected characteristics of chi</w:t>
      </w:r>
      <w:r w:rsidR="0063640E">
        <w:rPr>
          <w:rFonts w:eastAsia="Calibri"/>
          <w:szCs w:val="22"/>
          <w:lang w:eastAsia="en-US"/>
        </w:rPr>
        <w:t xml:space="preserve">ldren and their parents/family </w:t>
      </w:r>
      <w:proofErr w:type="gramStart"/>
      <w:r w:rsidR="0063640E">
        <w:rPr>
          <w:rFonts w:eastAsia="Calibri"/>
          <w:szCs w:val="22"/>
          <w:lang w:eastAsia="en-US"/>
        </w:rPr>
        <w:t xml:space="preserve">that </w:t>
      </w:r>
      <w:r w:rsidRPr="00EE53CE">
        <w:rPr>
          <w:rFonts w:eastAsia="Calibri"/>
          <w:szCs w:val="22"/>
          <w:lang w:eastAsia="en-US"/>
        </w:rPr>
        <w:t>are</w:t>
      </w:r>
      <w:proofErr w:type="gramEnd"/>
      <w:r w:rsidRPr="00EE53CE">
        <w:rPr>
          <w:rFonts w:eastAsia="Calibri"/>
          <w:szCs w:val="22"/>
          <w:lang w:eastAsia="en-US"/>
        </w:rPr>
        <w:t xml:space="preserve"> (statistically) significantly different</w:t>
      </w:r>
      <w:r w:rsidR="00F86678">
        <w:rPr>
          <w:rStyle w:val="EndnoteReference"/>
          <w:rFonts w:eastAsia="Calibri"/>
          <w:szCs w:val="22"/>
          <w:lang w:eastAsia="en-US"/>
        </w:rPr>
        <w:endnoteReference w:id="3"/>
      </w:r>
      <w:r w:rsidRPr="00EE53CE">
        <w:rPr>
          <w:rFonts w:eastAsia="Calibri"/>
          <w:szCs w:val="22"/>
          <w:lang w:eastAsia="en-US"/>
        </w:rPr>
        <w:t xml:space="preserve"> by enrolment status</w:t>
      </w:r>
      <w:r w:rsidR="00DE0BD2">
        <w:rPr>
          <w:rFonts w:eastAsia="Calibri"/>
          <w:szCs w:val="22"/>
          <w:lang w:eastAsia="en-US"/>
        </w:rPr>
        <w:t>. The</w:t>
      </w:r>
      <w:r w:rsidR="0063640E">
        <w:rPr>
          <w:rFonts w:eastAsia="Calibri"/>
          <w:szCs w:val="22"/>
          <w:lang w:eastAsia="en-US"/>
        </w:rPr>
        <w:t>se</w:t>
      </w:r>
      <w:r w:rsidR="00DE0BD2">
        <w:rPr>
          <w:rFonts w:eastAsia="Calibri"/>
          <w:szCs w:val="22"/>
          <w:lang w:eastAsia="en-US"/>
        </w:rPr>
        <w:t xml:space="preserve"> significant characteristics are</w:t>
      </w:r>
      <w:r w:rsidRPr="00EE53CE">
        <w:rPr>
          <w:rFonts w:eastAsia="Calibri"/>
          <w:szCs w:val="22"/>
          <w:lang w:eastAsia="en-US"/>
        </w:rPr>
        <w:t>:</w:t>
      </w:r>
    </w:p>
    <w:p w:rsidR="00EE53CE" w:rsidRPr="00EE53CE" w:rsidRDefault="00EE53CE" w:rsidP="00594C11">
      <w:pPr>
        <w:numPr>
          <w:ilvl w:val="0"/>
          <w:numId w:val="62"/>
        </w:numPr>
        <w:spacing w:line="276" w:lineRule="auto"/>
        <w:ind w:left="568" w:hanging="284"/>
        <w:jc w:val="both"/>
        <w:rPr>
          <w:rFonts w:eastAsia="Calibri"/>
          <w:szCs w:val="22"/>
          <w:lang w:eastAsia="en-US"/>
        </w:rPr>
      </w:pPr>
      <w:r w:rsidRPr="00EE53CE">
        <w:rPr>
          <w:rFonts w:eastAsia="Calibri"/>
          <w:b/>
          <w:szCs w:val="22"/>
          <w:lang w:eastAsia="en-US"/>
        </w:rPr>
        <w:t>Child age (in month</w:t>
      </w:r>
      <w:r w:rsidR="0063640E">
        <w:rPr>
          <w:rFonts w:eastAsia="Calibri"/>
          <w:b/>
          <w:szCs w:val="22"/>
          <w:lang w:eastAsia="en-US"/>
        </w:rPr>
        <w:t>s</w:t>
      </w:r>
      <w:r w:rsidRPr="00EE53CE">
        <w:rPr>
          <w:rFonts w:eastAsia="Calibri"/>
          <w:b/>
          <w:szCs w:val="22"/>
          <w:lang w:eastAsia="en-US"/>
        </w:rPr>
        <w:t>)</w:t>
      </w:r>
      <w:r w:rsidRPr="00EE53CE">
        <w:rPr>
          <w:rFonts w:eastAsia="Calibri"/>
          <w:szCs w:val="22"/>
          <w:lang w:eastAsia="en-US"/>
        </w:rPr>
        <w:t>: children not enrolled in school were significantl</w:t>
      </w:r>
      <w:r w:rsidR="0063640E">
        <w:rPr>
          <w:rFonts w:eastAsia="Calibri"/>
          <w:szCs w:val="22"/>
          <w:lang w:eastAsia="en-US"/>
        </w:rPr>
        <w:t>y younger than those enrolled at</w:t>
      </w:r>
      <w:r w:rsidRPr="00EE53CE">
        <w:rPr>
          <w:rFonts w:eastAsia="Calibri"/>
          <w:szCs w:val="22"/>
          <w:lang w:eastAsia="en-US"/>
        </w:rPr>
        <w:t xml:space="preserve"> the same</w:t>
      </w:r>
      <w:r w:rsidR="00DF21B6">
        <w:rPr>
          <w:rFonts w:eastAsia="Calibri"/>
          <w:szCs w:val="22"/>
          <w:lang w:eastAsia="en-US"/>
        </w:rPr>
        <w:t xml:space="preserve"> </w:t>
      </w:r>
      <w:r w:rsidR="0063640E">
        <w:rPr>
          <w:rFonts w:eastAsia="Calibri"/>
          <w:szCs w:val="22"/>
          <w:lang w:eastAsia="en-US"/>
        </w:rPr>
        <w:t xml:space="preserve">age in </w:t>
      </w:r>
      <w:r w:rsidR="00DF21B6">
        <w:rPr>
          <w:rFonts w:eastAsia="Calibri"/>
          <w:szCs w:val="22"/>
          <w:lang w:eastAsia="en-US"/>
        </w:rPr>
        <w:t>year</w:t>
      </w:r>
      <w:r w:rsidR="0063640E">
        <w:rPr>
          <w:rFonts w:eastAsia="Calibri"/>
          <w:szCs w:val="22"/>
          <w:lang w:eastAsia="en-US"/>
        </w:rPr>
        <w:t>s</w:t>
      </w:r>
      <w:r w:rsidR="00DF21B6">
        <w:rPr>
          <w:rFonts w:eastAsia="Calibri"/>
          <w:szCs w:val="22"/>
          <w:lang w:eastAsia="en-US"/>
        </w:rPr>
        <w:t xml:space="preserve"> (by </w:t>
      </w:r>
      <w:r w:rsidR="0063640E">
        <w:rPr>
          <w:rFonts w:eastAsia="Calibri"/>
          <w:szCs w:val="22"/>
          <w:lang w:eastAsia="en-US"/>
        </w:rPr>
        <w:t>1</w:t>
      </w:r>
      <w:r w:rsidR="00DF21B6">
        <w:rPr>
          <w:rFonts w:eastAsia="Calibri"/>
          <w:szCs w:val="22"/>
          <w:lang w:eastAsia="en-US"/>
        </w:rPr>
        <w:t xml:space="preserve"> to </w:t>
      </w:r>
      <w:r w:rsidR="0063640E">
        <w:rPr>
          <w:rFonts w:eastAsia="Calibri"/>
          <w:szCs w:val="22"/>
          <w:lang w:eastAsia="en-US"/>
        </w:rPr>
        <w:t>2</w:t>
      </w:r>
      <w:r w:rsidR="00DF21B6">
        <w:rPr>
          <w:rFonts w:eastAsia="Calibri"/>
          <w:szCs w:val="22"/>
          <w:lang w:eastAsia="en-US"/>
        </w:rPr>
        <w:t xml:space="preserve"> months)</w:t>
      </w:r>
      <w:r w:rsidRPr="00EE53CE">
        <w:rPr>
          <w:rFonts w:eastAsia="Calibri"/>
          <w:szCs w:val="22"/>
          <w:lang w:eastAsia="en-US"/>
        </w:rPr>
        <w:t xml:space="preserve">. </w:t>
      </w:r>
    </w:p>
    <w:p w:rsidR="00EE53CE" w:rsidRPr="00EE53CE" w:rsidRDefault="0063640E" w:rsidP="00594C11">
      <w:pPr>
        <w:numPr>
          <w:ilvl w:val="0"/>
          <w:numId w:val="62"/>
        </w:numPr>
        <w:spacing w:line="276" w:lineRule="auto"/>
        <w:ind w:left="568" w:hanging="284"/>
        <w:jc w:val="both"/>
        <w:rPr>
          <w:rFonts w:eastAsia="Calibri"/>
          <w:szCs w:val="22"/>
          <w:lang w:eastAsia="en-US"/>
        </w:rPr>
      </w:pPr>
      <w:r>
        <w:rPr>
          <w:rFonts w:eastAsia="Calibri"/>
          <w:b/>
          <w:szCs w:val="22"/>
          <w:lang w:eastAsia="en-US"/>
        </w:rPr>
        <w:t>Child d</w:t>
      </w:r>
      <w:r w:rsidR="00EE53CE" w:rsidRPr="00EE53CE">
        <w:rPr>
          <w:rFonts w:eastAsia="Calibri"/>
          <w:b/>
          <w:szCs w:val="22"/>
          <w:lang w:eastAsia="en-US"/>
        </w:rPr>
        <w:t>evelopmental measures</w:t>
      </w:r>
      <w:r w:rsidR="00EE53CE" w:rsidRPr="00EE53CE">
        <w:rPr>
          <w:rFonts w:eastAsia="Calibri"/>
          <w:szCs w:val="22"/>
          <w:lang w:eastAsia="en-US"/>
        </w:rPr>
        <w:t xml:space="preserve">: children not enrolled in school had significantly lower </w:t>
      </w:r>
      <w:r w:rsidR="00EE53CE" w:rsidRPr="00EE53CE">
        <w:rPr>
          <w:rFonts w:eastAsia="Calibri"/>
          <w:i/>
          <w:szCs w:val="22"/>
          <w:lang w:eastAsia="en-US"/>
        </w:rPr>
        <w:t>Who Am I</w:t>
      </w:r>
      <w:r>
        <w:rPr>
          <w:rFonts w:eastAsia="Calibri"/>
          <w:i/>
          <w:szCs w:val="22"/>
          <w:lang w:eastAsia="en-US"/>
        </w:rPr>
        <w:t>?</w:t>
      </w:r>
      <w:r w:rsidR="00EE53CE" w:rsidRPr="00EE53CE">
        <w:rPr>
          <w:rFonts w:eastAsia="Calibri"/>
          <w:szCs w:val="22"/>
          <w:lang w:eastAsia="en-US"/>
        </w:rPr>
        <w:t xml:space="preserve"> (WAI)</w:t>
      </w:r>
      <w:r w:rsidR="00F86678">
        <w:rPr>
          <w:rStyle w:val="EndnoteReference"/>
          <w:rFonts w:eastAsia="Calibri"/>
          <w:szCs w:val="22"/>
          <w:lang w:eastAsia="en-US"/>
        </w:rPr>
        <w:endnoteReference w:id="4"/>
      </w:r>
      <w:r w:rsidR="00EE53CE" w:rsidRPr="00EE53CE">
        <w:rPr>
          <w:rFonts w:eastAsia="Calibri"/>
          <w:szCs w:val="22"/>
          <w:lang w:eastAsia="en-US"/>
        </w:rPr>
        <w:t xml:space="preserve"> and Renfrew vocabulary scores</w:t>
      </w:r>
      <w:r w:rsidR="00F86678">
        <w:rPr>
          <w:rStyle w:val="EndnoteReference"/>
          <w:rFonts w:eastAsia="Calibri"/>
          <w:szCs w:val="22"/>
          <w:lang w:eastAsia="en-US"/>
        </w:rPr>
        <w:endnoteReference w:id="5"/>
      </w:r>
      <w:r>
        <w:rPr>
          <w:rFonts w:eastAsia="Calibri"/>
          <w:szCs w:val="22"/>
          <w:lang w:eastAsia="en-US"/>
        </w:rPr>
        <w:t xml:space="preserve"> than their </w:t>
      </w:r>
      <w:r w:rsidR="00EE53CE" w:rsidRPr="00EE53CE">
        <w:rPr>
          <w:rFonts w:eastAsia="Calibri"/>
          <w:szCs w:val="22"/>
          <w:lang w:eastAsia="en-US"/>
        </w:rPr>
        <w:t xml:space="preserve">enrolled </w:t>
      </w:r>
      <w:r>
        <w:rPr>
          <w:rFonts w:eastAsia="Calibri"/>
          <w:szCs w:val="22"/>
          <w:lang w:eastAsia="en-US"/>
        </w:rPr>
        <w:t xml:space="preserve">peers </w:t>
      </w:r>
      <w:r w:rsidR="00EE53CE" w:rsidRPr="00EE53CE">
        <w:rPr>
          <w:rFonts w:eastAsia="Calibri"/>
          <w:szCs w:val="22"/>
          <w:lang w:eastAsia="en-US"/>
        </w:rPr>
        <w:t xml:space="preserve">of roughly the same age. </w:t>
      </w:r>
    </w:p>
    <w:p w:rsidR="00EE53CE" w:rsidRPr="00EE53CE" w:rsidRDefault="00EE53CE" w:rsidP="00594C11">
      <w:pPr>
        <w:numPr>
          <w:ilvl w:val="0"/>
          <w:numId w:val="62"/>
        </w:numPr>
        <w:spacing w:line="276" w:lineRule="auto"/>
        <w:ind w:left="568" w:hanging="284"/>
        <w:jc w:val="both"/>
        <w:rPr>
          <w:rFonts w:eastAsia="Calibri"/>
          <w:szCs w:val="22"/>
          <w:lang w:eastAsia="en-US"/>
        </w:rPr>
      </w:pPr>
      <w:r w:rsidRPr="00EE53CE">
        <w:rPr>
          <w:rFonts w:eastAsia="Calibri"/>
          <w:b/>
          <w:szCs w:val="22"/>
          <w:lang w:eastAsia="en-US"/>
        </w:rPr>
        <w:t>Moving house</w:t>
      </w:r>
      <w:r w:rsidRPr="00EE53CE">
        <w:rPr>
          <w:rFonts w:eastAsia="Calibri"/>
          <w:szCs w:val="22"/>
          <w:lang w:eastAsia="en-US"/>
        </w:rPr>
        <w:t xml:space="preserve">: children not enrolled </w:t>
      </w:r>
      <w:r w:rsidR="00DF21B6">
        <w:rPr>
          <w:rFonts w:eastAsia="Calibri"/>
          <w:szCs w:val="22"/>
          <w:lang w:eastAsia="en-US"/>
        </w:rPr>
        <w:t xml:space="preserve">in school </w:t>
      </w:r>
      <w:r w:rsidRPr="00EE53CE">
        <w:rPr>
          <w:rFonts w:eastAsia="Calibri"/>
          <w:szCs w:val="22"/>
          <w:lang w:eastAsia="en-US"/>
        </w:rPr>
        <w:t xml:space="preserve">were significantly more likely to have recently moved house. </w:t>
      </w:r>
    </w:p>
    <w:p w:rsidR="00EE53CE" w:rsidRPr="00EE53CE" w:rsidRDefault="00EE53CE" w:rsidP="00594C11">
      <w:pPr>
        <w:numPr>
          <w:ilvl w:val="0"/>
          <w:numId w:val="62"/>
        </w:numPr>
        <w:spacing w:line="276" w:lineRule="auto"/>
        <w:ind w:left="568" w:hanging="284"/>
        <w:jc w:val="both"/>
        <w:rPr>
          <w:rFonts w:eastAsia="Calibri"/>
          <w:szCs w:val="22"/>
          <w:lang w:eastAsia="en-US"/>
        </w:rPr>
      </w:pPr>
      <w:r w:rsidRPr="00EE53CE">
        <w:rPr>
          <w:rFonts w:eastAsia="Calibri"/>
          <w:b/>
          <w:szCs w:val="22"/>
          <w:lang w:eastAsia="en-US"/>
        </w:rPr>
        <w:t>Education and employment of primary carers</w:t>
      </w:r>
      <w:r w:rsidRPr="00EE53CE">
        <w:rPr>
          <w:rFonts w:eastAsia="Calibri"/>
          <w:szCs w:val="22"/>
          <w:lang w:eastAsia="en-US"/>
        </w:rPr>
        <w:t xml:space="preserve">: children not enrolled in school were significantly more likely to have a </w:t>
      </w:r>
      <w:r w:rsidR="001A4DC5">
        <w:rPr>
          <w:rFonts w:eastAsia="Calibri"/>
          <w:szCs w:val="22"/>
          <w:lang w:eastAsia="en-US"/>
        </w:rPr>
        <w:t>parent</w:t>
      </w:r>
      <w:r w:rsidRPr="00EE53CE">
        <w:rPr>
          <w:rFonts w:eastAsia="Calibri"/>
          <w:szCs w:val="22"/>
          <w:lang w:eastAsia="en-US"/>
        </w:rPr>
        <w:t xml:space="preserve"> with a</w:t>
      </w:r>
      <w:r w:rsidR="0063640E">
        <w:rPr>
          <w:rFonts w:eastAsia="Calibri"/>
          <w:szCs w:val="22"/>
          <w:lang w:eastAsia="en-US"/>
        </w:rPr>
        <w:t>n education level of</w:t>
      </w:r>
      <w:r w:rsidRPr="00EE53CE">
        <w:rPr>
          <w:rFonts w:eastAsia="Calibri"/>
          <w:szCs w:val="22"/>
          <w:lang w:eastAsia="en-US"/>
        </w:rPr>
        <w:t xml:space="preserve"> </w:t>
      </w:r>
      <w:r w:rsidR="001A4DC5">
        <w:rPr>
          <w:rFonts w:eastAsia="Calibri"/>
          <w:szCs w:val="22"/>
          <w:lang w:eastAsia="en-US"/>
        </w:rPr>
        <w:t>Year 11 or below</w:t>
      </w:r>
      <w:r w:rsidR="0063640E">
        <w:rPr>
          <w:rFonts w:eastAsia="Calibri"/>
          <w:szCs w:val="22"/>
          <w:lang w:eastAsia="en-US"/>
        </w:rPr>
        <w:t>,</w:t>
      </w:r>
      <w:r w:rsidRPr="00EE53CE">
        <w:rPr>
          <w:rFonts w:eastAsia="Calibri"/>
          <w:szCs w:val="22"/>
          <w:lang w:eastAsia="en-US"/>
        </w:rPr>
        <w:t xml:space="preserve"> or </w:t>
      </w:r>
      <w:r w:rsidR="0063640E">
        <w:rPr>
          <w:rFonts w:eastAsia="Calibri"/>
          <w:szCs w:val="22"/>
          <w:lang w:eastAsia="en-US"/>
        </w:rPr>
        <w:t xml:space="preserve">who was </w:t>
      </w:r>
      <w:r w:rsidRPr="00EE53CE">
        <w:rPr>
          <w:rFonts w:eastAsia="Calibri"/>
          <w:szCs w:val="22"/>
          <w:lang w:eastAsia="en-US"/>
        </w:rPr>
        <w:t xml:space="preserve">not employed. </w:t>
      </w:r>
    </w:p>
    <w:p w:rsidR="00EE53CE" w:rsidRPr="00EE53CE" w:rsidRDefault="000950D3" w:rsidP="00594C11">
      <w:pPr>
        <w:numPr>
          <w:ilvl w:val="0"/>
          <w:numId w:val="62"/>
        </w:numPr>
        <w:spacing w:line="276" w:lineRule="auto"/>
        <w:ind w:left="568" w:hanging="284"/>
        <w:jc w:val="both"/>
        <w:rPr>
          <w:rFonts w:eastAsia="Calibri"/>
          <w:szCs w:val="22"/>
          <w:lang w:eastAsia="en-US"/>
        </w:rPr>
      </w:pPr>
      <w:r>
        <w:rPr>
          <w:rFonts w:eastAsia="Calibri"/>
          <w:b/>
          <w:szCs w:val="22"/>
          <w:lang w:eastAsia="en-US"/>
        </w:rPr>
        <w:t>Level</w:t>
      </w:r>
      <w:r w:rsidRPr="00EE53CE">
        <w:rPr>
          <w:rFonts w:eastAsia="Calibri"/>
          <w:b/>
          <w:szCs w:val="22"/>
          <w:lang w:eastAsia="en-US"/>
        </w:rPr>
        <w:t xml:space="preserve"> and sources</w:t>
      </w:r>
      <w:r>
        <w:rPr>
          <w:rFonts w:eastAsia="Calibri"/>
          <w:b/>
          <w:szCs w:val="22"/>
          <w:lang w:eastAsia="en-US"/>
        </w:rPr>
        <w:t xml:space="preserve"> of f</w:t>
      </w:r>
      <w:r w:rsidR="00EE53CE" w:rsidRPr="00EE53CE">
        <w:rPr>
          <w:rFonts w:eastAsia="Calibri"/>
          <w:b/>
          <w:szCs w:val="22"/>
          <w:lang w:eastAsia="en-US"/>
        </w:rPr>
        <w:t>amily income</w:t>
      </w:r>
      <w:r w:rsidR="0063640E" w:rsidRPr="0063640E">
        <w:rPr>
          <w:rFonts w:eastAsia="Calibri"/>
          <w:szCs w:val="22"/>
          <w:lang w:eastAsia="en-US"/>
        </w:rPr>
        <w:t>:</w:t>
      </w:r>
      <w:r w:rsidRPr="0063640E">
        <w:rPr>
          <w:rStyle w:val="EndnoteReference"/>
          <w:rFonts w:eastAsia="Calibri"/>
          <w:szCs w:val="22"/>
          <w:lang w:eastAsia="en-US"/>
        </w:rPr>
        <w:endnoteReference w:id="6"/>
      </w:r>
      <w:r w:rsidR="00EE53CE" w:rsidRPr="00EE53CE">
        <w:rPr>
          <w:rFonts w:eastAsia="Calibri"/>
          <w:szCs w:val="22"/>
          <w:lang w:eastAsia="en-US"/>
        </w:rPr>
        <w:t xml:space="preserve"> For children not enrolled in school, family income was more likely to be less than $250 per week</w:t>
      </w:r>
      <w:r w:rsidR="0063640E">
        <w:rPr>
          <w:rFonts w:eastAsia="Calibri"/>
          <w:szCs w:val="22"/>
          <w:lang w:eastAsia="en-US"/>
        </w:rPr>
        <w:t xml:space="preserve"> (after deductions)</w:t>
      </w:r>
      <w:r w:rsidR="00EE53CE" w:rsidRPr="00EE53CE">
        <w:rPr>
          <w:rFonts w:eastAsia="Calibri"/>
          <w:szCs w:val="22"/>
          <w:lang w:eastAsia="en-US"/>
        </w:rPr>
        <w:t>, more likely to be from government benefits and less likely to be from wage</w:t>
      </w:r>
      <w:r w:rsidR="001A4DC5">
        <w:rPr>
          <w:rFonts w:eastAsia="Calibri"/>
          <w:szCs w:val="22"/>
          <w:lang w:eastAsia="en-US"/>
        </w:rPr>
        <w:t>s</w:t>
      </w:r>
      <w:r w:rsidR="00EE53CE" w:rsidRPr="00EE53CE">
        <w:rPr>
          <w:rFonts w:eastAsia="Calibri"/>
          <w:szCs w:val="22"/>
          <w:lang w:eastAsia="en-US"/>
        </w:rPr>
        <w:t xml:space="preserve"> or salar</w:t>
      </w:r>
      <w:r w:rsidR="005C1916">
        <w:rPr>
          <w:rFonts w:eastAsia="Calibri"/>
          <w:szCs w:val="22"/>
          <w:lang w:eastAsia="en-US"/>
        </w:rPr>
        <w:t>ies</w:t>
      </w:r>
      <w:r w:rsidR="00EE53CE" w:rsidRPr="00EE53CE">
        <w:rPr>
          <w:rFonts w:eastAsia="Calibri"/>
          <w:szCs w:val="22"/>
          <w:lang w:eastAsia="en-US"/>
        </w:rPr>
        <w:t>. In addition, income management</w:t>
      </w:r>
      <w:r w:rsidR="00D0262E">
        <w:rPr>
          <w:rStyle w:val="EndnoteReference"/>
          <w:rFonts w:eastAsia="Calibri"/>
          <w:szCs w:val="22"/>
          <w:lang w:eastAsia="en-US"/>
        </w:rPr>
        <w:endnoteReference w:id="7"/>
      </w:r>
      <w:r w:rsidR="00EE53CE" w:rsidRPr="00EE53CE">
        <w:rPr>
          <w:rFonts w:eastAsia="Calibri"/>
          <w:szCs w:val="22"/>
          <w:lang w:eastAsia="en-US"/>
        </w:rPr>
        <w:t xml:space="preserve"> is found to be positively associated with school enrolment. </w:t>
      </w:r>
    </w:p>
    <w:p w:rsidR="00EE53CE" w:rsidRPr="00EE53CE" w:rsidRDefault="00EE53CE" w:rsidP="00594C11">
      <w:pPr>
        <w:numPr>
          <w:ilvl w:val="0"/>
          <w:numId w:val="62"/>
        </w:numPr>
        <w:spacing w:line="276" w:lineRule="auto"/>
        <w:ind w:left="568" w:hanging="284"/>
        <w:jc w:val="both"/>
        <w:rPr>
          <w:rFonts w:eastAsia="Calibri"/>
          <w:szCs w:val="22"/>
          <w:lang w:eastAsia="en-US"/>
        </w:rPr>
      </w:pPr>
      <w:r w:rsidRPr="00EE53CE">
        <w:rPr>
          <w:rFonts w:eastAsia="Calibri"/>
          <w:b/>
          <w:szCs w:val="22"/>
          <w:lang w:eastAsia="en-US"/>
        </w:rPr>
        <w:t>Major life events</w:t>
      </w:r>
      <w:r w:rsidRPr="00EE53CE">
        <w:rPr>
          <w:rFonts w:eastAsia="Calibri"/>
          <w:szCs w:val="22"/>
          <w:lang w:eastAsia="en-US"/>
        </w:rPr>
        <w:t xml:space="preserve">: </w:t>
      </w:r>
      <w:r w:rsidR="0023516E">
        <w:rPr>
          <w:rFonts w:eastAsia="Calibri"/>
          <w:szCs w:val="22"/>
          <w:lang w:eastAsia="en-US"/>
        </w:rPr>
        <w:t>Specific</w:t>
      </w:r>
      <w:r w:rsidRPr="00EE53CE">
        <w:rPr>
          <w:rFonts w:eastAsia="Calibri"/>
          <w:szCs w:val="22"/>
          <w:lang w:eastAsia="en-US"/>
        </w:rPr>
        <w:t xml:space="preserve"> major life events experienced by the study child, the primary carer or a close family member </w:t>
      </w:r>
      <w:r w:rsidR="000D7569">
        <w:rPr>
          <w:rFonts w:eastAsia="Calibri"/>
          <w:szCs w:val="22"/>
          <w:lang w:eastAsia="en-US"/>
        </w:rPr>
        <w:t>in the last year were examined</w:t>
      </w:r>
      <w:r w:rsidRPr="00EE53CE">
        <w:rPr>
          <w:rFonts w:eastAsia="Calibri"/>
          <w:szCs w:val="22"/>
          <w:lang w:eastAsia="en-US"/>
        </w:rPr>
        <w:t xml:space="preserve">. Only one event was found to be significantly associated with (higher) enrolment, that is, the primary carer or a close family member having been badly hurt or sick in the last year. </w:t>
      </w:r>
    </w:p>
    <w:p w:rsidR="006A3BA5" w:rsidRDefault="00EE53CE" w:rsidP="00594C11">
      <w:pPr>
        <w:numPr>
          <w:ilvl w:val="0"/>
          <w:numId w:val="62"/>
        </w:numPr>
        <w:spacing w:line="276" w:lineRule="auto"/>
        <w:ind w:left="568" w:hanging="284"/>
        <w:jc w:val="both"/>
        <w:rPr>
          <w:rFonts w:eastAsia="Calibri"/>
          <w:szCs w:val="22"/>
          <w:lang w:eastAsia="en-US"/>
        </w:rPr>
      </w:pPr>
      <w:r w:rsidRPr="00EE53CE">
        <w:rPr>
          <w:rFonts w:eastAsia="Calibri"/>
          <w:b/>
          <w:szCs w:val="22"/>
          <w:lang w:eastAsia="en-US"/>
        </w:rPr>
        <w:t>Primary care having clear rules and routines</w:t>
      </w:r>
      <w:r w:rsidRPr="00EE53CE">
        <w:rPr>
          <w:rFonts w:eastAsia="Calibri"/>
          <w:szCs w:val="22"/>
          <w:lang w:eastAsia="en-US"/>
        </w:rPr>
        <w:t xml:space="preserve"> (only availa</w:t>
      </w:r>
      <w:r w:rsidR="00631ED3">
        <w:rPr>
          <w:rFonts w:eastAsia="Calibri"/>
          <w:szCs w:val="22"/>
          <w:lang w:eastAsia="en-US"/>
        </w:rPr>
        <w:t>ble at w</w:t>
      </w:r>
      <w:r w:rsidRPr="00EE53CE">
        <w:rPr>
          <w:rFonts w:eastAsia="Calibri"/>
          <w:szCs w:val="22"/>
          <w:lang w:eastAsia="en-US"/>
        </w:rPr>
        <w:t xml:space="preserve">ave 5): the primary carers of children enrolled in school were significantly more likely to </w:t>
      </w:r>
      <w:r w:rsidR="0023516E">
        <w:rPr>
          <w:rFonts w:eastAsia="Calibri"/>
          <w:szCs w:val="22"/>
          <w:lang w:eastAsia="en-US"/>
        </w:rPr>
        <w:t xml:space="preserve">report </w:t>
      </w:r>
      <w:r w:rsidRPr="00EE53CE">
        <w:rPr>
          <w:rFonts w:eastAsia="Calibri"/>
          <w:szCs w:val="22"/>
          <w:lang w:eastAsia="en-US"/>
        </w:rPr>
        <w:t>hav</w:t>
      </w:r>
      <w:r w:rsidR="0023516E">
        <w:rPr>
          <w:rFonts w:eastAsia="Calibri"/>
          <w:szCs w:val="22"/>
          <w:lang w:eastAsia="en-US"/>
        </w:rPr>
        <w:t>ing</w:t>
      </w:r>
      <w:r w:rsidRPr="00EE53CE">
        <w:rPr>
          <w:rFonts w:eastAsia="Calibri"/>
          <w:szCs w:val="22"/>
          <w:lang w:eastAsia="en-US"/>
        </w:rPr>
        <w:t xml:space="preserve"> clear rules and routines than the carers of children of the same age </w:t>
      </w:r>
      <w:r w:rsidR="0063640E">
        <w:rPr>
          <w:rFonts w:eastAsia="Calibri"/>
          <w:szCs w:val="22"/>
          <w:lang w:eastAsia="en-US"/>
        </w:rPr>
        <w:t>who were</w:t>
      </w:r>
      <w:r w:rsidRPr="00EE53CE">
        <w:rPr>
          <w:rFonts w:eastAsia="Calibri"/>
          <w:szCs w:val="22"/>
          <w:lang w:eastAsia="en-US"/>
        </w:rPr>
        <w:t xml:space="preserve"> not enrolled.</w:t>
      </w:r>
    </w:p>
    <w:p w:rsidR="00594C11" w:rsidRPr="00594C11" w:rsidRDefault="00594C11" w:rsidP="00594C11">
      <w:pPr>
        <w:spacing w:before="0" w:after="0" w:line="276" w:lineRule="auto"/>
        <w:contextualSpacing/>
        <w:jc w:val="both"/>
        <w:rPr>
          <w:rFonts w:eastAsia="Calibri"/>
          <w:szCs w:val="22"/>
          <w:lang w:eastAsia="en-US"/>
        </w:rPr>
      </w:pPr>
    </w:p>
    <w:p w:rsidR="00594C11" w:rsidRDefault="00594C11">
      <w:pPr>
        <w:spacing w:before="0" w:after="0" w:line="240" w:lineRule="auto"/>
        <w:rPr>
          <w:rFonts w:eastAsia="Calibri"/>
          <w:b/>
          <w:sz w:val="22"/>
          <w:szCs w:val="22"/>
          <w:lang w:eastAsia="en-US"/>
        </w:rPr>
      </w:pPr>
      <w:r>
        <w:rPr>
          <w:rFonts w:eastAsia="Calibri"/>
          <w:b/>
          <w:sz w:val="22"/>
          <w:szCs w:val="22"/>
          <w:lang w:eastAsia="en-US"/>
        </w:rPr>
        <w:br w:type="page"/>
      </w:r>
    </w:p>
    <w:p w:rsidR="00EE53CE" w:rsidRPr="00EE53CE" w:rsidRDefault="00EE53CE" w:rsidP="00EE53CE">
      <w:pPr>
        <w:spacing w:after="60" w:line="240" w:lineRule="auto"/>
        <w:rPr>
          <w:rFonts w:eastAsia="Calibri"/>
          <w:b/>
          <w:sz w:val="22"/>
          <w:szCs w:val="22"/>
          <w:lang w:eastAsia="en-US"/>
        </w:rPr>
      </w:pPr>
      <w:r w:rsidRPr="00EE53CE">
        <w:rPr>
          <w:rFonts w:eastAsia="Calibri"/>
          <w:b/>
          <w:sz w:val="22"/>
          <w:szCs w:val="22"/>
          <w:lang w:eastAsia="en-US"/>
        </w:rPr>
        <w:lastRenderedPageBreak/>
        <w:t>Table 2: Selected characteristics of children and primary carers by child age and school enrolment (</w:t>
      </w:r>
      <w:r w:rsidRPr="00EE53CE">
        <w:rPr>
          <w:rFonts w:eastAsia="Calibri"/>
          <w:b/>
          <w:i/>
          <w:sz w:val="22"/>
          <w:szCs w:val="22"/>
          <w:lang w:eastAsia="en-US"/>
        </w:rPr>
        <w:t>E</w:t>
      </w:r>
      <w:r w:rsidRPr="00EE53CE">
        <w:rPr>
          <w:rFonts w:eastAsia="Calibri"/>
          <w:b/>
          <w:sz w:val="22"/>
          <w:szCs w:val="22"/>
          <w:lang w:eastAsia="en-US"/>
        </w:rPr>
        <w:t xml:space="preserve"> = enrolled, </w:t>
      </w:r>
      <w:r w:rsidRPr="00EE53CE">
        <w:rPr>
          <w:rFonts w:eastAsia="Calibri"/>
          <w:b/>
          <w:i/>
          <w:sz w:val="22"/>
          <w:szCs w:val="22"/>
          <w:lang w:eastAsia="en-US"/>
        </w:rPr>
        <w:t>NE</w:t>
      </w:r>
      <w:r w:rsidRPr="00EE53CE">
        <w:rPr>
          <w:rFonts w:eastAsia="Calibri"/>
          <w:b/>
          <w:sz w:val="22"/>
          <w:szCs w:val="22"/>
          <w:lang w:eastAsia="en-US"/>
        </w:rPr>
        <w:t xml:space="preserve"> = not enrolled)</w:t>
      </w:r>
    </w:p>
    <w:tbl>
      <w:tblPr>
        <w:tblStyle w:val="LightShading2"/>
        <w:tblW w:w="10031" w:type="dxa"/>
        <w:tblLayout w:type="fixed"/>
        <w:tblLook w:val="04A0" w:firstRow="1" w:lastRow="0" w:firstColumn="1" w:lastColumn="0" w:noHBand="0" w:noVBand="1"/>
        <w:tblCaption w:val="Selected characteristics of children and primary carers by child age and school enrolment ("/>
        <w:tblDescription w:val="This table has Total number of observations, Characteristics of child and Characteristics of primary carer listed vertically. These aspects are for children aged 4 and 5 who are enrolled or not enrolled."/>
      </w:tblPr>
      <w:tblGrid>
        <w:gridCol w:w="6345"/>
        <w:gridCol w:w="993"/>
        <w:gridCol w:w="992"/>
        <w:gridCol w:w="850"/>
        <w:gridCol w:w="851"/>
      </w:tblGrid>
      <w:tr w:rsidR="00932263" w:rsidRPr="008D2EC5" w:rsidTr="009322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78BE20"/>
          </w:tcPr>
          <w:p w:rsidR="00932263" w:rsidRPr="008D2EC5" w:rsidRDefault="00932263" w:rsidP="00EE53CE">
            <w:pPr>
              <w:spacing w:before="0" w:after="0" w:line="240" w:lineRule="auto"/>
              <w:rPr>
                <w:rFonts w:cs="Arial"/>
                <w:color w:val="FFFFFF" w:themeColor="background1"/>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78BE20"/>
          </w:tcPr>
          <w:p w:rsidR="00932263" w:rsidRPr="008D2EC5" w:rsidRDefault="00932263" w:rsidP="00EE53C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8D2EC5">
              <w:rPr>
                <w:rFonts w:cs="Arial"/>
                <w:color w:val="FFFFFF" w:themeColor="background1"/>
                <w:sz w:val="18"/>
                <w:szCs w:val="18"/>
              </w:rPr>
              <w:t>Age 4</w:t>
            </w:r>
            <w:r>
              <w:rPr>
                <w:rFonts w:cs="Arial"/>
                <w:color w:val="FFFFFF" w:themeColor="background1"/>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78BE20"/>
          </w:tcPr>
          <w:p w:rsidR="00932263" w:rsidRPr="008D2EC5" w:rsidRDefault="00932263" w:rsidP="003F71C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Pr>
                <w:rFonts w:cs="Arial"/>
                <w:color w:val="FFFFFF" w:themeColor="background1"/>
                <w:sz w:val="18"/>
                <w:szCs w:val="18"/>
              </w:rPr>
              <w:t xml:space="preserve">Age 5 </w:t>
            </w:r>
          </w:p>
        </w:tc>
      </w:tr>
      <w:tr w:rsidR="00932263" w:rsidRPr="00EE53CE" w:rsidTr="00932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000000" w:themeColor="text1"/>
              <w:bottom w:val="single" w:sz="4" w:space="0" w:color="auto"/>
              <w:right w:val="single" w:sz="4" w:space="0" w:color="auto"/>
            </w:tcBorders>
            <w:shd w:val="clear" w:color="auto" w:fill="78BE20"/>
          </w:tcPr>
          <w:p w:rsidR="00932263" w:rsidRPr="008D2EC5" w:rsidRDefault="00932263" w:rsidP="00EE53CE">
            <w:pPr>
              <w:spacing w:before="0" w:after="0" w:line="240" w:lineRule="auto"/>
              <w:rPr>
                <w:rFonts w:cs="Arial"/>
                <w:i/>
                <w:color w:val="FFFFFF" w:themeColor="background1"/>
                <w:sz w:val="18"/>
                <w:szCs w:val="18"/>
              </w:rPr>
            </w:pPr>
          </w:p>
        </w:tc>
        <w:tc>
          <w:tcPr>
            <w:tcW w:w="993" w:type="dxa"/>
            <w:tcBorders>
              <w:top w:val="single" w:sz="4" w:space="0" w:color="auto"/>
              <w:left w:val="single" w:sz="4" w:space="0" w:color="auto"/>
              <w:bottom w:val="single" w:sz="4" w:space="0" w:color="auto"/>
            </w:tcBorders>
            <w:shd w:val="clear" w:color="auto" w:fill="F2F2F2" w:themeFill="background1" w:themeFillShade="F2"/>
          </w:tcPr>
          <w:p w:rsidR="00932263" w:rsidRPr="00EE53CE" w:rsidRDefault="00932263" w:rsidP="00EE53C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b/>
                <w:i/>
                <w:sz w:val="18"/>
                <w:szCs w:val="18"/>
              </w:rPr>
            </w:pPr>
            <w:r w:rsidRPr="00EE53CE">
              <w:rPr>
                <w:rFonts w:cs="Arial"/>
                <w:b/>
                <w:i/>
                <w:sz w:val="18"/>
                <w:szCs w:val="18"/>
              </w:rPr>
              <w:t>E</w:t>
            </w:r>
          </w:p>
        </w:tc>
        <w:tc>
          <w:tcPr>
            <w:tcW w:w="992" w:type="dxa"/>
            <w:tcBorders>
              <w:top w:val="single" w:sz="4" w:space="0" w:color="auto"/>
              <w:bottom w:val="single" w:sz="8" w:space="0" w:color="000000" w:themeColor="text1"/>
              <w:right w:val="single" w:sz="4" w:space="0" w:color="auto"/>
            </w:tcBorders>
            <w:shd w:val="clear" w:color="auto" w:fill="F2F2F2" w:themeFill="background1" w:themeFillShade="F2"/>
          </w:tcPr>
          <w:p w:rsidR="00932263" w:rsidRPr="00EE53CE" w:rsidRDefault="00932263" w:rsidP="00EE53C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b/>
                <w:i/>
                <w:sz w:val="18"/>
                <w:szCs w:val="18"/>
              </w:rPr>
            </w:pPr>
            <w:r w:rsidRPr="00EE53CE">
              <w:rPr>
                <w:rFonts w:cs="Arial"/>
                <w:b/>
                <w:i/>
                <w:sz w:val="18"/>
                <w:szCs w:val="18"/>
              </w:rPr>
              <w:t>NE</w:t>
            </w:r>
          </w:p>
        </w:tc>
        <w:tc>
          <w:tcPr>
            <w:tcW w:w="850" w:type="dxa"/>
            <w:tcBorders>
              <w:top w:val="single" w:sz="4" w:space="0" w:color="auto"/>
              <w:left w:val="single" w:sz="4" w:space="0" w:color="auto"/>
              <w:bottom w:val="single" w:sz="4" w:space="0" w:color="auto"/>
            </w:tcBorders>
            <w:shd w:val="clear" w:color="auto" w:fill="auto"/>
          </w:tcPr>
          <w:p w:rsidR="00932263" w:rsidRPr="00EE53CE" w:rsidRDefault="00932263" w:rsidP="00EE53C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b/>
                <w:i/>
                <w:sz w:val="18"/>
                <w:szCs w:val="18"/>
              </w:rPr>
            </w:pPr>
            <w:r w:rsidRPr="00EE53CE">
              <w:rPr>
                <w:rFonts w:cs="Arial"/>
                <w:b/>
                <w:i/>
                <w:sz w:val="18"/>
                <w:szCs w:val="18"/>
              </w:rPr>
              <w:t>E</w:t>
            </w:r>
          </w:p>
        </w:tc>
        <w:tc>
          <w:tcPr>
            <w:tcW w:w="851" w:type="dxa"/>
            <w:tcBorders>
              <w:top w:val="single" w:sz="8" w:space="0" w:color="000000" w:themeColor="text1"/>
              <w:bottom w:val="single" w:sz="4" w:space="0" w:color="auto"/>
              <w:right w:val="single" w:sz="4" w:space="0" w:color="auto"/>
            </w:tcBorders>
            <w:shd w:val="clear" w:color="auto" w:fill="auto"/>
          </w:tcPr>
          <w:p w:rsidR="00932263" w:rsidRPr="00EE53CE" w:rsidRDefault="00932263" w:rsidP="00EE53C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b/>
                <w:i/>
                <w:sz w:val="18"/>
                <w:szCs w:val="18"/>
              </w:rPr>
            </w:pPr>
            <w:r w:rsidRPr="00EE53CE">
              <w:rPr>
                <w:rFonts w:cs="Arial"/>
                <w:b/>
                <w:i/>
                <w:sz w:val="18"/>
                <w:szCs w:val="18"/>
              </w:rPr>
              <w:t>NE</w:t>
            </w:r>
          </w:p>
        </w:tc>
      </w:tr>
      <w:tr w:rsidR="00932263" w:rsidRPr="00EE53CE" w:rsidTr="00932263">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000000" w:themeColor="text1"/>
              <w:bottom w:val="single" w:sz="4" w:space="0" w:color="auto"/>
              <w:right w:val="single" w:sz="4" w:space="0" w:color="auto"/>
            </w:tcBorders>
            <w:shd w:val="clear" w:color="auto" w:fill="78BE20"/>
          </w:tcPr>
          <w:p w:rsidR="00932263" w:rsidRPr="008D2EC5" w:rsidRDefault="00932263" w:rsidP="00EE53CE">
            <w:pPr>
              <w:spacing w:before="0" w:after="0" w:line="240" w:lineRule="auto"/>
              <w:rPr>
                <w:rFonts w:cs="Arial"/>
                <w:i/>
                <w:color w:val="FFFFFF" w:themeColor="background1"/>
                <w:sz w:val="18"/>
                <w:szCs w:val="18"/>
              </w:rPr>
            </w:pPr>
            <w:r w:rsidRPr="008D2EC5">
              <w:rPr>
                <w:rFonts w:cs="Arial"/>
                <w:i/>
                <w:color w:val="FFFFFF" w:themeColor="background1"/>
                <w:sz w:val="18"/>
                <w:szCs w:val="18"/>
              </w:rPr>
              <w:t>Total number of observations (person-waves)</w:t>
            </w:r>
            <w:r w:rsidRPr="008D2EC5">
              <w:rPr>
                <w:rFonts w:cs="Arial"/>
                <w:b w:val="0"/>
                <w:i/>
                <w:color w:val="FFFFFF" w:themeColor="background1"/>
                <w:sz w:val="18"/>
                <w:szCs w:val="18"/>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1,075</w:t>
            </w:r>
          </w:p>
        </w:tc>
        <w:tc>
          <w:tcPr>
            <w:tcW w:w="992" w:type="dxa"/>
            <w:tcBorders>
              <w:top w:val="single" w:sz="8" w:space="0" w:color="000000" w:themeColor="text1"/>
              <w:left w:val="nil"/>
              <w:bottom w:val="single" w:sz="8" w:space="0" w:color="000000" w:themeColor="text1"/>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 xml:space="preserve">429 </w:t>
            </w:r>
          </w:p>
        </w:tc>
        <w:tc>
          <w:tcPr>
            <w:tcW w:w="850" w:type="dxa"/>
            <w:tcBorders>
              <w:top w:val="single" w:sz="4" w:space="0" w:color="auto"/>
              <w:left w:val="single" w:sz="4" w:space="0" w:color="auto"/>
              <w:bottom w:val="single" w:sz="4" w:space="0" w:color="auto"/>
              <w:right w:val="nil"/>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992</w:t>
            </w:r>
          </w:p>
        </w:tc>
        <w:tc>
          <w:tcPr>
            <w:tcW w:w="851" w:type="dxa"/>
            <w:tcBorders>
              <w:top w:val="single" w:sz="8" w:space="0" w:color="000000" w:themeColor="text1"/>
              <w:left w:val="nil"/>
              <w:bottom w:val="single" w:sz="4" w:space="0" w:color="auto"/>
              <w:right w:val="single" w:sz="4" w:space="0" w:color="auto"/>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78</w:t>
            </w:r>
          </w:p>
        </w:tc>
      </w:tr>
      <w:tr w:rsidR="00932263" w:rsidRPr="00EE53CE" w:rsidTr="00932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000000" w:themeColor="text1"/>
              <w:right w:val="single" w:sz="4" w:space="0" w:color="auto"/>
            </w:tcBorders>
            <w:shd w:val="clear" w:color="auto" w:fill="78BE20"/>
          </w:tcPr>
          <w:p w:rsidR="00932263" w:rsidRPr="008D2EC5" w:rsidRDefault="00932263" w:rsidP="00EE53CE">
            <w:pPr>
              <w:spacing w:before="0" w:after="0" w:line="240" w:lineRule="auto"/>
              <w:rPr>
                <w:rFonts w:cs="Arial"/>
                <w:i/>
                <w:color w:val="FFFFFF" w:themeColor="background1"/>
                <w:sz w:val="18"/>
                <w:szCs w:val="18"/>
              </w:rPr>
            </w:pPr>
            <w:r w:rsidRPr="008D2EC5">
              <w:rPr>
                <w:rFonts w:cs="Arial"/>
                <w:i/>
                <w:color w:val="FFFFFF" w:themeColor="background1"/>
                <w:sz w:val="18"/>
                <w:szCs w:val="18"/>
              </w:rPr>
              <w:t>Characteristics of child:</w:t>
            </w:r>
          </w:p>
        </w:tc>
        <w:tc>
          <w:tcPr>
            <w:tcW w:w="993" w:type="dxa"/>
            <w:tcBorders>
              <w:top w:val="single" w:sz="4" w:space="0" w:color="auto"/>
              <w:left w:val="single" w:sz="4" w:space="0" w:color="auto"/>
              <w:bottom w:val="nil"/>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992" w:type="dxa"/>
            <w:tcBorders>
              <w:top w:val="single" w:sz="8" w:space="0" w:color="000000" w:themeColor="text1"/>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50" w:type="dxa"/>
            <w:tcBorders>
              <w:top w:val="single" w:sz="4" w:space="0" w:color="auto"/>
              <w:left w:val="single" w:sz="4" w:space="0" w:color="auto"/>
              <w:bottom w:val="nil"/>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51" w:type="dxa"/>
            <w:tcBorders>
              <w:top w:val="single" w:sz="8" w:space="0" w:color="000000" w:themeColor="text1"/>
              <w:right w:val="single" w:sz="4" w:space="0" w:color="auto"/>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932263" w:rsidRPr="00EE53CE" w:rsidTr="00932263">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78BE20"/>
          </w:tcPr>
          <w:p w:rsidR="00932263" w:rsidRPr="008D2EC5" w:rsidRDefault="00932263" w:rsidP="00EE53CE">
            <w:pPr>
              <w:spacing w:before="0" w:after="0" w:line="240" w:lineRule="auto"/>
              <w:ind w:left="142"/>
              <w:rPr>
                <w:rFonts w:cs="Arial"/>
                <w:b w:val="0"/>
                <w:color w:val="FFFFFF" w:themeColor="background1"/>
                <w:sz w:val="18"/>
                <w:szCs w:val="18"/>
              </w:rPr>
            </w:pPr>
            <w:r>
              <w:rPr>
                <w:rFonts w:cs="Arial"/>
                <w:b w:val="0"/>
                <w:color w:val="FFFFFF" w:themeColor="background1"/>
                <w:sz w:val="18"/>
                <w:szCs w:val="18"/>
              </w:rPr>
              <w:t>Mean</w:t>
            </w:r>
            <w:r w:rsidRPr="008D2EC5">
              <w:rPr>
                <w:rFonts w:cs="Arial"/>
                <w:b w:val="0"/>
                <w:color w:val="FFFFFF" w:themeColor="background1"/>
                <w:sz w:val="18"/>
                <w:szCs w:val="18"/>
              </w:rPr>
              <w:t xml:space="preserve"> age of child (months)</w:t>
            </w:r>
          </w:p>
        </w:tc>
        <w:tc>
          <w:tcPr>
            <w:tcW w:w="993" w:type="dxa"/>
            <w:tcBorders>
              <w:top w:val="nil"/>
              <w:left w:val="single" w:sz="4" w:space="0" w:color="auto"/>
              <w:bottom w:val="nil"/>
              <w:right w:val="nil"/>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53.8</w:t>
            </w:r>
          </w:p>
        </w:tc>
        <w:tc>
          <w:tcPr>
            <w:tcW w:w="992" w:type="dxa"/>
            <w:tcBorders>
              <w:left w:val="nil"/>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52.8</w:t>
            </w:r>
          </w:p>
        </w:tc>
        <w:tc>
          <w:tcPr>
            <w:tcW w:w="850" w:type="dxa"/>
            <w:tcBorders>
              <w:top w:val="nil"/>
              <w:left w:val="single" w:sz="4" w:space="0" w:color="auto"/>
              <w:bottom w:val="nil"/>
              <w:right w:val="nil"/>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65.0</w:t>
            </w:r>
          </w:p>
        </w:tc>
        <w:tc>
          <w:tcPr>
            <w:tcW w:w="851" w:type="dxa"/>
            <w:tcBorders>
              <w:left w:val="nil"/>
              <w:right w:val="single" w:sz="4" w:space="0" w:color="auto"/>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62.7</w:t>
            </w:r>
          </w:p>
        </w:tc>
      </w:tr>
      <w:tr w:rsidR="00932263" w:rsidRPr="00EE53CE" w:rsidTr="00932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78BE20"/>
          </w:tcPr>
          <w:p w:rsidR="00932263" w:rsidRPr="008D2EC5" w:rsidRDefault="00932263" w:rsidP="00EE53CE">
            <w:pPr>
              <w:spacing w:before="0" w:after="0" w:line="240" w:lineRule="auto"/>
              <w:ind w:left="142"/>
              <w:rPr>
                <w:rFonts w:cs="Arial"/>
                <w:b w:val="0"/>
                <w:color w:val="FFFFFF" w:themeColor="background1"/>
                <w:sz w:val="18"/>
                <w:szCs w:val="18"/>
              </w:rPr>
            </w:pPr>
            <w:r>
              <w:rPr>
                <w:rFonts w:cs="Arial"/>
                <w:b w:val="0"/>
                <w:color w:val="FFFFFF" w:themeColor="background1"/>
                <w:sz w:val="18"/>
                <w:szCs w:val="18"/>
              </w:rPr>
              <w:t>Mean</w:t>
            </w:r>
            <w:r w:rsidRPr="008D2EC5">
              <w:rPr>
                <w:rFonts w:cs="Arial"/>
                <w:b w:val="0"/>
                <w:color w:val="FFFFFF" w:themeColor="background1"/>
                <w:sz w:val="18"/>
                <w:szCs w:val="18"/>
              </w:rPr>
              <w:t xml:space="preserve"> Renfrew w</w:t>
            </w:r>
            <w:r>
              <w:rPr>
                <w:rFonts w:cs="Arial"/>
                <w:b w:val="0"/>
                <w:color w:val="FFFFFF" w:themeColor="background1"/>
                <w:sz w:val="18"/>
                <w:szCs w:val="18"/>
              </w:rPr>
              <w:t>ord finding vocabulary score (0–</w:t>
            </w:r>
            <w:r w:rsidRPr="008D2EC5">
              <w:rPr>
                <w:rFonts w:cs="Arial"/>
                <w:b w:val="0"/>
                <w:color w:val="FFFFFF" w:themeColor="background1"/>
                <w:sz w:val="18"/>
                <w:szCs w:val="18"/>
              </w:rPr>
              <w:t>50)</w:t>
            </w:r>
            <w:r w:rsidRPr="008D2EC5">
              <w:rPr>
                <w:rFonts w:cs="Arial"/>
                <w:b w:val="0"/>
                <w:color w:val="FFFFFF" w:themeColor="background1"/>
                <w:sz w:val="18"/>
                <w:szCs w:val="18"/>
                <w:vertAlign w:val="superscript"/>
              </w:rPr>
              <w:t>†</w:t>
            </w:r>
          </w:p>
        </w:tc>
        <w:tc>
          <w:tcPr>
            <w:tcW w:w="993" w:type="dxa"/>
            <w:tcBorders>
              <w:top w:val="nil"/>
              <w:left w:val="single" w:sz="4" w:space="0" w:color="auto"/>
              <w:bottom w:val="nil"/>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21.3</w:t>
            </w:r>
          </w:p>
        </w:tc>
        <w:tc>
          <w:tcPr>
            <w:tcW w:w="992" w:type="dxa"/>
            <w:tcBorders>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19.1</w:t>
            </w:r>
          </w:p>
        </w:tc>
        <w:tc>
          <w:tcPr>
            <w:tcW w:w="850" w:type="dxa"/>
            <w:tcBorders>
              <w:top w:val="nil"/>
              <w:left w:val="single" w:sz="4" w:space="0" w:color="auto"/>
              <w:bottom w:val="nil"/>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26.3</w:t>
            </w:r>
          </w:p>
        </w:tc>
        <w:tc>
          <w:tcPr>
            <w:tcW w:w="851" w:type="dxa"/>
            <w:tcBorders>
              <w:right w:val="single" w:sz="4" w:space="0" w:color="auto"/>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22.4</w:t>
            </w:r>
          </w:p>
        </w:tc>
      </w:tr>
      <w:tr w:rsidR="00932263" w:rsidRPr="00EE53CE" w:rsidTr="00932263">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78BE20"/>
          </w:tcPr>
          <w:p w:rsidR="00932263" w:rsidRPr="008D2EC5" w:rsidRDefault="00932263" w:rsidP="00EE53CE">
            <w:pPr>
              <w:spacing w:before="0" w:after="0" w:line="240" w:lineRule="auto"/>
              <w:ind w:left="142"/>
              <w:rPr>
                <w:rFonts w:cs="Arial"/>
                <w:b w:val="0"/>
                <w:color w:val="FFFFFF" w:themeColor="background1"/>
                <w:sz w:val="18"/>
                <w:szCs w:val="18"/>
              </w:rPr>
            </w:pPr>
            <w:r>
              <w:rPr>
                <w:rFonts w:cs="Arial"/>
                <w:b w:val="0"/>
                <w:color w:val="FFFFFF" w:themeColor="background1"/>
                <w:sz w:val="18"/>
                <w:szCs w:val="18"/>
              </w:rPr>
              <w:t>Mean</w:t>
            </w:r>
            <w:r w:rsidRPr="008D2EC5">
              <w:rPr>
                <w:rFonts w:cs="Arial"/>
                <w:b w:val="0"/>
                <w:color w:val="FFFFFF" w:themeColor="background1"/>
                <w:sz w:val="18"/>
                <w:szCs w:val="18"/>
              </w:rPr>
              <w:t xml:space="preserve"> short-form </w:t>
            </w:r>
            <w:r w:rsidRPr="00C84D18">
              <w:rPr>
                <w:rFonts w:cs="Arial"/>
                <w:b w:val="0"/>
                <w:i/>
                <w:color w:val="FFFFFF" w:themeColor="background1"/>
                <w:sz w:val="18"/>
                <w:szCs w:val="18"/>
              </w:rPr>
              <w:t>Who Am I</w:t>
            </w:r>
            <w:r>
              <w:rPr>
                <w:rFonts w:cs="Arial"/>
                <w:b w:val="0"/>
                <w:color w:val="FFFFFF" w:themeColor="background1"/>
                <w:sz w:val="18"/>
                <w:szCs w:val="18"/>
              </w:rPr>
              <w:t>?</w:t>
            </w:r>
            <w:r w:rsidRPr="008D2EC5">
              <w:rPr>
                <w:rFonts w:cs="Arial"/>
                <w:b w:val="0"/>
                <w:color w:val="FFFFFF" w:themeColor="background1"/>
                <w:sz w:val="18"/>
                <w:szCs w:val="18"/>
              </w:rPr>
              <w:t xml:space="preserve"> (WAI) score at w</w:t>
            </w:r>
            <w:r>
              <w:rPr>
                <w:rFonts w:cs="Arial"/>
                <w:b w:val="0"/>
                <w:color w:val="FFFFFF" w:themeColor="background1"/>
                <w:sz w:val="18"/>
                <w:szCs w:val="18"/>
              </w:rPr>
              <w:t>aves 1 and 4 (0–</w:t>
            </w:r>
            <w:r w:rsidRPr="008D2EC5">
              <w:rPr>
                <w:rFonts w:cs="Arial"/>
                <w:b w:val="0"/>
                <w:color w:val="FFFFFF" w:themeColor="background1"/>
                <w:sz w:val="18"/>
                <w:szCs w:val="18"/>
              </w:rPr>
              <w:t>28)</w:t>
            </w:r>
            <w:r w:rsidRPr="008D2EC5">
              <w:rPr>
                <w:rFonts w:cs="Arial"/>
                <w:b w:val="0"/>
                <w:color w:val="FFFFFF" w:themeColor="background1"/>
                <w:sz w:val="18"/>
                <w:szCs w:val="18"/>
                <w:vertAlign w:val="superscript"/>
              </w:rPr>
              <w:t>†</w:t>
            </w:r>
          </w:p>
        </w:tc>
        <w:tc>
          <w:tcPr>
            <w:tcW w:w="993" w:type="dxa"/>
            <w:tcBorders>
              <w:top w:val="nil"/>
              <w:left w:val="single" w:sz="4" w:space="0" w:color="auto"/>
              <w:bottom w:val="nil"/>
              <w:right w:val="nil"/>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15.4</w:t>
            </w:r>
          </w:p>
        </w:tc>
        <w:tc>
          <w:tcPr>
            <w:tcW w:w="992" w:type="dxa"/>
            <w:tcBorders>
              <w:left w:val="nil"/>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14.4</w:t>
            </w:r>
          </w:p>
        </w:tc>
        <w:tc>
          <w:tcPr>
            <w:tcW w:w="850" w:type="dxa"/>
            <w:tcBorders>
              <w:top w:val="nil"/>
              <w:left w:val="single" w:sz="4" w:space="0" w:color="auto"/>
              <w:bottom w:val="nil"/>
              <w:right w:val="nil"/>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18.9</w:t>
            </w:r>
          </w:p>
        </w:tc>
        <w:tc>
          <w:tcPr>
            <w:tcW w:w="851" w:type="dxa"/>
            <w:tcBorders>
              <w:left w:val="nil"/>
              <w:right w:val="single" w:sz="4" w:space="0" w:color="auto"/>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15.1</w:t>
            </w:r>
          </w:p>
        </w:tc>
      </w:tr>
      <w:tr w:rsidR="00932263" w:rsidRPr="00EE53CE" w:rsidTr="00932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78BE20"/>
          </w:tcPr>
          <w:p w:rsidR="00932263" w:rsidRPr="008D2EC5" w:rsidRDefault="00932263" w:rsidP="00EE53CE">
            <w:pPr>
              <w:spacing w:before="0" w:after="0" w:line="240" w:lineRule="auto"/>
              <w:ind w:left="142"/>
              <w:rPr>
                <w:rFonts w:cs="Arial"/>
                <w:b w:val="0"/>
                <w:color w:val="FFFFFF" w:themeColor="background1"/>
                <w:sz w:val="18"/>
                <w:szCs w:val="18"/>
              </w:rPr>
            </w:pPr>
            <w:r>
              <w:rPr>
                <w:rFonts w:cs="Arial"/>
                <w:b w:val="0"/>
                <w:color w:val="FFFFFF" w:themeColor="background1"/>
                <w:sz w:val="18"/>
                <w:szCs w:val="18"/>
              </w:rPr>
              <w:t>Mean</w:t>
            </w:r>
            <w:r w:rsidRPr="008D2EC5">
              <w:rPr>
                <w:rFonts w:cs="Arial"/>
                <w:b w:val="0"/>
                <w:color w:val="FFFFFF" w:themeColor="background1"/>
                <w:sz w:val="18"/>
                <w:szCs w:val="18"/>
              </w:rPr>
              <w:t xml:space="preserve"> long-form </w:t>
            </w:r>
            <w:r w:rsidRPr="00C84D18">
              <w:rPr>
                <w:rFonts w:cs="Arial"/>
                <w:b w:val="0"/>
                <w:i/>
                <w:color w:val="FFFFFF" w:themeColor="background1"/>
                <w:sz w:val="18"/>
                <w:szCs w:val="18"/>
              </w:rPr>
              <w:t>Who Am I</w:t>
            </w:r>
            <w:r>
              <w:rPr>
                <w:rFonts w:cs="Arial"/>
                <w:b w:val="0"/>
                <w:color w:val="FFFFFF" w:themeColor="background1"/>
                <w:sz w:val="18"/>
                <w:szCs w:val="18"/>
              </w:rPr>
              <w:t>?</w:t>
            </w:r>
            <w:r w:rsidRPr="008D2EC5">
              <w:rPr>
                <w:rFonts w:cs="Arial"/>
                <w:b w:val="0"/>
                <w:color w:val="FFFFFF" w:themeColor="background1"/>
                <w:sz w:val="18"/>
                <w:szCs w:val="18"/>
              </w:rPr>
              <w:t xml:space="preserve"> (WAI) score at waves 2, 3 and 5 (0</w:t>
            </w:r>
            <w:r>
              <w:rPr>
                <w:rFonts w:cs="Arial"/>
                <w:b w:val="0"/>
                <w:color w:val="FFFFFF" w:themeColor="background1"/>
                <w:sz w:val="18"/>
                <w:szCs w:val="18"/>
              </w:rPr>
              <w:t>–</w:t>
            </w:r>
            <w:r w:rsidRPr="008D2EC5">
              <w:rPr>
                <w:rFonts w:cs="Arial"/>
                <w:b w:val="0"/>
                <w:color w:val="FFFFFF" w:themeColor="background1"/>
                <w:sz w:val="18"/>
                <w:szCs w:val="18"/>
              </w:rPr>
              <w:t>44)</w:t>
            </w:r>
            <w:r w:rsidRPr="008D2EC5">
              <w:rPr>
                <w:rFonts w:cs="Arial"/>
                <w:b w:val="0"/>
                <w:color w:val="FFFFFF" w:themeColor="background1"/>
                <w:sz w:val="18"/>
                <w:szCs w:val="18"/>
                <w:vertAlign w:val="superscript"/>
              </w:rPr>
              <w:t>†</w:t>
            </w:r>
          </w:p>
        </w:tc>
        <w:tc>
          <w:tcPr>
            <w:tcW w:w="993" w:type="dxa"/>
            <w:tcBorders>
              <w:top w:val="nil"/>
              <w:left w:val="single" w:sz="4" w:space="0" w:color="auto"/>
              <w:bottom w:val="nil"/>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21.4</w:t>
            </w:r>
          </w:p>
        </w:tc>
        <w:tc>
          <w:tcPr>
            <w:tcW w:w="992" w:type="dxa"/>
            <w:tcBorders>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19.6</w:t>
            </w:r>
          </w:p>
        </w:tc>
        <w:tc>
          <w:tcPr>
            <w:tcW w:w="850" w:type="dxa"/>
            <w:tcBorders>
              <w:top w:val="nil"/>
              <w:left w:val="single" w:sz="4" w:space="0" w:color="auto"/>
              <w:bottom w:val="nil"/>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27.8</w:t>
            </w:r>
          </w:p>
        </w:tc>
        <w:tc>
          <w:tcPr>
            <w:tcW w:w="851" w:type="dxa"/>
            <w:tcBorders>
              <w:right w:val="single" w:sz="4" w:space="0" w:color="auto"/>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21.4</w:t>
            </w:r>
          </w:p>
        </w:tc>
      </w:tr>
      <w:tr w:rsidR="00932263" w:rsidRPr="00EE53CE" w:rsidTr="00932263">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78BE20"/>
          </w:tcPr>
          <w:p w:rsidR="00932263" w:rsidRPr="008D2EC5" w:rsidRDefault="00932263" w:rsidP="00EE53CE">
            <w:pPr>
              <w:spacing w:before="0" w:after="0" w:line="240" w:lineRule="auto"/>
              <w:ind w:left="142"/>
              <w:rPr>
                <w:rFonts w:cs="Arial"/>
                <w:b w:val="0"/>
                <w:color w:val="FFFFFF" w:themeColor="background1"/>
                <w:sz w:val="18"/>
                <w:szCs w:val="18"/>
              </w:rPr>
            </w:pPr>
            <w:r w:rsidRPr="008D2EC5">
              <w:rPr>
                <w:rFonts w:cs="Arial"/>
                <w:b w:val="0"/>
                <w:color w:val="FFFFFF" w:themeColor="background1"/>
                <w:sz w:val="18"/>
                <w:szCs w:val="18"/>
              </w:rPr>
              <w:t>Child living at different address since last interview (%)</w:t>
            </w:r>
          </w:p>
        </w:tc>
        <w:tc>
          <w:tcPr>
            <w:tcW w:w="993" w:type="dxa"/>
            <w:tcBorders>
              <w:top w:val="nil"/>
              <w:left w:val="single" w:sz="4" w:space="0" w:color="auto"/>
              <w:bottom w:val="single" w:sz="4" w:space="0" w:color="auto"/>
              <w:right w:val="nil"/>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20.8</w:t>
            </w:r>
          </w:p>
        </w:tc>
        <w:tc>
          <w:tcPr>
            <w:tcW w:w="992" w:type="dxa"/>
            <w:tcBorders>
              <w:left w:val="nil"/>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29.3</w:t>
            </w:r>
          </w:p>
        </w:tc>
        <w:tc>
          <w:tcPr>
            <w:tcW w:w="850" w:type="dxa"/>
            <w:tcBorders>
              <w:top w:val="nil"/>
              <w:left w:val="single" w:sz="4" w:space="0" w:color="auto"/>
              <w:bottom w:val="single" w:sz="4" w:space="0" w:color="auto"/>
              <w:right w:val="nil"/>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21.8</w:t>
            </w:r>
          </w:p>
        </w:tc>
        <w:tc>
          <w:tcPr>
            <w:tcW w:w="851" w:type="dxa"/>
            <w:tcBorders>
              <w:left w:val="nil"/>
              <w:right w:val="single" w:sz="4" w:space="0" w:color="auto"/>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39.7</w:t>
            </w:r>
          </w:p>
        </w:tc>
      </w:tr>
      <w:tr w:rsidR="00932263" w:rsidRPr="00EE53CE" w:rsidTr="00932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000000" w:themeColor="text1"/>
              <w:right w:val="single" w:sz="4" w:space="0" w:color="auto"/>
            </w:tcBorders>
            <w:shd w:val="clear" w:color="auto" w:fill="78BE20"/>
          </w:tcPr>
          <w:p w:rsidR="00932263" w:rsidRPr="008D2EC5" w:rsidRDefault="00932263" w:rsidP="00EE53CE">
            <w:pPr>
              <w:spacing w:before="0" w:after="0" w:line="240" w:lineRule="auto"/>
              <w:rPr>
                <w:rFonts w:cs="Arial"/>
                <w:i/>
                <w:color w:val="FFFFFF" w:themeColor="background1"/>
                <w:sz w:val="18"/>
                <w:szCs w:val="18"/>
              </w:rPr>
            </w:pPr>
            <w:r w:rsidRPr="008D2EC5">
              <w:rPr>
                <w:rFonts w:cs="Arial"/>
                <w:i/>
                <w:color w:val="FFFFFF" w:themeColor="background1"/>
                <w:sz w:val="18"/>
                <w:szCs w:val="18"/>
              </w:rPr>
              <w:t>Characteristics of primary carer:</w:t>
            </w:r>
          </w:p>
        </w:tc>
        <w:tc>
          <w:tcPr>
            <w:tcW w:w="993" w:type="dxa"/>
            <w:tcBorders>
              <w:top w:val="single" w:sz="4" w:space="0" w:color="auto"/>
              <w:left w:val="single" w:sz="4" w:space="0" w:color="auto"/>
              <w:bottom w:val="nil"/>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992" w:type="dxa"/>
            <w:tcBorders>
              <w:top w:val="single" w:sz="8" w:space="0" w:color="000000" w:themeColor="text1"/>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50" w:type="dxa"/>
            <w:tcBorders>
              <w:top w:val="single" w:sz="4" w:space="0" w:color="auto"/>
              <w:left w:val="single" w:sz="4" w:space="0" w:color="auto"/>
              <w:bottom w:val="nil"/>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51" w:type="dxa"/>
            <w:tcBorders>
              <w:top w:val="single" w:sz="8" w:space="0" w:color="000000" w:themeColor="text1"/>
              <w:right w:val="single" w:sz="4" w:space="0" w:color="auto"/>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932263" w:rsidRPr="00EE53CE" w:rsidTr="00932263">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78BE20"/>
          </w:tcPr>
          <w:p w:rsidR="00932263" w:rsidRPr="008D2EC5" w:rsidRDefault="00932263" w:rsidP="00EE53CE">
            <w:pPr>
              <w:spacing w:before="0" w:after="0" w:line="240" w:lineRule="auto"/>
              <w:ind w:left="142"/>
              <w:rPr>
                <w:rFonts w:cs="Arial"/>
                <w:b w:val="0"/>
                <w:color w:val="FFFFFF" w:themeColor="background1"/>
                <w:sz w:val="18"/>
                <w:szCs w:val="18"/>
              </w:rPr>
            </w:pPr>
            <w:r w:rsidRPr="008D2EC5">
              <w:rPr>
                <w:rFonts w:cs="Arial"/>
                <w:b w:val="0"/>
                <w:color w:val="FFFFFF" w:themeColor="background1"/>
                <w:sz w:val="18"/>
                <w:szCs w:val="18"/>
              </w:rPr>
              <w:t>Primary carer having Year 11 or below education (%)</w:t>
            </w:r>
          </w:p>
        </w:tc>
        <w:tc>
          <w:tcPr>
            <w:tcW w:w="993" w:type="dxa"/>
            <w:tcBorders>
              <w:top w:val="nil"/>
              <w:left w:val="single" w:sz="4" w:space="0" w:color="auto"/>
              <w:bottom w:val="nil"/>
              <w:right w:val="nil"/>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35.6</w:t>
            </w:r>
          </w:p>
        </w:tc>
        <w:tc>
          <w:tcPr>
            <w:tcW w:w="992" w:type="dxa"/>
            <w:tcBorders>
              <w:left w:val="nil"/>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46.4</w:t>
            </w:r>
          </w:p>
        </w:tc>
        <w:tc>
          <w:tcPr>
            <w:tcW w:w="850" w:type="dxa"/>
            <w:tcBorders>
              <w:top w:val="nil"/>
              <w:left w:val="single" w:sz="4" w:space="0" w:color="auto"/>
              <w:bottom w:val="nil"/>
              <w:right w:val="nil"/>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37.1</w:t>
            </w:r>
          </w:p>
        </w:tc>
        <w:tc>
          <w:tcPr>
            <w:tcW w:w="851" w:type="dxa"/>
            <w:tcBorders>
              <w:left w:val="nil"/>
              <w:right w:val="single" w:sz="4" w:space="0" w:color="auto"/>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62.7</w:t>
            </w:r>
          </w:p>
        </w:tc>
      </w:tr>
      <w:tr w:rsidR="00932263" w:rsidRPr="00EE53CE" w:rsidTr="00932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78BE20"/>
          </w:tcPr>
          <w:p w:rsidR="00932263" w:rsidRPr="008D2EC5" w:rsidRDefault="00932263" w:rsidP="00EE53CE">
            <w:pPr>
              <w:spacing w:before="0" w:after="0" w:line="240" w:lineRule="auto"/>
              <w:ind w:left="142"/>
              <w:rPr>
                <w:rFonts w:cs="Arial"/>
                <w:b w:val="0"/>
                <w:color w:val="FFFFFF" w:themeColor="background1"/>
                <w:sz w:val="18"/>
                <w:szCs w:val="18"/>
              </w:rPr>
            </w:pPr>
            <w:r w:rsidRPr="008D2EC5">
              <w:rPr>
                <w:rFonts w:cs="Arial"/>
                <w:b w:val="0"/>
                <w:color w:val="FFFFFF" w:themeColor="background1"/>
                <w:sz w:val="18"/>
                <w:szCs w:val="18"/>
              </w:rPr>
              <w:t>Primary carer employed (%)</w:t>
            </w:r>
          </w:p>
        </w:tc>
        <w:tc>
          <w:tcPr>
            <w:tcW w:w="993" w:type="dxa"/>
            <w:tcBorders>
              <w:top w:val="nil"/>
              <w:left w:val="single" w:sz="4" w:space="0" w:color="auto"/>
              <w:bottom w:val="nil"/>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37.9</w:t>
            </w:r>
          </w:p>
        </w:tc>
        <w:tc>
          <w:tcPr>
            <w:tcW w:w="992" w:type="dxa"/>
            <w:tcBorders>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23.8</w:t>
            </w:r>
          </w:p>
        </w:tc>
        <w:tc>
          <w:tcPr>
            <w:tcW w:w="850" w:type="dxa"/>
            <w:tcBorders>
              <w:top w:val="nil"/>
              <w:left w:val="single" w:sz="4" w:space="0" w:color="auto"/>
              <w:bottom w:val="nil"/>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36.9</w:t>
            </w:r>
          </w:p>
        </w:tc>
        <w:tc>
          <w:tcPr>
            <w:tcW w:w="851" w:type="dxa"/>
            <w:tcBorders>
              <w:right w:val="single" w:sz="4" w:space="0" w:color="auto"/>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19.5</w:t>
            </w:r>
          </w:p>
        </w:tc>
      </w:tr>
      <w:tr w:rsidR="00932263" w:rsidRPr="00EE53CE" w:rsidTr="00932263">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78BE20"/>
          </w:tcPr>
          <w:p w:rsidR="00932263" w:rsidRPr="008D2EC5" w:rsidRDefault="00932263" w:rsidP="00EE53CE">
            <w:pPr>
              <w:spacing w:before="0" w:after="0" w:line="240" w:lineRule="auto"/>
              <w:ind w:left="142"/>
              <w:rPr>
                <w:rFonts w:cs="Arial"/>
                <w:b w:val="0"/>
                <w:color w:val="FFFFFF" w:themeColor="background1"/>
                <w:sz w:val="18"/>
                <w:szCs w:val="18"/>
              </w:rPr>
            </w:pPr>
            <w:r w:rsidRPr="008D2EC5">
              <w:rPr>
                <w:rFonts w:cs="Arial"/>
                <w:b w:val="0"/>
                <w:color w:val="FFFFFF" w:themeColor="background1"/>
                <w:sz w:val="18"/>
                <w:szCs w:val="18"/>
              </w:rPr>
              <w:t>Income after deduction</w:t>
            </w:r>
            <w:r>
              <w:rPr>
                <w:rFonts w:cs="Arial"/>
                <w:b w:val="0"/>
                <w:color w:val="FFFFFF" w:themeColor="background1"/>
                <w:sz w:val="18"/>
                <w:szCs w:val="18"/>
              </w:rPr>
              <w:t>s</w:t>
            </w:r>
            <w:r w:rsidRPr="008D2EC5">
              <w:rPr>
                <w:rFonts w:cs="Arial"/>
                <w:b w:val="0"/>
                <w:color w:val="FFFFFF" w:themeColor="background1"/>
                <w:sz w:val="18"/>
                <w:szCs w:val="18"/>
              </w:rPr>
              <w:t xml:space="preserve"> less than $250 per week (%)</w:t>
            </w:r>
          </w:p>
        </w:tc>
        <w:tc>
          <w:tcPr>
            <w:tcW w:w="993" w:type="dxa"/>
            <w:tcBorders>
              <w:top w:val="nil"/>
              <w:left w:val="single" w:sz="4" w:space="0" w:color="auto"/>
              <w:bottom w:val="nil"/>
              <w:right w:val="nil"/>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13.3</w:t>
            </w:r>
          </w:p>
        </w:tc>
        <w:tc>
          <w:tcPr>
            <w:tcW w:w="992" w:type="dxa"/>
            <w:tcBorders>
              <w:left w:val="nil"/>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20.8</w:t>
            </w:r>
          </w:p>
        </w:tc>
        <w:tc>
          <w:tcPr>
            <w:tcW w:w="850" w:type="dxa"/>
            <w:tcBorders>
              <w:top w:val="nil"/>
              <w:left w:val="single" w:sz="4" w:space="0" w:color="auto"/>
              <w:bottom w:val="nil"/>
              <w:right w:val="nil"/>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14.5</w:t>
            </w:r>
          </w:p>
        </w:tc>
        <w:tc>
          <w:tcPr>
            <w:tcW w:w="851" w:type="dxa"/>
            <w:tcBorders>
              <w:left w:val="nil"/>
              <w:right w:val="single" w:sz="4" w:space="0" w:color="auto"/>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25.8</w:t>
            </w:r>
          </w:p>
        </w:tc>
      </w:tr>
      <w:tr w:rsidR="00932263" w:rsidRPr="00EE53CE" w:rsidTr="00932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78BE20"/>
          </w:tcPr>
          <w:p w:rsidR="00932263" w:rsidRPr="008D2EC5" w:rsidRDefault="00932263" w:rsidP="00C84D18">
            <w:pPr>
              <w:spacing w:before="0" w:after="0" w:line="240" w:lineRule="auto"/>
              <w:ind w:left="142"/>
              <w:rPr>
                <w:rFonts w:cs="Arial"/>
                <w:b w:val="0"/>
                <w:color w:val="FFFFFF" w:themeColor="background1"/>
                <w:sz w:val="18"/>
                <w:szCs w:val="18"/>
              </w:rPr>
            </w:pPr>
            <w:r w:rsidRPr="008D2EC5">
              <w:rPr>
                <w:rFonts w:cs="Arial"/>
                <w:b w:val="0"/>
                <w:color w:val="FFFFFF" w:themeColor="background1"/>
                <w:sz w:val="18"/>
                <w:szCs w:val="18"/>
              </w:rPr>
              <w:t>Source of income – government benefits</w:t>
            </w:r>
            <w:r>
              <w:rPr>
                <w:rFonts w:cs="Arial"/>
                <w:b w:val="0"/>
                <w:color w:val="FFFFFF" w:themeColor="background1"/>
                <w:sz w:val="18"/>
                <w:szCs w:val="18"/>
              </w:rPr>
              <w:t xml:space="preserve"> (%)</w:t>
            </w:r>
            <w:r w:rsidRPr="008D2EC5">
              <w:rPr>
                <w:rFonts w:cs="Arial"/>
                <w:b w:val="0"/>
                <w:color w:val="FFFFFF" w:themeColor="background1"/>
                <w:sz w:val="18"/>
                <w:szCs w:val="18"/>
                <w:vertAlign w:val="superscript"/>
              </w:rPr>
              <w:t>ǂ</w:t>
            </w:r>
            <w:r w:rsidRPr="008D2EC5">
              <w:rPr>
                <w:rFonts w:cs="Arial"/>
                <w:b w:val="0"/>
                <w:color w:val="FFFFFF" w:themeColor="background1"/>
                <w:sz w:val="18"/>
                <w:szCs w:val="18"/>
              </w:rPr>
              <w:t xml:space="preserve"> </w:t>
            </w:r>
          </w:p>
        </w:tc>
        <w:tc>
          <w:tcPr>
            <w:tcW w:w="993" w:type="dxa"/>
            <w:tcBorders>
              <w:top w:val="nil"/>
              <w:left w:val="single" w:sz="4" w:space="0" w:color="auto"/>
              <w:bottom w:val="nil"/>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73.6</w:t>
            </w:r>
          </w:p>
        </w:tc>
        <w:tc>
          <w:tcPr>
            <w:tcW w:w="992" w:type="dxa"/>
            <w:tcBorders>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83.8</w:t>
            </w:r>
          </w:p>
        </w:tc>
        <w:tc>
          <w:tcPr>
            <w:tcW w:w="850" w:type="dxa"/>
            <w:tcBorders>
              <w:top w:val="nil"/>
              <w:left w:val="single" w:sz="4" w:space="0" w:color="auto"/>
              <w:bottom w:val="nil"/>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75.6</w:t>
            </w:r>
          </w:p>
        </w:tc>
        <w:tc>
          <w:tcPr>
            <w:tcW w:w="851" w:type="dxa"/>
            <w:tcBorders>
              <w:right w:val="single" w:sz="4" w:space="0" w:color="auto"/>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93.6</w:t>
            </w:r>
          </w:p>
        </w:tc>
      </w:tr>
      <w:tr w:rsidR="00932263" w:rsidRPr="00EE53CE" w:rsidTr="00932263">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78BE20"/>
          </w:tcPr>
          <w:p w:rsidR="00932263" w:rsidRPr="008D2EC5" w:rsidRDefault="00932263" w:rsidP="00EE53CE">
            <w:pPr>
              <w:spacing w:before="0" w:after="0" w:line="240" w:lineRule="auto"/>
              <w:ind w:left="142"/>
              <w:rPr>
                <w:rFonts w:cs="Arial"/>
                <w:b w:val="0"/>
                <w:color w:val="FFFFFF" w:themeColor="background1"/>
                <w:sz w:val="18"/>
                <w:szCs w:val="18"/>
              </w:rPr>
            </w:pPr>
            <w:r w:rsidRPr="008D2EC5">
              <w:rPr>
                <w:rFonts w:cs="Arial"/>
                <w:b w:val="0"/>
                <w:color w:val="FFFFFF" w:themeColor="background1"/>
                <w:sz w:val="18"/>
                <w:szCs w:val="18"/>
              </w:rPr>
              <w:t>Source of income – wages/salary</w:t>
            </w:r>
            <w:r>
              <w:rPr>
                <w:rFonts w:cs="Arial"/>
                <w:b w:val="0"/>
                <w:color w:val="FFFFFF" w:themeColor="background1"/>
                <w:sz w:val="18"/>
                <w:szCs w:val="18"/>
              </w:rPr>
              <w:t xml:space="preserve"> (%)</w:t>
            </w:r>
            <w:r w:rsidRPr="008D2EC5">
              <w:rPr>
                <w:rFonts w:cs="Arial"/>
                <w:b w:val="0"/>
                <w:color w:val="FFFFFF" w:themeColor="background1"/>
                <w:sz w:val="18"/>
                <w:szCs w:val="18"/>
                <w:vertAlign w:val="superscript"/>
              </w:rPr>
              <w:t>ǂ</w:t>
            </w:r>
            <w:r>
              <w:rPr>
                <w:rFonts w:cs="Arial"/>
                <w:b w:val="0"/>
                <w:color w:val="FFFFFF" w:themeColor="background1"/>
                <w:sz w:val="18"/>
                <w:szCs w:val="18"/>
              </w:rPr>
              <w:t xml:space="preserve"> </w:t>
            </w:r>
          </w:p>
        </w:tc>
        <w:tc>
          <w:tcPr>
            <w:tcW w:w="993" w:type="dxa"/>
            <w:tcBorders>
              <w:top w:val="nil"/>
              <w:left w:val="single" w:sz="4" w:space="0" w:color="auto"/>
              <w:bottom w:val="nil"/>
              <w:right w:val="nil"/>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54.5</w:t>
            </w:r>
          </w:p>
        </w:tc>
        <w:tc>
          <w:tcPr>
            <w:tcW w:w="992" w:type="dxa"/>
            <w:tcBorders>
              <w:left w:val="nil"/>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38.3</w:t>
            </w:r>
          </w:p>
        </w:tc>
        <w:tc>
          <w:tcPr>
            <w:tcW w:w="850" w:type="dxa"/>
            <w:tcBorders>
              <w:top w:val="nil"/>
              <w:left w:val="single" w:sz="4" w:space="0" w:color="auto"/>
              <w:bottom w:val="nil"/>
              <w:right w:val="nil"/>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48.9</w:t>
            </w:r>
          </w:p>
        </w:tc>
        <w:tc>
          <w:tcPr>
            <w:tcW w:w="851" w:type="dxa"/>
            <w:tcBorders>
              <w:left w:val="nil"/>
              <w:right w:val="single" w:sz="4" w:space="0" w:color="auto"/>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29.5</w:t>
            </w:r>
          </w:p>
        </w:tc>
      </w:tr>
      <w:tr w:rsidR="00932263" w:rsidRPr="00EE53CE" w:rsidTr="00932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78BE20"/>
          </w:tcPr>
          <w:p w:rsidR="00932263" w:rsidRPr="008D2EC5" w:rsidRDefault="00932263" w:rsidP="00EE53CE">
            <w:pPr>
              <w:spacing w:before="0" w:after="0" w:line="240" w:lineRule="auto"/>
              <w:ind w:left="142"/>
              <w:rPr>
                <w:rFonts w:cs="Arial"/>
                <w:b w:val="0"/>
                <w:color w:val="FFFFFF" w:themeColor="background1"/>
                <w:sz w:val="18"/>
                <w:szCs w:val="18"/>
              </w:rPr>
            </w:pPr>
            <w:r w:rsidRPr="008D2EC5">
              <w:rPr>
                <w:rFonts w:cs="Arial"/>
                <w:b w:val="0"/>
                <w:color w:val="FFFFFF" w:themeColor="background1"/>
                <w:sz w:val="18"/>
                <w:szCs w:val="18"/>
              </w:rPr>
              <w:t>Primary carer affected by income management (%)</w:t>
            </w:r>
          </w:p>
        </w:tc>
        <w:tc>
          <w:tcPr>
            <w:tcW w:w="993" w:type="dxa"/>
            <w:tcBorders>
              <w:top w:val="nil"/>
              <w:left w:val="single" w:sz="4" w:space="0" w:color="auto"/>
              <w:bottom w:val="nil"/>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7.4</w:t>
            </w:r>
          </w:p>
        </w:tc>
        <w:tc>
          <w:tcPr>
            <w:tcW w:w="992" w:type="dxa"/>
            <w:tcBorders>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3.3</w:t>
            </w:r>
          </w:p>
        </w:tc>
        <w:tc>
          <w:tcPr>
            <w:tcW w:w="850" w:type="dxa"/>
            <w:tcBorders>
              <w:top w:val="nil"/>
              <w:left w:val="single" w:sz="4" w:space="0" w:color="auto"/>
              <w:bottom w:val="nil"/>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8.0</w:t>
            </w:r>
          </w:p>
        </w:tc>
        <w:tc>
          <w:tcPr>
            <w:tcW w:w="851" w:type="dxa"/>
            <w:tcBorders>
              <w:right w:val="single" w:sz="4" w:space="0" w:color="auto"/>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1.3</w:t>
            </w:r>
          </w:p>
        </w:tc>
      </w:tr>
      <w:tr w:rsidR="00932263" w:rsidRPr="00EE53CE" w:rsidTr="00932263">
        <w:tc>
          <w:tcPr>
            <w:cnfStyle w:val="001000000000" w:firstRow="0" w:lastRow="0" w:firstColumn="1" w:lastColumn="0" w:oddVBand="0" w:evenVBand="0" w:oddHBand="0" w:evenHBand="0" w:firstRowFirstColumn="0" w:firstRowLastColumn="0" w:lastRowFirstColumn="0" w:lastRowLastColumn="0"/>
            <w:tcW w:w="6345" w:type="dxa"/>
            <w:tcBorders>
              <w:right w:val="single" w:sz="4" w:space="0" w:color="auto"/>
            </w:tcBorders>
            <w:shd w:val="clear" w:color="auto" w:fill="78BE20"/>
          </w:tcPr>
          <w:p w:rsidR="00932263" w:rsidRPr="008D2EC5" w:rsidRDefault="00932263" w:rsidP="00EE53CE">
            <w:pPr>
              <w:spacing w:before="0" w:after="0" w:line="240" w:lineRule="auto"/>
              <w:ind w:left="142"/>
              <w:rPr>
                <w:rFonts w:cs="Arial"/>
                <w:b w:val="0"/>
                <w:color w:val="FFFFFF" w:themeColor="background1"/>
                <w:sz w:val="18"/>
                <w:szCs w:val="18"/>
              </w:rPr>
            </w:pPr>
            <w:r w:rsidRPr="008D2EC5">
              <w:rPr>
                <w:rFonts w:cs="Arial"/>
                <w:b w:val="0"/>
                <w:color w:val="FFFFFF" w:themeColor="background1"/>
                <w:sz w:val="18"/>
                <w:szCs w:val="18"/>
              </w:rPr>
              <w:t>Primary carer or a close family member badly hurt/sick in the last year (%)</w:t>
            </w:r>
          </w:p>
        </w:tc>
        <w:tc>
          <w:tcPr>
            <w:tcW w:w="993" w:type="dxa"/>
            <w:tcBorders>
              <w:top w:val="nil"/>
              <w:left w:val="single" w:sz="4" w:space="0" w:color="auto"/>
              <w:bottom w:val="nil"/>
              <w:right w:val="nil"/>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16.2</w:t>
            </w:r>
          </w:p>
        </w:tc>
        <w:tc>
          <w:tcPr>
            <w:tcW w:w="992" w:type="dxa"/>
            <w:tcBorders>
              <w:left w:val="nil"/>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11.0</w:t>
            </w:r>
          </w:p>
        </w:tc>
        <w:tc>
          <w:tcPr>
            <w:tcW w:w="850" w:type="dxa"/>
            <w:tcBorders>
              <w:top w:val="nil"/>
              <w:left w:val="single" w:sz="4" w:space="0" w:color="auto"/>
              <w:bottom w:val="nil"/>
              <w:right w:val="nil"/>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15.7</w:t>
            </w:r>
          </w:p>
        </w:tc>
        <w:tc>
          <w:tcPr>
            <w:tcW w:w="851" w:type="dxa"/>
            <w:tcBorders>
              <w:left w:val="nil"/>
              <w:right w:val="single" w:sz="4" w:space="0" w:color="auto"/>
            </w:tcBorders>
            <w:shd w:val="clear" w:color="auto" w:fill="auto"/>
          </w:tcPr>
          <w:p w:rsidR="00932263" w:rsidRPr="00EE53CE" w:rsidRDefault="00932263" w:rsidP="00EE53CE">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E53CE">
              <w:rPr>
                <w:rFonts w:cs="Arial"/>
                <w:sz w:val="18"/>
                <w:szCs w:val="18"/>
              </w:rPr>
              <w:t>6.6</w:t>
            </w:r>
          </w:p>
        </w:tc>
      </w:tr>
      <w:tr w:rsidR="00932263" w:rsidRPr="00EE53CE" w:rsidTr="00932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bottom w:val="single" w:sz="8" w:space="0" w:color="000000"/>
              <w:right w:val="single" w:sz="4" w:space="0" w:color="auto"/>
            </w:tcBorders>
            <w:shd w:val="clear" w:color="auto" w:fill="78BE20"/>
          </w:tcPr>
          <w:p w:rsidR="00932263" w:rsidRPr="008D2EC5" w:rsidRDefault="00932263" w:rsidP="00EE53CE">
            <w:pPr>
              <w:spacing w:before="0" w:after="0" w:line="240" w:lineRule="auto"/>
              <w:ind w:left="142"/>
              <w:rPr>
                <w:rFonts w:cs="Arial"/>
                <w:b w:val="0"/>
                <w:color w:val="FFFFFF" w:themeColor="background1"/>
                <w:sz w:val="18"/>
                <w:szCs w:val="18"/>
              </w:rPr>
            </w:pPr>
            <w:r w:rsidRPr="008D2EC5">
              <w:rPr>
                <w:rFonts w:cs="Arial"/>
                <w:b w:val="0"/>
                <w:color w:val="FFFFFF" w:themeColor="background1"/>
                <w:sz w:val="18"/>
                <w:szCs w:val="18"/>
              </w:rPr>
              <w:t>Primary carer</w:t>
            </w:r>
            <w:r w:rsidR="005C1916">
              <w:rPr>
                <w:rFonts w:cs="Arial"/>
                <w:b w:val="0"/>
                <w:color w:val="FFFFFF" w:themeColor="background1"/>
                <w:sz w:val="18"/>
                <w:szCs w:val="18"/>
              </w:rPr>
              <w:t xml:space="preserve"> has clear rules and routines (w</w:t>
            </w:r>
            <w:r w:rsidRPr="008D2EC5">
              <w:rPr>
                <w:rFonts w:cs="Arial"/>
                <w:b w:val="0"/>
                <w:color w:val="FFFFFF" w:themeColor="background1"/>
                <w:sz w:val="18"/>
                <w:szCs w:val="18"/>
              </w:rPr>
              <w:t>ave 5 only) (%)</w:t>
            </w:r>
          </w:p>
        </w:tc>
        <w:tc>
          <w:tcPr>
            <w:tcW w:w="993" w:type="dxa"/>
            <w:tcBorders>
              <w:top w:val="nil"/>
              <w:left w:val="single" w:sz="4" w:space="0" w:color="auto"/>
              <w:bottom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95.0</w:t>
            </w:r>
          </w:p>
        </w:tc>
        <w:tc>
          <w:tcPr>
            <w:tcW w:w="992" w:type="dxa"/>
            <w:tcBorders>
              <w:bottom w:val="single" w:sz="8" w:space="0" w:color="000000"/>
              <w:right w:val="single" w:sz="4" w:space="0" w:color="auto"/>
            </w:tcBorders>
            <w:shd w:val="clear" w:color="auto" w:fill="F2F2F2" w:themeFill="background1" w:themeFillShade="F2"/>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86.8</w:t>
            </w:r>
          </w:p>
        </w:tc>
        <w:tc>
          <w:tcPr>
            <w:tcW w:w="850" w:type="dxa"/>
            <w:tcBorders>
              <w:top w:val="nil"/>
              <w:left w:val="single" w:sz="4" w:space="0" w:color="auto"/>
              <w:bottom w:val="single" w:sz="4" w:space="0" w:color="auto"/>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91.9</w:t>
            </w:r>
          </w:p>
        </w:tc>
        <w:tc>
          <w:tcPr>
            <w:tcW w:w="851" w:type="dxa"/>
            <w:tcBorders>
              <w:bottom w:val="single" w:sz="8" w:space="0" w:color="000000"/>
              <w:right w:val="single" w:sz="4" w:space="0" w:color="auto"/>
            </w:tcBorders>
            <w:shd w:val="clear" w:color="auto" w:fill="auto"/>
          </w:tcPr>
          <w:p w:rsidR="00932263" w:rsidRPr="00EE53CE" w:rsidRDefault="00932263" w:rsidP="00EE53CE">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EE53CE">
              <w:rPr>
                <w:rFonts w:cs="Arial"/>
                <w:sz w:val="18"/>
                <w:szCs w:val="18"/>
              </w:rPr>
              <w:t>79.3</w:t>
            </w:r>
          </w:p>
        </w:tc>
      </w:tr>
    </w:tbl>
    <w:p w:rsidR="00EE53CE" w:rsidRPr="006A3BA5" w:rsidRDefault="00EE53CE" w:rsidP="00594C11">
      <w:pPr>
        <w:spacing w:before="60" w:after="0" w:line="276" w:lineRule="auto"/>
        <w:ind w:right="-271"/>
        <w:rPr>
          <w:rFonts w:eastAsia="Calibri"/>
          <w:sz w:val="16"/>
          <w:szCs w:val="16"/>
          <w:lang w:eastAsia="en-US"/>
        </w:rPr>
      </w:pPr>
      <w:r w:rsidRPr="006A3BA5">
        <w:rPr>
          <w:rFonts w:eastAsia="Calibri"/>
          <w:sz w:val="16"/>
          <w:szCs w:val="16"/>
          <w:lang w:eastAsia="en-US"/>
        </w:rPr>
        <w:t xml:space="preserve">Note: Children in both cohorts in all five waves are pooled together. Children </w:t>
      </w:r>
      <w:r w:rsidR="00C84D18" w:rsidRPr="006A3BA5">
        <w:rPr>
          <w:rFonts w:eastAsia="Calibri"/>
          <w:sz w:val="16"/>
          <w:szCs w:val="16"/>
          <w:lang w:eastAsia="en-US"/>
        </w:rPr>
        <w:t>for whom</w:t>
      </w:r>
      <w:r w:rsidRPr="006A3BA5">
        <w:rPr>
          <w:rFonts w:eastAsia="Calibri"/>
          <w:sz w:val="16"/>
          <w:szCs w:val="16"/>
          <w:lang w:eastAsia="en-US"/>
        </w:rPr>
        <w:t xml:space="preserve"> valid enrolment information</w:t>
      </w:r>
      <w:r w:rsidR="00C84D18" w:rsidRPr="006A3BA5">
        <w:rPr>
          <w:rFonts w:eastAsia="Calibri"/>
          <w:sz w:val="16"/>
          <w:szCs w:val="16"/>
          <w:lang w:eastAsia="en-US"/>
        </w:rPr>
        <w:t xml:space="preserve"> is not available </w:t>
      </w:r>
      <w:r w:rsidR="00594C11">
        <w:rPr>
          <w:rFonts w:eastAsia="Calibri"/>
          <w:sz w:val="16"/>
          <w:szCs w:val="16"/>
          <w:lang w:eastAsia="en-US"/>
        </w:rPr>
        <w:t xml:space="preserve">are excluded. All </w:t>
      </w:r>
      <w:r w:rsidRPr="006A3BA5">
        <w:rPr>
          <w:rFonts w:eastAsia="Calibri"/>
          <w:sz w:val="16"/>
          <w:szCs w:val="16"/>
          <w:lang w:eastAsia="en-US"/>
        </w:rPr>
        <w:t>pairs of statistics for the enrolled (</w:t>
      </w:r>
      <w:r w:rsidRPr="006A3BA5">
        <w:rPr>
          <w:rFonts w:eastAsia="Calibri"/>
          <w:i/>
          <w:sz w:val="16"/>
          <w:szCs w:val="16"/>
          <w:lang w:eastAsia="en-US"/>
        </w:rPr>
        <w:t>E</w:t>
      </w:r>
      <w:r w:rsidRPr="006A3BA5">
        <w:rPr>
          <w:rFonts w:eastAsia="Calibri"/>
          <w:sz w:val="16"/>
          <w:szCs w:val="16"/>
          <w:lang w:eastAsia="en-US"/>
        </w:rPr>
        <w:t>) and not enrolled (</w:t>
      </w:r>
      <w:r w:rsidRPr="006A3BA5">
        <w:rPr>
          <w:rFonts w:eastAsia="Calibri"/>
          <w:i/>
          <w:sz w:val="16"/>
          <w:szCs w:val="16"/>
          <w:lang w:eastAsia="en-US"/>
        </w:rPr>
        <w:t>NE</w:t>
      </w:r>
      <w:r w:rsidRPr="006A3BA5">
        <w:rPr>
          <w:rFonts w:eastAsia="Calibri"/>
          <w:sz w:val="16"/>
          <w:szCs w:val="16"/>
          <w:lang w:eastAsia="en-US"/>
        </w:rPr>
        <w:t>) children in this table are significantly different at the 5% level (t</w:t>
      </w:r>
      <w:r w:rsidR="00C84D18" w:rsidRPr="006A3BA5">
        <w:rPr>
          <w:rFonts w:eastAsia="Calibri"/>
          <w:sz w:val="16"/>
          <w:szCs w:val="16"/>
          <w:lang w:eastAsia="en-US"/>
        </w:rPr>
        <w:t>-</w:t>
      </w:r>
      <w:r w:rsidR="006A3BA5" w:rsidRPr="006A3BA5">
        <w:rPr>
          <w:rFonts w:eastAsia="Calibri"/>
          <w:sz w:val="16"/>
          <w:szCs w:val="16"/>
          <w:lang w:eastAsia="en-US"/>
        </w:rPr>
        <w:t>test).</w:t>
      </w:r>
    </w:p>
    <w:p w:rsidR="00EE53CE" w:rsidRPr="006A3BA5" w:rsidRDefault="00EE53CE" w:rsidP="00594C11">
      <w:pPr>
        <w:spacing w:before="0" w:after="0" w:line="276" w:lineRule="auto"/>
        <w:ind w:right="-271"/>
        <w:rPr>
          <w:rFonts w:eastAsia="Calibri"/>
          <w:sz w:val="16"/>
          <w:szCs w:val="16"/>
          <w:lang w:eastAsia="en-US"/>
        </w:rPr>
      </w:pPr>
      <w:r w:rsidRPr="006A3BA5">
        <w:rPr>
          <w:rFonts w:eastAsia="Calibri" w:cs="Arial"/>
          <w:sz w:val="16"/>
          <w:szCs w:val="16"/>
          <w:vertAlign w:val="superscript"/>
          <w:lang w:eastAsia="en-US"/>
        </w:rPr>
        <w:t>^</w:t>
      </w:r>
      <w:r w:rsidRPr="006A3BA5">
        <w:rPr>
          <w:rFonts w:eastAsia="Calibri"/>
          <w:sz w:val="16"/>
          <w:szCs w:val="16"/>
          <w:lang w:eastAsia="en-US"/>
        </w:rPr>
        <w:t>The actual number of observations varies by characteristic.</w:t>
      </w:r>
    </w:p>
    <w:p w:rsidR="00EE53CE" w:rsidRPr="006A3BA5" w:rsidRDefault="00EE53CE" w:rsidP="00594C11">
      <w:pPr>
        <w:spacing w:before="0" w:after="0" w:line="276" w:lineRule="auto"/>
        <w:ind w:right="-271"/>
        <w:rPr>
          <w:rFonts w:eastAsia="Calibri"/>
          <w:sz w:val="16"/>
          <w:szCs w:val="16"/>
          <w:lang w:eastAsia="en-US"/>
        </w:rPr>
      </w:pPr>
      <w:r w:rsidRPr="006A3BA5">
        <w:rPr>
          <w:rFonts w:eastAsia="Calibri" w:cs="Arial"/>
          <w:sz w:val="16"/>
          <w:szCs w:val="16"/>
          <w:vertAlign w:val="superscript"/>
          <w:lang w:eastAsia="en-US"/>
        </w:rPr>
        <w:t>†</w:t>
      </w:r>
      <w:r w:rsidRPr="006A3BA5">
        <w:rPr>
          <w:rFonts w:eastAsia="Calibri"/>
          <w:sz w:val="16"/>
          <w:szCs w:val="16"/>
          <w:lang w:eastAsia="en-US"/>
        </w:rPr>
        <w:t>Renfrew and WA</w:t>
      </w:r>
      <w:r w:rsidR="00631ED3" w:rsidRPr="006A3BA5">
        <w:rPr>
          <w:rFonts w:eastAsia="Calibri"/>
          <w:sz w:val="16"/>
          <w:szCs w:val="16"/>
          <w:lang w:eastAsia="en-US"/>
        </w:rPr>
        <w:t>I scores are only available at w</w:t>
      </w:r>
      <w:r w:rsidRPr="006A3BA5">
        <w:rPr>
          <w:rFonts w:eastAsia="Calibri"/>
          <w:sz w:val="16"/>
          <w:szCs w:val="16"/>
          <w:lang w:eastAsia="en-US"/>
        </w:rPr>
        <w:t>aves 1</w:t>
      </w:r>
      <w:r w:rsidR="0008315C" w:rsidRPr="006A3BA5">
        <w:rPr>
          <w:rFonts w:eastAsia="Calibri"/>
          <w:sz w:val="16"/>
          <w:szCs w:val="16"/>
          <w:lang w:eastAsia="en-US"/>
        </w:rPr>
        <w:t>–</w:t>
      </w:r>
      <w:r w:rsidRPr="006A3BA5">
        <w:rPr>
          <w:rFonts w:eastAsia="Calibri"/>
          <w:sz w:val="16"/>
          <w:szCs w:val="16"/>
          <w:lang w:eastAsia="en-US"/>
        </w:rPr>
        <w:t>3 for th</w:t>
      </w:r>
      <w:r w:rsidR="00631ED3" w:rsidRPr="006A3BA5">
        <w:rPr>
          <w:rFonts w:eastAsia="Calibri"/>
          <w:sz w:val="16"/>
          <w:szCs w:val="16"/>
          <w:lang w:eastAsia="en-US"/>
        </w:rPr>
        <w:t>e older cohort children and at w</w:t>
      </w:r>
      <w:r w:rsidRPr="006A3BA5">
        <w:rPr>
          <w:rFonts w:eastAsia="Calibri"/>
          <w:sz w:val="16"/>
          <w:szCs w:val="16"/>
          <w:lang w:eastAsia="en-US"/>
        </w:rPr>
        <w:t>aves 4</w:t>
      </w:r>
      <w:r w:rsidR="0008315C" w:rsidRPr="006A3BA5">
        <w:rPr>
          <w:rFonts w:eastAsia="Calibri"/>
          <w:sz w:val="16"/>
          <w:szCs w:val="16"/>
          <w:lang w:eastAsia="en-US"/>
        </w:rPr>
        <w:t>–</w:t>
      </w:r>
      <w:r w:rsidRPr="006A3BA5">
        <w:rPr>
          <w:rFonts w:eastAsia="Calibri"/>
          <w:sz w:val="16"/>
          <w:szCs w:val="16"/>
          <w:lang w:eastAsia="en-US"/>
        </w:rPr>
        <w:t xml:space="preserve">5 for the younger cohort. </w:t>
      </w:r>
    </w:p>
    <w:p w:rsidR="00594C11" w:rsidRPr="006A3BA5" w:rsidRDefault="00EE53CE" w:rsidP="00594C11">
      <w:pPr>
        <w:spacing w:before="0" w:after="0" w:line="276" w:lineRule="auto"/>
        <w:ind w:right="-271"/>
        <w:rPr>
          <w:rFonts w:eastAsia="Calibri"/>
          <w:sz w:val="16"/>
          <w:szCs w:val="16"/>
          <w:lang w:eastAsia="en-US"/>
        </w:rPr>
      </w:pPr>
      <w:proofErr w:type="spellStart"/>
      <w:r w:rsidRPr="006A3BA5">
        <w:rPr>
          <w:rFonts w:eastAsia="Calibri" w:cs="Arial"/>
          <w:sz w:val="16"/>
          <w:szCs w:val="16"/>
          <w:vertAlign w:val="superscript"/>
          <w:lang w:eastAsia="en-US"/>
        </w:rPr>
        <w:t>ǂ</w:t>
      </w:r>
      <w:r w:rsidRPr="006A3BA5">
        <w:rPr>
          <w:rFonts w:eastAsia="Calibri"/>
          <w:sz w:val="16"/>
          <w:szCs w:val="16"/>
          <w:lang w:eastAsia="en-US"/>
        </w:rPr>
        <w:t>Main</w:t>
      </w:r>
      <w:proofErr w:type="spellEnd"/>
      <w:r w:rsidR="00631ED3" w:rsidRPr="006A3BA5">
        <w:rPr>
          <w:rFonts w:eastAsia="Calibri"/>
          <w:sz w:val="16"/>
          <w:szCs w:val="16"/>
          <w:lang w:eastAsia="en-US"/>
        </w:rPr>
        <w:t xml:space="preserve"> source of income was asked at w</w:t>
      </w:r>
      <w:r w:rsidRPr="006A3BA5">
        <w:rPr>
          <w:rFonts w:eastAsia="Calibri"/>
          <w:sz w:val="16"/>
          <w:szCs w:val="16"/>
          <w:lang w:eastAsia="en-US"/>
        </w:rPr>
        <w:t>aves 1 and 2 and all sources of income were asked at other waves. Either way, the categories of wage</w:t>
      </w:r>
      <w:r w:rsidR="001A4DC5" w:rsidRPr="006A3BA5">
        <w:rPr>
          <w:rFonts w:eastAsia="Calibri"/>
          <w:sz w:val="16"/>
          <w:szCs w:val="16"/>
          <w:lang w:eastAsia="en-US"/>
        </w:rPr>
        <w:t>s</w:t>
      </w:r>
      <w:r w:rsidRPr="006A3BA5">
        <w:rPr>
          <w:rFonts w:eastAsia="Calibri"/>
          <w:sz w:val="16"/>
          <w:szCs w:val="16"/>
          <w:lang w:eastAsia="en-US"/>
        </w:rPr>
        <w:t xml:space="preserve">/salary and government benefits </w:t>
      </w:r>
      <w:r w:rsidR="00C84D18" w:rsidRPr="006A3BA5">
        <w:rPr>
          <w:rFonts w:eastAsia="Calibri"/>
          <w:sz w:val="16"/>
          <w:szCs w:val="16"/>
          <w:lang w:eastAsia="en-US"/>
        </w:rPr>
        <w:t>are</w:t>
      </w:r>
      <w:r w:rsidR="00594C11">
        <w:rPr>
          <w:rFonts w:eastAsia="Calibri"/>
          <w:sz w:val="16"/>
          <w:szCs w:val="16"/>
          <w:lang w:eastAsia="en-US"/>
        </w:rPr>
        <w:t xml:space="preserve"> not mutually exclusive.</w:t>
      </w:r>
    </w:p>
    <w:p w:rsidR="00594C11" w:rsidRDefault="00594C11" w:rsidP="009E67B4">
      <w:pPr>
        <w:pStyle w:val="Heading1"/>
        <w:jc w:val="both"/>
        <w:rPr>
          <w:rFonts w:asciiTheme="majorHAnsi" w:hAnsiTheme="majorHAnsi" w:cs="Times New Roman"/>
          <w:b/>
          <w:bCs w:val="0"/>
          <w:color w:val="500778"/>
          <w:kern w:val="0"/>
          <w:sz w:val="22"/>
          <w:szCs w:val="26"/>
        </w:rPr>
      </w:pPr>
    </w:p>
    <w:p w:rsidR="0032758A" w:rsidRPr="0078254A" w:rsidRDefault="0082453C" w:rsidP="009E67B4">
      <w:pPr>
        <w:pStyle w:val="Heading1"/>
        <w:jc w:val="both"/>
        <w:rPr>
          <w:rFonts w:asciiTheme="majorHAnsi" w:hAnsiTheme="majorHAnsi" w:cs="Times New Roman"/>
          <w:b/>
          <w:bCs w:val="0"/>
          <w:color w:val="500778"/>
          <w:kern w:val="0"/>
          <w:sz w:val="22"/>
          <w:szCs w:val="26"/>
        </w:rPr>
      </w:pPr>
      <w:r w:rsidRPr="0078254A">
        <w:rPr>
          <w:rFonts w:asciiTheme="majorHAnsi" w:hAnsiTheme="majorHAnsi" w:cs="Times New Roman"/>
          <w:b/>
          <w:bCs w:val="0"/>
          <w:color w:val="500778"/>
          <w:kern w:val="0"/>
          <w:sz w:val="22"/>
          <w:szCs w:val="26"/>
        </w:rPr>
        <w:t>S</w:t>
      </w:r>
      <w:r w:rsidR="0032758A" w:rsidRPr="0078254A">
        <w:rPr>
          <w:rFonts w:asciiTheme="majorHAnsi" w:hAnsiTheme="majorHAnsi" w:cs="Times New Roman"/>
          <w:b/>
          <w:bCs w:val="0"/>
          <w:color w:val="500778"/>
          <w:kern w:val="0"/>
          <w:sz w:val="22"/>
          <w:szCs w:val="26"/>
        </w:rPr>
        <w:t>ignificant influencing factors of school enrolment</w:t>
      </w:r>
      <w:r w:rsidRPr="0078254A">
        <w:rPr>
          <w:rFonts w:asciiTheme="majorHAnsi" w:hAnsiTheme="majorHAnsi" w:cs="Times New Roman"/>
          <w:b/>
          <w:bCs w:val="0"/>
          <w:color w:val="500778"/>
          <w:kern w:val="0"/>
          <w:sz w:val="22"/>
          <w:szCs w:val="26"/>
        </w:rPr>
        <w:t xml:space="preserve"> of Indigenous children</w:t>
      </w:r>
    </w:p>
    <w:p w:rsidR="00EE53CE" w:rsidRPr="00EE53CE" w:rsidRDefault="00D0262E" w:rsidP="009E67B4">
      <w:pPr>
        <w:spacing w:after="0" w:line="276" w:lineRule="auto"/>
        <w:jc w:val="both"/>
        <w:rPr>
          <w:rFonts w:eastAsia="Calibri"/>
          <w:szCs w:val="22"/>
          <w:lang w:eastAsia="en-US"/>
        </w:rPr>
      </w:pPr>
      <w:r>
        <w:rPr>
          <w:rFonts w:eastAsia="Calibri"/>
          <w:szCs w:val="22"/>
          <w:lang w:eastAsia="en-US"/>
        </w:rPr>
        <w:t xml:space="preserve">Multivariate analysis </w:t>
      </w:r>
      <w:r w:rsidR="00C84D18">
        <w:rPr>
          <w:rFonts w:eastAsia="Calibri"/>
          <w:szCs w:val="22"/>
          <w:lang w:eastAsia="en-US"/>
        </w:rPr>
        <w:t>of</w:t>
      </w:r>
      <w:r w:rsidR="00F36797">
        <w:rPr>
          <w:rFonts w:eastAsia="Calibri"/>
          <w:szCs w:val="22"/>
          <w:lang w:eastAsia="en-US"/>
        </w:rPr>
        <w:t xml:space="preserve"> the school enrolment of children aged 4</w:t>
      </w:r>
      <w:r w:rsidR="0008315C">
        <w:rPr>
          <w:rFonts w:eastAsia="Calibri"/>
          <w:szCs w:val="22"/>
          <w:lang w:eastAsia="en-US"/>
        </w:rPr>
        <w:t>–</w:t>
      </w:r>
      <w:r w:rsidR="00F36797">
        <w:rPr>
          <w:rFonts w:eastAsia="Calibri"/>
          <w:szCs w:val="22"/>
          <w:lang w:eastAsia="en-US"/>
        </w:rPr>
        <w:t>6 years (or 48</w:t>
      </w:r>
      <w:r w:rsidR="0008315C">
        <w:rPr>
          <w:rFonts w:eastAsia="Calibri"/>
          <w:szCs w:val="22"/>
          <w:lang w:eastAsia="en-US"/>
        </w:rPr>
        <w:t>–</w:t>
      </w:r>
      <w:r w:rsidR="00F36797">
        <w:rPr>
          <w:rFonts w:eastAsia="Calibri"/>
          <w:szCs w:val="22"/>
          <w:lang w:eastAsia="en-US"/>
        </w:rPr>
        <w:t xml:space="preserve">83 months) </w:t>
      </w:r>
      <w:r w:rsidR="00C84D18">
        <w:rPr>
          <w:rFonts w:eastAsia="Calibri"/>
          <w:szCs w:val="22"/>
          <w:lang w:eastAsia="en-US"/>
        </w:rPr>
        <w:t>wa</w:t>
      </w:r>
      <w:r>
        <w:rPr>
          <w:rFonts w:eastAsia="Calibri"/>
          <w:szCs w:val="22"/>
          <w:lang w:eastAsia="en-US"/>
        </w:rPr>
        <w:t xml:space="preserve">s conducted to take </w:t>
      </w:r>
      <w:r w:rsidR="00BE6C28">
        <w:rPr>
          <w:rFonts w:eastAsia="Calibri"/>
          <w:szCs w:val="22"/>
          <w:lang w:eastAsia="en-US"/>
        </w:rPr>
        <w:t xml:space="preserve">into consideration </w:t>
      </w:r>
      <w:r>
        <w:rPr>
          <w:rFonts w:eastAsia="Calibri"/>
          <w:szCs w:val="22"/>
          <w:lang w:eastAsia="en-US"/>
        </w:rPr>
        <w:t>multiple (including unobserved) factors</w:t>
      </w:r>
      <w:r w:rsidR="008448D7">
        <w:rPr>
          <w:rStyle w:val="EndnoteReference"/>
          <w:rFonts w:eastAsia="Calibri"/>
          <w:szCs w:val="22"/>
          <w:lang w:eastAsia="en-US"/>
        </w:rPr>
        <w:endnoteReference w:id="8"/>
      </w:r>
      <w:r>
        <w:rPr>
          <w:rFonts w:eastAsia="Calibri"/>
          <w:szCs w:val="22"/>
          <w:lang w:eastAsia="en-US"/>
        </w:rPr>
        <w:t xml:space="preserve">. </w:t>
      </w:r>
      <w:r w:rsidR="00EE53CE" w:rsidRPr="00EE53CE">
        <w:rPr>
          <w:rFonts w:eastAsia="Calibri"/>
          <w:szCs w:val="22"/>
          <w:lang w:eastAsia="en-US"/>
        </w:rPr>
        <w:t xml:space="preserve">Overall, the child characteristics </w:t>
      </w:r>
      <w:r w:rsidR="00D027DB">
        <w:rPr>
          <w:rFonts w:eastAsia="Calibri"/>
          <w:szCs w:val="22"/>
          <w:lang w:eastAsia="en-US"/>
        </w:rPr>
        <w:t xml:space="preserve">(primarily age) </w:t>
      </w:r>
      <w:r w:rsidR="00EE53CE" w:rsidRPr="00EE53CE">
        <w:rPr>
          <w:rFonts w:eastAsia="Calibri"/>
          <w:szCs w:val="22"/>
          <w:lang w:eastAsia="en-US"/>
        </w:rPr>
        <w:t xml:space="preserve">explain greater variation in school enrolment than the characteristics </w:t>
      </w:r>
      <w:r w:rsidR="00B27996">
        <w:rPr>
          <w:rFonts w:eastAsia="Calibri"/>
          <w:szCs w:val="22"/>
          <w:lang w:eastAsia="en-US"/>
        </w:rPr>
        <w:t>of parent, family and location.</w:t>
      </w:r>
    </w:p>
    <w:p w:rsidR="00A503D9" w:rsidRDefault="00A503D9" w:rsidP="009E67B4">
      <w:pPr>
        <w:spacing w:after="0" w:line="276" w:lineRule="auto"/>
        <w:jc w:val="both"/>
        <w:rPr>
          <w:rFonts w:eastAsia="Calibri"/>
          <w:szCs w:val="22"/>
          <w:lang w:eastAsia="en-US"/>
        </w:rPr>
      </w:pPr>
      <w:r>
        <w:rPr>
          <w:rFonts w:eastAsia="Calibri"/>
          <w:szCs w:val="22"/>
          <w:lang w:eastAsia="en-US"/>
        </w:rPr>
        <w:t>S</w:t>
      </w:r>
      <w:r w:rsidR="00EE53CE" w:rsidRPr="00EE53CE">
        <w:rPr>
          <w:rFonts w:eastAsia="Calibri"/>
          <w:szCs w:val="22"/>
          <w:lang w:eastAsia="en-US"/>
        </w:rPr>
        <w:t>chool enrolment</w:t>
      </w:r>
      <w:r>
        <w:rPr>
          <w:rFonts w:eastAsia="Calibri"/>
          <w:szCs w:val="22"/>
          <w:lang w:eastAsia="en-US"/>
        </w:rPr>
        <w:t xml:space="preserve"> increases </w:t>
      </w:r>
      <w:r w:rsidR="00D027DB">
        <w:rPr>
          <w:rFonts w:eastAsia="Calibri"/>
          <w:szCs w:val="22"/>
          <w:lang w:eastAsia="en-US"/>
        </w:rPr>
        <w:t xml:space="preserve">significantly </w:t>
      </w:r>
      <w:r>
        <w:rPr>
          <w:rFonts w:eastAsia="Calibri"/>
          <w:szCs w:val="22"/>
          <w:lang w:eastAsia="en-US"/>
        </w:rPr>
        <w:t>with age</w:t>
      </w:r>
      <w:r w:rsidR="00EE53CE" w:rsidRPr="00EE53CE">
        <w:rPr>
          <w:rFonts w:eastAsia="Calibri"/>
          <w:szCs w:val="22"/>
          <w:lang w:eastAsia="en-US"/>
        </w:rPr>
        <w:t xml:space="preserve">. Generally, </w:t>
      </w:r>
      <w:r w:rsidR="000C22CB">
        <w:rPr>
          <w:rFonts w:eastAsia="Calibri"/>
          <w:szCs w:val="22"/>
          <w:lang w:eastAsia="en-US"/>
        </w:rPr>
        <w:t>holding other</w:t>
      </w:r>
      <w:r w:rsidR="00EE53CE" w:rsidRPr="00EE53CE">
        <w:rPr>
          <w:rFonts w:eastAsia="Calibri"/>
          <w:szCs w:val="22"/>
          <w:lang w:eastAsia="en-US"/>
        </w:rPr>
        <w:t xml:space="preserve"> characteristics </w:t>
      </w:r>
      <w:r w:rsidR="000C22CB">
        <w:rPr>
          <w:rFonts w:eastAsia="Calibri"/>
          <w:szCs w:val="22"/>
          <w:lang w:eastAsia="en-US"/>
        </w:rPr>
        <w:t xml:space="preserve">constant, </w:t>
      </w:r>
      <w:r w:rsidR="00EE53CE" w:rsidRPr="00EE53CE">
        <w:rPr>
          <w:rFonts w:eastAsia="Calibri"/>
          <w:szCs w:val="22"/>
          <w:lang w:eastAsia="en-US"/>
        </w:rPr>
        <w:t xml:space="preserve">one month </w:t>
      </w:r>
      <w:r w:rsidR="00D027DB">
        <w:rPr>
          <w:rFonts w:eastAsia="Calibri"/>
          <w:szCs w:val="22"/>
          <w:lang w:eastAsia="en-US"/>
        </w:rPr>
        <w:t>of additional age</w:t>
      </w:r>
      <w:r w:rsidR="00EE53CE" w:rsidRPr="00EE53CE">
        <w:rPr>
          <w:rFonts w:eastAsia="Calibri"/>
          <w:szCs w:val="22"/>
          <w:lang w:eastAsia="en-US"/>
        </w:rPr>
        <w:t xml:space="preserve"> increases the </w:t>
      </w:r>
      <w:r w:rsidR="00C84D18">
        <w:rPr>
          <w:rFonts w:eastAsia="Calibri"/>
          <w:szCs w:val="22"/>
          <w:lang w:eastAsia="en-US"/>
        </w:rPr>
        <w:t>likelihood</w:t>
      </w:r>
      <w:r w:rsidR="00EE53CE" w:rsidRPr="00EE53CE">
        <w:rPr>
          <w:rFonts w:eastAsia="Calibri"/>
          <w:szCs w:val="22"/>
          <w:lang w:eastAsia="en-US"/>
        </w:rPr>
        <w:t xml:space="preserve"> of school enrolment by 12</w:t>
      </w:r>
      <w:r w:rsidR="0008315C">
        <w:rPr>
          <w:rFonts w:eastAsia="Calibri"/>
          <w:szCs w:val="22"/>
          <w:lang w:eastAsia="en-US"/>
        </w:rPr>
        <w:t>–</w:t>
      </w:r>
      <w:r w:rsidR="00EE53CE" w:rsidRPr="00EE53CE">
        <w:rPr>
          <w:rFonts w:eastAsia="Calibri"/>
          <w:szCs w:val="22"/>
          <w:lang w:eastAsia="en-US"/>
        </w:rPr>
        <w:t xml:space="preserve">18 per cent. </w:t>
      </w:r>
    </w:p>
    <w:p w:rsidR="00EE53CE" w:rsidRPr="00EE53CE" w:rsidRDefault="00A503D9" w:rsidP="009E67B4">
      <w:pPr>
        <w:spacing w:after="0" w:line="276" w:lineRule="auto"/>
        <w:jc w:val="both"/>
        <w:rPr>
          <w:rFonts w:eastAsia="Calibri"/>
          <w:szCs w:val="22"/>
          <w:lang w:eastAsia="en-US"/>
        </w:rPr>
      </w:pPr>
      <w:r>
        <w:rPr>
          <w:rFonts w:eastAsia="Calibri"/>
          <w:szCs w:val="22"/>
          <w:lang w:eastAsia="en-US"/>
        </w:rPr>
        <w:t>T</w:t>
      </w:r>
      <w:r w:rsidR="00EE53CE" w:rsidRPr="00EE53CE">
        <w:rPr>
          <w:rFonts w:eastAsia="Calibri"/>
          <w:szCs w:val="22"/>
          <w:lang w:eastAsia="en-US"/>
        </w:rPr>
        <w:t>he older cohort children</w:t>
      </w:r>
      <w:r w:rsidR="00C84D18">
        <w:rPr>
          <w:rFonts w:eastAsia="Calibri"/>
          <w:szCs w:val="22"/>
          <w:lang w:eastAsia="en-US"/>
        </w:rPr>
        <w:t>,</w:t>
      </w:r>
      <w:r w:rsidR="00EE53CE" w:rsidRPr="00EE53CE">
        <w:rPr>
          <w:rFonts w:eastAsia="Calibri"/>
          <w:szCs w:val="22"/>
          <w:lang w:eastAsia="en-US"/>
        </w:rPr>
        <w:t xml:space="preserve"> on average</w:t>
      </w:r>
      <w:r w:rsidR="00C84D18">
        <w:rPr>
          <w:rFonts w:eastAsia="Calibri"/>
          <w:szCs w:val="22"/>
          <w:lang w:eastAsia="en-US"/>
        </w:rPr>
        <w:t>,</w:t>
      </w:r>
      <w:r w:rsidR="00EE53CE" w:rsidRPr="00EE53CE">
        <w:rPr>
          <w:rFonts w:eastAsia="Calibri"/>
          <w:szCs w:val="22"/>
          <w:lang w:eastAsia="en-US"/>
        </w:rPr>
        <w:t xml:space="preserve"> had a lower probability of enrolment than younger cohort</w:t>
      </w:r>
      <w:r w:rsidR="00C84D18">
        <w:rPr>
          <w:rFonts w:eastAsia="Calibri"/>
          <w:szCs w:val="22"/>
          <w:lang w:eastAsia="en-US"/>
        </w:rPr>
        <w:t xml:space="preserve"> children of</w:t>
      </w:r>
      <w:r w:rsidR="00A22DF8">
        <w:rPr>
          <w:rFonts w:eastAsia="Calibri"/>
          <w:szCs w:val="22"/>
          <w:lang w:eastAsia="en-US"/>
        </w:rPr>
        <w:t xml:space="preserve"> the same age</w:t>
      </w:r>
      <w:r w:rsidR="00EE53CE" w:rsidRPr="00EE53CE">
        <w:rPr>
          <w:rFonts w:eastAsia="Calibri"/>
          <w:szCs w:val="22"/>
          <w:lang w:eastAsia="en-US"/>
        </w:rPr>
        <w:t>, but the</w:t>
      </w:r>
      <w:r w:rsidR="00D027DB">
        <w:rPr>
          <w:rFonts w:eastAsia="Calibri"/>
          <w:szCs w:val="22"/>
          <w:lang w:eastAsia="en-US"/>
        </w:rPr>
        <w:t xml:space="preserve"> difference became smaller</w:t>
      </w:r>
      <w:r w:rsidR="00EE53CE" w:rsidRPr="00EE53CE">
        <w:rPr>
          <w:rFonts w:eastAsia="Calibri"/>
          <w:szCs w:val="22"/>
          <w:lang w:eastAsia="en-US"/>
        </w:rPr>
        <w:t xml:space="preserve"> </w:t>
      </w:r>
      <w:r w:rsidR="00C84D18">
        <w:rPr>
          <w:rFonts w:eastAsia="Calibri"/>
          <w:szCs w:val="22"/>
          <w:lang w:eastAsia="en-US"/>
        </w:rPr>
        <w:t>as child age increased</w:t>
      </w:r>
      <w:r w:rsidR="00EE53CE" w:rsidRPr="00EE53CE">
        <w:rPr>
          <w:rFonts w:eastAsia="Calibri"/>
          <w:szCs w:val="22"/>
          <w:lang w:eastAsia="en-US"/>
        </w:rPr>
        <w:t xml:space="preserve">. </w:t>
      </w:r>
    </w:p>
    <w:p w:rsidR="00EE53CE" w:rsidRDefault="00EE53CE" w:rsidP="009E67B4">
      <w:pPr>
        <w:jc w:val="both"/>
        <w:rPr>
          <w:rFonts w:eastAsia="Calibri"/>
          <w:szCs w:val="22"/>
          <w:lang w:eastAsia="en-US"/>
        </w:rPr>
      </w:pPr>
      <w:r w:rsidRPr="00EE53CE">
        <w:rPr>
          <w:rFonts w:eastAsia="Calibri"/>
          <w:szCs w:val="22"/>
          <w:lang w:eastAsia="en-US"/>
        </w:rPr>
        <w:t xml:space="preserve">About 87 per cent of the </w:t>
      </w:r>
      <w:r w:rsidRPr="00EE53CE">
        <w:rPr>
          <w:rFonts w:eastAsia="Calibri"/>
          <w:i/>
          <w:szCs w:val="22"/>
          <w:lang w:eastAsia="en-US"/>
        </w:rPr>
        <w:t>Footprints in Time</w:t>
      </w:r>
      <w:r w:rsidRPr="00EE53CE">
        <w:rPr>
          <w:rFonts w:eastAsia="Calibri"/>
          <w:szCs w:val="22"/>
          <w:lang w:eastAsia="en-US"/>
        </w:rPr>
        <w:t xml:space="preserve"> children are Aboriginal, slightly less than </w:t>
      </w:r>
      <w:r w:rsidR="00C84D18">
        <w:rPr>
          <w:rFonts w:eastAsia="Calibri"/>
          <w:szCs w:val="22"/>
          <w:lang w:eastAsia="en-US"/>
        </w:rPr>
        <w:t>7</w:t>
      </w:r>
      <w:r w:rsidRPr="00EE53CE">
        <w:rPr>
          <w:rFonts w:eastAsia="Calibri"/>
          <w:szCs w:val="22"/>
          <w:lang w:eastAsia="en-US"/>
        </w:rPr>
        <w:t xml:space="preserve"> per cent are Torres Strait Islander, and the remaining </w:t>
      </w:r>
      <w:r w:rsidR="00C84D18">
        <w:rPr>
          <w:rFonts w:eastAsia="Calibri"/>
          <w:szCs w:val="22"/>
          <w:lang w:eastAsia="en-US"/>
        </w:rPr>
        <w:t>6</w:t>
      </w:r>
      <w:r w:rsidRPr="00EE53CE">
        <w:rPr>
          <w:rFonts w:eastAsia="Calibri"/>
          <w:szCs w:val="22"/>
          <w:lang w:eastAsia="en-US"/>
        </w:rPr>
        <w:t xml:space="preserve"> per cent are both Aboriginal and Torres Strait Islander. The Aboriginal children ha</w:t>
      </w:r>
      <w:r w:rsidR="00AF79FF">
        <w:rPr>
          <w:rFonts w:eastAsia="Calibri"/>
          <w:szCs w:val="22"/>
          <w:lang w:eastAsia="en-US"/>
        </w:rPr>
        <w:t>d</w:t>
      </w:r>
      <w:r w:rsidRPr="00EE53CE">
        <w:rPr>
          <w:rFonts w:eastAsia="Calibri"/>
          <w:szCs w:val="22"/>
          <w:lang w:eastAsia="en-US"/>
        </w:rPr>
        <w:t xml:space="preserve"> a higher enrolment rate than Torres Strait Islander children with similar characteristics, especially compared to those who are both Aboriginal and Torres Strait Islander.</w:t>
      </w:r>
    </w:p>
    <w:p w:rsidR="00B04744" w:rsidRPr="00B04744" w:rsidRDefault="002F03B8" w:rsidP="009E67B4">
      <w:pPr>
        <w:spacing w:after="0" w:line="276" w:lineRule="auto"/>
        <w:jc w:val="both"/>
        <w:rPr>
          <w:rFonts w:eastAsia="Calibri"/>
          <w:szCs w:val="22"/>
          <w:lang w:eastAsia="en-US"/>
        </w:rPr>
      </w:pPr>
      <w:r>
        <w:rPr>
          <w:rFonts w:eastAsia="Calibri"/>
          <w:szCs w:val="22"/>
          <w:lang w:eastAsia="en-US"/>
        </w:rPr>
        <w:t>Low</w:t>
      </w:r>
      <w:r w:rsidR="005C1916">
        <w:rPr>
          <w:rFonts w:eastAsia="Calibri"/>
          <w:szCs w:val="22"/>
          <w:lang w:eastAsia="en-US"/>
        </w:rPr>
        <w:t xml:space="preserve"> income (i.e.</w:t>
      </w:r>
      <w:r w:rsidR="00B04744" w:rsidRPr="00B04744">
        <w:rPr>
          <w:rFonts w:eastAsia="Calibri"/>
          <w:szCs w:val="22"/>
          <w:lang w:eastAsia="en-US"/>
        </w:rPr>
        <w:t xml:space="preserve"> family income less than $250 per week) </w:t>
      </w:r>
      <w:r w:rsidR="00AF79FF">
        <w:rPr>
          <w:rFonts w:eastAsia="Calibri"/>
          <w:szCs w:val="22"/>
          <w:lang w:eastAsia="en-US"/>
        </w:rPr>
        <w:t>and h</w:t>
      </w:r>
      <w:r w:rsidR="00AF79FF" w:rsidRPr="00B04744">
        <w:rPr>
          <w:rFonts w:eastAsia="Calibri"/>
          <w:szCs w:val="22"/>
          <w:lang w:eastAsia="en-US"/>
        </w:rPr>
        <w:t xml:space="preserve">aving other </w:t>
      </w:r>
      <w:proofErr w:type="gramStart"/>
      <w:r w:rsidR="00AF79FF" w:rsidRPr="00B04744">
        <w:rPr>
          <w:rFonts w:eastAsia="Calibri"/>
          <w:szCs w:val="22"/>
          <w:lang w:eastAsia="en-US"/>
        </w:rPr>
        <w:t>child</w:t>
      </w:r>
      <w:r>
        <w:rPr>
          <w:rFonts w:eastAsia="Calibri"/>
          <w:szCs w:val="22"/>
          <w:lang w:eastAsia="en-US"/>
        </w:rPr>
        <w:t>(</w:t>
      </w:r>
      <w:proofErr w:type="spellStart"/>
      <w:proofErr w:type="gramEnd"/>
      <w:r w:rsidR="00AF79FF" w:rsidRPr="00B04744">
        <w:rPr>
          <w:rFonts w:eastAsia="Calibri"/>
          <w:szCs w:val="22"/>
          <w:lang w:eastAsia="en-US"/>
        </w:rPr>
        <w:t>ren</w:t>
      </w:r>
      <w:proofErr w:type="spellEnd"/>
      <w:r>
        <w:rPr>
          <w:rFonts w:eastAsia="Calibri"/>
          <w:szCs w:val="22"/>
          <w:lang w:eastAsia="en-US"/>
        </w:rPr>
        <w:t>)</w:t>
      </w:r>
      <w:r w:rsidR="00AF79FF" w:rsidRPr="00B04744">
        <w:rPr>
          <w:rFonts w:eastAsia="Calibri"/>
          <w:szCs w:val="22"/>
          <w:lang w:eastAsia="en-US"/>
        </w:rPr>
        <w:t xml:space="preserve"> in the household </w:t>
      </w:r>
      <w:r w:rsidR="00B04744" w:rsidRPr="00B04744">
        <w:rPr>
          <w:rFonts w:eastAsia="Calibri"/>
          <w:szCs w:val="22"/>
          <w:lang w:eastAsia="en-US"/>
        </w:rPr>
        <w:t xml:space="preserve">are both associated with a lower </w:t>
      </w:r>
      <w:r w:rsidR="00AF79FF">
        <w:rPr>
          <w:rFonts w:eastAsia="Calibri"/>
          <w:szCs w:val="22"/>
          <w:lang w:eastAsia="en-US"/>
        </w:rPr>
        <w:t>probability of school enrolment, and the</w:t>
      </w:r>
      <w:r>
        <w:rPr>
          <w:rFonts w:eastAsia="Calibri"/>
          <w:szCs w:val="22"/>
          <w:lang w:eastAsia="en-US"/>
        </w:rPr>
        <w:t xml:space="preserve"> probability is even lower if a low income household </w:t>
      </w:r>
      <w:r w:rsidR="00BB7611">
        <w:rPr>
          <w:rFonts w:eastAsia="Calibri"/>
          <w:szCs w:val="22"/>
          <w:lang w:eastAsia="en-US"/>
        </w:rPr>
        <w:t xml:space="preserve">also </w:t>
      </w:r>
      <w:r>
        <w:rPr>
          <w:rFonts w:eastAsia="Calibri"/>
          <w:szCs w:val="22"/>
          <w:lang w:eastAsia="en-US"/>
        </w:rPr>
        <w:t xml:space="preserve">has </w:t>
      </w:r>
      <w:r w:rsidR="00BB7611">
        <w:rPr>
          <w:rFonts w:eastAsia="Calibri"/>
          <w:szCs w:val="22"/>
          <w:lang w:eastAsia="en-US"/>
        </w:rPr>
        <w:t xml:space="preserve">one or more </w:t>
      </w:r>
      <w:r>
        <w:rPr>
          <w:rFonts w:eastAsia="Calibri"/>
          <w:szCs w:val="22"/>
          <w:lang w:eastAsia="en-US"/>
        </w:rPr>
        <w:t>additional children</w:t>
      </w:r>
      <w:r w:rsidR="00B04744" w:rsidRPr="00B04744">
        <w:rPr>
          <w:rFonts w:eastAsia="Calibri"/>
          <w:szCs w:val="22"/>
          <w:lang w:eastAsia="en-US"/>
        </w:rPr>
        <w:t xml:space="preserve">. </w:t>
      </w:r>
      <w:r w:rsidR="00133F98">
        <w:rPr>
          <w:rFonts w:eastAsia="Calibri"/>
          <w:szCs w:val="22"/>
          <w:lang w:eastAsia="en-US"/>
        </w:rPr>
        <w:t xml:space="preserve">This is consistent with the parental report that high cost was a main reason for non-enrolment (see Table 1). </w:t>
      </w:r>
      <w:r w:rsidR="00B04744" w:rsidRPr="00B04744">
        <w:rPr>
          <w:rFonts w:eastAsia="Calibri"/>
          <w:szCs w:val="22"/>
          <w:lang w:eastAsia="en-US"/>
        </w:rPr>
        <w:t xml:space="preserve"> </w:t>
      </w:r>
    </w:p>
    <w:p w:rsidR="00B04744" w:rsidRPr="00B04744" w:rsidRDefault="00D0322E" w:rsidP="009E67B4">
      <w:pPr>
        <w:spacing w:after="0" w:line="276" w:lineRule="auto"/>
        <w:jc w:val="both"/>
        <w:rPr>
          <w:rFonts w:eastAsia="Calibri"/>
          <w:szCs w:val="22"/>
          <w:lang w:eastAsia="en-US"/>
        </w:rPr>
      </w:pPr>
      <w:r>
        <w:rPr>
          <w:rFonts w:eastAsia="Calibri"/>
          <w:szCs w:val="22"/>
          <w:lang w:eastAsia="en-US"/>
        </w:rPr>
        <w:t>A lower level of</w:t>
      </w:r>
      <w:r w:rsidR="00B04744" w:rsidRPr="00B04744">
        <w:rPr>
          <w:rFonts w:eastAsia="Calibri"/>
          <w:szCs w:val="22"/>
          <w:lang w:eastAsia="en-US"/>
        </w:rPr>
        <w:t xml:space="preserve"> education (i.e. having Year 11 or below education) </w:t>
      </w:r>
      <w:r w:rsidR="00BB7611">
        <w:rPr>
          <w:rFonts w:eastAsia="Calibri"/>
          <w:szCs w:val="22"/>
          <w:lang w:eastAsia="en-US"/>
        </w:rPr>
        <w:t xml:space="preserve">on the part </w:t>
      </w:r>
      <w:r w:rsidR="00B04744" w:rsidRPr="00B04744">
        <w:rPr>
          <w:rFonts w:eastAsia="Calibri"/>
          <w:szCs w:val="22"/>
          <w:lang w:eastAsia="en-US"/>
        </w:rPr>
        <w:t xml:space="preserve">of the primary carer is associated with a significantly lower likelihood of school enrolment, </w:t>
      </w:r>
      <w:r w:rsidR="00BE6C28">
        <w:rPr>
          <w:rFonts w:eastAsia="Calibri"/>
          <w:szCs w:val="22"/>
          <w:lang w:eastAsia="en-US"/>
        </w:rPr>
        <w:t>a</w:t>
      </w:r>
      <w:r w:rsidR="00BB7611">
        <w:rPr>
          <w:rFonts w:eastAsia="Calibri"/>
          <w:szCs w:val="22"/>
          <w:lang w:eastAsia="en-US"/>
        </w:rPr>
        <w:t>s is the</w:t>
      </w:r>
      <w:r w:rsidR="00B04744" w:rsidRPr="00B04744">
        <w:rPr>
          <w:rFonts w:eastAsia="Calibri"/>
          <w:szCs w:val="22"/>
          <w:lang w:eastAsia="en-US"/>
        </w:rPr>
        <w:t xml:space="preserve"> receipt of government benefits. </w:t>
      </w:r>
      <w:r w:rsidR="00BB7611">
        <w:rPr>
          <w:rFonts w:eastAsia="Calibri"/>
          <w:szCs w:val="22"/>
          <w:lang w:eastAsia="en-US"/>
        </w:rPr>
        <w:t>By</w:t>
      </w:r>
      <w:r w:rsidR="00B04744" w:rsidRPr="00B04744">
        <w:rPr>
          <w:rFonts w:eastAsia="Calibri"/>
          <w:szCs w:val="22"/>
          <w:lang w:eastAsia="en-US"/>
        </w:rPr>
        <w:t xml:space="preserve"> contrast, parental employment predicts a higher enrolment. </w:t>
      </w:r>
    </w:p>
    <w:p w:rsidR="002750CE" w:rsidRDefault="00D0322E" w:rsidP="009E67B4">
      <w:pPr>
        <w:spacing w:after="0" w:line="276" w:lineRule="auto"/>
        <w:jc w:val="both"/>
        <w:rPr>
          <w:rFonts w:eastAsia="Calibri"/>
          <w:szCs w:val="22"/>
          <w:lang w:eastAsia="en-US"/>
        </w:rPr>
      </w:pPr>
      <w:r>
        <w:rPr>
          <w:rFonts w:eastAsia="Calibri"/>
          <w:szCs w:val="22"/>
          <w:lang w:eastAsia="en-US"/>
        </w:rPr>
        <w:t>T</w:t>
      </w:r>
      <w:r w:rsidR="00B04744" w:rsidRPr="00B04744">
        <w:rPr>
          <w:rFonts w:eastAsia="Calibri"/>
          <w:szCs w:val="22"/>
          <w:lang w:eastAsia="en-US"/>
        </w:rPr>
        <w:t xml:space="preserve">he odds of enrolment are </w:t>
      </w:r>
      <w:r w:rsidR="00803774">
        <w:rPr>
          <w:rFonts w:eastAsia="Calibri"/>
          <w:szCs w:val="22"/>
          <w:lang w:eastAsia="en-US"/>
        </w:rPr>
        <w:t xml:space="preserve">estimated to be </w:t>
      </w:r>
      <w:r w:rsidR="00B04744" w:rsidRPr="00B04744">
        <w:rPr>
          <w:rFonts w:eastAsia="Calibri"/>
          <w:szCs w:val="22"/>
          <w:lang w:eastAsia="en-US"/>
        </w:rPr>
        <w:t xml:space="preserve">three to four times </w:t>
      </w:r>
      <w:r w:rsidR="00BB7611">
        <w:rPr>
          <w:rFonts w:eastAsia="Calibri"/>
          <w:szCs w:val="22"/>
          <w:lang w:eastAsia="en-US"/>
        </w:rPr>
        <w:t>higher</w:t>
      </w:r>
      <w:r w:rsidR="00B04744" w:rsidRPr="00B04744">
        <w:rPr>
          <w:rFonts w:eastAsia="Calibri"/>
          <w:szCs w:val="22"/>
          <w:lang w:eastAsia="en-US"/>
        </w:rPr>
        <w:t xml:space="preserve"> if the primary carer is affected by income management. One objective of the income management policy is to improve school enrolment and attendance. </w:t>
      </w:r>
    </w:p>
    <w:p w:rsidR="00B04744" w:rsidRPr="00B04744" w:rsidRDefault="00F36797" w:rsidP="009E67B4">
      <w:pPr>
        <w:spacing w:after="0" w:line="276" w:lineRule="auto"/>
        <w:jc w:val="both"/>
        <w:rPr>
          <w:rFonts w:eastAsia="Calibri"/>
          <w:szCs w:val="22"/>
          <w:lang w:eastAsia="en-US"/>
        </w:rPr>
      </w:pPr>
      <w:r>
        <w:rPr>
          <w:rFonts w:eastAsia="Calibri"/>
          <w:szCs w:val="22"/>
          <w:lang w:eastAsia="en-US"/>
        </w:rPr>
        <w:t>As with</w:t>
      </w:r>
      <w:r w:rsidR="00FC7877">
        <w:rPr>
          <w:rFonts w:eastAsia="Calibri"/>
          <w:szCs w:val="22"/>
          <w:lang w:eastAsia="en-US"/>
        </w:rPr>
        <w:t xml:space="preserve"> the descriptive analysis reported above, the multivariate analysis finds a significantly positive association between school enrolment and serious injury</w:t>
      </w:r>
      <w:r w:rsidR="00B04744" w:rsidRPr="00B04744">
        <w:rPr>
          <w:rFonts w:eastAsia="Calibri"/>
          <w:szCs w:val="22"/>
          <w:lang w:eastAsia="en-US"/>
        </w:rPr>
        <w:t xml:space="preserve"> or sick</w:t>
      </w:r>
      <w:r w:rsidR="00FC7877">
        <w:rPr>
          <w:rFonts w:eastAsia="Calibri"/>
          <w:szCs w:val="22"/>
          <w:lang w:eastAsia="en-US"/>
        </w:rPr>
        <w:t xml:space="preserve">ness of a </w:t>
      </w:r>
      <w:r w:rsidR="00FC7877" w:rsidRPr="00B04744">
        <w:rPr>
          <w:rFonts w:eastAsia="Calibri"/>
          <w:szCs w:val="22"/>
          <w:lang w:eastAsia="en-US"/>
        </w:rPr>
        <w:t>fami</w:t>
      </w:r>
      <w:r w:rsidR="00FC7877">
        <w:rPr>
          <w:rFonts w:eastAsia="Calibri"/>
          <w:szCs w:val="22"/>
          <w:lang w:eastAsia="en-US"/>
        </w:rPr>
        <w:t>ly member</w:t>
      </w:r>
      <w:r w:rsidR="00B04744" w:rsidRPr="00B04744">
        <w:rPr>
          <w:rFonts w:eastAsia="Calibri"/>
          <w:szCs w:val="22"/>
          <w:lang w:eastAsia="en-US"/>
        </w:rPr>
        <w:t xml:space="preserve"> in the las</w:t>
      </w:r>
      <w:r w:rsidR="00FC7877">
        <w:rPr>
          <w:rFonts w:eastAsia="Calibri"/>
          <w:szCs w:val="22"/>
          <w:lang w:eastAsia="en-US"/>
        </w:rPr>
        <w:t>t year</w:t>
      </w:r>
      <w:r w:rsidR="00B04744" w:rsidRPr="00B04744">
        <w:rPr>
          <w:rFonts w:eastAsia="Calibri"/>
          <w:szCs w:val="22"/>
          <w:lang w:eastAsia="en-US"/>
        </w:rPr>
        <w:t xml:space="preserve">. Informal care available at home may be negatively affected by the injury or sickness, which in turn may </w:t>
      </w:r>
      <w:r w:rsidR="002750CE">
        <w:rPr>
          <w:rFonts w:eastAsia="Calibri"/>
          <w:szCs w:val="22"/>
          <w:lang w:eastAsia="en-US"/>
        </w:rPr>
        <w:t>encourage</w:t>
      </w:r>
      <w:r w:rsidR="00B04744" w:rsidRPr="00B04744">
        <w:rPr>
          <w:rFonts w:eastAsia="Calibri"/>
          <w:szCs w:val="22"/>
          <w:lang w:eastAsia="en-US"/>
        </w:rPr>
        <w:t xml:space="preserve"> the parent enrolling the child in school. </w:t>
      </w:r>
    </w:p>
    <w:p w:rsidR="00790257" w:rsidRDefault="00A107BD" w:rsidP="009E67B4">
      <w:pPr>
        <w:spacing w:after="0" w:line="276" w:lineRule="auto"/>
        <w:jc w:val="both"/>
        <w:rPr>
          <w:rFonts w:eastAsia="Calibri"/>
          <w:szCs w:val="22"/>
          <w:lang w:eastAsia="en-US"/>
        </w:rPr>
      </w:pPr>
      <w:r>
        <w:rPr>
          <w:rFonts w:eastAsia="Calibri"/>
          <w:szCs w:val="22"/>
          <w:lang w:eastAsia="en-US"/>
        </w:rPr>
        <w:t xml:space="preserve">Location also matters for school enrolment. </w:t>
      </w:r>
      <w:r w:rsidR="00B04744" w:rsidRPr="00B04744">
        <w:rPr>
          <w:rFonts w:eastAsia="Calibri"/>
          <w:szCs w:val="22"/>
          <w:lang w:eastAsia="en-US"/>
        </w:rPr>
        <w:t>Level of Relative Isolation (LORI) is a remoteness classification indicating the relative distance from population centres of various sizes, originally designed for the Western Australian Aboriginal Child Health Survey</w:t>
      </w:r>
      <w:r w:rsidR="00BB7611">
        <w:rPr>
          <w:rFonts w:eastAsia="Calibri"/>
          <w:szCs w:val="22"/>
          <w:lang w:eastAsia="en-US"/>
        </w:rPr>
        <w:t>.</w:t>
      </w:r>
      <w:r w:rsidR="009C2F65">
        <w:rPr>
          <w:rStyle w:val="EndnoteReference"/>
          <w:rFonts w:eastAsia="Calibri"/>
          <w:szCs w:val="22"/>
          <w:lang w:eastAsia="en-US"/>
        </w:rPr>
        <w:endnoteReference w:id="9"/>
      </w:r>
      <w:r w:rsidR="00B04744" w:rsidRPr="00B04744">
        <w:rPr>
          <w:rFonts w:eastAsia="Calibri"/>
          <w:szCs w:val="22"/>
          <w:lang w:eastAsia="en-US"/>
        </w:rPr>
        <w:t xml:space="preserve"> </w:t>
      </w:r>
    </w:p>
    <w:p w:rsidR="00B04744" w:rsidRPr="00B04744" w:rsidRDefault="00631ED3" w:rsidP="009E67B4">
      <w:pPr>
        <w:spacing w:after="0" w:line="276" w:lineRule="auto"/>
        <w:jc w:val="both"/>
        <w:rPr>
          <w:rFonts w:eastAsia="Calibri"/>
          <w:szCs w:val="22"/>
          <w:lang w:eastAsia="en-US"/>
        </w:rPr>
      </w:pPr>
      <w:r>
        <w:rPr>
          <w:rFonts w:eastAsia="Calibri"/>
          <w:szCs w:val="22"/>
          <w:lang w:eastAsia="en-US"/>
        </w:rPr>
        <w:lastRenderedPageBreak/>
        <w:t>At the first interview (</w:t>
      </w:r>
      <w:r w:rsidR="00702644">
        <w:rPr>
          <w:rFonts w:eastAsia="Calibri"/>
          <w:szCs w:val="22"/>
          <w:lang w:eastAsia="en-US"/>
        </w:rPr>
        <w:t xml:space="preserve">that is </w:t>
      </w:r>
      <w:r>
        <w:rPr>
          <w:rFonts w:eastAsia="Calibri"/>
          <w:szCs w:val="22"/>
          <w:lang w:eastAsia="en-US"/>
        </w:rPr>
        <w:t>w</w:t>
      </w:r>
      <w:r w:rsidR="00B04744" w:rsidRPr="00B04744">
        <w:rPr>
          <w:rFonts w:eastAsia="Calibri"/>
          <w:szCs w:val="22"/>
          <w:lang w:eastAsia="en-US"/>
        </w:rPr>
        <w:t xml:space="preserve">ave 1 </w:t>
      </w:r>
      <w:r w:rsidR="00702644">
        <w:rPr>
          <w:rFonts w:eastAsia="Calibri"/>
          <w:szCs w:val="22"/>
          <w:lang w:eastAsia="en-US"/>
        </w:rPr>
        <w:t xml:space="preserve">for most children </w:t>
      </w:r>
      <w:r w:rsidR="00B04744" w:rsidRPr="00B04744">
        <w:rPr>
          <w:rFonts w:eastAsia="Calibri"/>
          <w:szCs w:val="22"/>
          <w:lang w:eastAsia="en-US"/>
        </w:rPr>
        <w:t xml:space="preserve">and </w:t>
      </w:r>
      <w:r>
        <w:rPr>
          <w:rFonts w:eastAsia="Calibri"/>
          <w:szCs w:val="22"/>
          <w:lang w:eastAsia="en-US"/>
        </w:rPr>
        <w:t>w</w:t>
      </w:r>
      <w:r w:rsidR="00B04744" w:rsidRPr="00B04744">
        <w:rPr>
          <w:rFonts w:eastAsia="Calibri"/>
          <w:szCs w:val="22"/>
          <w:lang w:eastAsia="en-US"/>
        </w:rPr>
        <w:t xml:space="preserve">ave 2 for a few late entrants), about a quarter of the </w:t>
      </w:r>
      <w:r w:rsidR="00B04744" w:rsidRPr="00B04744">
        <w:rPr>
          <w:rFonts w:eastAsia="Calibri"/>
          <w:i/>
          <w:szCs w:val="22"/>
          <w:lang w:eastAsia="en-US"/>
        </w:rPr>
        <w:t>Footprints in Time</w:t>
      </w:r>
      <w:r w:rsidR="00B04744" w:rsidRPr="00B04744">
        <w:rPr>
          <w:rFonts w:eastAsia="Calibri"/>
          <w:szCs w:val="22"/>
          <w:lang w:eastAsia="en-US"/>
        </w:rPr>
        <w:t xml:space="preserve"> children were living in urban areas, about half in areas of low isolation, 16 per cent living of moderate isolation, and 11 per cent in areas of high/extreme isolation. </w:t>
      </w:r>
    </w:p>
    <w:p w:rsidR="00594C11" w:rsidRPr="007664DE" w:rsidRDefault="00F5738B" w:rsidP="009E67B4">
      <w:pPr>
        <w:spacing w:after="0" w:line="276" w:lineRule="auto"/>
        <w:jc w:val="both"/>
        <w:rPr>
          <w:rFonts w:eastAsia="Calibri"/>
          <w:szCs w:val="22"/>
          <w:lang w:eastAsia="en-US"/>
        </w:rPr>
      </w:pPr>
      <w:r>
        <w:rPr>
          <w:rFonts w:eastAsia="Calibri"/>
          <w:szCs w:val="22"/>
          <w:lang w:eastAsia="en-US"/>
        </w:rPr>
        <w:t>C</w:t>
      </w:r>
      <w:r w:rsidR="00B04744" w:rsidRPr="00B04744">
        <w:rPr>
          <w:rFonts w:eastAsia="Calibri"/>
          <w:szCs w:val="22"/>
          <w:lang w:eastAsia="en-US"/>
        </w:rPr>
        <w:t xml:space="preserve">hildren living in areas of low isolation (the largest category in the sample) had a significantly lower likelihood of school enrolment than those living in </w:t>
      </w:r>
      <w:r w:rsidR="001C5303">
        <w:rPr>
          <w:rFonts w:eastAsia="Calibri"/>
          <w:szCs w:val="22"/>
          <w:lang w:eastAsia="en-US"/>
        </w:rPr>
        <w:t>other</w:t>
      </w:r>
      <w:r w:rsidR="00B04744" w:rsidRPr="00B04744">
        <w:rPr>
          <w:rFonts w:eastAsia="Calibri"/>
          <w:szCs w:val="22"/>
          <w:lang w:eastAsia="en-US"/>
        </w:rPr>
        <w:t xml:space="preserve"> areas</w:t>
      </w:r>
      <w:r w:rsidR="001C5303">
        <w:rPr>
          <w:rFonts w:eastAsia="Calibri"/>
          <w:szCs w:val="22"/>
          <w:lang w:eastAsia="en-US"/>
        </w:rPr>
        <w:t>.</w:t>
      </w:r>
    </w:p>
    <w:sectPr w:rsidR="00594C11" w:rsidRPr="007664DE" w:rsidSect="002F0172">
      <w:headerReference w:type="default" r:id="rId9"/>
      <w:footerReference w:type="default" r:id="rId10"/>
      <w:headerReference w:type="first" r:id="rId11"/>
      <w:footerReference w:type="first" r:id="rId12"/>
      <w:pgSz w:w="11906" w:h="16838" w:code="9"/>
      <w:pgMar w:top="1072" w:right="1077" w:bottom="851" w:left="1077" w:header="227"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6C7" w:rsidRDefault="007426C7">
      <w:r>
        <w:separator/>
      </w:r>
    </w:p>
  </w:endnote>
  <w:endnote w:type="continuationSeparator" w:id="0">
    <w:p w:rsidR="007426C7" w:rsidRDefault="007426C7">
      <w:r>
        <w:continuationSeparator/>
      </w:r>
    </w:p>
  </w:endnote>
  <w:endnote w:id="1">
    <w:p w:rsidR="002D5C14" w:rsidRPr="006A3BA5" w:rsidRDefault="002D5C14" w:rsidP="000D7569">
      <w:pPr>
        <w:spacing w:before="0" w:after="0" w:line="240" w:lineRule="auto"/>
        <w:rPr>
          <w:sz w:val="18"/>
          <w:szCs w:val="18"/>
        </w:rPr>
      </w:pPr>
      <w:r w:rsidRPr="006A3BA5">
        <w:rPr>
          <w:rStyle w:val="EndnoteReference"/>
          <w:sz w:val="18"/>
          <w:szCs w:val="18"/>
        </w:rPr>
        <w:endnoteRef/>
      </w:r>
      <w:r w:rsidRPr="006A3BA5">
        <w:rPr>
          <w:sz w:val="18"/>
          <w:szCs w:val="18"/>
        </w:rPr>
        <w:t xml:space="preserve"> Australian Curriculum, Assessment and Reporting Authority (ACARA) defines enrolment rate as the proportion of </w:t>
      </w:r>
      <w:r w:rsidR="00BB7611" w:rsidRPr="006A3BA5">
        <w:rPr>
          <w:sz w:val="18"/>
          <w:szCs w:val="18"/>
        </w:rPr>
        <w:t xml:space="preserve">the </w:t>
      </w:r>
      <w:r w:rsidRPr="006A3BA5">
        <w:rPr>
          <w:sz w:val="18"/>
          <w:szCs w:val="18"/>
        </w:rPr>
        <w:t xml:space="preserve">6 to 15-year-old population enrolled in school. </w:t>
      </w:r>
      <w:r w:rsidR="00BB7611" w:rsidRPr="006A3BA5">
        <w:rPr>
          <w:sz w:val="18"/>
          <w:szCs w:val="18"/>
        </w:rPr>
        <w:t xml:space="preserve">Due to </w:t>
      </w:r>
      <w:r w:rsidRPr="006A3BA5">
        <w:rPr>
          <w:sz w:val="18"/>
          <w:szCs w:val="18"/>
        </w:rPr>
        <w:t xml:space="preserve">cross-border enrolments and migration (interstate/international), the </w:t>
      </w:r>
      <w:r w:rsidR="00BB7611" w:rsidRPr="006A3BA5">
        <w:rPr>
          <w:sz w:val="18"/>
          <w:szCs w:val="18"/>
        </w:rPr>
        <w:t xml:space="preserve">reported </w:t>
      </w:r>
      <w:r w:rsidRPr="006A3BA5">
        <w:rPr>
          <w:sz w:val="18"/>
          <w:szCs w:val="18"/>
        </w:rPr>
        <w:t xml:space="preserve">rate </w:t>
      </w:r>
      <w:r w:rsidR="00BB7611" w:rsidRPr="006A3BA5">
        <w:rPr>
          <w:sz w:val="18"/>
          <w:szCs w:val="18"/>
        </w:rPr>
        <w:t xml:space="preserve">can </w:t>
      </w:r>
      <w:r w:rsidRPr="006A3BA5">
        <w:rPr>
          <w:sz w:val="18"/>
          <w:szCs w:val="18"/>
        </w:rPr>
        <w:t>sometimes exceed 100 per cent. In particular, the Indigenous statistics are subject to a higher dual-enrolment occurrence across multiple schools, government and non-government school sectors and jurisdictions (</w:t>
      </w:r>
      <w:r w:rsidR="001744F6" w:rsidRPr="006A3BA5">
        <w:rPr>
          <w:rFonts w:eastAsia="Calibri"/>
          <w:sz w:val="18"/>
          <w:szCs w:val="18"/>
          <w:lang w:eastAsia="en-US"/>
        </w:rPr>
        <w:t xml:space="preserve">ACARA 2012, </w:t>
      </w:r>
      <w:r w:rsidR="001744F6" w:rsidRPr="006A3BA5">
        <w:rPr>
          <w:rFonts w:eastAsia="Calibri"/>
          <w:i/>
          <w:sz w:val="18"/>
          <w:szCs w:val="18"/>
          <w:lang w:eastAsia="en-US"/>
        </w:rPr>
        <w:t>National report on schooling in Australia 2010</w:t>
      </w:r>
      <w:r w:rsidR="001744F6" w:rsidRPr="006A3BA5">
        <w:rPr>
          <w:rFonts w:eastAsia="Calibri"/>
          <w:sz w:val="18"/>
          <w:szCs w:val="18"/>
          <w:lang w:eastAsia="en-US"/>
        </w:rPr>
        <w:t xml:space="preserve">, ACARA, </w:t>
      </w:r>
      <w:proofErr w:type="gramStart"/>
      <w:r w:rsidR="001744F6" w:rsidRPr="006A3BA5">
        <w:rPr>
          <w:rFonts w:eastAsia="Calibri"/>
          <w:sz w:val="18"/>
          <w:szCs w:val="18"/>
          <w:lang w:eastAsia="en-US"/>
        </w:rPr>
        <w:t>Sydney</w:t>
      </w:r>
      <w:proofErr w:type="gramEnd"/>
      <w:r w:rsidRPr="006A3BA5">
        <w:rPr>
          <w:sz w:val="18"/>
          <w:szCs w:val="18"/>
        </w:rPr>
        <w:t>).</w:t>
      </w:r>
      <w:r w:rsidR="001744F6" w:rsidRPr="006A3BA5">
        <w:rPr>
          <w:sz w:val="18"/>
          <w:szCs w:val="18"/>
        </w:rPr>
        <w:t xml:space="preserve"> </w:t>
      </w:r>
    </w:p>
  </w:endnote>
  <w:endnote w:id="2">
    <w:p w:rsidR="004A7FD7" w:rsidRPr="006A3BA5" w:rsidRDefault="004A7FD7" w:rsidP="004A7FD7">
      <w:pPr>
        <w:pStyle w:val="EndnoteText"/>
        <w:rPr>
          <w:sz w:val="18"/>
          <w:szCs w:val="18"/>
        </w:rPr>
      </w:pPr>
      <w:r w:rsidRPr="006A3BA5">
        <w:rPr>
          <w:rStyle w:val="EndnoteReference"/>
          <w:sz w:val="18"/>
          <w:szCs w:val="18"/>
        </w:rPr>
        <w:endnoteRef/>
      </w:r>
      <w:r w:rsidRPr="006A3BA5">
        <w:rPr>
          <w:sz w:val="18"/>
          <w:szCs w:val="18"/>
        </w:rPr>
        <w:t xml:space="preserve"> </w:t>
      </w:r>
      <w:r w:rsidRPr="006A3BA5">
        <w:rPr>
          <w:rFonts w:eastAsia="Calibri" w:cs="Times New Roman"/>
          <w:sz w:val="18"/>
          <w:szCs w:val="18"/>
        </w:rPr>
        <w:t>Since in most cases the p</w:t>
      </w:r>
      <w:r w:rsidRPr="006A3BA5">
        <w:rPr>
          <w:rFonts w:eastAsia="Calibri" w:cs="Arial"/>
          <w:sz w:val="18"/>
          <w:szCs w:val="18"/>
        </w:rPr>
        <w:t>rimary carer of a study child is their parent (usually their mother), in this paper the two terms are used interchangeably.</w:t>
      </w:r>
    </w:p>
  </w:endnote>
  <w:endnote w:id="3">
    <w:p w:rsidR="00F86678" w:rsidRPr="006A3BA5" w:rsidRDefault="00F86678" w:rsidP="000D7569">
      <w:pPr>
        <w:pStyle w:val="EndnoteText"/>
        <w:rPr>
          <w:sz w:val="18"/>
          <w:szCs w:val="18"/>
        </w:rPr>
      </w:pPr>
      <w:r w:rsidRPr="006A3BA5">
        <w:rPr>
          <w:rStyle w:val="EndnoteReference"/>
          <w:sz w:val="18"/>
          <w:szCs w:val="18"/>
        </w:rPr>
        <w:endnoteRef/>
      </w:r>
      <w:r w:rsidRPr="006A3BA5">
        <w:rPr>
          <w:sz w:val="18"/>
          <w:szCs w:val="18"/>
        </w:rPr>
        <w:t xml:space="preserve"> If not otherwise specified, in this paper statistical significance </w:t>
      </w:r>
      <w:r w:rsidR="00BE6C28" w:rsidRPr="006A3BA5">
        <w:rPr>
          <w:sz w:val="18"/>
          <w:szCs w:val="18"/>
        </w:rPr>
        <w:t>is</w:t>
      </w:r>
      <w:r w:rsidRPr="006A3BA5">
        <w:rPr>
          <w:sz w:val="18"/>
          <w:szCs w:val="18"/>
        </w:rPr>
        <w:t xml:space="preserve"> at the 5% level.</w:t>
      </w:r>
    </w:p>
  </w:endnote>
  <w:endnote w:id="4">
    <w:p w:rsidR="00F86678" w:rsidRPr="006A3BA5" w:rsidRDefault="00F86678" w:rsidP="000D7569">
      <w:pPr>
        <w:spacing w:before="0" w:after="0" w:line="240" w:lineRule="auto"/>
        <w:rPr>
          <w:rFonts w:eastAsia="Calibri"/>
          <w:sz w:val="18"/>
          <w:szCs w:val="18"/>
          <w:lang w:eastAsia="en-US"/>
        </w:rPr>
      </w:pPr>
      <w:r w:rsidRPr="006A3BA5">
        <w:rPr>
          <w:rStyle w:val="EndnoteReference"/>
          <w:sz w:val="18"/>
          <w:szCs w:val="18"/>
        </w:rPr>
        <w:endnoteRef/>
      </w:r>
      <w:r w:rsidRPr="006A3BA5">
        <w:rPr>
          <w:sz w:val="18"/>
          <w:szCs w:val="18"/>
        </w:rPr>
        <w:t xml:space="preserve"> </w:t>
      </w:r>
      <w:r w:rsidRPr="006A3BA5">
        <w:rPr>
          <w:i/>
          <w:iCs/>
          <w:sz w:val="18"/>
          <w:szCs w:val="18"/>
        </w:rPr>
        <w:t>Who am I</w:t>
      </w:r>
      <w:r w:rsidR="00BB7611" w:rsidRPr="006A3BA5">
        <w:rPr>
          <w:i/>
          <w:iCs/>
          <w:sz w:val="18"/>
          <w:szCs w:val="18"/>
        </w:rPr>
        <w:t>?</w:t>
      </w:r>
      <w:r w:rsidRPr="006A3BA5">
        <w:rPr>
          <w:i/>
          <w:iCs/>
          <w:sz w:val="18"/>
          <w:szCs w:val="18"/>
        </w:rPr>
        <w:t xml:space="preserve"> </w:t>
      </w:r>
      <w:r w:rsidRPr="006A3BA5">
        <w:rPr>
          <w:iCs/>
          <w:sz w:val="18"/>
          <w:szCs w:val="18"/>
        </w:rPr>
        <w:t>(WAI) (</w:t>
      </w:r>
      <w:proofErr w:type="gramStart"/>
      <w:r w:rsidR="009C2F65" w:rsidRPr="006A3BA5">
        <w:rPr>
          <w:rFonts w:eastAsia="Calibri"/>
          <w:sz w:val="18"/>
          <w:szCs w:val="18"/>
          <w:lang w:eastAsia="en-US"/>
        </w:rPr>
        <w:t>de</w:t>
      </w:r>
      <w:proofErr w:type="gramEnd"/>
      <w:r w:rsidR="009C2F65" w:rsidRPr="006A3BA5">
        <w:rPr>
          <w:rFonts w:eastAsia="Calibri"/>
          <w:sz w:val="18"/>
          <w:szCs w:val="18"/>
          <w:lang w:eastAsia="en-US"/>
        </w:rPr>
        <w:t xml:space="preserve"> </w:t>
      </w:r>
      <w:proofErr w:type="spellStart"/>
      <w:r w:rsidR="009C2F65" w:rsidRPr="006A3BA5">
        <w:rPr>
          <w:rFonts w:eastAsia="Calibri"/>
          <w:sz w:val="18"/>
          <w:szCs w:val="18"/>
          <w:lang w:eastAsia="en-US"/>
        </w:rPr>
        <w:t>Lemos</w:t>
      </w:r>
      <w:proofErr w:type="spellEnd"/>
      <w:r w:rsidR="009C2F65" w:rsidRPr="006A3BA5">
        <w:rPr>
          <w:rFonts w:eastAsia="Calibri"/>
          <w:sz w:val="18"/>
          <w:szCs w:val="18"/>
          <w:lang w:eastAsia="en-US"/>
        </w:rPr>
        <w:t xml:space="preserve"> M &amp; </w:t>
      </w:r>
      <w:proofErr w:type="spellStart"/>
      <w:r w:rsidR="009C2F65" w:rsidRPr="006A3BA5">
        <w:rPr>
          <w:rFonts w:eastAsia="Calibri"/>
          <w:sz w:val="18"/>
          <w:szCs w:val="18"/>
          <w:lang w:eastAsia="en-US"/>
        </w:rPr>
        <w:t>Doig</w:t>
      </w:r>
      <w:proofErr w:type="spellEnd"/>
      <w:r w:rsidR="009C2F65" w:rsidRPr="006A3BA5">
        <w:rPr>
          <w:rFonts w:eastAsia="Calibri"/>
          <w:sz w:val="18"/>
          <w:szCs w:val="18"/>
          <w:lang w:eastAsia="en-US"/>
        </w:rPr>
        <w:t xml:space="preserve"> B 1999, </w:t>
      </w:r>
      <w:r w:rsidR="009C2F65" w:rsidRPr="006A3BA5">
        <w:rPr>
          <w:rFonts w:eastAsia="Calibri"/>
          <w:i/>
          <w:sz w:val="18"/>
          <w:szCs w:val="18"/>
          <w:lang w:eastAsia="en-US"/>
        </w:rPr>
        <w:t>Who Am I? Developmental Assessment Manual</w:t>
      </w:r>
      <w:r w:rsidR="009C2F65" w:rsidRPr="006A3BA5">
        <w:rPr>
          <w:rFonts w:eastAsia="Calibri"/>
          <w:sz w:val="18"/>
          <w:szCs w:val="18"/>
          <w:lang w:eastAsia="en-US"/>
        </w:rPr>
        <w:t>, Australian Council for Education Research (ACER), Melbourne</w:t>
      </w:r>
      <w:r w:rsidRPr="006A3BA5">
        <w:rPr>
          <w:iCs/>
          <w:sz w:val="18"/>
          <w:szCs w:val="18"/>
        </w:rPr>
        <w:t xml:space="preserve">) </w:t>
      </w:r>
      <w:r w:rsidRPr="006A3BA5">
        <w:rPr>
          <w:sz w:val="18"/>
          <w:szCs w:val="18"/>
        </w:rPr>
        <w:t xml:space="preserve">is a developmental assessment that requires the child to write their name, copy shapes, </w:t>
      </w:r>
      <w:r w:rsidR="00BB7611" w:rsidRPr="006A3BA5">
        <w:rPr>
          <w:sz w:val="18"/>
          <w:szCs w:val="18"/>
        </w:rPr>
        <w:t xml:space="preserve">and </w:t>
      </w:r>
      <w:r w:rsidRPr="006A3BA5">
        <w:rPr>
          <w:sz w:val="18"/>
          <w:szCs w:val="18"/>
        </w:rPr>
        <w:t xml:space="preserve">write letters, numbers and words in a small booklet, with simple instructions and encouragement from the interviewer. </w:t>
      </w:r>
      <w:r w:rsidR="00BB7611" w:rsidRPr="006A3BA5">
        <w:rPr>
          <w:iCs/>
          <w:sz w:val="18"/>
          <w:szCs w:val="18"/>
        </w:rPr>
        <w:t>WAI</w:t>
      </w:r>
      <w:r w:rsidRPr="006A3BA5">
        <w:rPr>
          <w:i/>
          <w:iCs/>
          <w:sz w:val="18"/>
          <w:szCs w:val="18"/>
        </w:rPr>
        <w:t xml:space="preserve"> </w:t>
      </w:r>
      <w:r w:rsidRPr="006A3BA5">
        <w:rPr>
          <w:sz w:val="18"/>
          <w:szCs w:val="18"/>
        </w:rPr>
        <w:t>is not language dependent and is suitable for children with limited English. Short-form WAI was used fo</w:t>
      </w:r>
      <w:r w:rsidR="00631ED3" w:rsidRPr="006A3BA5">
        <w:rPr>
          <w:sz w:val="18"/>
          <w:szCs w:val="18"/>
        </w:rPr>
        <w:t>r the older cohort children at w</w:t>
      </w:r>
      <w:r w:rsidRPr="006A3BA5">
        <w:rPr>
          <w:sz w:val="18"/>
          <w:szCs w:val="18"/>
        </w:rPr>
        <w:t>ave 1 and for the you</w:t>
      </w:r>
      <w:r w:rsidR="00631ED3" w:rsidRPr="006A3BA5">
        <w:rPr>
          <w:sz w:val="18"/>
          <w:szCs w:val="18"/>
        </w:rPr>
        <w:t>nger cohort children at w</w:t>
      </w:r>
      <w:r w:rsidRPr="006A3BA5">
        <w:rPr>
          <w:sz w:val="18"/>
          <w:szCs w:val="18"/>
        </w:rPr>
        <w:t>ave 4; long-fo</w:t>
      </w:r>
      <w:r w:rsidR="00BB7611" w:rsidRPr="006A3BA5">
        <w:rPr>
          <w:sz w:val="18"/>
          <w:szCs w:val="18"/>
        </w:rPr>
        <w:t>r</w:t>
      </w:r>
      <w:r w:rsidRPr="006A3BA5">
        <w:rPr>
          <w:sz w:val="18"/>
          <w:szCs w:val="18"/>
        </w:rPr>
        <w:t>m WAI wa</w:t>
      </w:r>
      <w:r w:rsidR="00631ED3" w:rsidRPr="006A3BA5">
        <w:rPr>
          <w:sz w:val="18"/>
          <w:szCs w:val="18"/>
        </w:rPr>
        <w:t>s used for the older cohort at w</w:t>
      </w:r>
      <w:r w:rsidRPr="006A3BA5">
        <w:rPr>
          <w:sz w:val="18"/>
          <w:szCs w:val="18"/>
        </w:rPr>
        <w:t xml:space="preserve">aves 2 and 3 </w:t>
      </w:r>
      <w:r w:rsidR="00631ED3" w:rsidRPr="006A3BA5">
        <w:rPr>
          <w:sz w:val="18"/>
          <w:szCs w:val="18"/>
        </w:rPr>
        <w:t>and for the younger cohort at wa</w:t>
      </w:r>
      <w:r w:rsidRPr="006A3BA5">
        <w:rPr>
          <w:sz w:val="18"/>
          <w:szCs w:val="18"/>
        </w:rPr>
        <w:t>ve 5.</w:t>
      </w:r>
    </w:p>
  </w:endnote>
  <w:endnote w:id="5">
    <w:p w:rsidR="00F86678" w:rsidRPr="006A3BA5" w:rsidRDefault="00F86678" w:rsidP="000D7569">
      <w:pPr>
        <w:pStyle w:val="EndnoteText"/>
        <w:rPr>
          <w:sz w:val="18"/>
          <w:szCs w:val="18"/>
        </w:rPr>
      </w:pPr>
      <w:r w:rsidRPr="006A3BA5">
        <w:rPr>
          <w:rStyle w:val="EndnoteReference"/>
          <w:sz w:val="18"/>
          <w:szCs w:val="18"/>
        </w:rPr>
        <w:endnoteRef/>
      </w:r>
      <w:r w:rsidRPr="006A3BA5">
        <w:rPr>
          <w:sz w:val="18"/>
          <w:szCs w:val="18"/>
        </w:rPr>
        <w:t xml:space="preserve"> The </w:t>
      </w:r>
      <w:r w:rsidRPr="006A3BA5">
        <w:rPr>
          <w:iCs/>
          <w:sz w:val="18"/>
          <w:szCs w:val="18"/>
        </w:rPr>
        <w:t>Renfrew Word Finding Vocabulary Test (</w:t>
      </w:r>
      <w:r w:rsidR="009C2F65" w:rsidRPr="006A3BA5">
        <w:rPr>
          <w:rFonts w:eastAsia="Calibri"/>
          <w:sz w:val="18"/>
          <w:szCs w:val="18"/>
        </w:rPr>
        <w:t xml:space="preserve">Renfrew C 1995, </w:t>
      </w:r>
      <w:r w:rsidR="009C2F65" w:rsidRPr="006A3BA5">
        <w:rPr>
          <w:rFonts w:eastAsia="Calibri"/>
          <w:i/>
          <w:sz w:val="18"/>
          <w:szCs w:val="18"/>
        </w:rPr>
        <w:t>The Renfrew Language Scales: Word Finding Vocabulary Test</w:t>
      </w:r>
      <w:r w:rsidR="009C2F65" w:rsidRPr="006A3BA5">
        <w:rPr>
          <w:rFonts w:eastAsia="Calibri"/>
          <w:sz w:val="18"/>
          <w:szCs w:val="18"/>
        </w:rPr>
        <w:t xml:space="preserve">, </w:t>
      </w:r>
      <w:proofErr w:type="spellStart"/>
      <w:r w:rsidR="009C2F65" w:rsidRPr="006A3BA5">
        <w:rPr>
          <w:rFonts w:eastAsia="Calibri"/>
          <w:sz w:val="18"/>
          <w:szCs w:val="18"/>
        </w:rPr>
        <w:t>Speechmark</w:t>
      </w:r>
      <w:proofErr w:type="spellEnd"/>
      <w:r w:rsidR="009C2F65" w:rsidRPr="006A3BA5">
        <w:rPr>
          <w:rFonts w:eastAsia="Calibri"/>
          <w:sz w:val="18"/>
          <w:szCs w:val="18"/>
        </w:rPr>
        <w:t xml:space="preserve"> Publishing Ltd, </w:t>
      </w:r>
      <w:r w:rsidR="001D0D5D" w:rsidRPr="006A3BA5">
        <w:rPr>
          <w:rFonts w:eastAsia="Calibri"/>
          <w:sz w:val="18"/>
          <w:szCs w:val="18"/>
        </w:rPr>
        <w:t xml:space="preserve">Bicester, </w:t>
      </w:r>
      <w:r w:rsidR="009C2F65" w:rsidRPr="006A3BA5">
        <w:rPr>
          <w:rFonts w:eastAsia="Calibri"/>
          <w:sz w:val="18"/>
          <w:szCs w:val="18"/>
        </w:rPr>
        <w:t>UK</w:t>
      </w:r>
      <w:r w:rsidRPr="006A3BA5">
        <w:rPr>
          <w:iCs/>
          <w:sz w:val="18"/>
          <w:szCs w:val="18"/>
        </w:rPr>
        <w:t xml:space="preserve">) </w:t>
      </w:r>
      <w:r w:rsidRPr="006A3BA5">
        <w:rPr>
          <w:sz w:val="18"/>
          <w:szCs w:val="18"/>
        </w:rPr>
        <w:t>assesses children’s expressive vocabulary. It assesses the extent to which pictures of objects, arranged in order of difficulty, can be named correctly.</w:t>
      </w:r>
    </w:p>
  </w:endnote>
  <w:endnote w:id="6">
    <w:p w:rsidR="000950D3" w:rsidRPr="006A3BA5" w:rsidRDefault="000950D3">
      <w:pPr>
        <w:pStyle w:val="EndnoteText"/>
        <w:rPr>
          <w:sz w:val="18"/>
          <w:szCs w:val="18"/>
        </w:rPr>
      </w:pPr>
      <w:r w:rsidRPr="006A3BA5">
        <w:rPr>
          <w:rStyle w:val="EndnoteReference"/>
          <w:sz w:val="18"/>
          <w:szCs w:val="18"/>
        </w:rPr>
        <w:endnoteRef/>
      </w:r>
      <w:r w:rsidRPr="006A3BA5">
        <w:rPr>
          <w:sz w:val="18"/>
          <w:szCs w:val="18"/>
        </w:rPr>
        <w:t xml:space="preserve"> F</w:t>
      </w:r>
      <w:r w:rsidRPr="006A3BA5">
        <w:rPr>
          <w:rFonts w:eastAsia="Calibri"/>
          <w:sz w:val="18"/>
          <w:szCs w:val="18"/>
        </w:rPr>
        <w:t xml:space="preserve">amily income refers to income the primary carer and partner usually </w:t>
      </w:r>
      <w:r w:rsidR="00A33E15" w:rsidRPr="006A3BA5">
        <w:rPr>
          <w:rFonts w:eastAsia="Calibri"/>
          <w:sz w:val="18"/>
          <w:szCs w:val="18"/>
        </w:rPr>
        <w:t>receive</w:t>
      </w:r>
      <w:r w:rsidRPr="006A3BA5">
        <w:rPr>
          <w:rFonts w:eastAsia="Calibri"/>
          <w:sz w:val="18"/>
          <w:szCs w:val="18"/>
        </w:rPr>
        <w:t xml:space="preserve"> per week </w:t>
      </w:r>
      <w:r w:rsidR="001D0D5D" w:rsidRPr="006A3BA5">
        <w:rPr>
          <w:rFonts w:eastAsia="Calibri"/>
          <w:sz w:val="18"/>
          <w:szCs w:val="18"/>
        </w:rPr>
        <w:t xml:space="preserve">from all sources, </w:t>
      </w:r>
      <w:r w:rsidRPr="006A3BA5">
        <w:rPr>
          <w:rFonts w:eastAsia="Calibri"/>
          <w:sz w:val="18"/>
          <w:szCs w:val="18"/>
        </w:rPr>
        <w:t>after deductions are taken out for tax and quarantined payments (available at all waves except for wave 3).</w:t>
      </w:r>
    </w:p>
  </w:endnote>
  <w:endnote w:id="7">
    <w:p w:rsidR="00D0262E" w:rsidRPr="006A3BA5" w:rsidRDefault="00D0262E" w:rsidP="000D7569">
      <w:pPr>
        <w:pStyle w:val="EndnoteText"/>
        <w:rPr>
          <w:sz w:val="18"/>
          <w:szCs w:val="18"/>
        </w:rPr>
      </w:pPr>
      <w:r w:rsidRPr="006A3BA5">
        <w:rPr>
          <w:rStyle w:val="EndnoteReference"/>
          <w:sz w:val="18"/>
          <w:szCs w:val="18"/>
        </w:rPr>
        <w:endnoteRef/>
      </w:r>
      <w:r w:rsidRPr="006A3BA5">
        <w:rPr>
          <w:sz w:val="18"/>
          <w:szCs w:val="18"/>
        </w:rPr>
        <w:t xml:space="preserve"> </w:t>
      </w:r>
      <w:r w:rsidRPr="006A3BA5">
        <w:rPr>
          <w:rStyle w:val="BookTitle"/>
          <w:rFonts w:eastAsiaTheme="majorEastAsia"/>
          <w:i w:val="0"/>
          <w:iCs w:val="0"/>
          <w:smallCaps w:val="0"/>
          <w:sz w:val="18"/>
          <w:szCs w:val="18"/>
        </w:rPr>
        <w:t xml:space="preserve">Income management is a government policy aimed at helping benefit recipients manage their money to meet essential household needs and expenses such as rent, bills, food and education; for more information, refer to </w:t>
      </w:r>
      <w:r w:rsidRPr="006A3BA5">
        <w:rPr>
          <w:sz w:val="18"/>
          <w:szCs w:val="18"/>
        </w:rPr>
        <w:t xml:space="preserve">the website of Department of Social Services at </w:t>
      </w:r>
      <w:hyperlink r:id="rId1" w:tooltip="Information is available on the Department of Social Services website at this address." w:history="1">
        <w:r w:rsidR="00D3536F" w:rsidRPr="006A3BA5">
          <w:rPr>
            <w:rStyle w:val="Hyperlink"/>
            <w:rFonts w:eastAsiaTheme="majorEastAsia"/>
            <w:b w:val="0"/>
            <w:i/>
            <w:sz w:val="18"/>
            <w:szCs w:val="18"/>
          </w:rPr>
          <w:t>https://www.dss.gov.au/our-responsibilities/families-and-children/programmes-services/income-management</w:t>
        </w:r>
      </w:hyperlink>
      <w:r w:rsidRPr="006A3BA5">
        <w:rPr>
          <w:rStyle w:val="BookTitle"/>
          <w:rFonts w:eastAsiaTheme="majorEastAsia"/>
          <w:b/>
          <w:iCs w:val="0"/>
          <w:sz w:val="18"/>
          <w:szCs w:val="18"/>
        </w:rPr>
        <w:t>.</w:t>
      </w:r>
      <w:r w:rsidRPr="006A3BA5">
        <w:rPr>
          <w:rStyle w:val="BookTitle"/>
          <w:rFonts w:eastAsiaTheme="majorEastAsia"/>
          <w:i w:val="0"/>
          <w:iCs w:val="0"/>
          <w:smallCaps w:val="0"/>
          <w:sz w:val="18"/>
          <w:szCs w:val="18"/>
        </w:rPr>
        <w:t xml:space="preserve"> Across the five waves, about 12 per cent of the parents reported being affected by income management </w:t>
      </w:r>
      <w:r w:rsidR="001D0D5D" w:rsidRPr="006A3BA5">
        <w:rPr>
          <w:rStyle w:val="BookTitle"/>
          <w:rFonts w:eastAsiaTheme="majorEastAsia"/>
          <w:i w:val="0"/>
          <w:iCs w:val="0"/>
          <w:smallCaps w:val="0"/>
          <w:sz w:val="18"/>
          <w:szCs w:val="18"/>
        </w:rPr>
        <w:t xml:space="preserve">in at least one wave </w:t>
      </w:r>
      <w:r w:rsidRPr="006A3BA5">
        <w:rPr>
          <w:rStyle w:val="BookTitle"/>
          <w:rFonts w:eastAsiaTheme="majorEastAsia"/>
          <w:i w:val="0"/>
          <w:iCs w:val="0"/>
          <w:smallCaps w:val="0"/>
          <w:sz w:val="18"/>
          <w:szCs w:val="18"/>
        </w:rPr>
        <w:t xml:space="preserve">(about </w:t>
      </w:r>
      <w:r w:rsidR="001D0D5D" w:rsidRPr="006A3BA5">
        <w:rPr>
          <w:rStyle w:val="BookTitle"/>
          <w:rFonts w:eastAsiaTheme="majorEastAsia"/>
          <w:i w:val="0"/>
          <w:iCs w:val="0"/>
          <w:smallCaps w:val="0"/>
          <w:sz w:val="18"/>
          <w:szCs w:val="18"/>
        </w:rPr>
        <w:t>4</w:t>
      </w:r>
      <w:r w:rsidRPr="006A3BA5">
        <w:rPr>
          <w:rStyle w:val="BookTitle"/>
          <w:rFonts w:eastAsiaTheme="majorEastAsia"/>
          <w:i w:val="0"/>
          <w:iCs w:val="0"/>
          <w:smallCaps w:val="0"/>
          <w:sz w:val="18"/>
          <w:szCs w:val="18"/>
        </w:rPr>
        <w:t xml:space="preserve"> to </w:t>
      </w:r>
      <w:r w:rsidR="001D0D5D" w:rsidRPr="006A3BA5">
        <w:rPr>
          <w:rStyle w:val="BookTitle"/>
          <w:rFonts w:eastAsiaTheme="majorEastAsia"/>
          <w:i w:val="0"/>
          <w:iCs w:val="0"/>
          <w:smallCaps w:val="0"/>
          <w:sz w:val="18"/>
          <w:szCs w:val="18"/>
        </w:rPr>
        <w:t>8</w:t>
      </w:r>
      <w:r w:rsidRPr="006A3BA5">
        <w:rPr>
          <w:rStyle w:val="BookTitle"/>
          <w:rFonts w:eastAsiaTheme="majorEastAsia"/>
          <w:i w:val="0"/>
          <w:iCs w:val="0"/>
          <w:smallCaps w:val="0"/>
          <w:sz w:val="18"/>
          <w:szCs w:val="18"/>
        </w:rPr>
        <w:t xml:space="preserve"> per cent at each wave). </w:t>
      </w:r>
    </w:p>
  </w:endnote>
  <w:endnote w:id="8">
    <w:p w:rsidR="008448D7" w:rsidRPr="006A3BA5" w:rsidRDefault="008448D7">
      <w:pPr>
        <w:pStyle w:val="EndnoteText"/>
        <w:rPr>
          <w:sz w:val="18"/>
          <w:szCs w:val="18"/>
        </w:rPr>
      </w:pPr>
      <w:r w:rsidRPr="006A3BA5">
        <w:rPr>
          <w:rStyle w:val="EndnoteReference"/>
          <w:sz w:val="18"/>
          <w:szCs w:val="18"/>
        </w:rPr>
        <w:endnoteRef/>
      </w:r>
      <w:r w:rsidRPr="006A3BA5">
        <w:rPr>
          <w:sz w:val="18"/>
          <w:szCs w:val="18"/>
        </w:rPr>
        <w:t xml:space="preserve"> L</w:t>
      </w:r>
      <w:r w:rsidRPr="006A3BA5">
        <w:rPr>
          <w:rFonts w:eastAsia="Calibri"/>
          <w:sz w:val="18"/>
          <w:szCs w:val="18"/>
        </w:rPr>
        <w:t>ogit models with robust standard errors and logit models with random effects</w:t>
      </w:r>
      <w:r w:rsidR="00F36797" w:rsidRPr="006A3BA5">
        <w:rPr>
          <w:rFonts w:eastAsia="Calibri"/>
          <w:sz w:val="18"/>
          <w:szCs w:val="18"/>
        </w:rPr>
        <w:t xml:space="preserve"> are estimated. </w:t>
      </w:r>
      <w:r w:rsidRPr="006A3BA5">
        <w:rPr>
          <w:rFonts w:eastAsia="Calibri"/>
          <w:sz w:val="18"/>
          <w:szCs w:val="18"/>
        </w:rPr>
        <w:t xml:space="preserve"> </w:t>
      </w:r>
    </w:p>
  </w:endnote>
  <w:endnote w:id="9">
    <w:p w:rsidR="009C2F65" w:rsidRDefault="009C2F65" w:rsidP="000D7569">
      <w:pPr>
        <w:spacing w:before="0" w:after="0" w:line="240" w:lineRule="auto"/>
        <w:rPr>
          <w:rFonts w:eastAsia="Calibri"/>
          <w:sz w:val="18"/>
          <w:szCs w:val="18"/>
          <w:lang w:eastAsia="en-US"/>
        </w:rPr>
      </w:pPr>
      <w:r w:rsidRPr="006A3BA5">
        <w:rPr>
          <w:rStyle w:val="EndnoteReference"/>
          <w:sz w:val="18"/>
          <w:szCs w:val="18"/>
        </w:rPr>
        <w:endnoteRef/>
      </w:r>
      <w:r w:rsidRPr="006A3BA5">
        <w:rPr>
          <w:sz w:val="18"/>
          <w:szCs w:val="18"/>
        </w:rPr>
        <w:t xml:space="preserve"> </w:t>
      </w:r>
      <w:proofErr w:type="spellStart"/>
      <w:r w:rsidRPr="006A3BA5">
        <w:rPr>
          <w:rFonts w:eastAsia="Calibri"/>
          <w:sz w:val="18"/>
          <w:szCs w:val="18"/>
          <w:lang w:eastAsia="en-US"/>
        </w:rPr>
        <w:t>Zubrick</w:t>
      </w:r>
      <w:proofErr w:type="spellEnd"/>
      <w:r w:rsidRPr="006A3BA5">
        <w:rPr>
          <w:rFonts w:eastAsia="Calibri"/>
          <w:sz w:val="18"/>
          <w:szCs w:val="18"/>
          <w:lang w:eastAsia="en-US"/>
        </w:rPr>
        <w:t xml:space="preserve"> SR, </w:t>
      </w:r>
      <w:proofErr w:type="spellStart"/>
      <w:r w:rsidRPr="006A3BA5">
        <w:rPr>
          <w:rFonts w:eastAsia="Calibri"/>
          <w:sz w:val="18"/>
          <w:szCs w:val="18"/>
          <w:lang w:eastAsia="en-US"/>
        </w:rPr>
        <w:t>Silburn</w:t>
      </w:r>
      <w:proofErr w:type="spellEnd"/>
      <w:r w:rsidRPr="006A3BA5">
        <w:rPr>
          <w:rFonts w:eastAsia="Calibri"/>
          <w:sz w:val="18"/>
          <w:szCs w:val="18"/>
          <w:lang w:eastAsia="en-US"/>
        </w:rPr>
        <w:t xml:space="preserve"> SR, de </w:t>
      </w:r>
      <w:proofErr w:type="spellStart"/>
      <w:r w:rsidRPr="006A3BA5">
        <w:rPr>
          <w:rFonts w:eastAsia="Calibri"/>
          <w:sz w:val="18"/>
          <w:szCs w:val="18"/>
          <w:lang w:eastAsia="en-US"/>
        </w:rPr>
        <w:t>Maio</w:t>
      </w:r>
      <w:proofErr w:type="spellEnd"/>
      <w:r w:rsidRPr="006A3BA5">
        <w:rPr>
          <w:rFonts w:eastAsia="Calibri"/>
          <w:sz w:val="18"/>
          <w:szCs w:val="18"/>
          <w:lang w:eastAsia="en-US"/>
        </w:rPr>
        <w:t xml:space="preserve"> JA, Shepherd C, Griffin JA, Dalby RB, </w:t>
      </w:r>
      <w:proofErr w:type="spellStart"/>
      <w:r w:rsidRPr="006A3BA5">
        <w:rPr>
          <w:rFonts w:eastAsia="Calibri"/>
          <w:sz w:val="18"/>
          <w:szCs w:val="18"/>
          <w:lang w:eastAsia="en-US"/>
        </w:rPr>
        <w:t>Mitrou</w:t>
      </w:r>
      <w:proofErr w:type="spellEnd"/>
      <w:r w:rsidRPr="006A3BA5">
        <w:rPr>
          <w:rFonts w:eastAsia="Calibri"/>
          <w:sz w:val="18"/>
          <w:szCs w:val="18"/>
          <w:lang w:eastAsia="en-US"/>
        </w:rPr>
        <w:t xml:space="preserve"> FG, Lawrence DM,</w:t>
      </w:r>
      <w:r w:rsidR="001D0D5D" w:rsidRPr="006A3BA5">
        <w:rPr>
          <w:rFonts w:eastAsia="Calibri"/>
          <w:sz w:val="18"/>
          <w:szCs w:val="18"/>
          <w:lang w:eastAsia="en-US"/>
        </w:rPr>
        <w:t xml:space="preserve"> </w:t>
      </w:r>
      <w:r w:rsidRPr="006A3BA5">
        <w:rPr>
          <w:rFonts w:eastAsia="Calibri"/>
          <w:sz w:val="18"/>
          <w:szCs w:val="18"/>
          <w:lang w:eastAsia="en-US"/>
        </w:rPr>
        <w:t xml:space="preserve">Hayward C, Pearson G, Milroy H, Milroy J &amp; Cox A 2006, </w:t>
      </w:r>
      <w:r w:rsidRPr="006A3BA5">
        <w:rPr>
          <w:rFonts w:eastAsia="Calibri"/>
          <w:i/>
          <w:sz w:val="18"/>
          <w:szCs w:val="18"/>
          <w:lang w:eastAsia="en-US"/>
        </w:rPr>
        <w:t>The Western Australian Aboriginal Child Health Survey: improving the educational experiences of Aboriginal Children and Young People</w:t>
      </w:r>
      <w:r w:rsidRPr="006A3BA5">
        <w:rPr>
          <w:rFonts w:eastAsia="Calibri"/>
          <w:sz w:val="18"/>
          <w:szCs w:val="18"/>
          <w:lang w:eastAsia="en-US"/>
        </w:rPr>
        <w:t xml:space="preserve">, Curtin University of Technology and Telethon Institute for Child Health Research, Perth. </w:t>
      </w:r>
      <w:r w:rsidR="00790257" w:rsidRPr="006A3BA5">
        <w:rPr>
          <w:rFonts w:eastAsia="Calibri"/>
          <w:sz w:val="18"/>
          <w:szCs w:val="18"/>
          <w:lang w:eastAsia="en-US"/>
        </w:rPr>
        <w:t>One distinctive feature of LORI is that it takes account of Indigenous language and other culturally specific geographic characteristics in its design.</w:t>
      </w:r>
    </w:p>
    <w:p w:rsidR="000073DD" w:rsidRDefault="000073DD" w:rsidP="007664DE">
      <w:pPr>
        <w:spacing w:after="0" w:line="276" w:lineRule="auto"/>
        <w:jc w:val="both"/>
        <w:rPr>
          <w:rFonts w:eastAsia="Calibri"/>
          <w:sz w:val="18"/>
          <w:szCs w:val="18"/>
          <w:lang w:eastAsia="en-US"/>
        </w:rPr>
      </w:pPr>
    </w:p>
    <w:p w:rsidR="007664DE" w:rsidRPr="007664DE" w:rsidRDefault="007664DE" w:rsidP="007664DE">
      <w:pPr>
        <w:spacing w:after="0" w:line="276" w:lineRule="auto"/>
        <w:jc w:val="both"/>
        <w:rPr>
          <w:b/>
          <w:szCs w:val="20"/>
        </w:rPr>
      </w:pPr>
      <w:r w:rsidRPr="006A3BA5">
        <w:rPr>
          <w:szCs w:val="20"/>
        </w:rPr>
        <w:t xml:space="preserve">A more complete version of this research is available in: </w:t>
      </w:r>
      <w:r w:rsidRPr="007664DE">
        <w:rPr>
          <w:b/>
          <w:szCs w:val="20"/>
        </w:rPr>
        <w:t xml:space="preserve">Yu P 2015, School enrolment and attendance of Indigenous children: an analysis using </w:t>
      </w:r>
      <w:r w:rsidRPr="007664DE">
        <w:rPr>
          <w:b/>
          <w:i/>
          <w:szCs w:val="20"/>
        </w:rPr>
        <w:t>Footprints in Time</w:t>
      </w:r>
      <w:r w:rsidRPr="007664DE">
        <w:rPr>
          <w:b/>
          <w:szCs w:val="20"/>
        </w:rPr>
        <w:t xml:space="preserve"> data, National Centre of Longitudinal Data, DSS, </w:t>
      </w:r>
      <w:proofErr w:type="gramStart"/>
      <w:r w:rsidRPr="007664DE">
        <w:rPr>
          <w:b/>
          <w:szCs w:val="20"/>
        </w:rPr>
        <w:t>Canberra</w:t>
      </w:r>
      <w:proofErr w:type="gramEnd"/>
      <w:r w:rsidRPr="007664DE">
        <w:rPr>
          <w:b/>
          <w:szCs w:val="20"/>
        </w:rPr>
        <w:t>.</w:t>
      </w:r>
    </w:p>
    <w:p w:rsidR="007664DE" w:rsidRPr="009C2F65" w:rsidRDefault="007664DE" w:rsidP="000D7569">
      <w:pPr>
        <w:spacing w:before="0" w:after="0" w:line="240" w:lineRule="auto"/>
        <w:rPr>
          <w:rFonts w:eastAsia="Calibri"/>
          <w:sz w:val="18"/>
          <w:szCs w:val="18"/>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6A3BA5" w:rsidRDefault="009E67B4" w:rsidP="006A3BA5">
    <w:pPr>
      <w:pStyle w:val="Footer"/>
      <w:jc w:val="both"/>
      <w:rPr>
        <w:rFonts w:ascii="Arial" w:hAnsi="Arial" w:cs="Arial"/>
        <w:color w:val="000000" w:themeColor="text1"/>
        <w:sz w:val="16"/>
        <w:szCs w:val="16"/>
      </w:rPr>
    </w:pPr>
    <w:r w:rsidRPr="0074638C">
      <w:rPr>
        <w:rFonts w:ascii="Arial" w:hAnsi="Arial" w:cs="Arial"/>
        <w:color w:val="000000" w:themeColor="text1"/>
        <w:sz w:val="16"/>
        <w:szCs w:val="16"/>
      </w:rPr>
      <w:t xml:space="preserve">For queries regarding this research, please email </w:t>
    </w:r>
    <w:hyperlink r:id="rId1" w:history="1">
      <w:r w:rsidRPr="006A3BA5">
        <w:rPr>
          <w:b/>
          <w:color w:val="000000" w:themeColor="text1"/>
        </w:rPr>
        <w:t>NCLD@dss.gov.au</w:t>
      </w:r>
    </w:hyperlink>
    <w:r w:rsidR="000073DD">
      <w:rPr>
        <w:b/>
        <w:color w:val="000000" w:themeColor="text1"/>
      </w:rPr>
      <w:tab/>
    </w:r>
    <w:r w:rsidRPr="006A3BA5">
      <w:rPr>
        <w:rFonts w:ascii="Arial" w:hAnsi="Arial" w:cs="Arial"/>
        <w:color w:val="000000" w:themeColor="text1"/>
        <w:sz w:val="16"/>
        <w:szCs w:val="16"/>
      </w:rPr>
      <w:t xml:space="preserve">Page </w:t>
    </w:r>
    <w:r w:rsidRPr="006A3BA5">
      <w:rPr>
        <w:rFonts w:ascii="Arial" w:hAnsi="Arial" w:cs="Arial"/>
        <w:color w:val="000000" w:themeColor="text1"/>
        <w:sz w:val="16"/>
        <w:szCs w:val="16"/>
      </w:rPr>
      <w:fldChar w:fldCharType="begin"/>
    </w:r>
    <w:r w:rsidRPr="006A3BA5">
      <w:rPr>
        <w:rFonts w:ascii="Arial" w:hAnsi="Arial" w:cs="Arial"/>
        <w:color w:val="000000" w:themeColor="text1"/>
        <w:sz w:val="16"/>
        <w:szCs w:val="16"/>
      </w:rPr>
      <w:instrText xml:space="preserve"> PAGE  \* Arabic  \* MERGEFORMAT </w:instrText>
    </w:r>
    <w:r w:rsidRPr="006A3BA5">
      <w:rPr>
        <w:rFonts w:ascii="Arial" w:hAnsi="Arial" w:cs="Arial"/>
        <w:color w:val="000000" w:themeColor="text1"/>
        <w:sz w:val="16"/>
        <w:szCs w:val="16"/>
      </w:rPr>
      <w:fldChar w:fldCharType="separate"/>
    </w:r>
    <w:r w:rsidR="00623E5C">
      <w:rPr>
        <w:rFonts w:ascii="Arial" w:hAnsi="Arial" w:cs="Arial"/>
        <w:noProof/>
        <w:color w:val="000000" w:themeColor="text1"/>
        <w:sz w:val="16"/>
        <w:szCs w:val="16"/>
      </w:rPr>
      <w:t>4</w:t>
    </w:r>
    <w:r w:rsidRPr="006A3BA5">
      <w:rPr>
        <w:rFonts w:ascii="Arial" w:hAnsi="Arial" w:cs="Arial"/>
        <w:color w:val="000000" w:themeColor="text1"/>
        <w:sz w:val="16"/>
        <w:szCs w:val="16"/>
      </w:rPr>
      <w:fldChar w:fldCharType="end"/>
    </w:r>
    <w:r w:rsidRPr="006A3BA5">
      <w:rPr>
        <w:rFonts w:ascii="Arial" w:hAnsi="Arial" w:cs="Arial"/>
        <w:color w:val="000000" w:themeColor="text1"/>
        <w:sz w:val="16"/>
        <w:szCs w:val="16"/>
      </w:rPr>
      <w:t xml:space="preserve"> of </w:t>
    </w:r>
    <w:r w:rsidRPr="006A3BA5">
      <w:rPr>
        <w:rFonts w:ascii="Arial" w:hAnsi="Arial" w:cs="Arial"/>
        <w:color w:val="000000" w:themeColor="text1"/>
        <w:sz w:val="16"/>
        <w:szCs w:val="16"/>
      </w:rPr>
      <w:fldChar w:fldCharType="begin"/>
    </w:r>
    <w:r w:rsidRPr="006A3BA5">
      <w:rPr>
        <w:rFonts w:ascii="Arial" w:hAnsi="Arial" w:cs="Arial"/>
        <w:color w:val="000000" w:themeColor="text1"/>
        <w:sz w:val="16"/>
        <w:szCs w:val="16"/>
      </w:rPr>
      <w:instrText xml:space="preserve"> NUMPAGES  \* Arabic  \* MERGEFORMAT </w:instrText>
    </w:r>
    <w:r w:rsidRPr="006A3BA5">
      <w:rPr>
        <w:rFonts w:ascii="Arial" w:hAnsi="Arial" w:cs="Arial"/>
        <w:color w:val="000000" w:themeColor="text1"/>
        <w:sz w:val="16"/>
        <w:szCs w:val="16"/>
      </w:rPr>
      <w:fldChar w:fldCharType="separate"/>
    </w:r>
    <w:r w:rsidR="00623E5C">
      <w:rPr>
        <w:rFonts w:ascii="Arial" w:hAnsi="Arial" w:cs="Arial"/>
        <w:noProof/>
        <w:color w:val="000000" w:themeColor="text1"/>
        <w:sz w:val="16"/>
        <w:szCs w:val="16"/>
      </w:rPr>
      <w:t>4</w:t>
    </w:r>
    <w:r w:rsidRPr="006A3BA5">
      <w:rPr>
        <w:rFonts w:ascii="Arial" w:hAnsi="Arial" w:cs="Arial"/>
        <w:color w:val="000000" w:themeColor="text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B4" w:rsidRPr="009E67B4" w:rsidRDefault="009E67B4" w:rsidP="009E67B4">
    <w:pPr>
      <w:pStyle w:val="Footer"/>
      <w:tabs>
        <w:tab w:val="clear" w:pos="10433"/>
        <w:tab w:val="right" w:pos="10490"/>
      </w:tabs>
      <w:jc w:val="both"/>
      <w:rPr>
        <w:rFonts w:asciiTheme="minorHAnsi" w:hAnsiTheme="minorHAnsi" w:cstheme="minorHAnsi"/>
        <w:color w:val="000000" w:themeColor="text1"/>
        <w:sz w:val="16"/>
        <w:szCs w:val="16"/>
      </w:rPr>
    </w:pPr>
    <w:r w:rsidRPr="0074638C">
      <w:rPr>
        <w:rFonts w:ascii="Arial" w:hAnsi="Arial" w:cs="Arial"/>
        <w:color w:val="000000" w:themeColor="text1"/>
        <w:sz w:val="16"/>
        <w:szCs w:val="16"/>
      </w:rPr>
      <w:t xml:space="preserve">For queries regarding this research, please email </w:t>
    </w:r>
    <w:hyperlink r:id="rId1" w:history="1">
      <w:r w:rsidRPr="00474C4D">
        <w:rPr>
          <w:rStyle w:val="Hyperlink"/>
          <w:rFonts w:ascii="Arial" w:hAnsi="Arial" w:cs="Arial"/>
          <w:sz w:val="16"/>
          <w:szCs w:val="16"/>
        </w:rPr>
        <w:t>NCLD@dss.gov.au</w:t>
      </w:r>
    </w:hyperlink>
    <w:r w:rsidR="000073DD">
      <w:rPr>
        <w:rStyle w:val="Hyperlink"/>
        <w:rFonts w:ascii="Arial" w:hAnsi="Arial" w:cs="Arial"/>
        <w:sz w:val="16"/>
        <w:szCs w:val="16"/>
      </w:rPr>
      <w:tab/>
    </w:r>
    <w:r w:rsidRPr="00B42948">
      <w:rPr>
        <w:rFonts w:asciiTheme="minorHAnsi" w:hAnsiTheme="minorHAnsi" w:cstheme="minorHAnsi"/>
        <w:color w:val="000000" w:themeColor="text1"/>
        <w:sz w:val="16"/>
        <w:szCs w:val="16"/>
      </w:rPr>
      <w:t xml:space="preserve">Page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PAGE  \* Arabic  \* MERGEFORMAT </w:instrText>
    </w:r>
    <w:r w:rsidRPr="00B42948">
      <w:rPr>
        <w:rFonts w:asciiTheme="minorHAnsi" w:hAnsiTheme="minorHAnsi" w:cstheme="minorHAnsi"/>
        <w:b/>
        <w:color w:val="000000" w:themeColor="text1"/>
        <w:sz w:val="16"/>
        <w:szCs w:val="16"/>
      </w:rPr>
      <w:fldChar w:fldCharType="separate"/>
    </w:r>
    <w:r w:rsidR="00623E5C">
      <w:rPr>
        <w:rFonts w:asciiTheme="minorHAnsi" w:hAnsiTheme="minorHAnsi" w:cstheme="minorHAnsi"/>
        <w:b/>
        <w:noProof/>
        <w:color w:val="000000" w:themeColor="text1"/>
        <w:sz w:val="16"/>
        <w:szCs w:val="16"/>
      </w:rPr>
      <w:t>1</w:t>
    </w:r>
    <w:r w:rsidRPr="00B42948">
      <w:rPr>
        <w:rFonts w:asciiTheme="minorHAnsi" w:hAnsiTheme="minorHAnsi" w:cstheme="minorHAnsi"/>
        <w:b/>
        <w:color w:val="000000" w:themeColor="text1"/>
        <w:sz w:val="16"/>
        <w:szCs w:val="16"/>
      </w:rPr>
      <w:fldChar w:fldCharType="end"/>
    </w:r>
    <w:r w:rsidRPr="00B42948">
      <w:rPr>
        <w:rFonts w:asciiTheme="minorHAnsi" w:hAnsiTheme="minorHAnsi" w:cstheme="minorHAnsi"/>
        <w:color w:val="000000" w:themeColor="text1"/>
        <w:sz w:val="16"/>
        <w:szCs w:val="16"/>
      </w:rPr>
      <w:t xml:space="preserve"> of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NUMPAGES  \* Arabic  \* MERGEFORMAT </w:instrText>
    </w:r>
    <w:r w:rsidRPr="00B42948">
      <w:rPr>
        <w:rFonts w:asciiTheme="minorHAnsi" w:hAnsiTheme="minorHAnsi" w:cstheme="minorHAnsi"/>
        <w:b/>
        <w:color w:val="000000" w:themeColor="text1"/>
        <w:sz w:val="16"/>
        <w:szCs w:val="16"/>
      </w:rPr>
      <w:fldChar w:fldCharType="separate"/>
    </w:r>
    <w:r w:rsidR="00623E5C">
      <w:rPr>
        <w:rFonts w:asciiTheme="minorHAnsi" w:hAnsiTheme="minorHAnsi" w:cstheme="minorHAnsi"/>
        <w:b/>
        <w:noProof/>
        <w:color w:val="000000" w:themeColor="text1"/>
        <w:sz w:val="16"/>
        <w:szCs w:val="16"/>
      </w:rPr>
      <w:t>4</w:t>
    </w:r>
    <w:r w:rsidRPr="00B42948">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6C7" w:rsidRDefault="007426C7">
      <w:r>
        <w:separator/>
      </w:r>
    </w:p>
  </w:footnote>
  <w:footnote w:type="continuationSeparator" w:id="0">
    <w:p w:rsidR="007426C7" w:rsidRDefault="00742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B4" w:rsidRDefault="009E67B4" w:rsidP="009E67B4">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B4" w:rsidRDefault="009E67B4" w:rsidP="009E67B4">
    <w:pPr>
      <w:pStyle w:val="Header"/>
      <w:spacing w:after="120"/>
      <w:rPr>
        <w:noProof/>
      </w:rPr>
    </w:pPr>
    <w:r w:rsidRPr="00360B93">
      <w:rPr>
        <w:noProof/>
      </w:rPr>
      <w:drawing>
        <wp:anchor distT="0" distB="0" distL="114300" distR="114300" simplePos="0" relativeHeight="251659264" behindDoc="0" locked="0" layoutInCell="1" allowOverlap="1" wp14:anchorId="2ABE7B37" wp14:editId="6889BD3A">
          <wp:simplePos x="0" y="0"/>
          <wp:positionH relativeFrom="column">
            <wp:posOffset>-31115</wp:posOffset>
          </wp:positionH>
          <wp:positionV relativeFrom="paragraph">
            <wp:posOffset>-127635</wp:posOffset>
          </wp:positionV>
          <wp:extent cx="2313940" cy="616585"/>
          <wp:effectExtent l="0" t="0" r="0" b="0"/>
          <wp:wrapNone/>
          <wp:docPr id="9" name="Picture 20"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1" name="Picture 20" descr="Australian Government, Department of Social Services logo"/>
                  <pic:cNvPicPr/>
                </pic:nvPicPr>
                <pic:blipFill rotWithShape="1">
                  <a:blip r:embed="rId1" cstate="print">
                    <a:extLst>
                      <a:ext uri="{28A0092B-C50C-407E-A947-70E740481C1C}">
                        <a14:useLocalDpi xmlns:a14="http://schemas.microsoft.com/office/drawing/2010/main" val="0"/>
                      </a:ext>
                    </a:extLst>
                  </a:blip>
                  <a:srcRect l="6380" r="57907" b="50000"/>
                  <a:stretch/>
                </pic:blipFill>
                <pic:spPr>
                  <a:xfrm>
                    <a:off x="0" y="0"/>
                    <a:ext cx="2313940" cy="616585"/>
                  </a:xfrm>
                  <a:prstGeom prst="rect">
                    <a:avLst/>
                  </a:prstGeom>
                </pic:spPr>
              </pic:pic>
            </a:graphicData>
          </a:graphic>
        </wp:anchor>
      </w:drawing>
    </w:r>
  </w:p>
  <w:p w:rsidR="009E67B4" w:rsidRDefault="004736ED" w:rsidP="009E67B4">
    <w:pPr>
      <w:pStyle w:val="Header"/>
      <w:spacing w:after="120"/>
      <w:rPr>
        <w:noProof/>
      </w:rPr>
    </w:pPr>
    <w:r>
      <w:rPr>
        <w:rFonts w:ascii="Calibri" w:hAnsi="Calibri"/>
        <w:b/>
        <w:bCs/>
        <w:smallCaps/>
        <w:noProof/>
        <w:color w:val="500778"/>
        <w:kern w:val="24"/>
        <w:sz w:val="40"/>
        <w:szCs w:val="40"/>
      </w:rPr>
      <w:drawing>
        <wp:anchor distT="0" distB="0" distL="114300" distR="114300" simplePos="0" relativeHeight="251660288" behindDoc="1" locked="0" layoutInCell="1" allowOverlap="1" wp14:anchorId="072D4885" wp14:editId="6F43BFC0">
          <wp:simplePos x="0" y="0"/>
          <wp:positionH relativeFrom="column">
            <wp:posOffset>4560570</wp:posOffset>
          </wp:positionH>
          <wp:positionV relativeFrom="paragraph">
            <wp:posOffset>13970</wp:posOffset>
          </wp:positionV>
          <wp:extent cx="1666875" cy="762000"/>
          <wp:effectExtent l="0" t="0" r="9525" b="0"/>
          <wp:wrapNone/>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66875" cy="762000"/>
                  </a:xfrm>
                  <a:prstGeom prst="rect">
                    <a:avLst/>
                  </a:prstGeom>
                  <a:noFill/>
                </pic:spPr>
              </pic:pic>
            </a:graphicData>
          </a:graphic>
          <wp14:sizeRelH relativeFrom="margin">
            <wp14:pctWidth>0</wp14:pctWidth>
          </wp14:sizeRelH>
          <wp14:sizeRelV relativeFrom="margin">
            <wp14:pctHeight>0</wp14:pctHeight>
          </wp14:sizeRelV>
        </wp:anchor>
      </w:drawing>
    </w:r>
  </w:p>
  <w:p w:rsidR="009E67B4" w:rsidRDefault="009E67B4" w:rsidP="009E67B4">
    <w:pPr>
      <w:pStyle w:val="Header"/>
      <w:spacing w:after="120"/>
      <w:rPr>
        <w:noProof/>
      </w:rPr>
    </w:pPr>
  </w:p>
  <w:p w:rsidR="00390DE8" w:rsidRDefault="00390DE8" w:rsidP="00390DE8">
    <w:pPr>
      <w:pStyle w:val="NormalWeb"/>
      <w:spacing w:before="0" w:beforeAutospacing="0" w:after="0" w:afterAutospacing="0"/>
      <w:rPr>
        <w:rFonts w:ascii="Georgia" w:hAnsi="Georgia" w:cstheme="minorHAnsi"/>
        <w:b/>
        <w:bCs/>
        <w:color w:val="500778"/>
        <w:kern w:val="24"/>
        <w:sz w:val="28"/>
        <w:szCs w:val="32"/>
      </w:rPr>
    </w:pPr>
  </w:p>
  <w:p w:rsidR="009E67B4" w:rsidRPr="00390DE8" w:rsidRDefault="00390DE8" w:rsidP="00390DE8">
    <w:pPr>
      <w:pStyle w:val="NormalWeb"/>
      <w:spacing w:before="0" w:beforeAutospacing="0" w:after="120" w:afterAutospacing="0"/>
      <w:rPr>
        <w:rFonts w:ascii="Georgia" w:hAnsi="Georgia" w:cstheme="minorHAnsi"/>
        <w:sz w:val="28"/>
      </w:rPr>
    </w:pPr>
    <w:r w:rsidRPr="00901FB7">
      <w:rPr>
        <w:rFonts w:ascii="Georgia" w:hAnsi="Georgia" w:cstheme="minorHAnsi"/>
        <w:b/>
        <w:bCs/>
        <w:color w:val="500778"/>
        <w:kern w:val="24"/>
        <w:sz w:val="28"/>
        <w:szCs w:val="32"/>
      </w:rPr>
      <w:t>National Centre for Longitudinal Data</w:t>
    </w:r>
  </w:p>
  <w:p w:rsidR="0009177D" w:rsidRPr="004736ED" w:rsidRDefault="004736ED" w:rsidP="009E67B4">
    <w:pPr>
      <w:pStyle w:val="Header"/>
      <w:tabs>
        <w:tab w:val="clear" w:pos="4153"/>
        <w:tab w:val="clear" w:pos="8306"/>
        <w:tab w:val="right" w:pos="9639"/>
      </w:tabs>
      <w:spacing w:after="0"/>
      <w:contextualSpacing w:val="0"/>
      <w:rPr>
        <w:noProof/>
        <w:color w:val="FFFFFF" w:themeColor="background1"/>
      </w:rPr>
    </w:pPr>
    <w:r w:rsidRPr="00901FB7">
      <w:rPr>
        <w:noProof/>
        <w:color w:val="FFFFFF" w:themeColor="background1"/>
      </w:rPr>
      <mc:AlternateContent>
        <mc:Choice Requires="wps">
          <w:drawing>
            <wp:anchor distT="0" distB="0" distL="114300" distR="114300" simplePos="0" relativeHeight="251662336" behindDoc="0" locked="0" layoutInCell="1" allowOverlap="1" wp14:anchorId="1485C966" wp14:editId="6B8BFEFB">
              <wp:simplePos x="0" y="0"/>
              <wp:positionH relativeFrom="column">
                <wp:align>left</wp:align>
              </wp:positionH>
              <wp:positionV relativeFrom="paragraph">
                <wp:posOffset>6985</wp:posOffset>
              </wp:positionV>
              <wp:extent cx="6249035" cy="0"/>
              <wp:effectExtent l="0" t="0" r="18415" b="19050"/>
              <wp:wrapNone/>
              <wp:docPr id="2" name="Straight Connector 4" descr="Decorative"/>
              <wp:cNvGraphicFramePr/>
              <a:graphic xmlns:a="http://schemas.openxmlformats.org/drawingml/2006/main">
                <a:graphicData uri="http://schemas.microsoft.com/office/word/2010/wordprocessingShape">
                  <wps:wsp>
                    <wps:cNvCnPr/>
                    <wps:spPr>
                      <a:xfrm>
                        <a:off x="0" y="0"/>
                        <a:ext cx="6249600" cy="0"/>
                      </a:xfrm>
                      <a:prstGeom prst="line">
                        <a:avLst/>
                      </a:prstGeom>
                      <a:ln w="19050">
                        <a:solidFill>
                          <a:srgbClr val="5007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alt="Decorative" style="position:absolute;z-index:25166233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55pt" to="49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h7AEAACEEAAAOAAAAZHJzL2Uyb0RvYy54bWysU8tu2zAQvBfoPxC815KNxEkEyznYSC9F&#10;azTpB9DUUiLAh7BkLfvvu6RkJWiLAi16obTkzuzscLl5PFvDToBBe1fz5aLkDJz0jXZtzb+9PH24&#10;5yxE4RphvIOaXyDwx+37d5uhr2DlO28aQEYkLlRDX/Muxr4qiiA7sCIsfA+ODpVHKyKF2BYNioHY&#10;rSlWZbkuBo9Nj15CCLS7Hw/5NvMrBTJ+USpAZKbmpC3mFfN6TGux3YiqRdF3Wk4yxD+osEI7KjpT&#10;7UUU7DvqX6isluiDV3EhvS28UlpC7oG6WZY/dfPciR5yL2RO6Gebwv+jlZ9PB2S6qfmKMycsXdFz&#10;RKHbLrKdd44M9MhuOGsgSPJtD9KjiPoEybqhDxUx7NwBpyj0B0w+nBXa9KUO2TnbfZnthnNkkjbX&#10;q5uHdUm3Iq9nxSuwxxA/grcs/dTcaJecEJU4fQqRilHqNSVtG8cGmr+H8rbMacEb3TxpY9JhwPa4&#10;M8hOgqbgtizv7u6TeqJ4k0aRcbSZehq7yH/xYmAs8BUUGUW6l2OFNKIw0wopwcXlxGscZSeYIgkz&#10;cJL2J+CUn6CQx/dvwDMiV/YuzmCrncffyY7nq2Q15l8dGPtOFhx9c8n3m62hOczOTW8mDfrbOMNf&#10;X/b2BwAAAP//AwBQSwMEFAAGAAgAAAAhAMotm7zbAAAABAEAAA8AAABkcnMvZG93bnJldi54bWxM&#10;j91Kw0AQhe+FvsMyBW/EbiIiTcymqCBYxYLRB9hmJz+6Oxuy2zb16R29sXdz5gxnvlOsJmfFHsfQ&#10;e1KQLhIQSLU3PbUKPt4fL5cgQtRktPWECo4YYFXOzgqdG3+gN9xXsRUcQiHXCroYh1zKUHfodFj4&#10;AYm9xo9OR5ZjK82oDxzurLxKkhvpdE/8odMDPnRYf1U7pyBbZ8fn13UaP7+fXprqopb3dtModT6f&#10;7m5BRJzi/zH84jM6lMy09TsyQVgFXCTyNgXBZra85mH7p2VZyFP48gcAAP//AwBQSwECLQAUAAYA&#10;CAAAACEAtoM4kv4AAADhAQAAEwAAAAAAAAAAAAAAAAAAAAAAW0NvbnRlbnRfVHlwZXNdLnhtbFBL&#10;AQItABQABgAIAAAAIQA4/SH/1gAAAJQBAAALAAAAAAAAAAAAAAAAAC8BAABfcmVscy8ucmVsc1BL&#10;AQItABQABgAIAAAAIQDS+3Mh7AEAACEEAAAOAAAAAAAAAAAAAAAAAC4CAABkcnMvZTJvRG9jLnht&#10;bFBLAQItABQABgAIAAAAIQDKLZu82wAAAAQBAAAPAAAAAAAAAAAAAAAAAEYEAABkcnMvZG93bnJl&#10;di54bWxQSwUGAAAAAAQABADzAAAATgUAAAAA&#10;" strokecolor="#500778"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9C4483"/>
    <w:multiLevelType w:val="hybridMultilevel"/>
    <w:tmpl w:val="346C5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FE3BC3"/>
    <w:multiLevelType w:val="hybridMultilevel"/>
    <w:tmpl w:val="07688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7"/>
  </w:num>
  <w:num w:numId="24">
    <w:abstractNumId w:val="60"/>
  </w:num>
  <w:num w:numId="25">
    <w:abstractNumId w:val="34"/>
  </w:num>
  <w:num w:numId="26">
    <w:abstractNumId w:val="39"/>
  </w:num>
  <w:num w:numId="27">
    <w:abstractNumId w:val="19"/>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3"/>
  </w:num>
  <w:num w:numId="41">
    <w:abstractNumId w:val="37"/>
  </w:num>
  <w:num w:numId="42">
    <w:abstractNumId w:val="22"/>
  </w:num>
  <w:num w:numId="43">
    <w:abstractNumId w:val="14"/>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6"/>
  </w:num>
  <w:num w:numId="60">
    <w:abstractNumId w:val="6"/>
  </w:num>
  <w:num w:numId="61">
    <w:abstractNumId w:val="20"/>
  </w:num>
  <w:num w:numId="62">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C6"/>
    <w:rsid w:val="00002C18"/>
    <w:rsid w:val="000073DD"/>
    <w:rsid w:val="00010549"/>
    <w:rsid w:val="00012F84"/>
    <w:rsid w:val="00013F99"/>
    <w:rsid w:val="00025376"/>
    <w:rsid w:val="00027B26"/>
    <w:rsid w:val="0003104E"/>
    <w:rsid w:val="00031195"/>
    <w:rsid w:val="00032861"/>
    <w:rsid w:val="00035CA1"/>
    <w:rsid w:val="0003679F"/>
    <w:rsid w:val="00040054"/>
    <w:rsid w:val="000435BB"/>
    <w:rsid w:val="00045CCD"/>
    <w:rsid w:val="00047524"/>
    <w:rsid w:val="00047ACD"/>
    <w:rsid w:val="000505B2"/>
    <w:rsid w:val="00050E5B"/>
    <w:rsid w:val="000547EF"/>
    <w:rsid w:val="00054B89"/>
    <w:rsid w:val="00067CD0"/>
    <w:rsid w:val="00074CF9"/>
    <w:rsid w:val="00080ECC"/>
    <w:rsid w:val="00080F2E"/>
    <w:rsid w:val="00081CEB"/>
    <w:rsid w:val="0008315C"/>
    <w:rsid w:val="00083791"/>
    <w:rsid w:val="00086E3C"/>
    <w:rsid w:val="00087B2C"/>
    <w:rsid w:val="00087DBD"/>
    <w:rsid w:val="00090570"/>
    <w:rsid w:val="00090753"/>
    <w:rsid w:val="0009177D"/>
    <w:rsid w:val="00094FB3"/>
    <w:rsid w:val="000950D3"/>
    <w:rsid w:val="00096F54"/>
    <w:rsid w:val="00097BFF"/>
    <w:rsid w:val="000A669D"/>
    <w:rsid w:val="000A66A8"/>
    <w:rsid w:val="000B7761"/>
    <w:rsid w:val="000C014D"/>
    <w:rsid w:val="000C22CB"/>
    <w:rsid w:val="000D4703"/>
    <w:rsid w:val="000D693C"/>
    <w:rsid w:val="000D7569"/>
    <w:rsid w:val="000E12D4"/>
    <w:rsid w:val="000E460F"/>
    <w:rsid w:val="00104669"/>
    <w:rsid w:val="00110028"/>
    <w:rsid w:val="00113CBB"/>
    <w:rsid w:val="0011461E"/>
    <w:rsid w:val="00116EDF"/>
    <w:rsid w:val="00124B26"/>
    <w:rsid w:val="00130C4E"/>
    <w:rsid w:val="00131B54"/>
    <w:rsid w:val="00133F98"/>
    <w:rsid w:val="001354B7"/>
    <w:rsid w:val="00136E63"/>
    <w:rsid w:val="001404FA"/>
    <w:rsid w:val="001413C5"/>
    <w:rsid w:val="00142956"/>
    <w:rsid w:val="00143502"/>
    <w:rsid w:val="00144494"/>
    <w:rsid w:val="00144868"/>
    <w:rsid w:val="00157709"/>
    <w:rsid w:val="00167330"/>
    <w:rsid w:val="00167CF4"/>
    <w:rsid w:val="001744F6"/>
    <w:rsid w:val="00184120"/>
    <w:rsid w:val="00185F6A"/>
    <w:rsid w:val="001943DD"/>
    <w:rsid w:val="00195374"/>
    <w:rsid w:val="001A127F"/>
    <w:rsid w:val="001A1F53"/>
    <w:rsid w:val="001A3CA4"/>
    <w:rsid w:val="001A3EA4"/>
    <w:rsid w:val="001A4DC5"/>
    <w:rsid w:val="001B3AEC"/>
    <w:rsid w:val="001B5000"/>
    <w:rsid w:val="001B6F28"/>
    <w:rsid w:val="001C5303"/>
    <w:rsid w:val="001C60E8"/>
    <w:rsid w:val="001D0326"/>
    <w:rsid w:val="001D0D5D"/>
    <w:rsid w:val="001D4585"/>
    <w:rsid w:val="001D5D54"/>
    <w:rsid w:val="001E41C8"/>
    <w:rsid w:val="001F3AD7"/>
    <w:rsid w:val="00207630"/>
    <w:rsid w:val="00210AEB"/>
    <w:rsid w:val="00213082"/>
    <w:rsid w:val="00213B52"/>
    <w:rsid w:val="0021714E"/>
    <w:rsid w:val="00222187"/>
    <w:rsid w:val="00222C8D"/>
    <w:rsid w:val="00222E33"/>
    <w:rsid w:val="00227B95"/>
    <w:rsid w:val="0023516E"/>
    <w:rsid w:val="0023523A"/>
    <w:rsid w:val="002353DF"/>
    <w:rsid w:val="00235F71"/>
    <w:rsid w:val="0025272A"/>
    <w:rsid w:val="00257B62"/>
    <w:rsid w:val="00271922"/>
    <w:rsid w:val="0027204E"/>
    <w:rsid w:val="00273412"/>
    <w:rsid w:val="00274ACF"/>
    <w:rsid w:val="002750CE"/>
    <w:rsid w:val="00285F1B"/>
    <w:rsid w:val="00290AAC"/>
    <w:rsid w:val="00295831"/>
    <w:rsid w:val="00296F1B"/>
    <w:rsid w:val="002A6DF5"/>
    <w:rsid w:val="002D00B0"/>
    <w:rsid w:val="002D2E16"/>
    <w:rsid w:val="002D5C14"/>
    <w:rsid w:val="002F0172"/>
    <w:rsid w:val="002F03B8"/>
    <w:rsid w:val="002F19EF"/>
    <w:rsid w:val="00302415"/>
    <w:rsid w:val="003102F6"/>
    <w:rsid w:val="00313304"/>
    <w:rsid w:val="00313C48"/>
    <w:rsid w:val="003162AD"/>
    <w:rsid w:val="00321148"/>
    <w:rsid w:val="00321798"/>
    <w:rsid w:val="003218C6"/>
    <w:rsid w:val="00325F44"/>
    <w:rsid w:val="00326976"/>
    <w:rsid w:val="0032758A"/>
    <w:rsid w:val="003311D7"/>
    <w:rsid w:val="00332B8B"/>
    <w:rsid w:val="00347104"/>
    <w:rsid w:val="0035213F"/>
    <w:rsid w:val="003555D2"/>
    <w:rsid w:val="00360B93"/>
    <w:rsid w:val="00363DF3"/>
    <w:rsid w:val="003656B1"/>
    <w:rsid w:val="0037056B"/>
    <w:rsid w:val="00377173"/>
    <w:rsid w:val="003774DA"/>
    <w:rsid w:val="00390DE8"/>
    <w:rsid w:val="00392557"/>
    <w:rsid w:val="003945C0"/>
    <w:rsid w:val="003A06C2"/>
    <w:rsid w:val="003A4067"/>
    <w:rsid w:val="003B6D2E"/>
    <w:rsid w:val="003C2F45"/>
    <w:rsid w:val="003C430D"/>
    <w:rsid w:val="003C7404"/>
    <w:rsid w:val="003D3C5A"/>
    <w:rsid w:val="003D404A"/>
    <w:rsid w:val="003E6FDA"/>
    <w:rsid w:val="003F3072"/>
    <w:rsid w:val="00401A2A"/>
    <w:rsid w:val="004103D7"/>
    <w:rsid w:val="0041307C"/>
    <w:rsid w:val="004167B4"/>
    <w:rsid w:val="00421703"/>
    <w:rsid w:val="00430062"/>
    <w:rsid w:val="00430D7E"/>
    <w:rsid w:val="004316C9"/>
    <w:rsid w:val="00433B04"/>
    <w:rsid w:val="00440BD3"/>
    <w:rsid w:val="00446F93"/>
    <w:rsid w:val="004649E2"/>
    <w:rsid w:val="00464E8C"/>
    <w:rsid w:val="00466D36"/>
    <w:rsid w:val="00467185"/>
    <w:rsid w:val="0047050C"/>
    <w:rsid w:val="004736ED"/>
    <w:rsid w:val="00475504"/>
    <w:rsid w:val="00480F21"/>
    <w:rsid w:val="00484FED"/>
    <w:rsid w:val="00495AF1"/>
    <w:rsid w:val="004A0B81"/>
    <w:rsid w:val="004A7FD7"/>
    <w:rsid w:val="004E12EE"/>
    <w:rsid w:val="004E5EBE"/>
    <w:rsid w:val="004F775C"/>
    <w:rsid w:val="005000E1"/>
    <w:rsid w:val="005015E4"/>
    <w:rsid w:val="0050291D"/>
    <w:rsid w:val="0050697E"/>
    <w:rsid w:val="00524B3C"/>
    <w:rsid w:val="005315A9"/>
    <w:rsid w:val="005316BE"/>
    <w:rsid w:val="00532B56"/>
    <w:rsid w:val="00540AD0"/>
    <w:rsid w:val="0054322A"/>
    <w:rsid w:val="0054330D"/>
    <w:rsid w:val="00543923"/>
    <w:rsid w:val="005519C9"/>
    <w:rsid w:val="005523D1"/>
    <w:rsid w:val="00554A9C"/>
    <w:rsid w:val="00557624"/>
    <w:rsid w:val="0056023E"/>
    <w:rsid w:val="00560FF3"/>
    <w:rsid w:val="00564573"/>
    <w:rsid w:val="005658EF"/>
    <w:rsid w:val="00581DFC"/>
    <w:rsid w:val="005822A3"/>
    <w:rsid w:val="0059070B"/>
    <w:rsid w:val="00594445"/>
    <w:rsid w:val="00594C11"/>
    <w:rsid w:val="005B1225"/>
    <w:rsid w:val="005B3BDA"/>
    <w:rsid w:val="005B64BA"/>
    <w:rsid w:val="005C09F4"/>
    <w:rsid w:val="005C1916"/>
    <w:rsid w:val="005C21EB"/>
    <w:rsid w:val="005C561A"/>
    <w:rsid w:val="005C5B93"/>
    <w:rsid w:val="005C66FF"/>
    <w:rsid w:val="005C785A"/>
    <w:rsid w:val="005D03CA"/>
    <w:rsid w:val="005D2923"/>
    <w:rsid w:val="005D45AB"/>
    <w:rsid w:val="005E4662"/>
    <w:rsid w:val="005F093F"/>
    <w:rsid w:val="005F214A"/>
    <w:rsid w:val="005F6BD6"/>
    <w:rsid w:val="00601C99"/>
    <w:rsid w:val="00607597"/>
    <w:rsid w:val="00623E5C"/>
    <w:rsid w:val="006255E4"/>
    <w:rsid w:val="00630D3B"/>
    <w:rsid w:val="00631ED3"/>
    <w:rsid w:val="0063640E"/>
    <w:rsid w:val="00641020"/>
    <w:rsid w:val="006410C1"/>
    <w:rsid w:val="00646F21"/>
    <w:rsid w:val="00647F05"/>
    <w:rsid w:val="006530EF"/>
    <w:rsid w:val="00654D06"/>
    <w:rsid w:val="00661536"/>
    <w:rsid w:val="0067233D"/>
    <w:rsid w:val="006745AE"/>
    <w:rsid w:val="00675287"/>
    <w:rsid w:val="00675BEF"/>
    <w:rsid w:val="00675D8A"/>
    <w:rsid w:val="00676AF3"/>
    <w:rsid w:val="00676D10"/>
    <w:rsid w:val="00680F71"/>
    <w:rsid w:val="00682A53"/>
    <w:rsid w:val="0069174B"/>
    <w:rsid w:val="00693FA1"/>
    <w:rsid w:val="006A1A4C"/>
    <w:rsid w:val="006A3BA5"/>
    <w:rsid w:val="006B05E3"/>
    <w:rsid w:val="006B09BC"/>
    <w:rsid w:val="006B42A0"/>
    <w:rsid w:val="006B4E59"/>
    <w:rsid w:val="006C28D1"/>
    <w:rsid w:val="006C3402"/>
    <w:rsid w:val="006C3622"/>
    <w:rsid w:val="006C395C"/>
    <w:rsid w:val="006C45D4"/>
    <w:rsid w:val="006D0041"/>
    <w:rsid w:val="006E1F3C"/>
    <w:rsid w:val="006E6073"/>
    <w:rsid w:val="006F7300"/>
    <w:rsid w:val="00702644"/>
    <w:rsid w:val="00703C09"/>
    <w:rsid w:val="00707BCA"/>
    <w:rsid w:val="00712300"/>
    <w:rsid w:val="00720739"/>
    <w:rsid w:val="00721695"/>
    <w:rsid w:val="007242B4"/>
    <w:rsid w:val="00725FB2"/>
    <w:rsid w:val="00730C64"/>
    <w:rsid w:val="007322AF"/>
    <w:rsid w:val="00735477"/>
    <w:rsid w:val="00736DCA"/>
    <w:rsid w:val="00742399"/>
    <w:rsid w:val="007426C7"/>
    <w:rsid w:val="007457E8"/>
    <w:rsid w:val="0074640C"/>
    <w:rsid w:val="00747357"/>
    <w:rsid w:val="0075003D"/>
    <w:rsid w:val="00751B37"/>
    <w:rsid w:val="00754D44"/>
    <w:rsid w:val="007664DE"/>
    <w:rsid w:val="00767B7E"/>
    <w:rsid w:val="007746A9"/>
    <w:rsid w:val="0078254A"/>
    <w:rsid w:val="00785465"/>
    <w:rsid w:val="00787656"/>
    <w:rsid w:val="00790257"/>
    <w:rsid w:val="0079294A"/>
    <w:rsid w:val="00794E8B"/>
    <w:rsid w:val="007956D4"/>
    <w:rsid w:val="00797744"/>
    <w:rsid w:val="007A67EA"/>
    <w:rsid w:val="007B15AF"/>
    <w:rsid w:val="007B7E83"/>
    <w:rsid w:val="007C1631"/>
    <w:rsid w:val="007C636F"/>
    <w:rsid w:val="007D0EF8"/>
    <w:rsid w:val="007D39EB"/>
    <w:rsid w:val="0080107E"/>
    <w:rsid w:val="00803774"/>
    <w:rsid w:val="008131E7"/>
    <w:rsid w:val="00813711"/>
    <w:rsid w:val="00814279"/>
    <w:rsid w:val="0082453C"/>
    <w:rsid w:val="008263C2"/>
    <w:rsid w:val="008375EE"/>
    <w:rsid w:val="00840F59"/>
    <w:rsid w:val="00842959"/>
    <w:rsid w:val="008448D7"/>
    <w:rsid w:val="008451FE"/>
    <w:rsid w:val="008466A1"/>
    <w:rsid w:val="00846C1D"/>
    <w:rsid w:val="00851758"/>
    <w:rsid w:val="00856D5A"/>
    <w:rsid w:val="008609EB"/>
    <w:rsid w:val="00860A2B"/>
    <w:rsid w:val="00862D6D"/>
    <w:rsid w:val="008653E0"/>
    <w:rsid w:val="008657FB"/>
    <w:rsid w:val="0086775F"/>
    <w:rsid w:val="00871D4F"/>
    <w:rsid w:val="00874FB3"/>
    <w:rsid w:val="00880BE3"/>
    <w:rsid w:val="00882588"/>
    <w:rsid w:val="008829F0"/>
    <w:rsid w:val="00895792"/>
    <w:rsid w:val="00896D38"/>
    <w:rsid w:val="008A3738"/>
    <w:rsid w:val="008B645B"/>
    <w:rsid w:val="008B67B8"/>
    <w:rsid w:val="008B774D"/>
    <w:rsid w:val="008C123E"/>
    <w:rsid w:val="008C3ED0"/>
    <w:rsid w:val="008C5585"/>
    <w:rsid w:val="008C5E94"/>
    <w:rsid w:val="008D2EC5"/>
    <w:rsid w:val="008E325C"/>
    <w:rsid w:val="008E6E9D"/>
    <w:rsid w:val="008F1655"/>
    <w:rsid w:val="008F68F7"/>
    <w:rsid w:val="008F7480"/>
    <w:rsid w:val="009037B6"/>
    <w:rsid w:val="00906CBE"/>
    <w:rsid w:val="00906FFA"/>
    <w:rsid w:val="00910384"/>
    <w:rsid w:val="009139C0"/>
    <w:rsid w:val="009161C8"/>
    <w:rsid w:val="009164AD"/>
    <w:rsid w:val="00922289"/>
    <w:rsid w:val="00932263"/>
    <w:rsid w:val="00936F46"/>
    <w:rsid w:val="0094271E"/>
    <w:rsid w:val="00943142"/>
    <w:rsid w:val="00943A29"/>
    <w:rsid w:val="0095197E"/>
    <w:rsid w:val="00952AB2"/>
    <w:rsid w:val="009551E0"/>
    <w:rsid w:val="00955801"/>
    <w:rsid w:val="0095654E"/>
    <w:rsid w:val="00956F3C"/>
    <w:rsid w:val="0095779B"/>
    <w:rsid w:val="0096485D"/>
    <w:rsid w:val="00987120"/>
    <w:rsid w:val="009900F0"/>
    <w:rsid w:val="00991769"/>
    <w:rsid w:val="00994E9F"/>
    <w:rsid w:val="00996931"/>
    <w:rsid w:val="009A0E7B"/>
    <w:rsid w:val="009A4CD8"/>
    <w:rsid w:val="009B3ED1"/>
    <w:rsid w:val="009C2F65"/>
    <w:rsid w:val="009C433C"/>
    <w:rsid w:val="009D28B7"/>
    <w:rsid w:val="009D7E1A"/>
    <w:rsid w:val="009E2162"/>
    <w:rsid w:val="009E67B4"/>
    <w:rsid w:val="00A006EB"/>
    <w:rsid w:val="00A03178"/>
    <w:rsid w:val="00A03709"/>
    <w:rsid w:val="00A06C77"/>
    <w:rsid w:val="00A10147"/>
    <w:rsid w:val="00A107BD"/>
    <w:rsid w:val="00A13D26"/>
    <w:rsid w:val="00A146A5"/>
    <w:rsid w:val="00A17411"/>
    <w:rsid w:val="00A2223D"/>
    <w:rsid w:val="00A223EF"/>
    <w:rsid w:val="00A22DF8"/>
    <w:rsid w:val="00A33E15"/>
    <w:rsid w:val="00A34A74"/>
    <w:rsid w:val="00A35351"/>
    <w:rsid w:val="00A42ADE"/>
    <w:rsid w:val="00A503D9"/>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02E7"/>
    <w:rsid w:val="00AE5956"/>
    <w:rsid w:val="00AE619F"/>
    <w:rsid w:val="00AF373A"/>
    <w:rsid w:val="00AF79FF"/>
    <w:rsid w:val="00AF7EFE"/>
    <w:rsid w:val="00B0067B"/>
    <w:rsid w:val="00B03BEE"/>
    <w:rsid w:val="00B04744"/>
    <w:rsid w:val="00B049AA"/>
    <w:rsid w:val="00B0517E"/>
    <w:rsid w:val="00B056E2"/>
    <w:rsid w:val="00B11314"/>
    <w:rsid w:val="00B1192C"/>
    <w:rsid w:val="00B138E3"/>
    <w:rsid w:val="00B16942"/>
    <w:rsid w:val="00B23267"/>
    <w:rsid w:val="00B25891"/>
    <w:rsid w:val="00B27149"/>
    <w:rsid w:val="00B27996"/>
    <w:rsid w:val="00B40D26"/>
    <w:rsid w:val="00B4451B"/>
    <w:rsid w:val="00B51316"/>
    <w:rsid w:val="00B72D62"/>
    <w:rsid w:val="00B74B6C"/>
    <w:rsid w:val="00B843C8"/>
    <w:rsid w:val="00B951E2"/>
    <w:rsid w:val="00B96F37"/>
    <w:rsid w:val="00BA223F"/>
    <w:rsid w:val="00BA607C"/>
    <w:rsid w:val="00BB3E2A"/>
    <w:rsid w:val="00BB7611"/>
    <w:rsid w:val="00BC16F5"/>
    <w:rsid w:val="00BC287D"/>
    <w:rsid w:val="00BC4A76"/>
    <w:rsid w:val="00BD32E5"/>
    <w:rsid w:val="00BD7ADD"/>
    <w:rsid w:val="00BE41C3"/>
    <w:rsid w:val="00BE6767"/>
    <w:rsid w:val="00BE68D7"/>
    <w:rsid w:val="00BE6C28"/>
    <w:rsid w:val="00BF7763"/>
    <w:rsid w:val="00C04D5E"/>
    <w:rsid w:val="00C114F2"/>
    <w:rsid w:val="00C17AD7"/>
    <w:rsid w:val="00C24EA2"/>
    <w:rsid w:val="00C24F70"/>
    <w:rsid w:val="00C25836"/>
    <w:rsid w:val="00C33479"/>
    <w:rsid w:val="00C47BA2"/>
    <w:rsid w:val="00C612DC"/>
    <w:rsid w:val="00C622CB"/>
    <w:rsid w:val="00C64D15"/>
    <w:rsid w:val="00C74F74"/>
    <w:rsid w:val="00C7554B"/>
    <w:rsid w:val="00C765CC"/>
    <w:rsid w:val="00C83E31"/>
    <w:rsid w:val="00C84D18"/>
    <w:rsid w:val="00C916A4"/>
    <w:rsid w:val="00CA2A52"/>
    <w:rsid w:val="00CA2B15"/>
    <w:rsid w:val="00CA42BC"/>
    <w:rsid w:val="00CA6490"/>
    <w:rsid w:val="00CB5744"/>
    <w:rsid w:val="00CB7022"/>
    <w:rsid w:val="00CC4767"/>
    <w:rsid w:val="00CD1937"/>
    <w:rsid w:val="00CE214C"/>
    <w:rsid w:val="00CE34C8"/>
    <w:rsid w:val="00CE6858"/>
    <w:rsid w:val="00CF50BE"/>
    <w:rsid w:val="00CF6A52"/>
    <w:rsid w:val="00D0262E"/>
    <w:rsid w:val="00D027DB"/>
    <w:rsid w:val="00D0322E"/>
    <w:rsid w:val="00D03583"/>
    <w:rsid w:val="00D117B4"/>
    <w:rsid w:val="00D122EF"/>
    <w:rsid w:val="00D169F7"/>
    <w:rsid w:val="00D26D01"/>
    <w:rsid w:val="00D33DA3"/>
    <w:rsid w:val="00D3536F"/>
    <w:rsid w:val="00D4723B"/>
    <w:rsid w:val="00D55EE8"/>
    <w:rsid w:val="00D5785A"/>
    <w:rsid w:val="00D64C48"/>
    <w:rsid w:val="00D731C4"/>
    <w:rsid w:val="00D76BB8"/>
    <w:rsid w:val="00D81BAA"/>
    <w:rsid w:val="00D8540C"/>
    <w:rsid w:val="00D85BE0"/>
    <w:rsid w:val="00D87C1A"/>
    <w:rsid w:val="00D87FD7"/>
    <w:rsid w:val="00D92167"/>
    <w:rsid w:val="00D9502B"/>
    <w:rsid w:val="00D97047"/>
    <w:rsid w:val="00D97108"/>
    <w:rsid w:val="00DC5665"/>
    <w:rsid w:val="00DD4F44"/>
    <w:rsid w:val="00DD5D8B"/>
    <w:rsid w:val="00DE0BD2"/>
    <w:rsid w:val="00DE0F9E"/>
    <w:rsid w:val="00DE5D76"/>
    <w:rsid w:val="00DF21B6"/>
    <w:rsid w:val="00E04C8D"/>
    <w:rsid w:val="00E128D8"/>
    <w:rsid w:val="00E30D45"/>
    <w:rsid w:val="00E42FE4"/>
    <w:rsid w:val="00E46FAA"/>
    <w:rsid w:val="00E50786"/>
    <w:rsid w:val="00E51764"/>
    <w:rsid w:val="00E5750B"/>
    <w:rsid w:val="00E60E2E"/>
    <w:rsid w:val="00E6364A"/>
    <w:rsid w:val="00E63A24"/>
    <w:rsid w:val="00E71A2D"/>
    <w:rsid w:val="00E81AA3"/>
    <w:rsid w:val="00E8698A"/>
    <w:rsid w:val="00E923F2"/>
    <w:rsid w:val="00EA31CC"/>
    <w:rsid w:val="00EB14DF"/>
    <w:rsid w:val="00EB2B64"/>
    <w:rsid w:val="00EB3A07"/>
    <w:rsid w:val="00EB4143"/>
    <w:rsid w:val="00EB4728"/>
    <w:rsid w:val="00EC207A"/>
    <w:rsid w:val="00EC3F31"/>
    <w:rsid w:val="00EC6573"/>
    <w:rsid w:val="00ED3C91"/>
    <w:rsid w:val="00ED4112"/>
    <w:rsid w:val="00EE53CE"/>
    <w:rsid w:val="00EE764E"/>
    <w:rsid w:val="00EF1347"/>
    <w:rsid w:val="00EF2BEB"/>
    <w:rsid w:val="00F01129"/>
    <w:rsid w:val="00F03D93"/>
    <w:rsid w:val="00F03D9E"/>
    <w:rsid w:val="00F227BF"/>
    <w:rsid w:val="00F36797"/>
    <w:rsid w:val="00F374B2"/>
    <w:rsid w:val="00F40AFC"/>
    <w:rsid w:val="00F4730E"/>
    <w:rsid w:val="00F50A92"/>
    <w:rsid w:val="00F53F24"/>
    <w:rsid w:val="00F5738B"/>
    <w:rsid w:val="00F63341"/>
    <w:rsid w:val="00F7536E"/>
    <w:rsid w:val="00F81F93"/>
    <w:rsid w:val="00F86678"/>
    <w:rsid w:val="00F86F1B"/>
    <w:rsid w:val="00F92A21"/>
    <w:rsid w:val="00F92E9B"/>
    <w:rsid w:val="00F95814"/>
    <w:rsid w:val="00FA01D9"/>
    <w:rsid w:val="00FA031C"/>
    <w:rsid w:val="00FB13C1"/>
    <w:rsid w:val="00FB420B"/>
    <w:rsid w:val="00FC1C5F"/>
    <w:rsid w:val="00FC5C0C"/>
    <w:rsid w:val="00FC64EF"/>
    <w:rsid w:val="00FC7877"/>
    <w:rsid w:val="00FD2673"/>
    <w:rsid w:val="00FE2A29"/>
    <w:rsid w:val="00FE69A7"/>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uiPriority w:val="99"/>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uiPriority w:val="99"/>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customStyle="1" w:styleId="LightShading1">
    <w:name w:val="Light Shading1"/>
    <w:basedOn w:val="TableNormal"/>
    <w:next w:val="LightShading"/>
    <w:uiPriority w:val="60"/>
    <w:rsid w:val="002D5C14"/>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2D5C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EE53C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uiPriority w:val="99"/>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uiPriority w:val="99"/>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customStyle="1" w:styleId="LightShading1">
    <w:name w:val="Light Shading1"/>
    <w:basedOn w:val="TableNormal"/>
    <w:next w:val="LightShading"/>
    <w:uiPriority w:val="60"/>
    <w:rsid w:val="002D5C14"/>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2D5C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EE53C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479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7360610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82491815">
      <w:bodyDiv w:val="1"/>
      <w:marLeft w:val="0"/>
      <w:marRight w:val="0"/>
      <w:marTop w:val="0"/>
      <w:marBottom w:val="0"/>
      <w:divBdr>
        <w:top w:val="none" w:sz="0" w:space="0" w:color="auto"/>
        <w:left w:val="none" w:sz="0" w:space="0" w:color="auto"/>
        <w:bottom w:val="none" w:sz="0" w:space="0" w:color="auto"/>
        <w:right w:val="none" w:sz="0" w:space="0" w:color="auto"/>
      </w:divBdr>
    </w:div>
    <w:div w:id="169957683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dss.gov.au/our-responsibilities/families-and-children/programmes-services/income-manag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2D26-7A13-4935-BAFA-B3B92A6D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10029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School/preschool enrolment of Indigenous children</vt:lpstr>
    </vt:vector>
  </TitlesOfParts>
  <Company>Department of Social Services</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School/preschool enrolment of Indigenous children</dc:title>
  <dc:subject>School/preschool enrolment of Indigenous children</dc:subject>
  <dc:creator>Department of Social Services</dc:creator>
  <cp:keywords>National Centre for Longitudinal Data, Department of Social Services, Australian Government, Research, longitudinal data, Footprints in Time, The Longitudinal Study of Indigenous Children, Aboriginal, Torres Strait Islander children, parent, education, preschool, enrolment,</cp:keywords>
  <cp:lastModifiedBy>CIFUENTES, Karen</cp:lastModifiedBy>
  <cp:revision>2</cp:revision>
  <cp:lastPrinted>2016-08-11T05:36:00Z</cp:lastPrinted>
  <dcterms:created xsi:type="dcterms:W3CDTF">2016-08-16T01:04:00Z</dcterms:created>
  <dcterms:modified xsi:type="dcterms:W3CDTF">2016-08-16T01:04:00Z</dcterms:modified>
  <cp:category>Publication</cp:category>
</cp:coreProperties>
</file>