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0F" w:rsidRDefault="008E1C15" w:rsidP="00BD4483">
      <w:pPr>
        <w:jc w:val="center"/>
      </w:pPr>
      <w:r w:rsidRPr="008E1C15">
        <w:rPr>
          <w:noProof/>
        </w:rPr>
        <w:drawing>
          <wp:inline distT="0" distB="0" distL="0" distR="0" wp14:anchorId="4D3116AD" wp14:editId="6F3FC403">
            <wp:extent cx="3912870" cy="273240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3" cstate="print"/>
                    <a:srcRect/>
                    <a:stretch>
                      <a:fillRect/>
                    </a:stretch>
                  </pic:blipFill>
                  <pic:spPr bwMode="auto">
                    <a:xfrm>
                      <a:off x="0" y="0"/>
                      <a:ext cx="3912870" cy="2732405"/>
                    </a:xfrm>
                    <a:prstGeom prst="rect">
                      <a:avLst/>
                    </a:prstGeom>
                    <a:noFill/>
                    <a:ln w="9525">
                      <a:noFill/>
                      <a:miter lim="800000"/>
                      <a:headEnd/>
                      <a:tailEnd/>
                    </a:ln>
                  </pic:spPr>
                </pic:pic>
              </a:graphicData>
            </a:graphic>
          </wp:inline>
        </w:drawing>
      </w:r>
    </w:p>
    <w:p w:rsidR="003373AE" w:rsidRPr="003373AE" w:rsidRDefault="008E1C15" w:rsidP="003373AE">
      <w:pPr>
        <w:pStyle w:val="Title"/>
      </w:pPr>
      <w:bookmarkStart w:id="0" w:name="OLE_LINK1"/>
      <w:bookmarkStart w:id="1" w:name="OLE_LINK2"/>
      <w:r w:rsidRPr="000A1343">
        <w:rPr>
          <w:color w:val="1869B2"/>
        </w:rPr>
        <w:t xml:space="preserve">Referral </w:t>
      </w:r>
      <w:r w:rsidRPr="008E1C15">
        <w:rPr>
          <w:color w:val="0070C0"/>
        </w:rPr>
        <w:t>for an Employment Services Assessment Guidelines</w:t>
      </w:r>
    </w:p>
    <w:bookmarkEnd w:id="0"/>
    <w:bookmarkEnd w:id="1"/>
    <w:p w:rsidR="003373AE" w:rsidRPr="008E1C15" w:rsidRDefault="003373AE" w:rsidP="003373AE">
      <w:pPr>
        <w:pStyle w:val="Subtitle"/>
        <w:rPr>
          <w:color w:val="0070C0"/>
        </w:rPr>
      </w:pPr>
      <w:r w:rsidRPr="008E1C15">
        <w:rPr>
          <w:color w:val="0070C0"/>
        </w:rPr>
        <w:t>V</w:t>
      </w:r>
      <w:r w:rsidR="00BA37D1">
        <w:rPr>
          <w:color w:val="0070C0"/>
        </w:rPr>
        <w:t>2.</w:t>
      </w:r>
      <w:r w:rsidR="00EC41A8">
        <w:rPr>
          <w:color w:val="0070C0"/>
        </w:rPr>
        <w:t>1</w:t>
      </w:r>
    </w:p>
    <w:p w:rsidR="008E1C15" w:rsidRDefault="008E1C15">
      <w:pPr>
        <w:spacing w:before="0" w:after="0" w:line="240" w:lineRule="auto"/>
        <w:rPr>
          <w:b/>
          <w:color w:val="009892"/>
          <w:sz w:val="36"/>
        </w:rPr>
      </w:pPr>
      <w:r>
        <w:br w:type="page"/>
      </w:r>
    </w:p>
    <w:bookmarkStart w:id="2" w:name="_Toc386108326" w:displacedByCustomXml="next"/>
    <w:sdt>
      <w:sdtPr>
        <w:rPr>
          <w:rFonts w:cs="Times New Roman"/>
          <w:b w:val="0"/>
          <w:bCs w:val="0"/>
          <w:color w:val="auto"/>
          <w:kern w:val="0"/>
          <w:sz w:val="22"/>
          <w:szCs w:val="24"/>
        </w:rPr>
        <w:id w:val="-1282956814"/>
        <w:docPartObj>
          <w:docPartGallery w:val="Table of Contents"/>
          <w:docPartUnique/>
        </w:docPartObj>
      </w:sdtPr>
      <w:sdtEndPr>
        <w:rPr>
          <w:noProof/>
        </w:rPr>
      </w:sdtEndPr>
      <w:sdtContent>
        <w:p w:rsidR="006F5E6D" w:rsidRPr="00A16A99" w:rsidRDefault="006F5E6D" w:rsidP="00656654">
          <w:pPr>
            <w:pStyle w:val="Heading1"/>
            <w:rPr>
              <w:color w:val="4070AA"/>
            </w:rPr>
          </w:pPr>
          <w:r w:rsidRPr="00A16A99">
            <w:rPr>
              <w:color w:val="4070AA"/>
            </w:rPr>
            <w:t>Table of Contents</w:t>
          </w:r>
          <w:bookmarkEnd w:id="2"/>
        </w:p>
        <w:p w:rsidR="00B67B86" w:rsidRDefault="006F5E6D">
          <w:pPr>
            <w:pStyle w:val="TOC1"/>
            <w:tabs>
              <w:tab w:val="right" w:pos="8681"/>
            </w:tabs>
            <w:rPr>
              <w:rFonts w:eastAsiaTheme="minorEastAsia" w:cstheme="minorBidi"/>
              <w:b w:val="0"/>
              <w:bCs w:val="0"/>
              <w:smallCaps w:val="0"/>
              <w:noProof/>
              <w:sz w:val="22"/>
              <w:szCs w:val="22"/>
            </w:rPr>
          </w:pPr>
          <w:r>
            <w:fldChar w:fldCharType="begin"/>
          </w:r>
          <w:r>
            <w:instrText xml:space="preserve"> TOC \o "1-3" \h \z \u </w:instrText>
          </w:r>
          <w:r>
            <w:fldChar w:fldCharType="separate"/>
          </w:r>
          <w:hyperlink w:anchor="_Toc386108326" w:history="1">
            <w:r w:rsidR="00B67B86" w:rsidRPr="00283B58">
              <w:rPr>
                <w:rStyle w:val="Hyperlink"/>
                <w:noProof/>
              </w:rPr>
              <w:t>Table of Contents</w:t>
            </w:r>
            <w:r w:rsidR="00B67B86">
              <w:rPr>
                <w:noProof/>
                <w:webHidden/>
              </w:rPr>
              <w:tab/>
            </w:r>
            <w:r w:rsidR="00B67B86">
              <w:rPr>
                <w:noProof/>
                <w:webHidden/>
              </w:rPr>
              <w:fldChar w:fldCharType="begin"/>
            </w:r>
            <w:r w:rsidR="00B67B86">
              <w:rPr>
                <w:noProof/>
                <w:webHidden/>
              </w:rPr>
              <w:instrText xml:space="preserve"> PAGEREF _Toc386108326 \h </w:instrText>
            </w:r>
            <w:r w:rsidR="00B67B86">
              <w:rPr>
                <w:noProof/>
                <w:webHidden/>
              </w:rPr>
            </w:r>
            <w:r w:rsidR="00B67B86">
              <w:rPr>
                <w:noProof/>
                <w:webHidden/>
              </w:rPr>
              <w:fldChar w:fldCharType="separate"/>
            </w:r>
            <w:r w:rsidR="00B67B86">
              <w:rPr>
                <w:noProof/>
                <w:webHidden/>
              </w:rPr>
              <w:t>2</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27" w:history="1">
            <w:r w:rsidR="00B67B86" w:rsidRPr="00283B58">
              <w:rPr>
                <w:rStyle w:val="Hyperlink"/>
                <w:noProof/>
              </w:rPr>
              <w:t>Document Change History:</w:t>
            </w:r>
            <w:r w:rsidR="00B67B86">
              <w:rPr>
                <w:noProof/>
                <w:webHidden/>
              </w:rPr>
              <w:tab/>
            </w:r>
            <w:r w:rsidR="00B67B86">
              <w:rPr>
                <w:noProof/>
                <w:webHidden/>
              </w:rPr>
              <w:fldChar w:fldCharType="begin"/>
            </w:r>
            <w:r w:rsidR="00B67B86">
              <w:rPr>
                <w:noProof/>
                <w:webHidden/>
              </w:rPr>
              <w:instrText xml:space="preserve"> PAGEREF _Toc386108327 \h </w:instrText>
            </w:r>
            <w:r w:rsidR="00B67B86">
              <w:rPr>
                <w:noProof/>
                <w:webHidden/>
              </w:rPr>
            </w:r>
            <w:r w:rsidR="00B67B86">
              <w:rPr>
                <w:noProof/>
                <w:webHidden/>
              </w:rPr>
              <w:fldChar w:fldCharType="separate"/>
            </w:r>
            <w:r w:rsidR="00B67B86">
              <w:rPr>
                <w:noProof/>
                <w:webHidden/>
              </w:rPr>
              <w:t>3</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28" w:history="1">
            <w:r w:rsidR="00B67B86" w:rsidRPr="00283B58">
              <w:rPr>
                <w:rStyle w:val="Hyperlink"/>
                <w:noProof/>
              </w:rPr>
              <w:t>E</w:t>
            </w:r>
            <w:r w:rsidR="00E0511C">
              <w:rPr>
                <w:rStyle w:val="Hyperlink"/>
                <w:noProof/>
              </w:rPr>
              <w:t>SAt</w:t>
            </w:r>
            <w:r w:rsidR="00B67B86" w:rsidRPr="00283B58">
              <w:rPr>
                <w:rStyle w:val="Hyperlink"/>
                <w:noProof/>
              </w:rPr>
              <w:t xml:space="preserve"> Introduction</w:t>
            </w:r>
            <w:r w:rsidR="00B67B86">
              <w:rPr>
                <w:noProof/>
                <w:webHidden/>
              </w:rPr>
              <w:tab/>
            </w:r>
            <w:r w:rsidR="00B67B86">
              <w:rPr>
                <w:noProof/>
                <w:webHidden/>
              </w:rPr>
              <w:fldChar w:fldCharType="begin"/>
            </w:r>
            <w:r w:rsidR="00B67B86">
              <w:rPr>
                <w:noProof/>
                <w:webHidden/>
              </w:rPr>
              <w:instrText xml:space="preserve"> PAGEREF _Toc386108328 \h </w:instrText>
            </w:r>
            <w:r w:rsidR="00B67B86">
              <w:rPr>
                <w:noProof/>
                <w:webHidden/>
              </w:rPr>
            </w:r>
            <w:r w:rsidR="00B67B86">
              <w:rPr>
                <w:noProof/>
                <w:webHidden/>
              </w:rPr>
              <w:fldChar w:fldCharType="separate"/>
            </w:r>
            <w:r w:rsidR="00B67B86">
              <w:rPr>
                <w:noProof/>
                <w:webHidden/>
              </w:rPr>
              <w:t>4</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29" w:history="1">
            <w:r w:rsidR="00B67B86" w:rsidRPr="00283B58">
              <w:rPr>
                <w:rStyle w:val="Hyperlink"/>
                <w:noProof/>
              </w:rPr>
              <w:t>Eligibility for Disability Employment Services (DES)</w:t>
            </w:r>
            <w:r w:rsidR="00B67B86">
              <w:rPr>
                <w:noProof/>
                <w:webHidden/>
              </w:rPr>
              <w:tab/>
            </w:r>
            <w:r w:rsidR="00B67B86">
              <w:rPr>
                <w:noProof/>
                <w:webHidden/>
              </w:rPr>
              <w:fldChar w:fldCharType="begin"/>
            </w:r>
            <w:r w:rsidR="00B67B86">
              <w:rPr>
                <w:noProof/>
                <w:webHidden/>
              </w:rPr>
              <w:instrText xml:space="preserve"> PAGEREF _Toc386108329 \h </w:instrText>
            </w:r>
            <w:r w:rsidR="00B67B86">
              <w:rPr>
                <w:noProof/>
                <w:webHidden/>
              </w:rPr>
            </w:r>
            <w:r w:rsidR="00B67B86">
              <w:rPr>
                <w:noProof/>
                <w:webHidden/>
              </w:rPr>
              <w:fldChar w:fldCharType="separate"/>
            </w:r>
            <w:r w:rsidR="00B67B86">
              <w:rPr>
                <w:noProof/>
                <w:webHidden/>
              </w:rPr>
              <w:t>4</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0" w:history="1">
            <w:r w:rsidR="00B67B86" w:rsidRPr="00283B58">
              <w:rPr>
                <w:rStyle w:val="Hyperlink"/>
                <w:noProof/>
              </w:rPr>
              <w:t>Employment Services Assessment Background</w:t>
            </w:r>
            <w:r w:rsidR="00B67B86">
              <w:rPr>
                <w:noProof/>
                <w:webHidden/>
              </w:rPr>
              <w:tab/>
            </w:r>
            <w:r w:rsidR="00B67B86">
              <w:rPr>
                <w:noProof/>
                <w:webHidden/>
              </w:rPr>
              <w:fldChar w:fldCharType="begin"/>
            </w:r>
            <w:r w:rsidR="00B67B86">
              <w:rPr>
                <w:noProof/>
                <w:webHidden/>
              </w:rPr>
              <w:instrText xml:space="preserve"> PAGEREF _Toc386108330 \h </w:instrText>
            </w:r>
            <w:r w:rsidR="00B67B86">
              <w:rPr>
                <w:noProof/>
                <w:webHidden/>
              </w:rPr>
            </w:r>
            <w:r w:rsidR="00B67B86">
              <w:rPr>
                <w:noProof/>
                <w:webHidden/>
              </w:rPr>
              <w:fldChar w:fldCharType="separate"/>
            </w:r>
            <w:r w:rsidR="00B67B86">
              <w:rPr>
                <w:noProof/>
                <w:webHidden/>
              </w:rPr>
              <w:t>4</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31" w:history="1">
            <w:r w:rsidR="00B67B86" w:rsidRPr="00283B58">
              <w:rPr>
                <w:rStyle w:val="Hyperlink"/>
                <w:noProof/>
              </w:rPr>
              <w:t>Referral of Participants for an ESAt by DES providers</w:t>
            </w:r>
            <w:r w:rsidR="00B67B86">
              <w:rPr>
                <w:noProof/>
                <w:webHidden/>
              </w:rPr>
              <w:tab/>
            </w:r>
            <w:r w:rsidR="00B67B86">
              <w:rPr>
                <w:noProof/>
                <w:webHidden/>
              </w:rPr>
              <w:fldChar w:fldCharType="begin"/>
            </w:r>
            <w:r w:rsidR="00B67B86">
              <w:rPr>
                <w:noProof/>
                <w:webHidden/>
              </w:rPr>
              <w:instrText xml:space="preserve"> PAGEREF _Toc386108331 \h </w:instrText>
            </w:r>
            <w:r w:rsidR="00B67B86">
              <w:rPr>
                <w:noProof/>
                <w:webHidden/>
              </w:rPr>
            </w:r>
            <w:r w:rsidR="00B67B86">
              <w:rPr>
                <w:noProof/>
                <w:webHidden/>
              </w:rPr>
              <w:fldChar w:fldCharType="separate"/>
            </w:r>
            <w:r w:rsidR="00B67B86">
              <w:rPr>
                <w:noProof/>
                <w:webHidden/>
              </w:rPr>
              <w:t>6</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2" w:history="1">
            <w:r w:rsidR="00B67B86" w:rsidRPr="00283B58">
              <w:rPr>
                <w:rStyle w:val="Hyperlink"/>
                <w:noProof/>
              </w:rPr>
              <w:t>DES Participant with a deferred referral from Human Services</w:t>
            </w:r>
            <w:r w:rsidR="00B67B86">
              <w:rPr>
                <w:noProof/>
                <w:webHidden/>
              </w:rPr>
              <w:tab/>
            </w:r>
            <w:r w:rsidR="00B67B86">
              <w:rPr>
                <w:noProof/>
                <w:webHidden/>
              </w:rPr>
              <w:fldChar w:fldCharType="begin"/>
            </w:r>
            <w:r w:rsidR="00B67B86">
              <w:rPr>
                <w:noProof/>
                <w:webHidden/>
              </w:rPr>
              <w:instrText xml:space="preserve"> PAGEREF _Toc386108332 \h </w:instrText>
            </w:r>
            <w:r w:rsidR="00B67B86">
              <w:rPr>
                <w:noProof/>
                <w:webHidden/>
              </w:rPr>
            </w:r>
            <w:r w:rsidR="00B67B86">
              <w:rPr>
                <w:noProof/>
                <w:webHidden/>
              </w:rPr>
              <w:fldChar w:fldCharType="separate"/>
            </w:r>
            <w:r w:rsidR="00B67B86">
              <w:rPr>
                <w:noProof/>
                <w:webHidden/>
              </w:rPr>
              <w:t>6</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3" w:history="1">
            <w:r w:rsidR="00592639">
              <w:rPr>
                <w:rStyle w:val="Hyperlink"/>
                <w:noProof/>
              </w:rPr>
              <w:t>Participant</w:t>
            </w:r>
            <w:r w:rsidR="00B67B86" w:rsidRPr="00283B58">
              <w:rPr>
                <w:rStyle w:val="Hyperlink"/>
                <w:noProof/>
              </w:rPr>
              <w:t>s who Directly Register for assistance</w:t>
            </w:r>
            <w:r w:rsidR="00B67B86">
              <w:rPr>
                <w:noProof/>
                <w:webHidden/>
              </w:rPr>
              <w:tab/>
            </w:r>
            <w:r w:rsidR="00B67B86">
              <w:rPr>
                <w:noProof/>
                <w:webHidden/>
              </w:rPr>
              <w:fldChar w:fldCharType="begin"/>
            </w:r>
            <w:r w:rsidR="00B67B86">
              <w:rPr>
                <w:noProof/>
                <w:webHidden/>
              </w:rPr>
              <w:instrText xml:space="preserve"> PAGEREF _Toc386108333 \h </w:instrText>
            </w:r>
            <w:r w:rsidR="00B67B86">
              <w:rPr>
                <w:noProof/>
                <w:webHidden/>
              </w:rPr>
            </w:r>
            <w:r w:rsidR="00B67B86">
              <w:rPr>
                <w:noProof/>
                <w:webHidden/>
              </w:rPr>
              <w:fldChar w:fldCharType="separate"/>
            </w:r>
            <w:r w:rsidR="00B67B86">
              <w:rPr>
                <w:noProof/>
                <w:webHidden/>
              </w:rPr>
              <w:t>6</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4" w:history="1">
            <w:r w:rsidR="00B67B86" w:rsidRPr="00283B58">
              <w:rPr>
                <w:rStyle w:val="Hyperlink"/>
                <w:noProof/>
              </w:rPr>
              <w:t>Change of Circumstances Reassessment</w:t>
            </w:r>
            <w:r w:rsidR="00B67B86">
              <w:rPr>
                <w:noProof/>
                <w:webHidden/>
              </w:rPr>
              <w:tab/>
            </w:r>
            <w:r w:rsidR="00B67B86">
              <w:rPr>
                <w:noProof/>
                <w:webHidden/>
              </w:rPr>
              <w:fldChar w:fldCharType="begin"/>
            </w:r>
            <w:r w:rsidR="00B67B86">
              <w:rPr>
                <w:noProof/>
                <w:webHidden/>
              </w:rPr>
              <w:instrText xml:space="preserve"> PAGEREF _Toc386108334 \h </w:instrText>
            </w:r>
            <w:r w:rsidR="00B67B86">
              <w:rPr>
                <w:noProof/>
                <w:webHidden/>
              </w:rPr>
            </w:r>
            <w:r w:rsidR="00B67B86">
              <w:rPr>
                <w:noProof/>
                <w:webHidden/>
              </w:rPr>
              <w:fldChar w:fldCharType="separate"/>
            </w:r>
            <w:r w:rsidR="00B67B86">
              <w:rPr>
                <w:noProof/>
                <w:webHidden/>
              </w:rPr>
              <w:t>6</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5" w:history="1">
            <w:r w:rsidR="00B67B86" w:rsidRPr="00283B58">
              <w:rPr>
                <w:rStyle w:val="Hyperlink"/>
                <w:noProof/>
              </w:rPr>
              <w:t>Program</w:t>
            </w:r>
            <w:r w:rsidR="00ED7181">
              <w:rPr>
                <w:rStyle w:val="Hyperlink"/>
                <w:noProof/>
              </w:rPr>
              <w:t>me</w:t>
            </w:r>
            <w:r w:rsidR="00B67B86" w:rsidRPr="00283B58">
              <w:rPr>
                <w:rStyle w:val="Hyperlink"/>
                <w:noProof/>
              </w:rPr>
              <w:t xml:space="preserve"> Review</w:t>
            </w:r>
            <w:r w:rsidR="00B67B86">
              <w:rPr>
                <w:noProof/>
                <w:webHidden/>
              </w:rPr>
              <w:tab/>
            </w:r>
            <w:r w:rsidR="00B67B86">
              <w:rPr>
                <w:noProof/>
                <w:webHidden/>
              </w:rPr>
              <w:fldChar w:fldCharType="begin"/>
            </w:r>
            <w:r w:rsidR="00B67B86">
              <w:rPr>
                <w:noProof/>
                <w:webHidden/>
              </w:rPr>
              <w:instrText xml:space="preserve"> PAGEREF _Toc386108335 \h </w:instrText>
            </w:r>
            <w:r w:rsidR="00B67B86">
              <w:rPr>
                <w:noProof/>
                <w:webHidden/>
              </w:rPr>
            </w:r>
            <w:r w:rsidR="00B67B86">
              <w:rPr>
                <w:noProof/>
                <w:webHidden/>
              </w:rPr>
              <w:fldChar w:fldCharType="separate"/>
            </w:r>
            <w:r w:rsidR="00B67B86">
              <w:rPr>
                <w:noProof/>
                <w:webHidden/>
              </w:rPr>
              <w:t>7</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6" w:history="1">
            <w:r w:rsidR="00B67B86" w:rsidRPr="00283B58">
              <w:rPr>
                <w:rStyle w:val="Hyperlink"/>
                <w:noProof/>
              </w:rPr>
              <w:t>Supporting medical evidence</w:t>
            </w:r>
            <w:r w:rsidR="00B67B86">
              <w:rPr>
                <w:noProof/>
                <w:webHidden/>
              </w:rPr>
              <w:tab/>
            </w:r>
            <w:r w:rsidR="00B67B86">
              <w:rPr>
                <w:noProof/>
                <w:webHidden/>
              </w:rPr>
              <w:fldChar w:fldCharType="begin"/>
            </w:r>
            <w:r w:rsidR="00B67B86">
              <w:rPr>
                <w:noProof/>
                <w:webHidden/>
              </w:rPr>
              <w:instrText xml:space="preserve"> PAGEREF _Toc386108336 \h </w:instrText>
            </w:r>
            <w:r w:rsidR="00B67B86">
              <w:rPr>
                <w:noProof/>
                <w:webHidden/>
              </w:rPr>
            </w:r>
            <w:r w:rsidR="00B67B86">
              <w:rPr>
                <w:noProof/>
                <w:webHidden/>
              </w:rPr>
              <w:fldChar w:fldCharType="separate"/>
            </w:r>
            <w:r w:rsidR="00B67B86">
              <w:rPr>
                <w:noProof/>
                <w:webHidden/>
              </w:rPr>
              <w:t>7</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7" w:history="1">
            <w:r w:rsidR="00B67B86" w:rsidRPr="00283B58">
              <w:rPr>
                <w:rStyle w:val="Hyperlink"/>
                <w:noProof/>
              </w:rPr>
              <w:t>Providing medical evidence to human services</w:t>
            </w:r>
            <w:r w:rsidR="00B67B86">
              <w:rPr>
                <w:noProof/>
                <w:webHidden/>
              </w:rPr>
              <w:tab/>
            </w:r>
            <w:r w:rsidR="00B67B86">
              <w:rPr>
                <w:noProof/>
                <w:webHidden/>
              </w:rPr>
              <w:fldChar w:fldCharType="begin"/>
            </w:r>
            <w:r w:rsidR="00B67B86">
              <w:rPr>
                <w:noProof/>
                <w:webHidden/>
              </w:rPr>
              <w:instrText xml:space="preserve"> PAGEREF _Toc386108337 \h </w:instrText>
            </w:r>
            <w:r w:rsidR="00B67B86">
              <w:rPr>
                <w:noProof/>
                <w:webHidden/>
              </w:rPr>
            </w:r>
            <w:r w:rsidR="00B67B86">
              <w:rPr>
                <w:noProof/>
                <w:webHidden/>
              </w:rPr>
              <w:fldChar w:fldCharType="separate"/>
            </w:r>
            <w:r w:rsidR="00B67B86">
              <w:rPr>
                <w:noProof/>
                <w:webHidden/>
              </w:rPr>
              <w:t>8</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8" w:history="1">
            <w:r w:rsidR="00B67B86" w:rsidRPr="00283B58">
              <w:rPr>
                <w:rStyle w:val="Hyperlink"/>
                <w:noProof/>
              </w:rPr>
              <w:t>Making the appointment</w:t>
            </w:r>
            <w:r w:rsidR="00B67B86">
              <w:rPr>
                <w:noProof/>
                <w:webHidden/>
              </w:rPr>
              <w:tab/>
            </w:r>
            <w:r w:rsidR="00B67B86">
              <w:rPr>
                <w:noProof/>
                <w:webHidden/>
              </w:rPr>
              <w:fldChar w:fldCharType="begin"/>
            </w:r>
            <w:r w:rsidR="00B67B86">
              <w:rPr>
                <w:noProof/>
                <w:webHidden/>
              </w:rPr>
              <w:instrText xml:space="preserve"> PAGEREF _Toc386108338 \h </w:instrText>
            </w:r>
            <w:r w:rsidR="00B67B86">
              <w:rPr>
                <w:noProof/>
                <w:webHidden/>
              </w:rPr>
            </w:r>
            <w:r w:rsidR="00B67B86">
              <w:rPr>
                <w:noProof/>
                <w:webHidden/>
              </w:rPr>
              <w:fldChar w:fldCharType="separate"/>
            </w:r>
            <w:r w:rsidR="00B67B86">
              <w:rPr>
                <w:noProof/>
                <w:webHidden/>
              </w:rPr>
              <w:t>9</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39" w:history="1">
            <w:r w:rsidR="00B67B86" w:rsidRPr="00283B58">
              <w:rPr>
                <w:rStyle w:val="Hyperlink"/>
                <w:noProof/>
              </w:rPr>
              <w:t>Escalation Procedures for Unavailability of ESAt appointments</w:t>
            </w:r>
            <w:r w:rsidR="00B67B86">
              <w:rPr>
                <w:noProof/>
                <w:webHidden/>
              </w:rPr>
              <w:tab/>
            </w:r>
            <w:r w:rsidR="00B67B86">
              <w:rPr>
                <w:noProof/>
                <w:webHidden/>
              </w:rPr>
              <w:fldChar w:fldCharType="begin"/>
            </w:r>
            <w:r w:rsidR="00B67B86">
              <w:rPr>
                <w:noProof/>
                <w:webHidden/>
              </w:rPr>
              <w:instrText xml:space="preserve"> PAGEREF _Toc386108339 \h </w:instrText>
            </w:r>
            <w:r w:rsidR="00B67B86">
              <w:rPr>
                <w:noProof/>
                <w:webHidden/>
              </w:rPr>
            </w:r>
            <w:r w:rsidR="00B67B86">
              <w:rPr>
                <w:noProof/>
                <w:webHidden/>
              </w:rPr>
              <w:fldChar w:fldCharType="separate"/>
            </w:r>
            <w:r w:rsidR="00B67B86">
              <w:rPr>
                <w:noProof/>
                <w:webHidden/>
              </w:rPr>
              <w:t>9</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0" w:history="1">
            <w:r w:rsidR="00B67B86" w:rsidRPr="00283B58">
              <w:rPr>
                <w:rStyle w:val="Hyperlink"/>
                <w:noProof/>
              </w:rPr>
              <w:t xml:space="preserve">Informing the </w:t>
            </w:r>
            <w:r w:rsidR="00592639">
              <w:rPr>
                <w:rStyle w:val="Hyperlink"/>
                <w:noProof/>
              </w:rPr>
              <w:t>Participant</w:t>
            </w:r>
            <w:r w:rsidR="00B67B86" w:rsidRPr="00283B58">
              <w:rPr>
                <w:rStyle w:val="Hyperlink"/>
                <w:noProof/>
              </w:rPr>
              <w:t xml:space="preserve"> of the appointments</w:t>
            </w:r>
            <w:r w:rsidR="00B67B86">
              <w:rPr>
                <w:noProof/>
                <w:webHidden/>
              </w:rPr>
              <w:tab/>
            </w:r>
            <w:r w:rsidR="00B67B86">
              <w:rPr>
                <w:noProof/>
                <w:webHidden/>
              </w:rPr>
              <w:fldChar w:fldCharType="begin"/>
            </w:r>
            <w:r w:rsidR="00B67B86">
              <w:rPr>
                <w:noProof/>
                <w:webHidden/>
              </w:rPr>
              <w:instrText xml:space="preserve"> PAGEREF _Toc386108340 \h </w:instrText>
            </w:r>
            <w:r w:rsidR="00B67B86">
              <w:rPr>
                <w:noProof/>
                <w:webHidden/>
              </w:rPr>
            </w:r>
            <w:r w:rsidR="00B67B86">
              <w:rPr>
                <w:noProof/>
                <w:webHidden/>
              </w:rPr>
              <w:fldChar w:fldCharType="separate"/>
            </w:r>
            <w:r w:rsidR="00B67B86">
              <w:rPr>
                <w:noProof/>
                <w:webHidden/>
              </w:rPr>
              <w:t>10</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1" w:history="1">
            <w:r w:rsidR="00B67B86" w:rsidRPr="00283B58">
              <w:rPr>
                <w:rStyle w:val="Hyperlink"/>
                <w:noProof/>
              </w:rPr>
              <w:t>The consequences of not attending the appointment</w:t>
            </w:r>
            <w:r w:rsidR="00B67B86">
              <w:rPr>
                <w:noProof/>
                <w:webHidden/>
              </w:rPr>
              <w:tab/>
            </w:r>
            <w:r w:rsidR="00B67B86">
              <w:rPr>
                <w:noProof/>
                <w:webHidden/>
              </w:rPr>
              <w:fldChar w:fldCharType="begin"/>
            </w:r>
            <w:r w:rsidR="00B67B86">
              <w:rPr>
                <w:noProof/>
                <w:webHidden/>
              </w:rPr>
              <w:instrText xml:space="preserve"> PAGEREF _Toc386108341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2" w:history="1">
            <w:r w:rsidR="00B67B86" w:rsidRPr="00283B58">
              <w:rPr>
                <w:rStyle w:val="Hyperlink"/>
                <w:noProof/>
              </w:rPr>
              <w:t>Minimising unnecessary ESAt referrals</w:t>
            </w:r>
            <w:r w:rsidR="00B67B86">
              <w:rPr>
                <w:noProof/>
                <w:webHidden/>
              </w:rPr>
              <w:tab/>
            </w:r>
            <w:r w:rsidR="00B67B86">
              <w:rPr>
                <w:noProof/>
                <w:webHidden/>
              </w:rPr>
              <w:fldChar w:fldCharType="begin"/>
            </w:r>
            <w:r w:rsidR="00B67B86">
              <w:rPr>
                <w:noProof/>
                <w:webHidden/>
              </w:rPr>
              <w:instrText xml:space="preserve"> PAGEREF _Toc386108342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3" w:history="1">
            <w:r w:rsidR="00B67B86" w:rsidRPr="00283B58">
              <w:rPr>
                <w:rStyle w:val="Hyperlink"/>
                <w:noProof/>
              </w:rPr>
              <w:t>Cancelling an ESAt referral</w:t>
            </w:r>
            <w:r w:rsidR="00B67B86">
              <w:rPr>
                <w:noProof/>
                <w:webHidden/>
              </w:rPr>
              <w:tab/>
            </w:r>
            <w:r w:rsidR="00B67B86">
              <w:rPr>
                <w:noProof/>
                <w:webHidden/>
              </w:rPr>
              <w:fldChar w:fldCharType="begin"/>
            </w:r>
            <w:r w:rsidR="00B67B86">
              <w:rPr>
                <w:noProof/>
                <w:webHidden/>
              </w:rPr>
              <w:instrText xml:space="preserve"> PAGEREF _Toc386108343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4" w:history="1">
            <w:r w:rsidR="00B67B86" w:rsidRPr="00283B58">
              <w:rPr>
                <w:rStyle w:val="Hyperlink"/>
                <w:noProof/>
              </w:rPr>
              <w:t>Monitoring progress of an ESAt</w:t>
            </w:r>
            <w:r w:rsidR="00B67B86">
              <w:rPr>
                <w:noProof/>
                <w:webHidden/>
              </w:rPr>
              <w:tab/>
            </w:r>
            <w:r w:rsidR="00B67B86">
              <w:rPr>
                <w:noProof/>
                <w:webHidden/>
              </w:rPr>
              <w:fldChar w:fldCharType="begin"/>
            </w:r>
            <w:r w:rsidR="00B67B86">
              <w:rPr>
                <w:noProof/>
                <w:webHidden/>
              </w:rPr>
              <w:instrText xml:space="preserve"> PAGEREF _Toc386108344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5" w:history="1">
            <w:r w:rsidR="00B67B86" w:rsidRPr="00283B58">
              <w:rPr>
                <w:rStyle w:val="Hyperlink"/>
                <w:noProof/>
              </w:rPr>
              <w:t>Servicing a Participant while waiting for the outcome of an ESAt</w:t>
            </w:r>
            <w:r w:rsidR="00B67B86">
              <w:rPr>
                <w:noProof/>
                <w:webHidden/>
              </w:rPr>
              <w:tab/>
            </w:r>
            <w:r w:rsidR="00B67B86">
              <w:rPr>
                <w:noProof/>
                <w:webHidden/>
              </w:rPr>
              <w:fldChar w:fldCharType="begin"/>
            </w:r>
            <w:r w:rsidR="00B67B86">
              <w:rPr>
                <w:noProof/>
                <w:webHidden/>
              </w:rPr>
              <w:instrText xml:space="preserve"> PAGEREF _Toc386108345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46" w:history="1">
            <w:r w:rsidR="00B67B86" w:rsidRPr="00283B58">
              <w:rPr>
                <w:rStyle w:val="Hyperlink"/>
                <w:noProof/>
              </w:rPr>
              <w:t>Submitting the ESAt Report</w:t>
            </w:r>
            <w:r w:rsidR="00B67B86">
              <w:rPr>
                <w:noProof/>
                <w:webHidden/>
              </w:rPr>
              <w:tab/>
            </w:r>
            <w:r w:rsidR="00B67B86">
              <w:rPr>
                <w:noProof/>
                <w:webHidden/>
              </w:rPr>
              <w:fldChar w:fldCharType="begin"/>
            </w:r>
            <w:r w:rsidR="00B67B86">
              <w:rPr>
                <w:noProof/>
                <w:webHidden/>
              </w:rPr>
              <w:instrText xml:space="preserve"> PAGEREF _Toc386108346 \h </w:instrText>
            </w:r>
            <w:r w:rsidR="00B67B86">
              <w:rPr>
                <w:noProof/>
                <w:webHidden/>
              </w:rPr>
            </w:r>
            <w:r w:rsidR="00B67B86">
              <w:rPr>
                <w:noProof/>
                <w:webHidden/>
              </w:rPr>
              <w:fldChar w:fldCharType="separate"/>
            </w:r>
            <w:r w:rsidR="00B67B86">
              <w:rPr>
                <w:noProof/>
                <w:webHidden/>
              </w:rPr>
              <w:t>11</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7" w:history="1">
            <w:r w:rsidR="00B67B86" w:rsidRPr="00283B58">
              <w:rPr>
                <w:rStyle w:val="Hyperlink"/>
                <w:noProof/>
              </w:rPr>
              <w:t>Action taken on ESAt Outcome</w:t>
            </w:r>
            <w:r w:rsidR="00B67B86">
              <w:rPr>
                <w:noProof/>
                <w:webHidden/>
              </w:rPr>
              <w:tab/>
            </w:r>
            <w:r w:rsidR="00B67B86">
              <w:rPr>
                <w:noProof/>
                <w:webHidden/>
              </w:rPr>
              <w:fldChar w:fldCharType="begin"/>
            </w:r>
            <w:r w:rsidR="00B67B86">
              <w:rPr>
                <w:noProof/>
                <w:webHidden/>
              </w:rPr>
              <w:instrText xml:space="preserve"> PAGEREF _Toc386108347 \h </w:instrText>
            </w:r>
            <w:r w:rsidR="00B67B86">
              <w:rPr>
                <w:noProof/>
                <w:webHidden/>
              </w:rPr>
            </w:r>
            <w:r w:rsidR="00B67B86">
              <w:rPr>
                <w:noProof/>
                <w:webHidden/>
              </w:rPr>
              <w:fldChar w:fldCharType="separate"/>
            </w:r>
            <w:r w:rsidR="00B67B86">
              <w:rPr>
                <w:noProof/>
                <w:webHidden/>
              </w:rPr>
              <w:t>12</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8" w:history="1">
            <w:r w:rsidR="00B67B86" w:rsidRPr="00283B58">
              <w:rPr>
                <w:rStyle w:val="Hyperlink"/>
                <w:noProof/>
              </w:rPr>
              <w:t>Request for review of an ESAt recommended referral (‘Disputed Assessment’)</w:t>
            </w:r>
            <w:r w:rsidR="00B67B86">
              <w:rPr>
                <w:noProof/>
                <w:webHidden/>
              </w:rPr>
              <w:tab/>
            </w:r>
            <w:r w:rsidR="00B67B86">
              <w:rPr>
                <w:noProof/>
                <w:webHidden/>
              </w:rPr>
              <w:fldChar w:fldCharType="begin"/>
            </w:r>
            <w:r w:rsidR="00B67B86">
              <w:rPr>
                <w:noProof/>
                <w:webHidden/>
              </w:rPr>
              <w:instrText xml:space="preserve"> PAGEREF _Toc386108348 \h </w:instrText>
            </w:r>
            <w:r w:rsidR="00B67B86">
              <w:rPr>
                <w:noProof/>
                <w:webHidden/>
              </w:rPr>
            </w:r>
            <w:r w:rsidR="00B67B86">
              <w:rPr>
                <w:noProof/>
                <w:webHidden/>
              </w:rPr>
              <w:fldChar w:fldCharType="separate"/>
            </w:r>
            <w:r w:rsidR="00B67B86">
              <w:rPr>
                <w:noProof/>
                <w:webHidden/>
              </w:rPr>
              <w:t>13</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49" w:history="1">
            <w:r w:rsidR="00592639">
              <w:rPr>
                <w:rStyle w:val="Hyperlink"/>
                <w:noProof/>
              </w:rPr>
              <w:t>Participant</w:t>
            </w:r>
            <w:r w:rsidR="00B67B86" w:rsidRPr="00283B58">
              <w:rPr>
                <w:rStyle w:val="Hyperlink"/>
                <w:noProof/>
              </w:rPr>
              <w:t>s who are assessed with a Partial Capacity to Work or a Temporary Reduced Work Capacity</w:t>
            </w:r>
            <w:r w:rsidR="00B67B86">
              <w:rPr>
                <w:noProof/>
                <w:webHidden/>
              </w:rPr>
              <w:tab/>
            </w:r>
            <w:r w:rsidR="00B67B86">
              <w:rPr>
                <w:noProof/>
                <w:webHidden/>
              </w:rPr>
              <w:fldChar w:fldCharType="begin"/>
            </w:r>
            <w:r w:rsidR="00B67B86">
              <w:rPr>
                <w:noProof/>
                <w:webHidden/>
              </w:rPr>
              <w:instrText xml:space="preserve"> PAGEREF _Toc386108349 \h </w:instrText>
            </w:r>
            <w:r w:rsidR="00B67B86">
              <w:rPr>
                <w:noProof/>
                <w:webHidden/>
              </w:rPr>
            </w:r>
            <w:r w:rsidR="00B67B86">
              <w:rPr>
                <w:noProof/>
                <w:webHidden/>
              </w:rPr>
              <w:fldChar w:fldCharType="separate"/>
            </w:r>
            <w:r w:rsidR="00B67B86">
              <w:rPr>
                <w:noProof/>
                <w:webHidden/>
              </w:rPr>
              <w:t>14</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50" w:history="1">
            <w:r w:rsidR="00B67B86" w:rsidRPr="00283B58">
              <w:rPr>
                <w:rStyle w:val="Hyperlink"/>
                <w:noProof/>
              </w:rPr>
              <w:t>Providing copies of the ESAt/JCA Report</w:t>
            </w:r>
            <w:r w:rsidR="00B67B86">
              <w:rPr>
                <w:noProof/>
                <w:webHidden/>
              </w:rPr>
              <w:tab/>
            </w:r>
            <w:r w:rsidR="00B67B86">
              <w:rPr>
                <w:noProof/>
                <w:webHidden/>
              </w:rPr>
              <w:fldChar w:fldCharType="begin"/>
            </w:r>
            <w:r w:rsidR="00B67B86">
              <w:rPr>
                <w:noProof/>
                <w:webHidden/>
              </w:rPr>
              <w:instrText xml:space="preserve"> PAGEREF _Toc386108350 \h </w:instrText>
            </w:r>
            <w:r w:rsidR="00B67B86">
              <w:rPr>
                <w:noProof/>
                <w:webHidden/>
              </w:rPr>
            </w:r>
            <w:r w:rsidR="00B67B86">
              <w:rPr>
                <w:noProof/>
                <w:webHidden/>
              </w:rPr>
              <w:fldChar w:fldCharType="separate"/>
            </w:r>
            <w:r w:rsidR="00B67B86">
              <w:rPr>
                <w:noProof/>
                <w:webHidden/>
              </w:rPr>
              <w:t>14</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51" w:history="1">
            <w:r w:rsidR="00B67B86" w:rsidRPr="00283B58">
              <w:rPr>
                <w:rStyle w:val="Hyperlink"/>
                <w:noProof/>
              </w:rPr>
              <w:t xml:space="preserve">Special </w:t>
            </w:r>
            <w:r w:rsidR="00592639">
              <w:rPr>
                <w:rStyle w:val="Hyperlink"/>
                <w:noProof/>
              </w:rPr>
              <w:t>Participant</w:t>
            </w:r>
            <w:r w:rsidR="00B67B86" w:rsidRPr="00283B58">
              <w:rPr>
                <w:rStyle w:val="Hyperlink"/>
                <w:noProof/>
              </w:rPr>
              <w:t xml:space="preserve"> groups</w:t>
            </w:r>
            <w:r w:rsidR="00B67B86">
              <w:rPr>
                <w:noProof/>
                <w:webHidden/>
              </w:rPr>
              <w:tab/>
            </w:r>
            <w:r w:rsidR="00B67B86">
              <w:rPr>
                <w:noProof/>
                <w:webHidden/>
              </w:rPr>
              <w:fldChar w:fldCharType="begin"/>
            </w:r>
            <w:r w:rsidR="00B67B86">
              <w:rPr>
                <w:noProof/>
                <w:webHidden/>
              </w:rPr>
              <w:instrText xml:space="preserve"> PAGEREF _Toc386108351 \h </w:instrText>
            </w:r>
            <w:r w:rsidR="00B67B86">
              <w:rPr>
                <w:noProof/>
                <w:webHidden/>
              </w:rPr>
            </w:r>
            <w:r w:rsidR="00B67B86">
              <w:rPr>
                <w:noProof/>
                <w:webHidden/>
              </w:rPr>
              <w:fldChar w:fldCharType="separate"/>
            </w:r>
            <w:r w:rsidR="00B67B86">
              <w:rPr>
                <w:noProof/>
                <w:webHidden/>
              </w:rPr>
              <w:t>15</w:t>
            </w:r>
            <w:r w:rsidR="00B67B86">
              <w:rPr>
                <w:noProof/>
                <w:webHidden/>
              </w:rPr>
              <w:fldChar w:fldCharType="end"/>
            </w:r>
          </w:hyperlink>
        </w:p>
        <w:p w:rsidR="00B67B86" w:rsidRDefault="0096512B">
          <w:pPr>
            <w:pStyle w:val="TOC3"/>
            <w:tabs>
              <w:tab w:val="right" w:pos="8681"/>
            </w:tabs>
            <w:rPr>
              <w:rFonts w:eastAsiaTheme="minorEastAsia" w:cstheme="minorBidi"/>
              <w:noProof/>
              <w:sz w:val="22"/>
              <w:szCs w:val="22"/>
            </w:rPr>
          </w:pPr>
          <w:hyperlink w:anchor="_Toc386108352" w:history="1">
            <w:r w:rsidR="00B67B86" w:rsidRPr="00283B58">
              <w:rPr>
                <w:rStyle w:val="Hyperlink"/>
                <w:noProof/>
              </w:rPr>
              <w:t>D</w:t>
            </w:r>
            <w:r w:rsidR="00E0511C">
              <w:rPr>
                <w:rStyle w:val="Hyperlink"/>
                <w:noProof/>
              </w:rPr>
              <w:t>isability Support Pension (D</w:t>
            </w:r>
            <w:r w:rsidR="00B67B86" w:rsidRPr="00283B58">
              <w:rPr>
                <w:rStyle w:val="Hyperlink"/>
                <w:noProof/>
              </w:rPr>
              <w:t>SP</w:t>
            </w:r>
            <w:r w:rsidR="00E0511C">
              <w:rPr>
                <w:rStyle w:val="Hyperlink"/>
                <w:noProof/>
              </w:rPr>
              <w:t>)</w:t>
            </w:r>
            <w:r w:rsidR="00B67B86" w:rsidRPr="00283B58">
              <w:rPr>
                <w:rStyle w:val="Hyperlink"/>
                <w:noProof/>
              </w:rPr>
              <w:t xml:space="preserve"> Recipients</w:t>
            </w:r>
            <w:r w:rsidR="00B67B86">
              <w:rPr>
                <w:noProof/>
                <w:webHidden/>
              </w:rPr>
              <w:tab/>
            </w:r>
            <w:r w:rsidR="00B67B86">
              <w:rPr>
                <w:noProof/>
                <w:webHidden/>
              </w:rPr>
              <w:fldChar w:fldCharType="begin"/>
            </w:r>
            <w:r w:rsidR="00B67B86">
              <w:rPr>
                <w:noProof/>
                <w:webHidden/>
              </w:rPr>
              <w:instrText xml:space="preserve"> PAGEREF _Toc386108352 \h </w:instrText>
            </w:r>
            <w:r w:rsidR="00B67B86">
              <w:rPr>
                <w:noProof/>
                <w:webHidden/>
              </w:rPr>
            </w:r>
            <w:r w:rsidR="00B67B86">
              <w:rPr>
                <w:noProof/>
                <w:webHidden/>
              </w:rPr>
              <w:fldChar w:fldCharType="separate"/>
            </w:r>
            <w:r w:rsidR="00B67B86">
              <w:rPr>
                <w:noProof/>
                <w:webHidden/>
              </w:rPr>
              <w:t>15</w:t>
            </w:r>
            <w:r w:rsidR="00B67B86">
              <w:rPr>
                <w:noProof/>
                <w:webHidden/>
              </w:rPr>
              <w:fldChar w:fldCharType="end"/>
            </w:r>
          </w:hyperlink>
        </w:p>
        <w:p w:rsidR="00B67B86" w:rsidRDefault="0096512B">
          <w:pPr>
            <w:pStyle w:val="TOC1"/>
            <w:tabs>
              <w:tab w:val="right" w:pos="8681"/>
            </w:tabs>
            <w:rPr>
              <w:rFonts w:eastAsiaTheme="minorEastAsia" w:cstheme="minorBidi"/>
              <w:b w:val="0"/>
              <w:bCs w:val="0"/>
              <w:smallCaps w:val="0"/>
              <w:noProof/>
              <w:sz w:val="22"/>
              <w:szCs w:val="22"/>
            </w:rPr>
          </w:pPr>
          <w:hyperlink w:anchor="_Toc386108354" w:history="1">
            <w:r w:rsidR="00B67B86" w:rsidRPr="00283B58">
              <w:rPr>
                <w:rStyle w:val="Hyperlink"/>
                <w:noProof/>
              </w:rPr>
              <w:t>Disability Employment Services Flow Chart—Referral to an Employment Services Assessment</w:t>
            </w:r>
            <w:r w:rsidR="00B67B86">
              <w:rPr>
                <w:noProof/>
                <w:webHidden/>
              </w:rPr>
              <w:tab/>
            </w:r>
            <w:r w:rsidR="00B67B86">
              <w:rPr>
                <w:noProof/>
                <w:webHidden/>
              </w:rPr>
              <w:fldChar w:fldCharType="begin"/>
            </w:r>
            <w:r w:rsidR="00B67B86">
              <w:rPr>
                <w:noProof/>
                <w:webHidden/>
              </w:rPr>
              <w:instrText xml:space="preserve"> PAGEREF _Toc386108354 \h </w:instrText>
            </w:r>
            <w:r w:rsidR="00B67B86">
              <w:rPr>
                <w:noProof/>
                <w:webHidden/>
              </w:rPr>
            </w:r>
            <w:r w:rsidR="00B67B86">
              <w:rPr>
                <w:noProof/>
                <w:webHidden/>
              </w:rPr>
              <w:fldChar w:fldCharType="separate"/>
            </w:r>
            <w:r w:rsidR="00B67B86">
              <w:rPr>
                <w:noProof/>
                <w:webHidden/>
              </w:rPr>
              <w:t>16</w:t>
            </w:r>
            <w:r w:rsidR="00B67B86">
              <w:rPr>
                <w:noProof/>
                <w:webHidden/>
              </w:rPr>
              <w:fldChar w:fldCharType="end"/>
            </w:r>
          </w:hyperlink>
        </w:p>
        <w:p w:rsidR="00B67B86" w:rsidRDefault="0096512B">
          <w:pPr>
            <w:pStyle w:val="TOC3"/>
            <w:tabs>
              <w:tab w:val="right" w:pos="8681"/>
            </w:tabs>
            <w:rPr>
              <w:rFonts w:eastAsiaTheme="minorEastAsia" w:cstheme="minorBidi"/>
              <w:noProof/>
              <w:sz w:val="22"/>
              <w:szCs w:val="22"/>
            </w:rPr>
          </w:pPr>
          <w:hyperlink w:anchor="_Toc386108355" w:history="1">
            <w:r w:rsidR="00B67B86" w:rsidRPr="00283B58">
              <w:rPr>
                <w:rStyle w:val="Hyperlink"/>
                <w:noProof/>
              </w:rPr>
              <w:t>Text Version of Flow Chart: Referral for an Employment Services Assessment</w:t>
            </w:r>
            <w:r w:rsidR="00B67B86">
              <w:rPr>
                <w:noProof/>
                <w:webHidden/>
              </w:rPr>
              <w:tab/>
            </w:r>
            <w:r w:rsidR="00B67B86">
              <w:rPr>
                <w:noProof/>
                <w:webHidden/>
              </w:rPr>
              <w:fldChar w:fldCharType="begin"/>
            </w:r>
            <w:r w:rsidR="00B67B86">
              <w:rPr>
                <w:noProof/>
                <w:webHidden/>
              </w:rPr>
              <w:instrText xml:space="preserve"> PAGEREF _Toc386108355 \h </w:instrText>
            </w:r>
            <w:r w:rsidR="00B67B86">
              <w:rPr>
                <w:noProof/>
                <w:webHidden/>
              </w:rPr>
            </w:r>
            <w:r w:rsidR="00B67B86">
              <w:rPr>
                <w:noProof/>
                <w:webHidden/>
              </w:rPr>
              <w:fldChar w:fldCharType="separate"/>
            </w:r>
            <w:r w:rsidR="00B67B86">
              <w:rPr>
                <w:noProof/>
                <w:webHidden/>
              </w:rPr>
              <w:t>17</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56" w:history="1">
            <w:r w:rsidR="00B67B86" w:rsidRPr="00283B58">
              <w:rPr>
                <w:rStyle w:val="Hyperlink"/>
                <w:noProof/>
              </w:rPr>
              <w:t>Disability Employment Services Deed 2012-2015 Clauses</w:t>
            </w:r>
            <w:r w:rsidR="00B67B86">
              <w:rPr>
                <w:noProof/>
                <w:webHidden/>
              </w:rPr>
              <w:tab/>
            </w:r>
            <w:r w:rsidR="00B67B86">
              <w:rPr>
                <w:noProof/>
                <w:webHidden/>
              </w:rPr>
              <w:fldChar w:fldCharType="begin"/>
            </w:r>
            <w:r w:rsidR="00B67B86">
              <w:rPr>
                <w:noProof/>
                <w:webHidden/>
              </w:rPr>
              <w:instrText xml:space="preserve"> PAGEREF _Toc386108356 \h </w:instrText>
            </w:r>
            <w:r w:rsidR="00B67B86">
              <w:rPr>
                <w:noProof/>
                <w:webHidden/>
              </w:rPr>
            </w:r>
            <w:r w:rsidR="00B67B86">
              <w:rPr>
                <w:noProof/>
                <w:webHidden/>
              </w:rPr>
              <w:fldChar w:fldCharType="separate"/>
            </w:r>
            <w:r w:rsidR="00B67B86">
              <w:rPr>
                <w:noProof/>
                <w:webHidden/>
              </w:rPr>
              <w:t>18</w:t>
            </w:r>
            <w:r w:rsidR="00B67B86">
              <w:rPr>
                <w:noProof/>
                <w:webHidden/>
              </w:rPr>
              <w:fldChar w:fldCharType="end"/>
            </w:r>
          </w:hyperlink>
        </w:p>
        <w:p w:rsidR="00B67B86" w:rsidRDefault="0096512B">
          <w:pPr>
            <w:pStyle w:val="TOC2"/>
            <w:tabs>
              <w:tab w:val="right" w:pos="8681"/>
            </w:tabs>
            <w:rPr>
              <w:rFonts w:eastAsiaTheme="minorEastAsia" w:cstheme="minorBidi"/>
              <w:i w:val="0"/>
              <w:iCs w:val="0"/>
              <w:noProof/>
              <w:sz w:val="22"/>
              <w:szCs w:val="22"/>
            </w:rPr>
          </w:pPr>
          <w:hyperlink w:anchor="_Toc386108357" w:history="1">
            <w:r w:rsidR="00B67B86" w:rsidRPr="00283B58">
              <w:rPr>
                <w:rStyle w:val="Hyperlink"/>
                <w:noProof/>
              </w:rPr>
              <w:t>Reference documents relevant to these Guidelines</w:t>
            </w:r>
            <w:r w:rsidR="00B67B86">
              <w:rPr>
                <w:noProof/>
                <w:webHidden/>
              </w:rPr>
              <w:tab/>
            </w:r>
            <w:r w:rsidR="00B67B86">
              <w:rPr>
                <w:noProof/>
                <w:webHidden/>
              </w:rPr>
              <w:fldChar w:fldCharType="begin"/>
            </w:r>
            <w:r w:rsidR="00B67B86">
              <w:rPr>
                <w:noProof/>
                <w:webHidden/>
              </w:rPr>
              <w:instrText xml:space="preserve"> PAGEREF _Toc386108357 \h </w:instrText>
            </w:r>
            <w:r w:rsidR="00B67B86">
              <w:rPr>
                <w:noProof/>
                <w:webHidden/>
              </w:rPr>
            </w:r>
            <w:r w:rsidR="00B67B86">
              <w:rPr>
                <w:noProof/>
                <w:webHidden/>
              </w:rPr>
              <w:fldChar w:fldCharType="separate"/>
            </w:r>
            <w:r w:rsidR="00B67B86">
              <w:rPr>
                <w:noProof/>
                <w:webHidden/>
              </w:rPr>
              <w:t>18</w:t>
            </w:r>
            <w:r w:rsidR="00B67B86">
              <w:rPr>
                <w:noProof/>
                <w:webHidden/>
              </w:rPr>
              <w:fldChar w:fldCharType="end"/>
            </w:r>
          </w:hyperlink>
        </w:p>
        <w:p w:rsidR="006F5E6D" w:rsidRDefault="006F5E6D">
          <w:r>
            <w:rPr>
              <w:b/>
              <w:bCs/>
              <w:noProof/>
            </w:rPr>
            <w:fldChar w:fldCharType="end"/>
          </w:r>
        </w:p>
      </w:sdtContent>
    </w:sdt>
    <w:p w:rsidR="00E06145" w:rsidRPr="008E1C15" w:rsidRDefault="0008418F" w:rsidP="00F2553A">
      <w:pPr>
        <w:pStyle w:val="Heading1"/>
        <w:rPr>
          <w:color w:val="00B050"/>
        </w:rPr>
      </w:pPr>
      <w:r>
        <w:br w:type="page"/>
      </w:r>
      <w:bookmarkStart w:id="3" w:name="_Toc227571645"/>
      <w:bookmarkStart w:id="4" w:name="_Toc386108327"/>
      <w:r w:rsidRPr="00A16A99">
        <w:rPr>
          <w:color w:val="4070AA"/>
        </w:rPr>
        <w:lastRenderedPageBreak/>
        <w:t>Document Change History:</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258"/>
        <w:gridCol w:w="1275"/>
        <w:gridCol w:w="1134"/>
        <w:gridCol w:w="4263"/>
      </w:tblGrid>
      <w:tr w:rsidR="003A475B" w:rsidRPr="003A475B" w:rsidTr="003A475B">
        <w:trPr>
          <w:tblHeader/>
          <w:jc w:val="center"/>
        </w:trPr>
        <w:tc>
          <w:tcPr>
            <w:tcW w:w="977" w:type="dxa"/>
            <w:shd w:val="clear" w:color="auto" w:fill="auto"/>
          </w:tcPr>
          <w:p w:rsidR="00E06145" w:rsidRPr="003A475B" w:rsidRDefault="0008418F">
            <w:pPr>
              <w:pStyle w:val="TableHeading"/>
              <w:rPr>
                <w:color w:val="auto"/>
              </w:rPr>
            </w:pPr>
            <w:r w:rsidRPr="003A475B">
              <w:rPr>
                <w:color w:val="auto"/>
              </w:rPr>
              <w:t>Version</w:t>
            </w:r>
          </w:p>
        </w:tc>
        <w:tc>
          <w:tcPr>
            <w:tcW w:w="1258" w:type="dxa"/>
            <w:tcBorders>
              <w:bottom w:val="single" w:sz="4" w:space="0" w:color="auto"/>
            </w:tcBorders>
            <w:shd w:val="clear" w:color="auto" w:fill="auto"/>
          </w:tcPr>
          <w:p w:rsidR="00E06145" w:rsidRPr="003A475B" w:rsidRDefault="0008418F">
            <w:pPr>
              <w:pStyle w:val="TableHeading"/>
              <w:rPr>
                <w:color w:val="auto"/>
              </w:rPr>
            </w:pPr>
            <w:r w:rsidRPr="003A475B">
              <w:rPr>
                <w:color w:val="auto"/>
              </w:rPr>
              <w:t xml:space="preserve">Start </w:t>
            </w:r>
            <w:r w:rsidR="00562FEB" w:rsidRPr="003A475B">
              <w:rPr>
                <w:color w:val="auto"/>
              </w:rPr>
              <w:br/>
            </w:r>
            <w:r w:rsidRPr="003A475B">
              <w:rPr>
                <w:color w:val="auto"/>
              </w:rPr>
              <w:t>Date</w:t>
            </w:r>
          </w:p>
        </w:tc>
        <w:tc>
          <w:tcPr>
            <w:tcW w:w="1275" w:type="dxa"/>
            <w:tcBorders>
              <w:bottom w:val="single" w:sz="4" w:space="0" w:color="auto"/>
            </w:tcBorders>
            <w:shd w:val="clear" w:color="auto" w:fill="auto"/>
          </w:tcPr>
          <w:p w:rsidR="00E06145" w:rsidRPr="003A475B" w:rsidRDefault="0008418F">
            <w:pPr>
              <w:pStyle w:val="TableHeading"/>
              <w:rPr>
                <w:color w:val="auto"/>
              </w:rPr>
            </w:pPr>
            <w:r w:rsidRPr="003A475B">
              <w:rPr>
                <w:color w:val="auto"/>
              </w:rPr>
              <w:t>Effective Date</w:t>
            </w:r>
          </w:p>
        </w:tc>
        <w:tc>
          <w:tcPr>
            <w:tcW w:w="1134" w:type="dxa"/>
            <w:tcBorders>
              <w:bottom w:val="single" w:sz="4" w:space="0" w:color="auto"/>
            </w:tcBorders>
            <w:shd w:val="clear" w:color="auto" w:fill="auto"/>
          </w:tcPr>
          <w:p w:rsidR="00E06145" w:rsidRPr="003A475B" w:rsidRDefault="0008418F">
            <w:pPr>
              <w:pStyle w:val="TableHeading"/>
              <w:rPr>
                <w:color w:val="auto"/>
              </w:rPr>
            </w:pPr>
            <w:r w:rsidRPr="003A475B">
              <w:rPr>
                <w:color w:val="auto"/>
              </w:rPr>
              <w:t xml:space="preserve">End </w:t>
            </w:r>
            <w:r w:rsidR="00562FEB" w:rsidRPr="003A475B">
              <w:rPr>
                <w:color w:val="auto"/>
              </w:rPr>
              <w:br/>
            </w:r>
            <w:r w:rsidRPr="003A475B">
              <w:rPr>
                <w:color w:val="auto"/>
              </w:rPr>
              <w:t>Date</w:t>
            </w:r>
          </w:p>
        </w:tc>
        <w:tc>
          <w:tcPr>
            <w:tcW w:w="4263" w:type="dxa"/>
            <w:shd w:val="clear" w:color="auto" w:fill="auto"/>
            <w:vAlign w:val="center"/>
          </w:tcPr>
          <w:p w:rsidR="00E06145" w:rsidRPr="003A475B" w:rsidRDefault="0008418F">
            <w:pPr>
              <w:pStyle w:val="TableHeading"/>
              <w:rPr>
                <w:color w:val="auto"/>
              </w:rPr>
            </w:pPr>
            <w:r w:rsidRPr="003A475B">
              <w:rPr>
                <w:color w:val="auto"/>
              </w:rPr>
              <w:t>Change &amp; Location</w:t>
            </w:r>
          </w:p>
        </w:tc>
      </w:tr>
      <w:tr w:rsidR="00EC41A8" w:rsidRPr="00DF23AF" w:rsidTr="00EC41A8">
        <w:trPr>
          <w:jc w:val="center"/>
        </w:trPr>
        <w:tc>
          <w:tcPr>
            <w:tcW w:w="977" w:type="dxa"/>
          </w:tcPr>
          <w:p w:rsidR="00EC41A8" w:rsidRDefault="00EC41A8" w:rsidP="00F37C8B">
            <w:r>
              <w:t>2.1</w:t>
            </w:r>
          </w:p>
        </w:tc>
        <w:tc>
          <w:tcPr>
            <w:tcW w:w="1258" w:type="dxa"/>
            <w:shd w:val="clear" w:color="auto" w:fill="auto"/>
          </w:tcPr>
          <w:p w:rsidR="00EC41A8" w:rsidRDefault="00EC41A8" w:rsidP="00454543">
            <w:r>
              <w:t>12 Sept 2015</w:t>
            </w:r>
          </w:p>
        </w:tc>
        <w:tc>
          <w:tcPr>
            <w:tcW w:w="1275" w:type="dxa"/>
          </w:tcPr>
          <w:p w:rsidR="00EC41A8" w:rsidRDefault="00EC41A8" w:rsidP="006B196C">
            <w:r>
              <w:t>12 Sept 2015</w:t>
            </w:r>
          </w:p>
        </w:tc>
        <w:tc>
          <w:tcPr>
            <w:tcW w:w="1134" w:type="dxa"/>
            <w:shd w:val="clear" w:color="auto" w:fill="auto"/>
          </w:tcPr>
          <w:p w:rsidR="00EC41A8" w:rsidRPr="0008418F" w:rsidRDefault="00EC41A8" w:rsidP="00EC41A8">
            <w:pPr>
              <w:jc w:val="center"/>
            </w:pPr>
          </w:p>
        </w:tc>
        <w:tc>
          <w:tcPr>
            <w:tcW w:w="4263" w:type="dxa"/>
          </w:tcPr>
          <w:p w:rsidR="00EC41A8" w:rsidRPr="00EC41A8" w:rsidRDefault="00EC41A8" w:rsidP="00BA37D1">
            <w:pPr>
              <w:rPr>
                <w:rStyle w:val="Strong"/>
                <w:b w:val="0"/>
              </w:rPr>
            </w:pPr>
            <w:r w:rsidRPr="00EC41A8">
              <w:rPr>
                <w:rStyle w:val="Strong"/>
                <w:b w:val="0"/>
              </w:rPr>
              <w:t>U</w:t>
            </w:r>
            <w:r w:rsidR="0096512B">
              <w:rPr>
                <w:rStyle w:val="Strong"/>
                <w:b w:val="0"/>
              </w:rPr>
              <w:t>p</w:t>
            </w:r>
            <w:r w:rsidRPr="00EC41A8">
              <w:rPr>
                <w:rStyle w:val="Strong"/>
                <w:b w:val="0"/>
              </w:rPr>
              <w:t>date of terminology.</w:t>
            </w:r>
          </w:p>
        </w:tc>
      </w:tr>
      <w:tr w:rsidR="00BA37D1" w:rsidRPr="00DF23AF" w:rsidTr="00EC41A8">
        <w:trPr>
          <w:jc w:val="center"/>
        </w:trPr>
        <w:tc>
          <w:tcPr>
            <w:tcW w:w="977" w:type="dxa"/>
          </w:tcPr>
          <w:p w:rsidR="00BA37D1" w:rsidRDefault="00BA37D1" w:rsidP="00F37C8B">
            <w:r>
              <w:t>2.0</w:t>
            </w:r>
          </w:p>
        </w:tc>
        <w:tc>
          <w:tcPr>
            <w:tcW w:w="1258" w:type="dxa"/>
            <w:shd w:val="clear" w:color="auto" w:fill="auto"/>
          </w:tcPr>
          <w:p w:rsidR="00BA37D1" w:rsidRDefault="003B707F" w:rsidP="00454543">
            <w:r>
              <w:t>1 June</w:t>
            </w:r>
          </w:p>
        </w:tc>
        <w:tc>
          <w:tcPr>
            <w:tcW w:w="1275" w:type="dxa"/>
          </w:tcPr>
          <w:p w:rsidR="00BA37D1" w:rsidRDefault="003B707F" w:rsidP="006B196C">
            <w:r>
              <w:t xml:space="preserve">25 </w:t>
            </w:r>
            <w:r w:rsidR="006B196C">
              <w:t>July</w:t>
            </w:r>
            <w:r>
              <w:t xml:space="preserve"> 2014</w:t>
            </w:r>
          </w:p>
        </w:tc>
        <w:tc>
          <w:tcPr>
            <w:tcW w:w="1134" w:type="dxa"/>
            <w:shd w:val="clear" w:color="auto" w:fill="auto"/>
          </w:tcPr>
          <w:p w:rsidR="00BA37D1" w:rsidRPr="0008418F" w:rsidRDefault="00EC41A8" w:rsidP="00EC41A8">
            <w:pPr>
              <w:jc w:val="center"/>
            </w:pPr>
            <w:r>
              <w:t>11 Sept 2015</w:t>
            </w:r>
          </w:p>
        </w:tc>
        <w:tc>
          <w:tcPr>
            <w:tcW w:w="4263" w:type="dxa"/>
          </w:tcPr>
          <w:p w:rsidR="00BA37D1" w:rsidRPr="00BA37D1" w:rsidRDefault="00BA37D1" w:rsidP="00BA37D1">
            <w:pPr>
              <w:rPr>
                <w:rStyle w:val="Strong"/>
                <w:b w:val="0"/>
              </w:rPr>
            </w:pPr>
            <w:r w:rsidRPr="00656654">
              <w:rPr>
                <w:rStyle w:val="Strong"/>
              </w:rPr>
              <w:t>Formatting:</w:t>
            </w:r>
            <w:r w:rsidRPr="00BA37D1">
              <w:rPr>
                <w:rStyle w:val="Strong"/>
                <w:b w:val="0"/>
              </w:rPr>
              <w:t xml:space="preserve"> Amendments to formatting (</w:t>
            </w:r>
            <w:proofErr w:type="spellStart"/>
            <w:r w:rsidRPr="00BA37D1">
              <w:rPr>
                <w:rStyle w:val="Strong"/>
                <w:b w:val="0"/>
              </w:rPr>
              <w:t>pp</w:t>
            </w:r>
            <w:proofErr w:type="spellEnd"/>
            <w:r w:rsidRPr="00BA37D1">
              <w:rPr>
                <w:rStyle w:val="Strong"/>
                <w:b w:val="0"/>
              </w:rPr>
              <w:t xml:space="preserve"> 1-14).</w:t>
            </w:r>
          </w:p>
          <w:p w:rsidR="00BA37D1" w:rsidRPr="00454543" w:rsidRDefault="00BA37D1" w:rsidP="00BA37D1">
            <w:pPr>
              <w:rPr>
                <w:rStyle w:val="Strong"/>
                <w:b w:val="0"/>
              </w:rPr>
            </w:pPr>
            <w:r w:rsidRPr="00656654">
              <w:rPr>
                <w:rStyle w:val="Strong"/>
              </w:rPr>
              <w:t xml:space="preserve">Narrative: </w:t>
            </w:r>
            <w:r w:rsidRPr="00BA37D1">
              <w:rPr>
                <w:rStyle w:val="Strong"/>
                <w:b w:val="0"/>
              </w:rPr>
              <w:t>In line with the Government’s deregulation agenda, a number of previous fact sheets, job aids and existing guidelines have been condensed to provide a further streamlining of the guidelines. Amendment to text to reflect Machinery of Government changes. Amendments to formatting for accessibility.</w:t>
            </w:r>
          </w:p>
        </w:tc>
      </w:tr>
      <w:tr w:rsidR="00454543" w:rsidRPr="00DF23AF" w:rsidTr="00F37C8B">
        <w:trPr>
          <w:jc w:val="center"/>
        </w:trPr>
        <w:tc>
          <w:tcPr>
            <w:tcW w:w="977" w:type="dxa"/>
          </w:tcPr>
          <w:p w:rsidR="00454543" w:rsidRPr="0008418F" w:rsidRDefault="00454543" w:rsidP="00F37C8B">
            <w:r>
              <w:t>1.5</w:t>
            </w:r>
          </w:p>
        </w:tc>
        <w:tc>
          <w:tcPr>
            <w:tcW w:w="1258" w:type="dxa"/>
            <w:shd w:val="clear" w:color="auto" w:fill="auto"/>
          </w:tcPr>
          <w:p w:rsidR="00454543" w:rsidRPr="0008418F" w:rsidRDefault="00454543" w:rsidP="00454543">
            <w:bookmarkStart w:id="5" w:name="_GoBack"/>
            <w:r>
              <w:t>14 Jun 13</w:t>
            </w:r>
            <w:bookmarkEnd w:id="5"/>
          </w:p>
        </w:tc>
        <w:tc>
          <w:tcPr>
            <w:tcW w:w="1275" w:type="dxa"/>
          </w:tcPr>
          <w:p w:rsidR="00454543" w:rsidRPr="0008418F" w:rsidRDefault="00454543" w:rsidP="00454543">
            <w:r>
              <w:t>1 Jul 13</w:t>
            </w:r>
          </w:p>
        </w:tc>
        <w:tc>
          <w:tcPr>
            <w:tcW w:w="1134" w:type="dxa"/>
            <w:shd w:val="clear" w:color="auto" w:fill="auto"/>
            <w:vAlign w:val="center"/>
          </w:tcPr>
          <w:p w:rsidR="00454543" w:rsidRPr="0008418F" w:rsidRDefault="00454543" w:rsidP="00F37C8B">
            <w:pPr>
              <w:jc w:val="center"/>
            </w:pPr>
          </w:p>
        </w:tc>
        <w:tc>
          <w:tcPr>
            <w:tcW w:w="4263" w:type="dxa"/>
          </w:tcPr>
          <w:p w:rsidR="00454543" w:rsidRPr="00454543" w:rsidRDefault="00454543" w:rsidP="00454543">
            <w:pPr>
              <w:rPr>
                <w:b/>
              </w:rPr>
            </w:pPr>
            <w:r w:rsidRPr="00454543">
              <w:rPr>
                <w:rStyle w:val="Strong"/>
                <w:b w:val="0"/>
              </w:rPr>
              <w:t xml:space="preserve">Remove references to DES </w:t>
            </w:r>
            <w:r w:rsidR="006706F9" w:rsidRPr="00454543">
              <w:rPr>
                <w:rStyle w:val="Strong"/>
                <w:b w:val="0"/>
              </w:rPr>
              <w:t>P</w:t>
            </w:r>
            <w:r w:rsidR="006706F9">
              <w:rPr>
                <w:rStyle w:val="Strong"/>
                <w:b w:val="0"/>
              </w:rPr>
              <w:t>a</w:t>
            </w:r>
            <w:r w:rsidR="006706F9" w:rsidRPr="00454543">
              <w:rPr>
                <w:rStyle w:val="Strong"/>
                <w:b w:val="0"/>
              </w:rPr>
              <w:t>rticipants</w:t>
            </w:r>
            <w:r w:rsidRPr="00454543">
              <w:rPr>
                <w:rStyle w:val="Strong"/>
                <w:b w:val="0"/>
              </w:rPr>
              <w:t xml:space="preserve"> in remote </w:t>
            </w:r>
            <w:r>
              <w:rPr>
                <w:rStyle w:val="Strong"/>
                <w:b w:val="0"/>
              </w:rPr>
              <w:t>ESAs</w:t>
            </w:r>
            <w:r w:rsidRPr="00454543">
              <w:rPr>
                <w:rStyle w:val="Strong"/>
                <w:b w:val="0"/>
              </w:rPr>
              <w:t xml:space="preserve"> due to introduction of RJCP</w:t>
            </w:r>
            <w:r>
              <w:rPr>
                <w:rStyle w:val="Strong"/>
                <w:b w:val="0"/>
              </w:rPr>
              <w:t xml:space="preserve"> on 1 July 2013.</w:t>
            </w:r>
          </w:p>
        </w:tc>
      </w:tr>
      <w:tr w:rsidR="003215F1" w:rsidRPr="00DF23AF" w:rsidTr="0090784C">
        <w:trPr>
          <w:jc w:val="center"/>
        </w:trPr>
        <w:tc>
          <w:tcPr>
            <w:tcW w:w="977" w:type="dxa"/>
          </w:tcPr>
          <w:p w:rsidR="003215F1" w:rsidRPr="0008418F" w:rsidRDefault="003215F1" w:rsidP="00160A63">
            <w:r>
              <w:t>1.4</w:t>
            </w:r>
          </w:p>
        </w:tc>
        <w:tc>
          <w:tcPr>
            <w:tcW w:w="1258" w:type="dxa"/>
            <w:shd w:val="clear" w:color="auto" w:fill="auto"/>
          </w:tcPr>
          <w:p w:rsidR="003215F1" w:rsidRPr="0008418F" w:rsidRDefault="0090784C" w:rsidP="00160A63">
            <w:r>
              <w:t>1 Oct 12</w:t>
            </w:r>
          </w:p>
        </w:tc>
        <w:tc>
          <w:tcPr>
            <w:tcW w:w="1275" w:type="dxa"/>
          </w:tcPr>
          <w:p w:rsidR="003215F1" w:rsidRPr="0008418F" w:rsidRDefault="0090784C" w:rsidP="0090784C">
            <w:r>
              <w:t>1 Oct 12</w:t>
            </w:r>
          </w:p>
        </w:tc>
        <w:tc>
          <w:tcPr>
            <w:tcW w:w="1134" w:type="dxa"/>
            <w:shd w:val="clear" w:color="auto" w:fill="auto"/>
            <w:vAlign w:val="center"/>
          </w:tcPr>
          <w:p w:rsidR="003215F1" w:rsidRPr="0008418F" w:rsidRDefault="003215F1" w:rsidP="008E1C15">
            <w:pPr>
              <w:jc w:val="center"/>
            </w:pPr>
          </w:p>
        </w:tc>
        <w:tc>
          <w:tcPr>
            <w:tcW w:w="4263" w:type="dxa"/>
          </w:tcPr>
          <w:p w:rsidR="00012680" w:rsidRDefault="00012680" w:rsidP="00012680">
            <w:r w:rsidRPr="00E40B81">
              <w:rPr>
                <w:rStyle w:val="Strong"/>
              </w:rPr>
              <w:t>Formatting:</w:t>
            </w:r>
            <w:r>
              <w:t xml:space="preserve"> Amendments to formatting (pp1-2</w:t>
            </w:r>
            <w:r w:rsidR="0090784C">
              <w:t>7</w:t>
            </w:r>
            <w:r>
              <w:t>).</w:t>
            </w:r>
          </w:p>
          <w:p w:rsidR="003215F1" w:rsidRPr="0008418F" w:rsidRDefault="00012680" w:rsidP="0090784C">
            <w:r w:rsidRPr="00E40B81">
              <w:rPr>
                <w:rStyle w:val="Strong"/>
              </w:rPr>
              <w:t>Narrative:</w:t>
            </w:r>
            <w:r>
              <w:t xml:space="preserve"> Repositioning of information, incorporated information from FAQs into the main sections and deleted FAQs where information is already included in the main sections (pp1-2</w:t>
            </w:r>
            <w:r w:rsidR="0090784C">
              <w:t>7</w:t>
            </w:r>
            <w:r>
              <w:t xml:space="preserve">). New information on assisting remote </w:t>
            </w:r>
            <w:r w:rsidR="00592639">
              <w:t>Participant</w:t>
            </w:r>
            <w:r>
              <w:t>s (p</w:t>
            </w:r>
            <w:r w:rsidR="00160A63">
              <w:t>8</w:t>
            </w:r>
            <w:r>
              <w:t>). New Text version of Flow Chart (p1</w:t>
            </w:r>
            <w:r w:rsidR="00160A63">
              <w:t>2-13</w:t>
            </w:r>
            <w:r>
              <w:t xml:space="preserve">).  Clarification on what information to provide to a </w:t>
            </w:r>
            <w:r w:rsidR="00592639">
              <w:t>Participant</w:t>
            </w:r>
            <w:r>
              <w:t xml:space="preserve"> when making a referral to an ESAt (p</w:t>
            </w:r>
            <w:r w:rsidR="00160A63">
              <w:t>p20-2</w:t>
            </w:r>
            <w:r w:rsidR="0090784C">
              <w:t>2</w:t>
            </w:r>
            <w:r>
              <w:t>). New FAQs (</w:t>
            </w:r>
            <w:proofErr w:type="spellStart"/>
            <w:r>
              <w:t>pp</w:t>
            </w:r>
            <w:proofErr w:type="spellEnd"/>
            <w:r>
              <w:t xml:space="preserve"> </w:t>
            </w:r>
            <w:r w:rsidR="00160A63">
              <w:t>2</w:t>
            </w:r>
            <w:r w:rsidR="0090784C">
              <w:t>6</w:t>
            </w:r>
            <w:r w:rsidR="00160A63">
              <w:t>-2</w:t>
            </w:r>
            <w:r w:rsidR="0090784C">
              <w:t>7</w:t>
            </w:r>
            <w:r>
              <w:t xml:space="preserve">).  Removal of </w:t>
            </w:r>
            <w:r w:rsidR="00592639">
              <w:t>Participant</w:t>
            </w:r>
            <w:r>
              <w:t>s in crisis, experiencing domestic violence and mental health issues.</w:t>
            </w:r>
          </w:p>
        </w:tc>
      </w:tr>
      <w:tr w:rsidR="003215F1" w:rsidRPr="00DF23AF" w:rsidTr="0090784C">
        <w:trPr>
          <w:jc w:val="center"/>
        </w:trPr>
        <w:tc>
          <w:tcPr>
            <w:tcW w:w="977" w:type="dxa"/>
          </w:tcPr>
          <w:p w:rsidR="003215F1" w:rsidRPr="0008418F" w:rsidRDefault="003215F1" w:rsidP="00160A63">
            <w:r>
              <w:t>1.3</w:t>
            </w:r>
          </w:p>
        </w:tc>
        <w:tc>
          <w:tcPr>
            <w:tcW w:w="1258" w:type="dxa"/>
            <w:shd w:val="clear" w:color="auto" w:fill="auto"/>
          </w:tcPr>
          <w:p w:rsidR="003215F1" w:rsidRPr="0008418F" w:rsidRDefault="008E1C15" w:rsidP="00160A63">
            <w:r>
              <w:t>21 Jun 12</w:t>
            </w:r>
          </w:p>
        </w:tc>
        <w:tc>
          <w:tcPr>
            <w:tcW w:w="1275" w:type="dxa"/>
          </w:tcPr>
          <w:p w:rsidR="003215F1" w:rsidRPr="0008418F" w:rsidRDefault="008E1C15" w:rsidP="00160A63">
            <w:r>
              <w:t>1 Jul 12</w:t>
            </w:r>
          </w:p>
        </w:tc>
        <w:tc>
          <w:tcPr>
            <w:tcW w:w="1134" w:type="dxa"/>
            <w:shd w:val="clear" w:color="auto" w:fill="auto"/>
          </w:tcPr>
          <w:p w:rsidR="003215F1" w:rsidRPr="0008418F" w:rsidRDefault="0090784C" w:rsidP="0090784C">
            <w:r>
              <w:t>30 Sep 12</w:t>
            </w:r>
          </w:p>
        </w:tc>
        <w:tc>
          <w:tcPr>
            <w:tcW w:w="4263" w:type="dxa"/>
          </w:tcPr>
          <w:p w:rsidR="00012680" w:rsidRDefault="00012680" w:rsidP="00012680">
            <w:r w:rsidRPr="00E40B81">
              <w:rPr>
                <w:rStyle w:val="Strong"/>
              </w:rPr>
              <w:t>Formatting:</w:t>
            </w:r>
            <w:r>
              <w:t xml:space="preserve"> Amendments to formatting (pp1–24).</w:t>
            </w:r>
          </w:p>
          <w:p w:rsidR="003215F1" w:rsidRPr="0008418F" w:rsidRDefault="00012680" w:rsidP="00012680">
            <w:r w:rsidRPr="00E40B81">
              <w:rPr>
                <w:rStyle w:val="Strong"/>
              </w:rPr>
              <w:t>Narrative:</w:t>
            </w:r>
            <w:r>
              <w:t xml:space="preserve"> Changed Centrelink references to Department of Human Services (pp1-24). Addition of ESAt outcomes (p5). Addition of </w:t>
            </w:r>
            <w:r>
              <w:lastRenderedPageBreak/>
              <w:t xml:space="preserve">information of DSP recipients (p7). Changes to process for referring Participants that disclose domestic violence etc (p8, p21). Clarification of ESAt and medical evidence requirements (pp6-7, pp13-14, pp20-21).  Updating information on referral reasons for an ESAt (pp14).  </w:t>
            </w:r>
          </w:p>
        </w:tc>
      </w:tr>
      <w:tr w:rsidR="003215F1" w:rsidRPr="00DF23AF" w:rsidTr="0068086C">
        <w:trPr>
          <w:jc w:val="center"/>
        </w:trPr>
        <w:tc>
          <w:tcPr>
            <w:tcW w:w="977" w:type="dxa"/>
          </w:tcPr>
          <w:p w:rsidR="003215F1" w:rsidRPr="0008418F" w:rsidRDefault="003215F1" w:rsidP="0068086C">
            <w:r>
              <w:lastRenderedPageBreak/>
              <w:t>1.2</w:t>
            </w:r>
          </w:p>
        </w:tc>
        <w:tc>
          <w:tcPr>
            <w:tcW w:w="1258" w:type="dxa"/>
            <w:shd w:val="clear" w:color="auto" w:fill="auto"/>
          </w:tcPr>
          <w:p w:rsidR="003215F1" w:rsidRPr="0008418F" w:rsidRDefault="008E1C15" w:rsidP="0068086C">
            <w:r>
              <w:t>22 Dec 11</w:t>
            </w:r>
          </w:p>
        </w:tc>
        <w:tc>
          <w:tcPr>
            <w:tcW w:w="1275" w:type="dxa"/>
          </w:tcPr>
          <w:p w:rsidR="003215F1" w:rsidRPr="0008418F" w:rsidRDefault="008E1C15" w:rsidP="0068086C">
            <w:r>
              <w:t>3 Jan 12</w:t>
            </w:r>
          </w:p>
        </w:tc>
        <w:tc>
          <w:tcPr>
            <w:tcW w:w="1134" w:type="dxa"/>
            <w:shd w:val="clear" w:color="auto" w:fill="auto"/>
          </w:tcPr>
          <w:p w:rsidR="003215F1" w:rsidRPr="0008418F" w:rsidRDefault="008E1C15" w:rsidP="0068086C">
            <w:r>
              <w:t>1 July 12</w:t>
            </w:r>
          </w:p>
        </w:tc>
        <w:tc>
          <w:tcPr>
            <w:tcW w:w="4263" w:type="dxa"/>
          </w:tcPr>
          <w:p w:rsidR="003215F1" w:rsidRPr="0008418F" w:rsidRDefault="00012680" w:rsidP="000B0D65">
            <w:r w:rsidRPr="00E40B81">
              <w:rPr>
                <w:rStyle w:val="Strong"/>
              </w:rPr>
              <w:t>Narrative:</w:t>
            </w:r>
            <w:r w:rsidRPr="00012680">
              <w:t xml:space="preserve"> Amendments to text to reflect the introduction of Employment Services Assessments from 1 July 2011. Inclusion of Participant who discloses domestic violence, family grief or trauma (p11) Participants in crisis (p11), Participants with mental health issues (p11),</w:t>
            </w:r>
          </w:p>
        </w:tc>
      </w:tr>
      <w:tr w:rsidR="003215F1" w:rsidRPr="00DF23AF" w:rsidTr="0068086C">
        <w:trPr>
          <w:jc w:val="center"/>
        </w:trPr>
        <w:tc>
          <w:tcPr>
            <w:tcW w:w="977" w:type="dxa"/>
          </w:tcPr>
          <w:p w:rsidR="003215F1" w:rsidRPr="0008418F" w:rsidRDefault="003215F1" w:rsidP="0068086C">
            <w:r>
              <w:t>1.1</w:t>
            </w:r>
          </w:p>
        </w:tc>
        <w:tc>
          <w:tcPr>
            <w:tcW w:w="1258" w:type="dxa"/>
            <w:shd w:val="clear" w:color="auto" w:fill="auto"/>
          </w:tcPr>
          <w:p w:rsidR="003215F1" w:rsidRPr="0008418F" w:rsidRDefault="008E1C15" w:rsidP="0068086C">
            <w:r>
              <w:t>23 Mar 10</w:t>
            </w:r>
          </w:p>
        </w:tc>
        <w:tc>
          <w:tcPr>
            <w:tcW w:w="1275" w:type="dxa"/>
          </w:tcPr>
          <w:p w:rsidR="003215F1" w:rsidRPr="0008418F" w:rsidRDefault="008E1C15" w:rsidP="0068086C">
            <w:r>
              <w:t>23 Mar 10</w:t>
            </w:r>
          </w:p>
        </w:tc>
        <w:tc>
          <w:tcPr>
            <w:tcW w:w="1134" w:type="dxa"/>
            <w:shd w:val="clear" w:color="auto" w:fill="auto"/>
          </w:tcPr>
          <w:p w:rsidR="003215F1" w:rsidRPr="0008418F" w:rsidRDefault="008E1C15" w:rsidP="0068086C">
            <w:r>
              <w:t>3 Jan 12</w:t>
            </w:r>
          </w:p>
        </w:tc>
        <w:tc>
          <w:tcPr>
            <w:tcW w:w="4263" w:type="dxa"/>
          </w:tcPr>
          <w:p w:rsidR="00012680" w:rsidRDefault="00012680" w:rsidP="00012680">
            <w:r w:rsidRPr="00E40B81">
              <w:rPr>
                <w:rStyle w:val="Strong"/>
              </w:rPr>
              <w:t>Narrative:</w:t>
            </w:r>
            <w:r>
              <w:t xml:space="preserve"> Name of JCA referral reason for DSP volunteers updated (p 7 - Section 1a).</w:t>
            </w:r>
          </w:p>
          <w:p w:rsidR="003215F1" w:rsidRPr="0008418F" w:rsidRDefault="00012680" w:rsidP="00012680">
            <w:r w:rsidRPr="00E40B81">
              <w:rPr>
                <w:rStyle w:val="Strong"/>
              </w:rPr>
              <w:t>Policy:</w:t>
            </w:r>
            <w:r>
              <w:t xml:space="preserve"> Removal of reference to disputed JCA flag (p 12 – Section 10).</w:t>
            </w:r>
          </w:p>
        </w:tc>
      </w:tr>
      <w:tr w:rsidR="003215F1" w:rsidRPr="00DF23AF" w:rsidTr="0068086C">
        <w:trPr>
          <w:jc w:val="center"/>
        </w:trPr>
        <w:tc>
          <w:tcPr>
            <w:tcW w:w="977" w:type="dxa"/>
          </w:tcPr>
          <w:p w:rsidR="003215F1" w:rsidRPr="0008418F" w:rsidRDefault="003215F1" w:rsidP="0068086C">
            <w:r>
              <w:t>1.0</w:t>
            </w:r>
          </w:p>
        </w:tc>
        <w:tc>
          <w:tcPr>
            <w:tcW w:w="1258" w:type="dxa"/>
            <w:shd w:val="clear" w:color="auto" w:fill="auto"/>
          </w:tcPr>
          <w:p w:rsidR="003215F1" w:rsidRPr="0008418F" w:rsidRDefault="008E1C15" w:rsidP="0068086C">
            <w:r>
              <w:t>15 Jan 10</w:t>
            </w:r>
          </w:p>
        </w:tc>
        <w:tc>
          <w:tcPr>
            <w:tcW w:w="1275" w:type="dxa"/>
          </w:tcPr>
          <w:p w:rsidR="003215F1" w:rsidRPr="0008418F" w:rsidRDefault="008E1C15" w:rsidP="0068086C">
            <w:r>
              <w:t>01 Mar 10</w:t>
            </w:r>
          </w:p>
        </w:tc>
        <w:tc>
          <w:tcPr>
            <w:tcW w:w="1134" w:type="dxa"/>
            <w:shd w:val="clear" w:color="auto" w:fill="auto"/>
          </w:tcPr>
          <w:p w:rsidR="003215F1" w:rsidRPr="0008418F" w:rsidRDefault="008E1C15" w:rsidP="0068086C">
            <w:r>
              <w:t>23 Mar 10</w:t>
            </w:r>
          </w:p>
        </w:tc>
        <w:tc>
          <w:tcPr>
            <w:tcW w:w="4263" w:type="dxa"/>
          </w:tcPr>
          <w:p w:rsidR="003215F1" w:rsidRPr="0008418F" w:rsidRDefault="000B0D65">
            <w:r w:rsidRPr="000B0D65">
              <w:t>Original version of document</w:t>
            </w:r>
          </w:p>
        </w:tc>
      </w:tr>
    </w:tbl>
    <w:p w:rsidR="00E06145" w:rsidRPr="00A16A99" w:rsidRDefault="005D4108" w:rsidP="00656654">
      <w:pPr>
        <w:pStyle w:val="Heading1"/>
        <w:rPr>
          <w:color w:val="4070AA"/>
        </w:rPr>
      </w:pPr>
      <w:bookmarkStart w:id="6" w:name="_Summary"/>
      <w:bookmarkStart w:id="7" w:name="_Toc386108328"/>
      <w:bookmarkEnd w:id="6"/>
      <w:r w:rsidRPr="00A16A99">
        <w:rPr>
          <w:color w:val="4070AA"/>
        </w:rPr>
        <w:t>E</w:t>
      </w:r>
      <w:r w:rsidR="00904C36">
        <w:rPr>
          <w:color w:val="4070AA"/>
        </w:rPr>
        <w:t>SAt</w:t>
      </w:r>
      <w:r w:rsidRPr="00A16A99">
        <w:rPr>
          <w:color w:val="4070AA"/>
        </w:rPr>
        <w:t xml:space="preserve"> Introduction</w:t>
      </w:r>
      <w:bookmarkEnd w:id="7"/>
    </w:p>
    <w:p w:rsidR="00012680" w:rsidRDefault="0072133E" w:rsidP="00656654">
      <w:pPr>
        <w:pStyle w:val="Heading2"/>
      </w:pPr>
      <w:r>
        <w:t>Policy Intent</w:t>
      </w:r>
    </w:p>
    <w:p w:rsidR="00012680" w:rsidRDefault="00012680" w:rsidP="00012680">
      <w:r>
        <w:t xml:space="preserve">An ESAt is an assessment used to identify a Participant’s </w:t>
      </w:r>
      <w:r w:rsidR="00C340AA">
        <w:t>v</w:t>
      </w:r>
      <w:r>
        <w:t xml:space="preserve">ocational and </w:t>
      </w:r>
      <w:r w:rsidR="00C340AA">
        <w:t>n</w:t>
      </w:r>
      <w:r>
        <w:t xml:space="preserve">on-vocational </w:t>
      </w:r>
      <w:r w:rsidR="00C340AA">
        <w:t>b</w:t>
      </w:r>
      <w:r>
        <w:t>arriers to finding and maintaining employment, their work capacity and ongoing support needs. The ESAt recommends the most appropriate employment services assistance for the Participant and can also identify interventions that may help them overcome their identified barriers.</w:t>
      </w:r>
    </w:p>
    <w:p w:rsidR="00924F9A" w:rsidRDefault="00012680" w:rsidP="00F876A2">
      <w:r>
        <w:t>An ESAt is generally conduc</w:t>
      </w:r>
      <w:r w:rsidR="00E40B81">
        <w:t>ted in a face-to-face interview</w:t>
      </w:r>
      <w:r>
        <w:t xml:space="preserve"> </w:t>
      </w:r>
      <w:r w:rsidR="00CA5ED2">
        <w:rPr>
          <w:rStyle w:val="FootnoteReference"/>
        </w:rPr>
        <w:footnoteReference w:id="1"/>
      </w:r>
      <w:r>
        <w:t xml:space="preserve"> undertaken by a Department of Human Services (Human Services) Assessor (Assessor</w:t>
      </w:r>
      <w:r w:rsidR="00F876A2">
        <w:t xml:space="preserve">)—who may be a nurse, physiotherapist, psychologist, occupational therapist or other qualified </w:t>
      </w:r>
      <w:r w:rsidR="00C340AA">
        <w:t xml:space="preserve">health or </w:t>
      </w:r>
      <w:r w:rsidR="00F876A2">
        <w:t>allied health professional.</w:t>
      </w:r>
    </w:p>
    <w:p w:rsidR="00012680" w:rsidRDefault="00012680" w:rsidP="00012680">
      <w:r>
        <w:t>There are two types of ESAts:</w:t>
      </w:r>
    </w:p>
    <w:p w:rsidR="00012680" w:rsidRDefault="00012680" w:rsidP="003B707F">
      <w:pPr>
        <w:pStyle w:val="ListParagraph"/>
        <w:numPr>
          <w:ilvl w:val="0"/>
          <w:numId w:val="73"/>
        </w:numPr>
      </w:pPr>
      <w:r>
        <w:t xml:space="preserve">A </w:t>
      </w:r>
      <w:r w:rsidR="00F876A2">
        <w:t>M</w:t>
      </w:r>
      <w:r>
        <w:t xml:space="preserve">edical </w:t>
      </w:r>
      <w:r w:rsidR="00F876A2">
        <w:t>C</w:t>
      </w:r>
      <w:r>
        <w:t xml:space="preserve">ondition ESAt—an </w:t>
      </w:r>
      <w:r w:rsidR="00F876A2">
        <w:t>A</w:t>
      </w:r>
      <w:r>
        <w:t xml:space="preserve">ssessment of the Participant’s circumstances to determine work capacity and the most appropriate employment service, where one or more medical conditions are identified.  </w:t>
      </w:r>
    </w:p>
    <w:p w:rsidR="00012680" w:rsidRDefault="00012680" w:rsidP="003B707F">
      <w:pPr>
        <w:pStyle w:val="ListParagraph"/>
        <w:numPr>
          <w:ilvl w:val="0"/>
          <w:numId w:val="73"/>
        </w:numPr>
      </w:pPr>
      <w:r>
        <w:lastRenderedPageBreak/>
        <w:t xml:space="preserve">A </w:t>
      </w:r>
      <w:r w:rsidR="00F876A2">
        <w:t>N</w:t>
      </w:r>
      <w:r>
        <w:t>on-</w:t>
      </w:r>
      <w:r w:rsidR="00F876A2">
        <w:t>M</w:t>
      </w:r>
      <w:r>
        <w:t xml:space="preserve">edical </w:t>
      </w:r>
      <w:r w:rsidR="00F876A2">
        <w:t>C</w:t>
      </w:r>
      <w:r>
        <w:t xml:space="preserve">ondition ESAt—an </w:t>
      </w:r>
      <w:r w:rsidR="00F876A2">
        <w:t>A</w:t>
      </w:r>
      <w:r>
        <w:t xml:space="preserve">ssessment of the Participant’s circumstances to determine the most appropriate employment service, where no medical conditions are identified. A </w:t>
      </w:r>
      <w:r w:rsidR="00F876A2">
        <w:t>N</w:t>
      </w:r>
      <w:r>
        <w:t>on–</w:t>
      </w:r>
      <w:r w:rsidR="00F876A2">
        <w:t>M</w:t>
      </w:r>
      <w:r>
        <w:t xml:space="preserve">edical </w:t>
      </w:r>
      <w:r w:rsidR="00F876A2">
        <w:t>C</w:t>
      </w:r>
      <w:r>
        <w:t xml:space="preserve">ondition ESAt is normally less complex than a </w:t>
      </w:r>
      <w:r w:rsidR="00F876A2">
        <w:t>M</w:t>
      </w:r>
      <w:r>
        <w:t xml:space="preserve">edical </w:t>
      </w:r>
      <w:r w:rsidR="00F876A2">
        <w:t>C</w:t>
      </w:r>
      <w:r>
        <w:t>ondition ESAt.</w:t>
      </w:r>
    </w:p>
    <w:p w:rsidR="00012680" w:rsidRDefault="00012680" w:rsidP="00012680">
      <w:r>
        <w:t>An ESAt assesses the</w:t>
      </w:r>
      <w:r w:rsidR="00BA37D1">
        <w:t xml:space="preserve"> </w:t>
      </w:r>
      <w:r w:rsidR="00C340AA">
        <w:t xml:space="preserve">Participant’s </w:t>
      </w:r>
      <w:r>
        <w:t>work capacity in the following bandwidths: 0–7 hours per week, 8–14 hours per week, 15–22 hours per week, 23–29 hours per week and 30 or more hours per week.</w:t>
      </w:r>
    </w:p>
    <w:p w:rsidR="00471E75" w:rsidRPr="00ED7E42" w:rsidRDefault="00012680" w:rsidP="00ED7E42">
      <w:pPr>
        <w:rPr>
          <w:rStyle w:val="Strong"/>
          <w:b w:val="0"/>
          <w:bCs w:val="0"/>
        </w:rPr>
      </w:pPr>
      <w:r>
        <w:t xml:space="preserve">The Assessor may suggest suitable types of employment and interventions that are most appropriate to meet the Participant’s needs. The report prepared by the Assessor is available on </w:t>
      </w:r>
      <w:r w:rsidR="00592639">
        <w:t>ESS</w:t>
      </w:r>
      <w:r>
        <w:t xml:space="preserve"> to be viewed by the DES </w:t>
      </w:r>
      <w:r w:rsidR="00BA1DB4">
        <w:t>P</w:t>
      </w:r>
      <w:r>
        <w:t>rovider and should be used to develop the suite of services to meet the Participant’s needs.</w:t>
      </w:r>
    </w:p>
    <w:p w:rsidR="005D4108" w:rsidRPr="003B707F" w:rsidRDefault="0008418F" w:rsidP="00656654">
      <w:pPr>
        <w:spacing w:before="240"/>
        <w:rPr>
          <w:rStyle w:val="Strong"/>
        </w:rPr>
      </w:pPr>
      <w:r w:rsidRPr="00C32483">
        <w:rPr>
          <w:rStyle w:val="Strong"/>
        </w:rPr>
        <w:t>Note:</w:t>
      </w:r>
      <w:r w:rsidR="005D4108" w:rsidRPr="003B707F">
        <w:rPr>
          <w:rStyle w:val="Strong"/>
        </w:rPr>
        <w:tab/>
      </w:r>
    </w:p>
    <w:p w:rsidR="00012680" w:rsidRDefault="0088143B" w:rsidP="000F5D5B">
      <w:pPr>
        <w:pStyle w:val="ListParagraph"/>
        <w:numPr>
          <w:ilvl w:val="0"/>
          <w:numId w:val="74"/>
        </w:numPr>
      </w:pPr>
      <w:r w:rsidRPr="003B707F">
        <w:rPr>
          <w:rStyle w:val="Strong"/>
        </w:rPr>
        <w:t>ESAt</w:t>
      </w:r>
      <w:r w:rsidR="001C13E8" w:rsidRPr="003B707F">
        <w:rPr>
          <w:rStyle w:val="Strong"/>
        </w:rPr>
        <w:t>s/JCAs are</w:t>
      </w:r>
      <w:r w:rsidRPr="003B707F">
        <w:rPr>
          <w:rStyle w:val="Strong"/>
        </w:rPr>
        <w:t xml:space="preserve"> not diagnostic Assessment</w:t>
      </w:r>
      <w:r w:rsidR="001C13E8" w:rsidRPr="003B707F">
        <w:rPr>
          <w:rStyle w:val="Strong"/>
        </w:rPr>
        <w:t>s</w:t>
      </w:r>
      <w:r w:rsidR="001C13E8" w:rsidRPr="003B707F">
        <w:rPr>
          <w:rStyle w:val="FootnoteReference"/>
        </w:rPr>
        <w:footnoteReference w:id="2"/>
      </w:r>
      <w:r w:rsidR="00012680" w:rsidRPr="00656654">
        <w:rPr>
          <w:rStyle w:val="FootnoteReference"/>
        </w:rPr>
        <w:t xml:space="preserve"> </w:t>
      </w:r>
      <w:r w:rsidR="00012680" w:rsidRPr="003B707F">
        <w:t>and the submitted</w:t>
      </w:r>
      <w:r w:rsidR="00012680">
        <w:t xml:space="preserve"> report is based on the Assessor’s consideration of medical or other evidence, their discussion with the customer, their observations and conclusions and, most importantly, the justification for the assignment of work capacity hour bandwidths and referral action.</w:t>
      </w:r>
    </w:p>
    <w:p w:rsidR="00012680" w:rsidRDefault="00012680" w:rsidP="000F5D5B">
      <w:pPr>
        <w:pStyle w:val="ListParagraph"/>
        <w:numPr>
          <w:ilvl w:val="0"/>
          <w:numId w:val="74"/>
        </w:numPr>
      </w:pPr>
      <w:r>
        <w:t xml:space="preserve">An ESAt can also determine if the potential Participant would benefit by participating in </w:t>
      </w:r>
      <w:r w:rsidR="00C07ADC">
        <w:t>jobactive</w:t>
      </w:r>
      <w:r>
        <w:t xml:space="preserve">, DES, a </w:t>
      </w:r>
      <w:r w:rsidR="00592639">
        <w:t>complimentary</w:t>
      </w:r>
      <w:r>
        <w:t xml:space="preserve"> service including Australian Disability Enterprises (ADE), a State Government or community sector program</w:t>
      </w:r>
      <w:r w:rsidR="00ED7181">
        <w:t>me</w:t>
      </w:r>
      <w:r>
        <w:t xml:space="preserve"> or activity—or if they are unable to benefit from any form of employment services assistance.</w:t>
      </w:r>
    </w:p>
    <w:p w:rsidR="00FC37C8" w:rsidRDefault="00012680" w:rsidP="000F5D5B">
      <w:pPr>
        <w:pStyle w:val="ListParagraph"/>
        <w:numPr>
          <w:ilvl w:val="0"/>
          <w:numId w:val="74"/>
        </w:numPr>
      </w:pPr>
      <w:r>
        <w:t>From 1 July 2011</w:t>
      </w:r>
      <w:r w:rsidRPr="003B707F">
        <w:t xml:space="preserve">, a JCA </w:t>
      </w:r>
      <w:r w:rsidR="00A56D3D" w:rsidRPr="003B707F">
        <w:t xml:space="preserve">has </w:t>
      </w:r>
      <w:r w:rsidRPr="003B707F">
        <w:t>only be</w:t>
      </w:r>
      <w:r w:rsidR="004B35FA" w:rsidRPr="003B707F">
        <w:t>en</w:t>
      </w:r>
      <w:r w:rsidRPr="00952ABF">
        <w:t xml:space="preserve"> used</w:t>
      </w:r>
      <w:r w:rsidRPr="003B707F">
        <w:t xml:space="preserve"> for</w:t>
      </w:r>
      <w:r>
        <w:t xml:space="preserve"> DSP eligibility purposes. Where a DSP recipient has a </w:t>
      </w:r>
      <w:r w:rsidR="00904C36">
        <w:t xml:space="preserve">V </w:t>
      </w:r>
      <w:r>
        <w:t>JCA, they will not require an ESAt</w:t>
      </w:r>
      <w:r w:rsidR="00FC37C8">
        <w:t>.</w:t>
      </w:r>
      <w:r>
        <w:t xml:space="preserve"> </w:t>
      </w:r>
    </w:p>
    <w:p w:rsidR="00012680" w:rsidRDefault="00012680" w:rsidP="000F5D5B">
      <w:pPr>
        <w:pStyle w:val="ListParagraph"/>
        <w:numPr>
          <w:ilvl w:val="0"/>
          <w:numId w:val="74"/>
        </w:numPr>
      </w:pPr>
      <w:r>
        <w:t>JCAs conducted prior to 1 July 2011 will remain valid unless the Participant has had a significant change in their circumstances and requires assessment.</w:t>
      </w:r>
    </w:p>
    <w:p w:rsidR="00012680" w:rsidRDefault="00012680" w:rsidP="00656654">
      <w:r w:rsidRPr="00012680">
        <w:t>The outcomes of the ESAt include:</w:t>
      </w:r>
    </w:p>
    <w:p w:rsidR="005D4108" w:rsidRDefault="005D4108" w:rsidP="000F5D5B">
      <w:pPr>
        <w:pStyle w:val="ListParagraph"/>
        <w:numPr>
          <w:ilvl w:val="0"/>
          <w:numId w:val="75"/>
        </w:numPr>
      </w:pPr>
      <w:r>
        <w:t>referral to Streams 1 to 3</w:t>
      </w:r>
    </w:p>
    <w:p w:rsidR="005D4108" w:rsidRPr="003B707F" w:rsidRDefault="005D4108" w:rsidP="000F5D5B">
      <w:pPr>
        <w:pStyle w:val="ListParagraph"/>
        <w:numPr>
          <w:ilvl w:val="0"/>
          <w:numId w:val="75"/>
        </w:numPr>
      </w:pPr>
      <w:r>
        <w:t xml:space="preserve">referral to </w:t>
      </w:r>
      <w:r w:rsidRPr="003B707F">
        <w:t>Stream 4 (</w:t>
      </w:r>
      <w:r w:rsidRPr="00656654">
        <w:rPr>
          <w:u w:val="single"/>
        </w:rPr>
        <w:t>where multiple and/or complex Non-</w:t>
      </w:r>
      <w:r w:rsidR="00F876A2" w:rsidRPr="00656654">
        <w:rPr>
          <w:u w:val="single"/>
        </w:rPr>
        <w:t>V</w:t>
      </w:r>
      <w:r w:rsidRPr="00656654">
        <w:rPr>
          <w:u w:val="single"/>
        </w:rPr>
        <w:t>ocational Barriers are identified)</w:t>
      </w:r>
    </w:p>
    <w:p w:rsidR="005D4108" w:rsidRDefault="005D4108" w:rsidP="000F5D5B">
      <w:pPr>
        <w:pStyle w:val="ListParagraph"/>
        <w:numPr>
          <w:ilvl w:val="0"/>
          <w:numId w:val="75"/>
        </w:numPr>
      </w:pPr>
      <w:r>
        <w:t>referral to DES</w:t>
      </w:r>
      <w:r w:rsidR="006706F9">
        <w:t>-</w:t>
      </w:r>
      <w:r>
        <w:t xml:space="preserve">Disability Management Service or </w:t>
      </w:r>
      <w:r w:rsidR="006706F9">
        <w:t>DES-</w:t>
      </w:r>
      <w:r>
        <w:t>Employment Support Service</w:t>
      </w:r>
    </w:p>
    <w:p w:rsidR="005D4108" w:rsidRDefault="005D4108" w:rsidP="000F5D5B">
      <w:pPr>
        <w:pStyle w:val="ListParagraph"/>
        <w:numPr>
          <w:ilvl w:val="0"/>
          <w:numId w:val="75"/>
        </w:numPr>
      </w:pPr>
      <w:r>
        <w:t xml:space="preserve">recommended referral to </w:t>
      </w:r>
      <w:r w:rsidR="00592639">
        <w:t>complimentary</w:t>
      </w:r>
      <w:r>
        <w:t xml:space="preserve"> program</w:t>
      </w:r>
      <w:r w:rsidR="00ED7181">
        <w:t>me</w:t>
      </w:r>
      <w:r>
        <w:t xml:space="preserve">s such as </w:t>
      </w:r>
      <w:proofErr w:type="spellStart"/>
      <w:r w:rsidR="00904C36">
        <w:t>an</w:t>
      </w:r>
      <w:r>
        <w:t>A</w:t>
      </w:r>
      <w:r w:rsidR="00904C36">
        <w:t>DE</w:t>
      </w:r>
      <w:proofErr w:type="spellEnd"/>
      <w:r>
        <w:t>, State Government or community sector program</w:t>
      </w:r>
      <w:r w:rsidR="00ED7181">
        <w:t>me</w:t>
      </w:r>
      <w:r>
        <w:t xml:space="preserve"> or activities, or</w:t>
      </w:r>
    </w:p>
    <w:p w:rsidR="0072133E" w:rsidRDefault="005D4108">
      <w:pPr>
        <w:pStyle w:val="ListParagraph"/>
        <w:numPr>
          <w:ilvl w:val="0"/>
          <w:numId w:val="75"/>
        </w:numPr>
      </w:pPr>
      <w:proofErr w:type="gramStart"/>
      <w:r>
        <w:t>the</w:t>
      </w:r>
      <w:proofErr w:type="gramEnd"/>
      <w:r>
        <w:t xml:space="preserve"> </w:t>
      </w:r>
      <w:r w:rsidR="00592639">
        <w:t>Participant</w:t>
      </w:r>
      <w:r>
        <w:t xml:space="preserve"> is unable to benefit from employment service assistance.</w:t>
      </w:r>
    </w:p>
    <w:p w:rsidR="0072133E" w:rsidRDefault="0072133E" w:rsidP="0072133E">
      <w:pPr>
        <w:pStyle w:val="Heading2"/>
      </w:pPr>
      <w:r>
        <w:t>Eligibility for Disability Employment Services (DES)</w:t>
      </w:r>
    </w:p>
    <w:p w:rsidR="0072133E" w:rsidRDefault="0072133E" w:rsidP="0072133E">
      <w:r>
        <w:t xml:space="preserve">Eligibility for DES is determined through an </w:t>
      </w:r>
      <w:proofErr w:type="spellStart"/>
      <w:r>
        <w:t>EESAt</w:t>
      </w:r>
      <w:proofErr w:type="spellEnd"/>
      <w:r>
        <w:t xml:space="preserve"> or a JCA, with the exception of Job in Jeopardy</w:t>
      </w:r>
      <w:r w:rsidR="002D60BD">
        <w:t xml:space="preserve"> Assistance</w:t>
      </w:r>
      <w:r>
        <w:t xml:space="preserve">, Special Class Client and Eligible School Leaver Participants. The ESAt or JCA will also </w:t>
      </w:r>
      <w:r>
        <w:lastRenderedPageBreak/>
        <w:t>identify the most appropriate service—</w:t>
      </w:r>
      <w:r w:rsidR="00904C36">
        <w:t xml:space="preserve">DES - </w:t>
      </w:r>
      <w:r>
        <w:t xml:space="preserve">Disability Management Service (DMS) or </w:t>
      </w:r>
      <w:r w:rsidR="00904C36">
        <w:t xml:space="preserve">DES - </w:t>
      </w:r>
      <w:r>
        <w:t>Employment Support Service (ESS) for DES recommendations.</w:t>
      </w:r>
    </w:p>
    <w:p w:rsidR="0072133E" w:rsidRDefault="0072133E" w:rsidP="00656654"/>
    <w:p w:rsidR="00F2553A" w:rsidRPr="00A16A99" w:rsidRDefault="005D4108" w:rsidP="00656654">
      <w:pPr>
        <w:pStyle w:val="Heading1"/>
        <w:rPr>
          <w:rStyle w:val="Emphasis"/>
          <w:rFonts w:cs="Times New Roman"/>
          <w:b w:val="0"/>
          <w:i w:val="0"/>
          <w:iCs w:val="0"/>
          <w:color w:val="4070AA"/>
          <w:sz w:val="22"/>
          <w:szCs w:val="24"/>
        </w:rPr>
      </w:pPr>
      <w:bookmarkStart w:id="8" w:name="_Toc386108331"/>
      <w:r w:rsidRPr="00A16A99">
        <w:rPr>
          <w:rStyle w:val="Emphasis"/>
          <w:i w:val="0"/>
          <w:iCs w:val="0"/>
          <w:color w:val="4070AA"/>
        </w:rPr>
        <w:t xml:space="preserve">Referral of </w:t>
      </w:r>
      <w:r w:rsidR="00E40B81" w:rsidRPr="00A16A99">
        <w:rPr>
          <w:rStyle w:val="Emphasis"/>
          <w:i w:val="0"/>
          <w:iCs w:val="0"/>
          <w:color w:val="4070AA"/>
        </w:rPr>
        <w:t>Participants</w:t>
      </w:r>
      <w:r w:rsidRPr="00A16A99">
        <w:rPr>
          <w:rStyle w:val="Emphasis"/>
          <w:i w:val="0"/>
          <w:iCs w:val="0"/>
          <w:color w:val="4070AA"/>
        </w:rPr>
        <w:t xml:space="preserve"> for an ESAt by </w:t>
      </w:r>
      <w:r w:rsidR="00E40B81" w:rsidRPr="00A16A99">
        <w:rPr>
          <w:rStyle w:val="Emphasis"/>
          <w:i w:val="0"/>
          <w:iCs w:val="0"/>
          <w:color w:val="4070AA"/>
        </w:rPr>
        <w:t>DES</w:t>
      </w:r>
      <w:r w:rsidRPr="00A16A99">
        <w:rPr>
          <w:rStyle w:val="Emphasis"/>
          <w:i w:val="0"/>
          <w:iCs w:val="0"/>
          <w:color w:val="4070AA"/>
        </w:rPr>
        <w:t xml:space="preserve"> </w:t>
      </w:r>
      <w:r w:rsidR="00BA1DB4">
        <w:rPr>
          <w:rStyle w:val="Emphasis"/>
          <w:i w:val="0"/>
          <w:iCs w:val="0"/>
          <w:color w:val="4070AA"/>
        </w:rPr>
        <w:t>P</w:t>
      </w:r>
      <w:r w:rsidRPr="00A16A99">
        <w:rPr>
          <w:rStyle w:val="Emphasis"/>
          <w:i w:val="0"/>
          <w:iCs w:val="0"/>
          <w:color w:val="4070AA"/>
        </w:rPr>
        <w:t>roviders</w:t>
      </w:r>
      <w:bookmarkEnd w:id="8"/>
    </w:p>
    <w:p w:rsidR="00012680" w:rsidRPr="00012680" w:rsidRDefault="00012680" w:rsidP="00656654">
      <w:r w:rsidRPr="00012680">
        <w:t xml:space="preserve">A referral for an ESAt may be arranged by DES </w:t>
      </w:r>
      <w:r w:rsidR="00BA1DB4">
        <w:t>P</w:t>
      </w:r>
      <w:r w:rsidRPr="00012680">
        <w:t xml:space="preserve">roviders, </w:t>
      </w:r>
      <w:r w:rsidR="00C07ADC">
        <w:t>jobactive</w:t>
      </w:r>
      <w:r w:rsidR="00C07ADC" w:rsidRPr="00012680">
        <w:t xml:space="preserve"> </w:t>
      </w:r>
      <w:r w:rsidR="00BA1DB4">
        <w:t>P</w:t>
      </w:r>
      <w:r w:rsidRPr="00012680">
        <w:t xml:space="preserve">roviders for </w:t>
      </w:r>
      <w:proofErr w:type="gramStart"/>
      <w:r w:rsidRPr="00012680">
        <w:t xml:space="preserve">Stream  </w:t>
      </w:r>
      <w:r w:rsidR="00592639">
        <w:t>Participant</w:t>
      </w:r>
      <w:r>
        <w:t>s</w:t>
      </w:r>
      <w:proofErr w:type="gramEnd"/>
      <w:r>
        <w:t>, or by Human Services.</w:t>
      </w:r>
    </w:p>
    <w:p w:rsidR="00012680" w:rsidRPr="00012680" w:rsidRDefault="00012680" w:rsidP="00656654">
      <w:r w:rsidRPr="00012680">
        <w:t xml:space="preserve">DES </w:t>
      </w:r>
      <w:r w:rsidR="00BA1DB4">
        <w:t>P</w:t>
      </w:r>
      <w:r w:rsidRPr="00012680">
        <w:t>roviders will refer a Participant for an ESAt when the Participant:</w:t>
      </w:r>
    </w:p>
    <w:p w:rsidR="00012680" w:rsidRPr="00012680" w:rsidRDefault="00012680" w:rsidP="000F5D5B">
      <w:pPr>
        <w:pStyle w:val="ListParagraph"/>
        <w:numPr>
          <w:ilvl w:val="0"/>
          <w:numId w:val="76"/>
        </w:numPr>
      </w:pPr>
      <w:r w:rsidRPr="00012680">
        <w:t xml:space="preserve">is Directly Registered and is not in an ESAt/JCA exemption category and does not have a </w:t>
      </w:r>
      <w:r w:rsidR="00904C36">
        <w:t>V</w:t>
      </w:r>
      <w:r w:rsidRPr="00012680">
        <w:t>alid ESAt or JCA, or</w:t>
      </w:r>
    </w:p>
    <w:p w:rsidR="00012680" w:rsidRPr="00012680" w:rsidRDefault="00012680" w:rsidP="000F5D5B">
      <w:pPr>
        <w:pStyle w:val="ListParagraph"/>
        <w:numPr>
          <w:ilvl w:val="0"/>
          <w:numId w:val="76"/>
        </w:numPr>
      </w:pPr>
      <w:r w:rsidRPr="00012680">
        <w:t xml:space="preserve">discloses new information, or the DES </w:t>
      </w:r>
      <w:r w:rsidR="00BA1DB4">
        <w:t>P</w:t>
      </w:r>
      <w:r w:rsidRPr="00012680">
        <w:t xml:space="preserve">rovider identifies new information, that </w:t>
      </w:r>
      <w:r w:rsidRPr="00656654">
        <w:rPr>
          <w:u w:val="single"/>
        </w:rPr>
        <w:t>significantly changes the Participant’s circumstances and cannot be addressed by their current Program</w:t>
      </w:r>
      <w:r w:rsidR="00ED7181">
        <w:rPr>
          <w:u w:val="single"/>
        </w:rPr>
        <w:t>me</w:t>
      </w:r>
      <w:r w:rsidRPr="00656654">
        <w:rPr>
          <w:u w:val="single"/>
        </w:rPr>
        <w:t xml:space="preserve"> Services,</w:t>
      </w:r>
      <w:r w:rsidRPr="003B707F">
        <w:t xml:space="preserve"> and they</w:t>
      </w:r>
      <w:r w:rsidRPr="00012680">
        <w:t xml:space="preserve"> require a Change of Circumstances Reassessment, or</w:t>
      </w:r>
    </w:p>
    <w:p w:rsidR="00012680" w:rsidRPr="00012680" w:rsidRDefault="00012680" w:rsidP="000F5D5B">
      <w:pPr>
        <w:pStyle w:val="ListParagraph"/>
        <w:numPr>
          <w:ilvl w:val="0"/>
          <w:numId w:val="76"/>
        </w:numPr>
      </w:pPr>
      <w:proofErr w:type="gramStart"/>
      <w:r w:rsidRPr="00012680">
        <w:t>requires</w:t>
      </w:r>
      <w:proofErr w:type="gramEnd"/>
      <w:r w:rsidRPr="00012680">
        <w:t xml:space="preserve"> a DES Program</w:t>
      </w:r>
      <w:r w:rsidR="00ED7181">
        <w:t>me</w:t>
      </w:r>
      <w:r w:rsidRPr="00012680">
        <w:t xml:space="preserve"> Review.</w:t>
      </w:r>
    </w:p>
    <w:p w:rsidR="00012680" w:rsidRPr="00012680" w:rsidRDefault="00012680" w:rsidP="00012680">
      <w:r w:rsidRPr="00012680">
        <w:t xml:space="preserve">Where a current and valid ESAt or JCA does not exist, the requirement for a referral for an ESAt is indicated by </w:t>
      </w:r>
      <w:r w:rsidR="00C340AA">
        <w:t>the Department of Employment’s (Employment) Employment Services System (ESS)</w:t>
      </w:r>
      <w:r w:rsidRPr="00012680">
        <w:t xml:space="preserve"> when the DES </w:t>
      </w:r>
      <w:r w:rsidR="00BA1DB4">
        <w:t>P</w:t>
      </w:r>
      <w:r w:rsidRPr="00012680">
        <w:t>rovider Direct Registers a Participant or where a Participant requires a Program</w:t>
      </w:r>
      <w:r w:rsidR="00ED7181">
        <w:t>me</w:t>
      </w:r>
      <w:r w:rsidRPr="00012680">
        <w:t xml:space="preserve"> Review.</w:t>
      </w:r>
    </w:p>
    <w:p w:rsidR="00012680" w:rsidRPr="00012680" w:rsidRDefault="00012680" w:rsidP="00012680">
      <w:r w:rsidRPr="00012680">
        <w:t>Human Services arranges an ESAt referral when the Participant:</w:t>
      </w:r>
    </w:p>
    <w:p w:rsidR="00012680" w:rsidRPr="00012680" w:rsidRDefault="00E40B81" w:rsidP="000F5D5B">
      <w:pPr>
        <w:pStyle w:val="ListParagraph"/>
        <w:numPr>
          <w:ilvl w:val="0"/>
          <w:numId w:val="77"/>
        </w:numPr>
      </w:pPr>
      <w:r>
        <w:t>registers</w:t>
      </w:r>
    </w:p>
    <w:p w:rsidR="00012680" w:rsidRPr="00012680" w:rsidRDefault="00012680" w:rsidP="000F5D5B">
      <w:pPr>
        <w:pStyle w:val="ListParagraph"/>
        <w:numPr>
          <w:ilvl w:val="0"/>
          <w:numId w:val="77"/>
        </w:numPr>
      </w:pPr>
      <w:r w:rsidRPr="00012680">
        <w:t>re-registers, or</w:t>
      </w:r>
    </w:p>
    <w:p w:rsidR="00012680" w:rsidRPr="00012680" w:rsidRDefault="00012680" w:rsidP="000F5D5B">
      <w:pPr>
        <w:pStyle w:val="ListParagraph"/>
        <w:numPr>
          <w:ilvl w:val="0"/>
          <w:numId w:val="77"/>
        </w:numPr>
      </w:pPr>
      <w:r w:rsidRPr="00012680">
        <w:t>discloses new information, or Human Services identifies new information, that indicates a significant changes in the Participant’s circumstances and cannot be addressed by their current Program</w:t>
      </w:r>
      <w:r w:rsidR="00ED7181">
        <w:t>me</w:t>
      </w:r>
      <w:r w:rsidRPr="00012680">
        <w:t xml:space="preserve"> Services, and requires a Change of Circumstances Reassessment to assess their current needs.</w:t>
      </w:r>
    </w:p>
    <w:p w:rsidR="00012680" w:rsidRDefault="00012680" w:rsidP="00012680">
      <w:pPr>
        <w:rPr>
          <w:b/>
        </w:rPr>
      </w:pPr>
      <w:r w:rsidRPr="00012680">
        <w:t xml:space="preserve">When the ESAt is completed the DES </w:t>
      </w:r>
      <w:r w:rsidR="00BA1DB4">
        <w:t>P</w:t>
      </w:r>
      <w:r w:rsidRPr="00012680">
        <w:t xml:space="preserve">rovider will see the details of the new Participant on their case load. </w:t>
      </w:r>
    </w:p>
    <w:p w:rsidR="00D1180C" w:rsidRDefault="006E1B72" w:rsidP="00656654">
      <w:pPr>
        <w:pStyle w:val="Heading2"/>
      </w:pPr>
      <w:bookmarkStart w:id="9" w:name="_Toc386108332"/>
      <w:r>
        <w:t>DES Participant</w:t>
      </w:r>
      <w:r w:rsidR="00D1180C">
        <w:t xml:space="preserve"> with a deferred referral from Human Services</w:t>
      </w:r>
      <w:bookmarkEnd w:id="9"/>
    </w:p>
    <w:p w:rsidR="00D1180C" w:rsidRDefault="00D1180C" w:rsidP="00D1180C">
      <w:r>
        <w:t xml:space="preserve">Where a Participant has a deferred referral from Human Services, for example due to a temporary incapacity, and the recommended referral is no longer appropriate the DES </w:t>
      </w:r>
      <w:r w:rsidR="00BA1DB4">
        <w:t>P</w:t>
      </w:r>
      <w:r>
        <w:t>rovider should conduct a Change of Circumstances Reassessment.</w:t>
      </w:r>
    </w:p>
    <w:p w:rsidR="00D1180C" w:rsidRDefault="00D1180C" w:rsidP="00656654">
      <w:r>
        <w:t xml:space="preserve">The referral for an ESAt must only be made after taking into account </w:t>
      </w:r>
      <w:r w:rsidRPr="003B707F">
        <w:t>the factors</w:t>
      </w:r>
      <w:r w:rsidRPr="00952ABF">
        <w:t xml:space="preserve"> identified above.</w:t>
      </w:r>
    </w:p>
    <w:p w:rsidR="00AC1080" w:rsidRPr="009904AF" w:rsidRDefault="00592639" w:rsidP="00656654">
      <w:pPr>
        <w:pStyle w:val="Heading2"/>
      </w:pPr>
      <w:bookmarkStart w:id="10" w:name="_Toc386108333"/>
      <w:r>
        <w:t>Participant</w:t>
      </w:r>
      <w:r w:rsidR="00AC1080" w:rsidRPr="001B724E">
        <w:t xml:space="preserve">s who </w:t>
      </w:r>
      <w:proofErr w:type="gramStart"/>
      <w:r w:rsidR="00AC1080" w:rsidRPr="001B724E">
        <w:t>Directly</w:t>
      </w:r>
      <w:proofErr w:type="gramEnd"/>
      <w:r w:rsidR="00AC1080" w:rsidRPr="001B724E">
        <w:t xml:space="preserve"> Register for assistance</w:t>
      </w:r>
      <w:bookmarkEnd w:id="10"/>
    </w:p>
    <w:p w:rsidR="00AC1080" w:rsidRPr="00AC1080" w:rsidRDefault="00AC1080" w:rsidP="003B707F">
      <w:pPr>
        <w:autoSpaceDE w:val="0"/>
        <w:autoSpaceDN w:val="0"/>
        <w:adjustRightInd w:val="0"/>
      </w:pPr>
      <w:r w:rsidRPr="001B724E">
        <w:rPr>
          <w:rFonts w:cs="Arial"/>
          <w:szCs w:val="22"/>
        </w:rPr>
        <w:t xml:space="preserve">A potential DES Participant may approach a DES </w:t>
      </w:r>
      <w:r w:rsidR="00BA1DB4">
        <w:rPr>
          <w:rFonts w:cs="Arial"/>
          <w:szCs w:val="22"/>
        </w:rPr>
        <w:t>P</w:t>
      </w:r>
      <w:r w:rsidRPr="001B724E">
        <w:rPr>
          <w:rFonts w:cs="Arial"/>
          <w:szCs w:val="22"/>
        </w:rPr>
        <w:t xml:space="preserve">rovider directly to seek employment services assistance. If the potential Participant does not have a </w:t>
      </w:r>
      <w:r w:rsidR="005B3BD9">
        <w:rPr>
          <w:rFonts w:cs="Arial"/>
          <w:szCs w:val="22"/>
        </w:rPr>
        <w:t>V</w:t>
      </w:r>
      <w:r w:rsidRPr="001B724E">
        <w:rPr>
          <w:rFonts w:cs="Arial"/>
          <w:szCs w:val="22"/>
        </w:rPr>
        <w:t>alid ESAt or JCA, or is not Directly Registering as a Job in Jeopardy</w:t>
      </w:r>
      <w:r w:rsidR="002D60BD">
        <w:rPr>
          <w:rFonts w:cs="Arial"/>
          <w:szCs w:val="22"/>
        </w:rPr>
        <w:t xml:space="preserve"> Assistance</w:t>
      </w:r>
      <w:r w:rsidRPr="001B724E">
        <w:rPr>
          <w:rFonts w:cs="Arial"/>
          <w:szCs w:val="22"/>
        </w:rPr>
        <w:t xml:space="preserve">, Special Class Client or Eligible School Leaver </w:t>
      </w:r>
      <w:r w:rsidRPr="001B724E">
        <w:rPr>
          <w:rFonts w:cs="Arial"/>
          <w:szCs w:val="22"/>
        </w:rPr>
        <w:lastRenderedPageBreak/>
        <w:t xml:space="preserve">Participant, the DES </w:t>
      </w:r>
      <w:r w:rsidR="00BA1DB4">
        <w:rPr>
          <w:rFonts w:cs="Arial"/>
          <w:szCs w:val="22"/>
        </w:rPr>
        <w:t>P</w:t>
      </w:r>
      <w:r w:rsidRPr="001B724E">
        <w:rPr>
          <w:rFonts w:cs="Arial"/>
          <w:szCs w:val="22"/>
        </w:rPr>
        <w:t>rovider must refer the Participant for an ESAt to have their eligibility for Program</w:t>
      </w:r>
      <w:r w:rsidR="00ED7181">
        <w:rPr>
          <w:rFonts w:cs="Arial"/>
          <w:szCs w:val="22"/>
        </w:rPr>
        <w:t>me</w:t>
      </w:r>
      <w:r w:rsidRPr="001B724E">
        <w:rPr>
          <w:rFonts w:cs="Arial"/>
          <w:szCs w:val="22"/>
        </w:rPr>
        <w:t xml:space="preserve"> Services assessed.</w:t>
      </w:r>
    </w:p>
    <w:p w:rsidR="005D4108" w:rsidRPr="00F16537" w:rsidRDefault="005D4108" w:rsidP="00656654">
      <w:pPr>
        <w:pStyle w:val="Heading2"/>
      </w:pPr>
      <w:bookmarkStart w:id="11" w:name="_Toc386108334"/>
      <w:r w:rsidRPr="004C28F1">
        <w:t>Change of Circumstances Reassessment</w:t>
      </w:r>
      <w:bookmarkEnd w:id="11"/>
    </w:p>
    <w:p w:rsidR="00012680" w:rsidRPr="00012680" w:rsidRDefault="00012680" w:rsidP="00012680">
      <w:pPr>
        <w:rPr>
          <w:lang w:eastAsia="en-US"/>
        </w:rPr>
      </w:pPr>
      <w:r w:rsidRPr="00012680">
        <w:rPr>
          <w:lang w:eastAsia="en-US"/>
        </w:rPr>
        <w:t xml:space="preserve">DES Participants can be referred for an ESAt by their DES </w:t>
      </w:r>
      <w:r w:rsidR="00BA1DB4">
        <w:rPr>
          <w:lang w:eastAsia="en-US"/>
        </w:rPr>
        <w:t>P</w:t>
      </w:r>
      <w:r w:rsidRPr="00012680">
        <w:rPr>
          <w:lang w:eastAsia="en-US"/>
        </w:rPr>
        <w:t>rovider for a Change of Circumstances Reassessment in accordance with the requirements of Clause 102.1 of the Disability Employment Services Deed 2012-2015.</w:t>
      </w:r>
    </w:p>
    <w:p w:rsidR="00012680" w:rsidRPr="00E40B81" w:rsidRDefault="00012680" w:rsidP="00012680">
      <w:pPr>
        <w:rPr>
          <w:rStyle w:val="Strong"/>
        </w:rPr>
      </w:pPr>
      <w:r w:rsidRPr="00012680">
        <w:rPr>
          <w:lang w:eastAsia="en-US"/>
        </w:rPr>
        <w:t xml:space="preserve">It is important that DES </w:t>
      </w:r>
      <w:r w:rsidR="00BA1DB4">
        <w:rPr>
          <w:lang w:eastAsia="en-US"/>
        </w:rPr>
        <w:t>P</w:t>
      </w:r>
      <w:r w:rsidRPr="00012680">
        <w:rPr>
          <w:lang w:eastAsia="en-US"/>
        </w:rPr>
        <w:t xml:space="preserve">roviders review all available and relevant Participant information to determine if </w:t>
      </w:r>
      <w:r w:rsidR="0088143B" w:rsidRPr="0088143B">
        <w:rPr>
          <w:b/>
          <w:lang w:eastAsia="en-US"/>
        </w:rPr>
        <w:t>the Participant’s</w:t>
      </w:r>
      <w:r w:rsidRPr="00012680">
        <w:rPr>
          <w:lang w:eastAsia="en-US"/>
        </w:rPr>
        <w:t xml:space="preserve"> </w:t>
      </w:r>
      <w:r w:rsidRPr="00E40B81">
        <w:rPr>
          <w:rStyle w:val="Strong"/>
        </w:rPr>
        <w:t>circumstances are new or have changed significantly</w:t>
      </w:r>
      <w:r w:rsidRPr="00012680">
        <w:rPr>
          <w:lang w:eastAsia="en-US"/>
        </w:rPr>
        <w:t xml:space="preserve"> and </w:t>
      </w:r>
      <w:r w:rsidRPr="00E40B81">
        <w:rPr>
          <w:rStyle w:val="Strong"/>
        </w:rPr>
        <w:t>cannot be addressed in their current service, before making a referral for an ESAt.</w:t>
      </w:r>
    </w:p>
    <w:p w:rsidR="00012680" w:rsidRPr="00012680" w:rsidRDefault="00012680" w:rsidP="00012680">
      <w:pPr>
        <w:rPr>
          <w:lang w:eastAsia="en-US"/>
        </w:rPr>
      </w:pPr>
      <w:r w:rsidRPr="00012680">
        <w:rPr>
          <w:lang w:eastAsia="en-US"/>
        </w:rPr>
        <w:t xml:space="preserve">A referral for an ESAt must be of genuine benefit to the Participant and should generally </w:t>
      </w:r>
      <w:r w:rsidRPr="00E40B81">
        <w:rPr>
          <w:u w:val="single"/>
          <w:lang w:eastAsia="en-US"/>
        </w:rPr>
        <w:t>not</w:t>
      </w:r>
      <w:r w:rsidRPr="00012680">
        <w:rPr>
          <w:lang w:eastAsia="en-US"/>
        </w:rPr>
        <w:t xml:space="preserve"> be completed for the Participant if:</w:t>
      </w:r>
    </w:p>
    <w:p w:rsidR="00012680" w:rsidRPr="00012680" w:rsidRDefault="00012680" w:rsidP="000F5D5B">
      <w:pPr>
        <w:pStyle w:val="ListParagraph"/>
        <w:numPr>
          <w:ilvl w:val="0"/>
          <w:numId w:val="78"/>
        </w:numPr>
        <w:rPr>
          <w:lang w:eastAsia="en-US"/>
        </w:rPr>
      </w:pPr>
      <w:r w:rsidRPr="00012680">
        <w:rPr>
          <w:lang w:eastAsia="en-US"/>
        </w:rPr>
        <w:t xml:space="preserve">they have a </w:t>
      </w:r>
      <w:r w:rsidR="005B3BD9">
        <w:rPr>
          <w:lang w:eastAsia="en-US"/>
        </w:rPr>
        <w:t>V</w:t>
      </w:r>
      <w:r w:rsidRPr="00012680">
        <w:rPr>
          <w:lang w:eastAsia="en-US"/>
        </w:rPr>
        <w:t xml:space="preserve">alid Assessment </w:t>
      </w:r>
    </w:p>
    <w:p w:rsidR="00012680" w:rsidRPr="00012680" w:rsidRDefault="00012680" w:rsidP="000F5D5B">
      <w:pPr>
        <w:pStyle w:val="ListParagraph"/>
        <w:numPr>
          <w:ilvl w:val="0"/>
          <w:numId w:val="78"/>
        </w:numPr>
        <w:rPr>
          <w:lang w:eastAsia="en-US"/>
        </w:rPr>
      </w:pPr>
      <w:r w:rsidRPr="00012680">
        <w:rPr>
          <w:lang w:eastAsia="en-US"/>
        </w:rPr>
        <w:t xml:space="preserve">their identified barriers </w:t>
      </w:r>
      <w:r w:rsidRPr="00C32483">
        <w:rPr>
          <w:u w:val="single"/>
          <w:lang w:eastAsia="en-US"/>
        </w:rPr>
        <w:t>will not/do not have</w:t>
      </w:r>
      <w:r w:rsidRPr="00012680">
        <w:rPr>
          <w:lang w:eastAsia="en-US"/>
        </w:rPr>
        <w:t xml:space="preserve"> a significant long-term impact on the Participant’s ability to work or participate in other activities, including DES</w:t>
      </w:r>
    </w:p>
    <w:p w:rsidR="00012680" w:rsidRPr="00012680" w:rsidRDefault="00012680" w:rsidP="000F5D5B">
      <w:pPr>
        <w:pStyle w:val="ListParagraph"/>
        <w:numPr>
          <w:ilvl w:val="0"/>
          <w:numId w:val="78"/>
        </w:numPr>
        <w:rPr>
          <w:lang w:eastAsia="en-US"/>
        </w:rPr>
      </w:pPr>
      <w:r w:rsidRPr="00012680">
        <w:rPr>
          <w:lang w:eastAsia="en-US"/>
        </w:rPr>
        <w:t xml:space="preserve">their identified barriers are being actively addressed by the DES </w:t>
      </w:r>
      <w:r w:rsidR="00BA1DB4">
        <w:rPr>
          <w:lang w:eastAsia="en-US"/>
        </w:rPr>
        <w:t>P</w:t>
      </w:r>
      <w:r w:rsidRPr="00012680">
        <w:rPr>
          <w:lang w:eastAsia="en-US"/>
        </w:rPr>
        <w:t xml:space="preserve">rovider or another provider of appropriate services (i.e. a State Government or community sector provider and/or Human Services) </w:t>
      </w:r>
    </w:p>
    <w:p w:rsidR="00012680" w:rsidRPr="00012680" w:rsidRDefault="00012680" w:rsidP="000F5D5B">
      <w:pPr>
        <w:pStyle w:val="ListParagraph"/>
        <w:numPr>
          <w:ilvl w:val="0"/>
          <w:numId w:val="78"/>
        </w:numPr>
        <w:rPr>
          <w:lang w:eastAsia="en-US"/>
        </w:rPr>
      </w:pPr>
      <w:r w:rsidRPr="00012680">
        <w:rPr>
          <w:lang w:eastAsia="en-US"/>
        </w:rPr>
        <w:t>an ESAt referral is not likely to result in a change to the Participant’s Program</w:t>
      </w:r>
      <w:r w:rsidR="00ED7181">
        <w:rPr>
          <w:lang w:eastAsia="en-US"/>
        </w:rPr>
        <w:t>me</w:t>
      </w:r>
      <w:r w:rsidRPr="00012680">
        <w:rPr>
          <w:lang w:eastAsia="en-US"/>
        </w:rPr>
        <w:t xml:space="preserve"> Services or their currently assessed work capacity—e.g. because there has not been a significant change in the Participant’s barriers or medical conditions or there is no medical evidence available —and the Participant will not benefit from further assessment, or</w:t>
      </w:r>
    </w:p>
    <w:p w:rsidR="00012680" w:rsidRPr="00012680" w:rsidRDefault="00012680" w:rsidP="000F5D5B">
      <w:pPr>
        <w:pStyle w:val="ListParagraph"/>
        <w:numPr>
          <w:ilvl w:val="0"/>
          <w:numId w:val="78"/>
        </w:numPr>
        <w:rPr>
          <w:lang w:eastAsia="en-US"/>
        </w:rPr>
      </w:pPr>
      <w:proofErr w:type="gramStart"/>
      <w:r w:rsidRPr="00012680">
        <w:rPr>
          <w:lang w:eastAsia="en-US"/>
        </w:rPr>
        <w:t>they</w:t>
      </w:r>
      <w:proofErr w:type="gramEnd"/>
      <w:r w:rsidRPr="00012680">
        <w:rPr>
          <w:lang w:eastAsia="en-US"/>
        </w:rPr>
        <w:t xml:space="preserve"> are expected to be exempt from Activity Test or participation requirements for an extended period) and is unlikely to benefit from further assessment while the exemption is current.</w:t>
      </w:r>
    </w:p>
    <w:p w:rsidR="00012680" w:rsidRPr="00012680" w:rsidRDefault="00012680" w:rsidP="00012680">
      <w:pPr>
        <w:rPr>
          <w:lang w:eastAsia="en-US"/>
        </w:rPr>
      </w:pPr>
      <w:r w:rsidRPr="00012680">
        <w:rPr>
          <w:lang w:eastAsia="en-US"/>
        </w:rPr>
        <w:t xml:space="preserve">An ESAt or JCA report is considered </w:t>
      </w:r>
      <w:r w:rsidR="005B3BD9">
        <w:rPr>
          <w:lang w:eastAsia="en-US"/>
        </w:rPr>
        <w:t>V</w:t>
      </w:r>
      <w:r w:rsidRPr="00012680">
        <w:rPr>
          <w:lang w:eastAsia="en-US"/>
        </w:rPr>
        <w:t>alid when:</w:t>
      </w:r>
    </w:p>
    <w:p w:rsidR="00012680" w:rsidRPr="004D28B1" w:rsidRDefault="00012680" w:rsidP="000F5D5B">
      <w:pPr>
        <w:pStyle w:val="ListParagraph"/>
        <w:numPr>
          <w:ilvl w:val="0"/>
          <w:numId w:val="79"/>
        </w:numPr>
        <w:rPr>
          <w:b/>
          <w:lang w:eastAsia="en-US"/>
        </w:rPr>
      </w:pPr>
      <w:proofErr w:type="gramStart"/>
      <w:r w:rsidRPr="00012680">
        <w:rPr>
          <w:lang w:eastAsia="en-US"/>
        </w:rPr>
        <w:t>there</w:t>
      </w:r>
      <w:proofErr w:type="gramEnd"/>
      <w:r w:rsidRPr="00012680">
        <w:rPr>
          <w:lang w:eastAsia="en-US"/>
        </w:rPr>
        <w:t xml:space="preserve"> has been no significant change in the Participant’s circumstances and the Participant’s previous Assessment, or the result of their last Program</w:t>
      </w:r>
      <w:r w:rsidR="00ED7181">
        <w:rPr>
          <w:lang w:eastAsia="en-US"/>
        </w:rPr>
        <w:t>me</w:t>
      </w:r>
      <w:r w:rsidRPr="00012680">
        <w:rPr>
          <w:lang w:eastAsia="en-US"/>
        </w:rPr>
        <w:t xml:space="preserve"> Review, remains unaffected, taking into account the factors identified above.</w:t>
      </w:r>
    </w:p>
    <w:p w:rsidR="002536BC" w:rsidRDefault="002536BC" w:rsidP="00656654">
      <w:pPr>
        <w:pStyle w:val="Heading2"/>
      </w:pPr>
      <w:bookmarkStart w:id="12" w:name="_Toc386108335"/>
      <w:r w:rsidRPr="00012680">
        <w:t>Program</w:t>
      </w:r>
      <w:r w:rsidR="00ED7181">
        <w:t>me</w:t>
      </w:r>
      <w:r w:rsidRPr="00012680">
        <w:t xml:space="preserve"> Review</w:t>
      </w:r>
      <w:bookmarkEnd w:id="12"/>
    </w:p>
    <w:p w:rsidR="002536BC" w:rsidRDefault="002536BC" w:rsidP="002536BC">
      <w:r>
        <w:t>A DES Program</w:t>
      </w:r>
      <w:r w:rsidR="00ED7181">
        <w:t>me</w:t>
      </w:r>
      <w:r>
        <w:t xml:space="preserve"> Review is conducted for each DES Participant (excluding Job in Jeopardy </w:t>
      </w:r>
      <w:r w:rsidR="002D60BD">
        <w:t xml:space="preserve">Assistance </w:t>
      </w:r>
      <w:r>
        <w:t>Participants) once they have received approximately 78 weeks of employment assistance.</w:t>
      </w:r>
    </w:p>
    <w:p w:rsidR="002536BC" w:rsidRDefault="002536BC" w:rsidP="002536BC">
      <w:r>
        <w:t>The Program</w:t>
      </w:r>
      <w:r w:rsidR="00ED7181">
        <w:t>me</w:t>
      </w:r>
      <w:r>
        <w:t xml:space="preserve"> Review is conducted by an Assessor, unless the Participant is participating in Employment or significant Education or Training, in which case it may be conducted by the DES </w:t>
      </w:r>
      <w:r w:rsidR="00BA1DB4">
        <w:t>P</w:t>
      </w:r>
      <w:r>
        <w:t>rovider.</w:t>
      </w:r>
    </w:p>
    <w:p w:rsidR="002536BC" w:rsidRDefault="002536BC" w:rsidP="00656654">
      <w:r>
        <w:t>During the Program</w:t>
      </w:r>
      <w:r w:rsidR="00ED7181">
        <w:t>me</w:t>
      </w:r>
      <w:r>
        <w:t xml:space="preserve"> Review a decision is made regarding whether the Participant would benefit from a further six months of assistance in DES (known as ‘Extended Employment Assistance’).</w:t>
      </w:r>
    </w:p>
    <w:p w:rsidR="00CA70F1" w:rsidRDefault="00CA70F1" w:rsidP="00656654">
      <w:pPr>
        <w:pStyle w:val="Heading2"/>
      </w:pPr>
      <w:bookmarkStart w:id="13" w:name="_Toc386108336"/>
      <w:r w:rsidRPr="00CA70F1">
        <w:lastRenderedPageBreak/>
        <w:t>Supporting medical evidence</w:t>
      </w:r>
      <w:bookmarkEnd w:id="13"/>
    </w:p>
    <w:p w:rsidR="00012680" w:rsidRDefault="00012680" w:rsidP="00012680">
      <w:r w:rsidRPr="00012680">
        <w:t xml:space="preserve">When considering a referral for a </w:t>
      </w:r>
      <w:r w:rsidR="00F876A2">
        <w:t>M</w:t>
      </w:r>
      <w:r w:rsidRPr="00012680">
        <w:t xml:space="preserve">edical ESAt, the DES </w:t>
      </w:r>
      <w:r w:rsidR="00BA1DB4">
        <w:t>P</w:t>
      </w:r>
      <w:r w:rsidRPr="00012680">
        <w:t xml:space="preserve">rovider </w:t>
      </w:r>
      <w:r w:rsidRPr="00E40B81">
        <w:rPr>
          <w:u w:val="single"/>
        </w:rPr>
        <w:t>must</w:t>
      </w:r>
      <w:r w:rsidRPr="00012680">
        <w:t xml:space="preserve"> confirm that the Participant has appropriate medical evidence supporting their condition(s) </w:t>
      </w:r>
      <w:r w:rsidRPr="00E40B81">
        <w:rPr>
          <w:u w:val="single"/>
        </w:rPr>
        <w:t>before</w:t>
      </w:r>
      <w:r w:rsidRPr="00012680">
        <w:t xml:space="preserve"> the Participant is referred. Where there is no medical evidence available to support a Participant’s identified condition, the DES </w:t>
      </w:r>
      <w:r w:rsidR="00BA1DB4">
        <w:t>P</w:t>
      </w:r>
      <w:r w:rsidRPr="00012680">
        <w:t>rovider should assist the Participant to obtain relevant medical evidence before a referral for an ESAt is considered.</w:t>
      </w:r>
      <w:r w:rsidR="002536BC">
        <w:t xml:space="preserve"> This could include:</w:t>
      </w:r>
    </w:p>
    <w:p w:rsidR="002536BC" w:rsidRDefault="002536BC" w:rsidP="003B707F">
      <w:pPr>
        <w:pStyle w:val="ListParagraph"/>
        <w:numPr>
          <w:ilvl w:val="0"/>
          <w:numId w:val="80"/>
        </w:numPr>
      </w:pPr>
      <w:r>
        <w:t xml:space="preserve">talking to the </w:t>
      </w:r>
      <w:r w:rsidR="00592639">
        <w:t>Participant</w:t>
      </w:r>
      <w:r>
        <w:t xml:space="preserve"> about what evidence they may already have,</w:t>
      </w:r>
    </w:p>
    <w:p w:rsidR="002536BC" w:rsidRDefault="002536BC" w:rsidP="003B707F">
      <w:pPr>
        <w:pStyle w:val="ListParagraph"/>
        <w:numPr>
          <w:ilvl w:val="0"/>
          <w:numId w:val="80"/>
        </w:numPr>
      </w:pPr>
      <w:r>
        <w:t xml:space="preserve">supporting the </w:t>
      </w:r>
      <w:r w:rsidR="00592639">
        <w:t>Participant</w:t>
      </w:r>
      <w:r>
        <w:t xml:space="preserve"> to obtain new evidence where required, and</w:t>
      </w:r>
    </w:p>
    <w:p w:rsidR="002536BC" w:rsidRPr="003B707F" w:rsidRDefault="002536BC" w:rsidP="003B707F">
      <w:pPr>
        <w:pStyle w:val="ListParagraph"/>
        <w:numPr>
          <w:ilvl w:val="0"/>
          <w:numId w:val="80"/>
        </w:numPr>
      </w:pPr>
      <w:proofErr w:type="gramStart"/>
      <w:r>
        <w:t>liaising</w:t>
      </w:r>
      <w:proofErr w:type="gramEnd"/>
      <w:r>
        <w:t xml:space="preserve"> with the </w:t>
      </w:r>
      <w:r w:rsidR="00592639">
        <w:t>Participant</w:t>
      </w:r>
      <w:r>
        <w:t xml:space="preserve"> to ensure that </w:t>
      </w:r>
      <w:r w:rsidRPr="003B707F">
        <w:t>appropriate</w:t>
      </w:r>
      <w:r w:rsidR="00620716" w:rsidRPr="003B707F">
        <w:t xml:space="preserve"> evidence has been given to Human Services before the ESAt is booked.</w:t>
      </w:r>
    </w:p>
    <w:p w:rsidR="00012680" w:rsidRPr="00012680" w:rsidRDefault="00012680" w:rsidP="00012680">
      <w:r w:rsidRPr="00012680">
        <w:t xml:space="preserve">DES </w:t>
      </w:r>
      <w:r w:rsidR="00BA1DB4">
        <w:t>P</w:t>
      </w:r>
      <w:r w:rsidRPr="00012680">
        <w:t xml:space="preserve">roviders should advise these Participants to provide new medical evidence to the Assessor and to present the evidence to Human Services. Where a referral for an ESAt is made and a medical condition(s) is </w:t>
      </w:r>
      <w:r w:rsidR="00BA37D1" w:rsidRPr="00012680">
        <w:t>self-reported</w:t>
      </w:r>
      <w:r w:rsidRPr="00012680">
        <w:t xml:space="preserve"> by the Participant but no medical evidence is presented the Assessment could be cancelled or completed as a non-medical condition ESAt. Assessors are generally not required to suspend an Assessment to allow time for medical evidence to be presented by the Participant or for the Assessor to contact the Participant’s treating doctor to obtain the evidence.</w:t>
      </w:r>
    </w:p>
    <w:p w:rsidR="00012680" w:rsidRPr="00012680" w:rsidRDefault="00012680" w:rsidP="00012680">
      <w:r w:rsidRPr="00012680">
        <w:t>Assessments conducted for Participants that disclose medical conditions without medical evidence are less effective and potentially unnecessary, and a waste of Human Services’ resources, e.g. under Social Security Law, reduced work capacity cannot be assigned without medical evidence.</w:t>
      </w:r>
    </w:p>
    <w:p w:rsidR="00012680" w:rsidRPr="00012680" w:rsidRDefault="00012680" w:rsidP="00012680">
      <w:r w:rsidRPr="00012680">
        <w:t xml:space="preserve">Appropriate medical evidence can include: </w:t>
      </w:r>
    </w:p>
    <w:p w:rsidR="00012680" w:rsidRPr="00012680" w:rsidRDefault="00012680" w:rsidP="003B707F">
      <w:pPr>
        <w:pStyle w:val="ListParagraph"/>
        <w:numPr>
          <w:ilvl w:val="0"/>
          <w:numId w:val="81"/>
        </w:numPr>
      </w:pPr>
      <w:r w:rsidRPr="00012680">
        <w:t xml:space="preserve">Centrelink  </w:t>
      </w:r>
      <w:r w:rsidR="00CA5ED2">
        <w:rPr>
          <w:rStyle w:val="FootnoteReference"/>
        </w:rPr>
        <w:footnoteReference w:id="3"/>
      </w:r>
      <w:r w:rsidRPr="00012680">
        <w:t xml:space="preserve">Medical Certificate </w:t>
      </w:r>
    </w:p>
    <w:p w:rsidR="00012680" w:rsidRPr="00012680" w:rsidRDefault="00012680" w:rsidP="003B707F">
      <w:pPr>
        <w:pStyle w:val="ListParagraph"/>
        <w:numPr>
          <w:ilvl w:val="0"/>
          <w:numId w:val="81"/>
        </w:numPr>
      </w:pPr>
      <w:r w:rsidRPr="00012680">
        <w:t xml:space="preserve">standard General Practitioner medical certificate </w:t>
      </w:r>
    </w:p>
    <w:p w:rsidR="00012680" w:rsidRPr="00012680" w:rsidRDefault="00012680" w:rsidP="003B707F">
      <w:pPr>
        <w:pStyle w:val="ListParagraph"/>
        <w:numPr>
          <w:ilvl w:val="0"/>
          <w:numId w:val="81"/>
        </w:numPr>
      </w:pPr>
      <w:r w:rsidRPr="00012680">
        <w:t xml:space="preserve">specialist medical reports </w:t>
      </w:r>
    </w:p>
    <w:p w:rsidR="00012680" w:rsidRPr="00012680" w:rsidRDefault="00012680" w:rsidP="003B707F">
      <w:pPr>
        <w:pStyle w:val="ListParagraph"/>
        <w:numPr>
          <w:ilvl w:val="0"/>
          <w:numId w:val="81"/>
        </w:numPr>
      </w:pPr>
      <w:r w:rsidRPr="00012680">
        <w:t xml:space="preserve">hospital/outpatient’s reports </w:t>
      </w:r>
    </w:p>
    <w:p w:rsidR="00012680" w:rsidRPr="00012680" w:rsidRDefault="00012680" w:rsidP="003B707F">
      <w:pPr>
        <w:pStyle w:val="ListParagraph"/>
        <w:numPr>
          <w:ilvl w:val="0"/>
          <w:numId w:val="81"/>
        </w:numPr>
      </w:pPr>
      <w:r w:rsidRPr="00012680">
        <w:t xml:space="preserve">psychologist reports </w:t>
      </w:r>
    </w:p>
    <w:p w:rsidR="00012680" w:rsidRPr="00012680" w:rsidRDefault="00012680" w:rsidP="003B707F">
      <w:pPr>
        <w:pStyle w:val="ListParagraph"/>
        <w:numPr>
          <w:ilvl w:val="0"/>
          <w:numId w:val="81"/>
        </w:numPr>
      </w:pPr>
      <w:r w:rsidRPr="00012680">
        <w:t xml:space="preserve">Special School reports </w:t>
      </w:r>
    </w:p>
    <w:p w:rsidR="00012680" w:rsidRPr="00012680" w:rsidRDefault="00012680" w:rsidP="003B707F">
      <w:pPr>
        <w:pStyle w:val="ListParagraph"/>
        <w:numPr>
          <w:ilvl w:val="0"/>
          <w:numId w:val="81"/>
        </w:numPr>
      </w:pPr>
      <w:r w:rsidRPr="00012680">
        <w:t xml:space="preserve">x-rays and related reports </w:t>
      </w:r>
    </w:p>
    <w:p w:rsidR="00012680" w:rsidRPr="00012680" w:rsidRDefault="00012680" w:rsidP="003B707F">
      <w:pPr>
        <w:pStyle w:val="ListParagraph"/>
        <w:numPr>
          <w:ilvl w:val="0"/>
          <w:numId w:val="81"/>
        </w:numPr>
      </w:pPr>
      <w:r w:rsidRPr="00012680">
        <w:t xml:space="preserve">psychometric test results </w:t>
      </w:r>
    </w:p>
    <w:p w:rsidR="00012680" w:rsidRPr="00012680" w:rsidRDefault="00012680" w:rsidP="003B707F">
      <w:pPr>
        <w:pStyle w:val="ListParagraph"/>
        <w:numPr>
          <w:ilvl w:val="0"/>
          <w:numId w:val="81"/>
        </w:numPr>
      </w:pPr>
      <w:r w:rsidRPr="00012680">
        <w:t xml:space="preserve">prescription medication, and </w:t>
      </w:r>
    </w:p>
    <w:p w:rsidR="00012680" w:rsidRPr="00012680" w:rsidRDefault="00012680" w:rsidP="003B707F">
      <w:pPr>
        <w:pStyle w:val="ListParagraph"/>
        <w:numPr>
          <w:ilvl w:val="0"/>
          <w:numId w:val="81"/>
        </w:numPr>
      </w:pPr>
      <w:proofErr w:type="gramStart"/>
      <w:r w:rsidRPr="00012680">
        <w:t>reports</w:t>
      </w:r>
      <w:proofErr w:type="gramEnd"/>
      <w:r w:rsidRPr="00012680">
        <w:t xml:space="preserve"> from community services (e.g. drug and alcohol support services). </w:t>
      </w:r>
    </w:p>
    <w:p w:rsidR="00504EAD" w:rsidRDefault="00504EAD" w:rsidP="00504EAD">
      <w:r>
        <w:t xml:space="preserve">The 'Verification of medical conditions' (SU684) form may be given to the </w:t>
      </w:r>
      <w:r w:rsidR="00F730F4">
        <w:t>P</w:t>
      </w:r>
      <w:r>
        <w:t xml:space="preserve">articipant, to be completed by their treating doctor. It provides appropriate information where assessment of </w:t>
      </w:r>
      <w:r>
        <w:lastRenderedPageBreak/>
        <w:t>medical conditions is required for an ESAt. The form is available at</w:t>
      </w:r>
      <w:r w:rsidRPr="003B707F">
        <w:t xml:space="preserve">: </w:t>
      </w:r>
      <w:hyperlink r:id="rId14" w:history="1">
        <w:r w:rsidRPr="003B707F">
          <w:rPr>
            <w:rStyle w:val="Hyperlink"/>
          </w:rPr>
          <w:t>Verification of medical condition(s) form (SU684).</w:t>
        </w:r>
      </w:hyperlink>
    </w:p>
    <w:p w:rsidR="00504EAD" w:rsidRDefault="00504EAD" w:rsidP="00504EAD">
      <w:r>
        <w:t xml:space="preserve">Full medical reports such as the Medical Report for Assessor (SA433) are designed to assess eligibility for </w:t>
      </w:r>
      <w:r w:rsidR="00E0511C">
        <w:t xml:space="preserve">the </w:t>
      </w:r>
      <w:r>
        <w:t>D</w:t>
      </w:r>
      <w:r w:rsidR="00E0511C">
        <w:t>SP</w:t>
      </w:r>
      <w:r>
        <w:t>, and request more information than is required for most ESAt referrals. Please do not use full medical reports for ESAt referrals unless discussed beforehand with Human Services.</w:t>
      </w:r>
    </w:p>
    <w:p w:rsidR="00012680" w:rsidRDefault="00012680" w:rsidP="00012680">
      <w:pPr>
        <w:rPr>
          <w:b/>
        </w:rPr>
      </w:pPr>
      <w:r w:rsidRPr="00012680">
        <w:t>Medical evidence is generally not required for a Program</w:t>
      </w:r>
      <w:r w:rsidR="00ED7181">
        <w:t>me</w:t>
      </w:r>
      <w:r w:rsidRPr="00012680">
        <w:t xml:space="preserve"> Review.</w:t>
      </w:r>
    </w:p>
    <w:p w:rsidR="002536BC" w:rsidRDefault="002536BC" w:rsidP="00656654">
      <w:pPr>
        <w:pStyle w:val="Heading2"/>
      </w:pPr>
      <w:bookmarkStart w:id="14" w:name="_Toc386108337"/>
      <w:r>
        <w:t>Providing medical evidence to human services</w:t>
      </w:r>
      <w:bookmarkEnd w:id="14"/>
    </w:p>
    <w:p w:rsidR="00504EAD" w:rsidRPr="00C32483" w:rsidRDefault="00504EAD" w:rsidP="00656654">
      <w:r w:rsidRPr="00C32483">
        <w:t xml:space="preserve">Medical evidence can be faxed to the Human Services National Business Gateway </w:t>
      </w:r>
      <w:r w:rsidRPr="003B707F">
        <w:t>on 1300</w:t>
      </w:r>
      <w:r w:rsidR="005B3BD9">
        <w:t> </w:t>
      </w:r>
      <w:r w:rsidRPr="003B707F">
        <w:t>786</w:t>
      </w:r>
      <w:r w:rsidR="005B3BD9">
        <w:t> </w:t>
      </w:r>
      <w:r w:rsidRPr="003B707F">
        <w:t>102.</w:t>
      </w:r>
    </w:p>
    <w:p w:rsidR="00504EAD" w:rsidRPr="00BA37D1" w:rsidRDefault="00504EAD" w:rsidP="00656654">
      <w:r w:rsidRPr="001824A1">
        <w:t>Providers faxing medical evidence to the National Business Gatew</w:t>
      </w:r>
      <w:r w:rsidRPr="00BA37D1">
        <w:t>ay must ensure that all documents:</w:t>
      </w:r>
    </w:p>
    <w:p w:rsidR="00504EAD" w:rsidRPr="00BA37D1" w:rsidRDefault="00504EAD" w:rsidP="003B707F">
      <w:pPr>
        <w:pStyle w:val="ListParagraph"/>
        <w:numPr>
          <w:ilvl w:val="0"/>
          <w:numId w:val="82"/>
        </w:numPr>
      </w:pPr>
      <w:r w:rsidRPr="00BA37D1">
        <w:t>can be clearly read</w:t>
      </w:r>
    </w:p>
    <w:p w:rsidR="00504EAD" w:rsidRPr="00C32483" w:rsidRDefault="00372AE5" w:rsidP="003B707F">
      <w:pPr>
        <w:pStyle w:val="ListParagraph"/>
        <w:numPr>
          <w:ilvl w:val="0"/>
          <w:numId w:val="82"/>
        </w:numPr>
      </w:pPr>
      <w:r w:rsidRPr="003978E7">
        <w:t>include th</w:t>
      </w:r>
      <w:r w:rsidRPr="008F65B1">
        <w:t xml:space="preserve">e </w:t>
      </w:r>
      <w:r w:rsidR="00592639">
        <w:t>Participant</w:t>
      </w:r>
      <w:r w:rsidRPr="00A56D3D">
        <w:t>’</w:t>
      </w:r>
      <w:r w:rsidR="00504EAD" w:rsidRPr="004B35FA">
        <w:t>s</w:t>
      </w:r>
      <w:r w:rsidR="00504EAD" w:rsidRPr="00C32483">
        <w:t xml:space="preserve"> name, address and Customer Reference Number, and</w:t>
      </w:r>
    </w:p>
    <w:p w:rsidR="00504EAD" w:rsidRPr="00BA37D1" w:rsidRDefault="00504EAD" w:rsidP="003B707F">
      <w:pPr>
        <w:pStyle w:val="ListParagraph"/>
        <w:numPr>
          <w:ilvl w:val="0"/>
          <w:numId w:val="82"/>
        </w:numPr>
      </w:pPr>
      <w:proofErr w:type="gramStart"/>
      <w:r w:rsidRPr="001824A1">
        <w:t>are</w:t>
      </w:r>
      <w:proofErr w:type="gramEnd"/>
      <w:r w:rsidRPr="001824A1">
        <w:t xml:space="preserve"> clearly identified as medical evidence for an ESAt.</w:t>
      </w:r>
    </w:p>
    <w:p w:rsidR="00504EAD" w:rsidRPr="00BA37D1" w:rsidRDefault="00504EAD" w:rsidP="00656654">
      <w:r w:rsidRPr="00BA37D1">
        <w:t>Medical evidence faxed to the National Business Gateway will be checked for image quality before further action is taken. If the image is incomplete or not clear, Human Services may contact the sender to request it be resent before it</w:t>
      </w:r>
      <w:r w:rsidR="00152F4F">
        <w:t xml:space="preserve"> is attached to the </w:t>
      </w:r>
      <w:r w:rsidR="00592639">
        <w:t>Participant</w:t>
      </w:r>
      <w:r w:rsidR="00152F4F">
        <w:t>’</w:t>
      </w:r>
      <w:r w:rsidRPr="00BA37D1">
        <w:t>s record.</w:t>
      </w:r>
    </w:p>
    <w:p w:rsidR="00504EAD" w:rsidRDefault="00504EAD" w:rsidP="00656654">
      <w:r w:rsidRPr="003978E7">
        <w:t>In limited circumstances, where it is not possible to fax information to Human Services, the positional email addres</w:t>
      </w:r>
      <w:r w:rsidRPr="008F65B1">
        <w:t>s (see below) may be used to send information to Assessment Services for attachment to the customer</w:t>
      </w:r>
      <w:r w:rsidRPr="00A56D3D">
        <w:t>’</w:t>
      </w:r>
      <w:r w:rsidRPr="004B35FA">
        <w:t>s record.</w:t>
      </w:r>
    </w:p>
    <w:tbl>
      <w:tblPr>
        <w:tblStyle w:val="TableGrid"/>
        <w:tblW w:w="0" w:type="auto"/>
        <w:tblLook w:val="04A0" w:firstRow="1" w:lastRow="0" w:firstColumn="1" w:lastColumn="0" w:noHBand="0" w:noVBand="1"/>
        <w:tblCaption w:val="Department of Human Services State Contacts"/>
        <w:tblDescription w:val="Department of Human Services state contacts"/>
      </w:tblPr>
      <w:tblGrid>
        <w:gridCol w:w="4453"/>
        <w:gridCol w:w="4454"/>
      </w:tblGrid>
      <w:tr w:rsidR="003A475B" w:rsidRPr="003A475B" w:rsidTr="003A475B">
        <w:trPr>
          <w:tblHeader/>
        </w:trPr>
        <w:tc>
          <w:tcPr>
            <w:tcW w:w="4453" w:type="dxa"/>
            <w:shd w:val="clear" w:color="auto" w:fill="auto"/>
          </w:tcPr>
          <w:p w:rsidR="00504EAD" w:rsidRPr="003A475B" w:rsidRDefault="00504EAD" w:rsidP="00656654">
            <w:pPr>
              <w:pStyle w:val="TableHeading"/>
              <w:rPr>
                <w:color w:val="auto"/>
              </w:rPr>
            </w:pPr>
            <w:r w:rsidRPr="003A475B">
              <w:rPr>
                <w:color w:val="auto"/>
              </w:rPr>
              <w:t>Employment Services Area</w:t>
            </w:r>
          </w:p>
        </w:tc>
        <w:tc>
          <w:tcPr>
            <w:tcW w:w="4454" w:type="dxa"/>
            <w:shd w:val="clear" w:color="auto" w:fill="auto"/>
          </w:tcPr>
          <w:p w:rsidR="00504EAD" w:rsidRPr="003A475B" w:rsidRDefault="00504EAD" w:rsidP="00656654">
            <w:pPr>
              <w:pStyle w:val="TableHeading"/>
              <w:rPr>
                <w:color w:val="auto"/>
              </w:rPr>
            </w:pPr>
            <w:r w:rsidRPr="003A475B">
              <w:rPr>
                <w:color w:val="auto"/>
              </w:rPr>
              <w:t>Positional Mailbox</w:t>
            </w:r>
          </w:p>
        </w:tc>
      </w:tr>
      <w:tr w:rsidR="00504EAD" w:rsidTr="00504EAD">
        <w:tc>
          <w:tcPr>
            <w:tcW w:w="4453" w:type="dxa"/>
          </w:tcPr>
          <w:p w:rsidR="00504EAD" w:rsidRDefault="00504EAD" w:rsidP="00504EAD">
            <w:r w:rsidRPr="00504EAD">
              <w:t>QLD (excluding Gold Coast), NT &amp; Kimberley</w:t>
            </w:r>
          </w:p>
        </w:tc>
        <w:tc>
          <w:tcPr>
            <w:tcW w:w="4454" w:type="dxa"/>
          </w:tcPr>
          <w:p w:rsidR="00504EAD" w:rsidRDefault="00504EAD" w:rsidP="00504EAD">
            <w:r w:rsidRPr="00504EAD">
              <w:t>at.services.qld.nt@humanservices.gov.au</w:t>
            </w:r>
          </w:p>
        </w:tc>
      </w:tr>
      <w:tr w:rsidR="00504EAD" w:rsidTr="00504EAD">
        <w:tc>
          <w:tcPr>
            <w:tcW w:w="4453" w:type="dxa"/>
          </w:tcPr>
          <w:p w:rsidR="00504EAD" w:rsidRPr="004F23FD" w:rsidRDefault="00504EAD" w:rsidP="00656654">
            <w:pPr>
              <w:pStyle w:val="Default"/>
              <w:rPr>
                <w:szCs w:val="22"/>
              </w:rPr>
            </w:pPr>
            <w:r>
              <w:rPr>
                <w:sz w:val="22"/>
                <w:szCs w:val="22"/>
              </w:rPr>
              <w:t xml:space="preserve">NSW (excluding Far West), including Gold Coast </w:t>
            </w:r>
          </w:p>
        </w:tc>
        <w:tc>
          <w:tcPr>
            <w:tcW w:w="4454" w:type="dxa"/>
          </w:tcPr>
          <w:p w:rsidR="00504EAD" w:rsidRDefault="00504EAD" w:rsidP="00504EAD">
            <w:r w:rsidRPr="00504EAD">
              <w:t>at.services.nsw.act@humanservices.gov.au</w:t>
            </w:r>
          </w:p>
        </w:tc>
      </w:tr>
      <w:tr w:rsidR="00504EAD" w:rsidTr="00504EAD">
        <w:tc>
          <w:tcPr>
            <w:tcW w:w="4453" w:type="dxa"/>
          </w:tcPr>
          <w:p w:rsidR="00504EAD" w:rsidRDefault="00504EAD" w:rsidP="00504EAD">
            <w:r w:rsidRPr="00504EAD">
              <w:t>VIC &amp; TAS</w:t>
            </w:r>
          </w:p>
        </w:tc>
        <w:tc>
          <w:tcPr>
            <w:tcW w:w="4454" w:type="dxa"/>
          </w:tcPr>
          <w:p w:rsidR="00504EAD" w:rsidRDefault="00504EAD" w:rsidP="00504EAD">
            <w:r w:rsidRPr="00504EAD">
              <w:t>at.services.vic.tas@humanservices.gov.au</w:t>
            </w:r>
          </w:p>
        </w:tc>
      </w:tr>
      <w:tr w:rsidR="00504EAD" w:rsidTr="00504EAD">
        <w:tc>
          <w:tcPr>
            <w:tcW w:w="4453" w:type="dxa"/>
          </w:tcPr>
          <w:p w:rsidR="00504EAD" w:rsidRDefault="00504EAD" w:rsidP="00504EAD">
            <w:r w:rsidRPr="00504EAD">
              <w:t>SA &amp; Far Western NSW</w:t>
            </w:r>
          </w:p>
        </w:tc>
        <w:tc>
          <w:tcPr>
            <w:tcW w:w="4454" w:type="dxa"/>
          </w:tcPr>
          <w:p w:rsidR="00504EAD" w:rsidRDefault="00504EAD" w:rsidP="00504EAD">
            <w:r w:rsidRPr="00504EAD">
              <w:t>at.services.sa@humanservices.gov.au</w:t>
            </w:r>
          </w:p>
        </w:tc>
      </w:tr>
      <w:tr w:rsidR="00504EAD" w:rsidTr="00504EAD">
        <w:tc>
          <w:tcPr>
            <w:tcW w:w="4453" w:type="dxa"/>
          </w:tcPr>
          <w:p w:rsidR="00504EAD" w:rsidRDefault="00504EAD" w:rsidP="00504EAD">
            <w:r w:rsidRPr="00504EAD">
              <w:t>WA (excluding the Kimberley)</w:t>
            </w:r>
          </w:p>
        </w:tc>
        <w:tc>
          <w:tcPr>
            <w:tcW w:w="4454" w:type="dxa"/>
          </w:tcPr>
          <w:p w:rsidR="00504EAD" w:rsidRDefault="00504EAD" w:rsidP="00504EAD">
            <w:r w:rsidRPr="00504EAD">
              <w:t>at.services.wa@humanservices.gov.au</w:t>
            </w:r>
          </w:p>
        </w:tc>
      </w:tr>
    </w:tbl>
    <w:p w:rsidR="00504EAD" w:rsidRPr="00504EAD" w:rsidRDefault="00504EAD" w:rsidP="00656654"/>
    <w:p w:rsidR="002536BC" w:rsidRPr="00C32483" w:rsidRDefault="002536BC" w:rsidP="003B707F">
      <w:pPr>
        <w:pStyle w:val="Heading2"/>
        <w:rPr>
          <w:rStyle w:val="Strong"/>
        </w:rPr>
      </w:pPr>
      <w:bookmarkStart w:id="15" w:name="_Toc386108338"/>
      <w:r w:rsidRPr="00C32483">
        <w:rPr>
          <w:rStyle w:val="Strong"/>
          <w:b/>
          <w:bCs/>
        </w:rPr>
        <w:t>Making the appointment</w:t>
      </w:r>
      <w:bookmarkEnd w:id="15"/>
    </w:p>
    <w:p w:rsidR="002536BC" w:rsidRPr="00EC41A8" w:rsidRDefault="002536BC" w:rsidP="00656654">
      <w:pPr>
        <w:rPr>
          <w:rStyle w:val="Strong"/>
          <w:b w:val="0"/>
          <w:szCs w:val="22"/>
        </w:rPr>
      </w:pPr>
      <w:r w:rsidRPr="00EC41A8">
        <w:rPr>
          <w:rStyle w:val="Strong"/>
          <w:b w:val="0"/>
          <w:szCs w:val="22"/>
        </w:rPr>
        <w:t>Details about how to book an ESAt appointment using the department’s IT system can be found in the Making an Employment Services Assessment (ESAt) Appointment/Referral - Supporting Document.</w:t>
      </w:r>
    </w:p>
    <w:p w:rsidR="002536BC" w:rsidRPr="00EC41A8" w:rsidRDefault="002536BC" w:rsidP="00656654">
      <w:pPr>
        <w:rPr>
          <w:rStyle w:val="Strong"/>
          <w:b w:val="0"/>
          <w:szCs w:val="22"/>
        </w:rPr>
      </w:pPr>
      <w:r w:rsidRPr="00EC41A8">
        <w:rPr>
          <w:rStyle w:val="Strong"/>
          <w:b w:val="0"/>
          <w:szCs w:val="22"/>
        </w:rPr>
        <w:t xml:space="preserve">If the </w:t>
      </w:r>
      <w:r w:rsidR="00592639" w:rsidRPr="00EC41A8">
        <w:rPr>
          <w:rStyle w:val="Strong"/>
          <w:b w:val="0"/>
          <w:szCs w:val="22"/>
        </w:rPr>
        <w:t>Participant</w:t>
      </w:r>
      <w:r w:rsidRPr="00EC41A8">
        <w:rPr>
          <w:rStyle w:val="Strong"/>
          <w:b w:val="0"/>
          <w:szCs w:val="22"/>
        </w:rPr>
        <w:t xml:space="preserve"> has either displayed or threatened violent behaviour which may present a threat to an Assessor, the </w:t>
      </w:r>
      <w:r w:rsidR="00152F4F" w:rsidRPr="00EC41A8">
        <w:rPr>
          <w:rStyle w:val="Strong"/>
          <w:b w:val="0"/>
          <w:szCs w:val="22"/>
        </w:rPr>
        <w:t>DES</w:t>
      </w:r>
      <w:r w:rsidRPr="00EC41A8">
        <w:rPr>
          <w:rStyle w:val="Strong"/>
          <w:b w:val="0"/>
          <w:szCs w:val="22"/>
        </w:rPr>
        <w:t xml:space="preserve"> </w:t>
      </w:r>
      <w:r w:rsidR="00BA1DB4" w:rsidRPr="00EC41A8">
        <w:rPr>
          <w:rStyle w:val="Strong"/>
          <w:b w:val="0"/>
          <w:szCs w:val="22"/>
        </w:rPr>
        <w:t>P</w:t>
      </w:r>
      <w:r w:rsidRPr="00EC41A8">
        <w:rPr>
          <w:rStyle w:val="Strong"/>
          <w:b w:val="0"/>
          <w:szCs w:val="22"/>
        </w:rPr>
        <w:t xml:space="preserve">rovider must notify the Assessor of the circumstances prior to </w:t>
      </w:r>
      <w:r w:rsidRPr="00EC41A8">
        <w:rPr>
          <w:rStyle w:val="Strong"/>
          <w:b w:val="0"/>
          <w:szCs w:val="22"/>
        </w:rPr>
        <w:lastRenderedPageBreak/>
        <w:t>the scheduled ESAt appointment and refer to the Servicing Challenging Clients Advice for further information.</w:t>
      </w:r>
    </w:p>
    <w:p w:rsidR="002536BC" w:rsidRPr="00C32483" w:rsidRDefault="002536BC" w:rsidP="003B707F">
      <w:pPr>
        <w:pStyle w:val="Heading2"/>
        <w:rPr>
          <w:rStyle w:val="Strong"/>
        </w:rPr>
      </w:pPr>
      <w:bookmarkStart w:id="16" w:name="_Toc386108339"/>
      <w:r w:rsidRPr="00C32483">
        <w:rPr>
          <w:rStyle w:val="Strong"/>
          <w:b/>
          <w:bCs/>
        </w:rPr>
        <w:t>Escalation Procedures for Unavailability of ESAt appointments</w:t>
      </w:r>
      <w:bookmarkEnd w:id="16"/>
    </w:p>
    <w:p w:rsidR="002536BC" w:rsidRPr="00EC41A8" w:rsidRDefault="002536BC" w:rsidP="00656654">
      <w:pPr>
        <w:rPr>
          <w:rStyle w:val="Strong"/>
          <w:b w:val="0"/>
          <w:szCs w:val="22"/>
        </w:rPr>
      </w:pPr>
      <w:r w:rsidRPr="00EC41A8">
        <w:rPr>
          <w:rStyle w:val="Strong"/>
          <w:b w:val="0"/>
          <w:szCs w:val="22"/>
        </w:rPr>
        <w:t xml:space="preserve">When </w:t>
      </w:r>
      <w:r w:rsidR="002600E1" w:rsidRPr="00EC41A8">
        <w:rPr>
          <w:rStyle w:val="Strong"/>
          <w:b w:val="0"/>
          <w:szCs w:val="22"/>
        </w:rPr>
        <w:t>P</w:t>
      </w:r>
      <w:r w:rsidRPr="00EC41A8">
        <w:rPr>
          <w:rStyle w:val="Strong"/>
          <w:b w:val="0"/>
          <w:szCs w:val="22"/>
        </w:rPr>
        <w:t>roviders are requesting a referral to Human Services for an ESAt and are unable to secure an appointment they should follow the steps outlined below.</w:t>
      </w:r>
    </w:p>
    <w:p w:rsidR="002536BC" w:rsidRPr="00EC41A8" w:rsidRDefault="002536BC" w:rsidP="003B707F">
      <w:pPr>
        <w:pStyle w:val="ListParagraph"/>
        <w:numPr>
          <w:ilvl w:val="0"/>
          <w:numId w:val="84"/>
        </w:numPr>
        <w:rPr>
          <w:rStyle w:val="Strong"/>
          <w:b w:val="0"/>
          <w:szCs w:val="22"/>
        </w:rPr>
      </w:pPr>
      <w:r w:rsidRPr="00EC41A8">
        <w:rPr>
          <w:rStyle w:val="Strong"/>
          <w:b w:val="0"/>
          <w:szCs w:val="22"/>
        </w:rPr>
        <w:t>Contact the local Human Services Assessment Services Manager (Human Services Manager) and request an appointment. The Human Services Manager will then facilitate the referral being made as soon as possible.</w:t>
      </w:r>
    </w:p>
    <w:p w:rsidR="002536BC" w:rsidRPr="00EC41A8" w:rsidRDefault="002536BC" w:rsidP="003B707F">
      <w:pPr>
        <w:pStyle w:val="ListParagraph"/>
        <w:numPr>
          <w:ilvl w:val="0"/>
          <w:numId w:val="84"/>
        </w:numPr>
        <w:rPr>
          <w:rStyle w:val="Strong"/>
          <w:b w:val="0"/>
          <w:szCs w:val="22"/>
        </w:rPr>
      </w:pPr>
      <w:r w:rsidRPr="00EC41A8">
        <w:rPr>
          <w:rStyle w:val="Strong"/>
          <w:b w:val="0"/>
          <w:szCs w:val="22"/>
        </w:rPr>
        <w:t xml:space="preserve">If contact is unable to be made with the Human Services Manager or the Human Services Manager is not immediately known, email the positional mailbox (see details in the Supporting Medical Evidence chapter in this document) and Human Services will forward your enquiry on for resolution. It is important that you provide details of the </w:t>
      </w:r>
      <w:r w:rsidR="00592639" w:rsidRPr="00EC41A8">
        <w:rPr>
          <w:rStyle w:val="Strong"/>
          <w:b w:val="0"/>
          <w:szCs w:val="22"/>
        </w:rPr>
        <w:t>Participant</w:t>
      </w:r>
      <w:r w:rsidRPr="00EC41A8">
        <w:rPr>
          <w:rStyle w:val="Strong"/>
          <w:b w:val="0"/>
          <w:szCs w:val="22"/>
        </w:rPr>
        <w:t>, referral type, location, and date.</w:t>
      </w:r>
    </w:p>
    <w:p w:rsidR="002536BC" w:rsidRPr="00EC41A8" w:rsidRDefault="002536BC" w:rsidP="003B707F">
      <w:pPr>
        <w:pStyle w:val="ListParagraph"/>
        <w:numPr>
          <w:ilvl w:val="0"/>
          <w:numId w:val="84"/>
        </w:numPr>
        <w:rPr>
          <w:rStyle w:val="Strong"/>
          <w:b w:val="0"/>
          <w:szCs w:val="22"/>
        </w:rPr>
      </w:pPr>
      <w:r w:rsidRPr="00EC41A8">
        <w:rPr>
          <w:rStyle w:val="Strong"/>
          <w:b w:val="0"/>
          <w:szCs w:val="22"/>
        </w:rPr>
        <w:t xml:space="preserve">If within two business days no contact from Human Services has occurred, please raise the issue with your Department of </w:t>
      </w:r>
      <w:r w:rsidR="00592639" w:rsidRPr="00EC41A8">
        <w:rPr>
          <w:rStyle w:val="Strong"/>
          <w:b w:val="0"/>
          <w:szCs w:val="22"/>
        </w:rPr>
        <w:t xml:space="preserve">Social Services </w:t>
      </w:r>
      <w:r w:rsidRPr="00EC41A8">
        <w:rPr>
          <w:rStyle w:val="Strong"/>
          <w:b w:val="0"/>
          <w:szCs w:val="22"/>
        </w:rPr>
        <w:t>State Contract Manager who will escalate the issue for action to the Human Services Assessment Services National Team.</w:t>
      </w:r>
    </w:p>
    <w:p w:rsidR="002536BC" w:rsidRPr="00EC41A8" w:rsidRDefault="002536BC" w:rsidP="003B707F">
      <w:pPr>
        <w:pStyle w:val="ListParagraph"/>
        <w:numPr>
          <w:ilvl w:val="0"/>
          <w:numId w:val="84"/>
        </w:numPr>
        <w:rPr>
          <w:rStyle w:val="Strong"/>
          <w:b w:val="0"/>
          <w:szCs w:val="22"/>
        </w:rPr>
      </w:pPr>
      <w:r w:rsidRPr="00EC41A8">
        <w:rPr>
          <w:rStyle w:val="Strong"/>
          <w:b w:val="0"/>
          <w:szCs w:val="22"/>
        </w:rPr>
        <w:t>Escalations to the Human Services Assessment Services National Team will be actioned within one business day.</w:t>
      </w:r>
    </w:p>
    <w:p w:rsidR="002536BC" w:rsidRPr="00C32483" w:rsidRDefault="002536BC" w:rsidP="00656654">
      <w:pPr>
        <w:pStyle w:val="Heading2"/>
        <w:rPr>
          <w:rStyle w:val="Strong"/>
        </w:rPr>
      </w:pPr>
      <w:bookmarkStart w:id="17" w:name="_Toc386108340"/>
      <w:r w:rsidRPr="00C32483">
        <w:rPr>
          <w:rStyle w:val="Strong"/>
          <w:b/>
          <w:bCs/>
        </w:rPr>
        <w:t xml:space="preserve">Informing the </w:t>
      </w:r>
      <w:r w:rsidR="00592639">
        <w:rPr>
          <w:rStyle w:val="Strong"/>
          <w:b/>
          <w:bCs/>
        </w:rPr>
        <w:t>Participant</w:t>
      </w:r>
      <w:r w:rsidRPr="00C32483">
        <w:rPr>
          <w:rStyle w:val="Strong"/>
          <w:b/>
          <w:bCs/>
        </w:rPr>
        <w:t xml:space="preserve"> of the appointments</w:t>
      </w:r>
      <w:bookmarkEnd w:id="17"/>
    </w:p>
    <w:p w:rsidR="002536BC" w:rsidRPr="00EC41A8" w:rsidRDefault="002536BC" w:rsidP="002536BC">
      <w:pPr>
        <w:spacing w:before="240"/>
        <w:rPr>
          <w:bCs/>
          <w:szCs w:val="22"/>
        </w:rPr>
      </w:pPr>
      <w:r w:rsidRPr="00EC41A8">
        <w:rPr>
          <w:bCs/>
          <w:szCs w:val="22"/>
        </w:rPr>
        <w:t xml:space="preserve">Once the ESAt appointment has been made on Employment’s IT System the </w:t>
      </w:r>
      <w:r w:rsidR="00592639" w:rsidRPr="00EC41A8">
        <w:rPr>
          <w:bCs/>
          <w:szCs w:val="22"/>
        </w:rPr>
        <w:t>Participant</w:t>
      </w:r>
      <w:r w:rsidRPr="00EC41A8">
        <w:rPr>
          <w:bCs/>
          <w:szCs w:val="22"/>
        </w:rPr>
        <w:t xml:space="preserve"> must be given appropriate notification of the ESAt appointment details. The </w:t>
      </w:r>
      <w:r w:rsidR="00592639" w:rsidRPr="00EC41A8">
        <w:rPr>
          <w:bCs/>
          <w:szCs w:val="22"/>
        </w:rPr>
        <w:t>Participant</w:t>
      </w:r>
      <w:r w:rsidRPr="00EC41A8">
        <w:rPr>
          <w:bCs/>
          <w:szCs w:val="22"/>
        </w:rPr>
        <w:t xml:space="preserve"> must be advised: </w:t>
      </w:r>
    </w:p>
    <w:p w:rsidR="002536BC" w:rsidRPr="00656654" w:rsidRDefault="002536BC" w:rsidP="003B707F">
      <w:pPr>
        <w:pStyle w:val="ListParagraph"/>
        <w:numPr>
          <w:ilvl w:val="0"/>
          <w:numId w:val="85"/>
        </w:numPr>
      </w:pPr>
      <w:r w:rsidRPr="00656654">
        <w:t xml:space="preserve">that the Assessment will involve an interview to determine their work capacity and the employment services assistance that they will need to help them gain work </w:t>
      </w:r>
    </w:p>
    <w:p w:rsidR="002536BC" w:rsidRPr="00656654" w:rsidRDefault="002536BC" w:rsidP="003B707F">
      <w:pPr>
        <w:pStyle w:val="ListParagraph"/>
        <w:numPr>
          <w:ilvl w:val="0"/>
          <w:numId w:val="85"/>
        </w:numPr>
      </w:pPr>
      <w:r w:rsidRPr="00656654">
        <w:t xml:space="preserve">the date, time and venue for the ESAt—an appointment letter with the details is available when the referral is made in the department’s IT System </w:t>
      </w:r>
    </w:p>
    <w:p w:rsidR="002536BC" w:rsidRPr="00656654" w:rsidRDefault="002536BC" w:rsidP="003B707F">
      <w:pPr>
        <w:pStyle w:val="ListParagraph"/>
        <w:numPr>
          <w:ilvl w:val="0"/>
          <w:numId w:val="85"/>
        </w:numPr>
      </w:pPr>
      <w:r w:rsidRPr="00656654">
        <w:t xml:space="preserve">the reason for the Assessment—for example, the </w:t>
      </w:r>
      <w:r w:rsidR="00592639">
        <w:t>Participant</w:t>
      </w:r>
      <w:r w:rsidRPr="00656654">
        <w:t xml:space="preserve"> being referred has disclosed an addiction or a medical condition that is affecting their ability to participate in the activities listed in their Employment Pathways Plan </w:t>
      </w:r>
    </w:p>
    <w:p w:rsidR="002536BC" w:rsidRPr="00656654" w:rsidRDefault="002536BC" w:rsidP="003B707F">
      <w:pPr>
        <w:pStyle w:val="ListParagraph"/>
        <w:numPr>
          <w:ilvl w:val="0"/>
          <w:numId w:val="85"/>
        </w:numPr>
      </w:pPr>
      <w:r w:rsidRPr="00656654">
        <w:t xml:space="preserve">of the importance of disclosing all barriers to employment, including disability or mental health issues, to ensure they receive the most appropriate assistance </w:t>
      </w:r>
    </w:p>
    <w:p w:rsidR="002536BC" w:rsidRPr="00656654" w:rsidRDefault="002536BC" w:rsidP="003B707F">
      <w:pPr>
        <w:pStyle w:val="ListParagraph"/>
        <w:numPr>
          <w:ilvl w:val="0"/>
          <w:numId w:val="85"/>
        </w:numPr>
      </w:pPr>
      <w:r w:rsidRPr="00656654">
        <w:t xml:space="preserve">of the importance of taking relevant medical evidence to the ESAt appointment, if applicable, to ensure their medical conditions are taken into account when determining work capacity and therefore their participation requirements </w:t>
      </w:r>
    </w:p>
    <w:p w:rsidR="002536BC" w:rsidRPr="00656654" w:rsidRDefault="002536BC" w:rsidP="003B707F">
      <w:pPr>
        <w:pStyle w:val="ListParagraph"/>
        <w:numPr>
          <w:ilvl w:val="0"/>
          <w:numId w:val="85"/>
        </w:numPr>
      </w:pPr>
      <w:r w:rsidRPr="00656654">
        <w:t xml:space="preserve">advise the </w:t>
      </w:r>
      <w:r w:rsidR="00592639">
        <w:t>Participant</w:t>
      </w:r>
      <w:r w:rsidRPr="00656654">
        <w:t xml:space="preserve"> of the steps they can take to gather medical evidence </w:t>
      </w:r>
    </w:p>
    <w:p w:rsidR="002536BC" w:rsidRPr="00656654" w:rsidRDefault="002536BC" w:rsidP="003B707F">
      <w:pPr>
        <w:pStyle w:val="ListParagraph"/>
        <w:numPr>
          <w:ilvl w:val="0"/>
          <w:numId w:val="85"/>
        </w:numPr>
      </w:pPr>
      <w:r w:rsidRPr="00656654">
        <w:t xml:space="preserve">that they may have a nominee, for example a mental health services provider, a family member, advocate, social worker or counsellor attend the assessment to assist them </w:t>
      </w:r>
    </w:p>
    <w:p w:rsidR="002536BC" w:rsidRPr="00656654" w:rsidRDefault="002536BC" w:rsidP="003B707F">
      <w:pPr>
        <w:pStyle w:val="ListParagraph"/>
        <w:numPr>
          <w:ilvl w:val="0"/>
          <w:numId w:val="85"/>
        </w:numPr>
      </w:pPr>
      <w:r w:rsidRPr="00656654">
        <w:t xml:space="preserve">if they are Activity Tested or have participation requirements, that attending the ESAt appointment is compulsory and that non-attendance without a valid reason or not </w:t>
      </w:r>
      <w:r w:rsidRPr="00656654">
        <w:lastRenderedPageBreak/>
        <w:t xml:space="preserve">notifying the Assessor of their non-attendance may result in them not receiving Income Support Payments until they attend </w:t>
      </w:r>
    </w:p>
    <w:p w:rsidR="002536BC" w:rsidRPr="00656654" w:rsidRDefault="002536BC" w:rsidP="003B707F">
      <w:pPr>
        <w:pStyle w:val="ListParagraph"/>
        <w:numPr>
          <w:ilvl w:val="0"/>
          <w:numId w:val="85"/>
        </w:numPr>
      </w:pPr>
      <w:r w:rsidRPr="00656654">
        <w:t xml:space="preserve">that they may be referred to a different service after the Assessment that better meets their needs </w:t>
      </w:r>
    </w:p>
    <w:p w:rsidR="002536BC" w:rsidRPr="003B707F" w:rsidRDefault="002536BC" w:rsidP="003B707F">
      <w:pPr>
        <w:pStyle w:val="ListParagraph"/>
        <w:numPr>
          <w:ilvl w:val="0"/>
          <w:numId w:val="85"/>
        </w:numPr>
        <w:rPr>
          <w:bCs/>
          <w:szCs w:val="22"/>
        </w:rPr>
      </w:pPr>
      <w:proofErr w:type="gramStart"/>
      <w:r w:rsidRPr="003B707F">
        <w:rPr>
          <w:bCs/>
          <w:szCs w:val="22"/>
        </w:rPr>
        <w:t>of</w:t>
      </w:r>
      <w:proofErr w:type="gramEnd"/>
      <w:r w:rsidRPr="003B707F">
        <w:rPr>
          <w:bCs/>
          <w:szCs w:val="22"/>
        </w:rPr>
        <w:t xml:space="preserve"> the requirement to contact the Assessor at least 24 hours before the appointment time if they cannot attend the ESAt appointment. Where this timeframe cannot be met the </w:t>
      </w:r>
      <w:r w:rsidR="00592639">
        <w:rPr>
          <w:bCs/>
          <w:szCs w:val="22"/>
        </w:rPr>
        <w:t>Participant</w:t>
      </w:r>
      <w:r w:rsidRPr="003B707F">
        <w:rPr>
          <w:bCs/>
          <w:szCs w:val="22"/>
        </w:rPr>
        <w:t xml:space="preserve"> should still contact the Assessor to </w:t>
      </w:r>
      <w:r w:rsidRPr="0072133E">
        <w:rPr>
          <w:bCs/>
          <w:szCs w:val="22"/>
        </w:rPr>
        <w:t>advise that they cannot attend and the reason why</w:t>
      </w:r>
      <w:r w:rsidR="003B707F" w:rsidRPr="00656654">
        <w:rPr>
          <w:bCs/>
          <w:szCs w:val="22"/>
        </w:rPr>
        <w:t>.</w:t>
      </w:r>
      <w:r w:rsidRPr="003B707F">
        <w:rPr>
          <w:bCs/>
          <w:szCs w:val="22"/>
        </w:rPr>
        <w:t xml:space="preserve"> </w:t>
      </w:r>
    </w:p>
    <w:p w:rsidR="002536BC" w:rsidRPr="00C32483" w:rsidRDefault="002536BC" w:rsidP="003B707F">
      <w:pPr>
        <w:pStyle w:val="Heading2"/>
        <w:rPr>
          <w:rStyle w:val="Strong"/>
        </w:rPr>
      </w:pPr>
      <w:bookmarkStart w:id="18" w:name="_Toc386108341"/>
      <w:r w:rsidRPr="00C32483">
        <w:rPr>
          <w:rStyle w:val="Strong"/>
          <w:b/>
          <w:bCs/>
        </w:rPr>
        <w:t>The consequences of not attending the appointment</w:t>
      </w:r>
      <w:bookmarkEnd w:id="18"/>
    </w:p>
    <w:p w:rsidR="002536BC" w:rsidRPr="00EC41A8" w:rsidRDefault="002536BC" w:rsidP="00656654">
      <w:pPr>
        <w:rPr>
          <w:rStyle w:val="Strong"/>
          <w:b w:val="0"/>
          <w:szCs w:val="22"/>
        </w:rPr>
      </w:pPr>
      <w:r w:rsidRPr="00EC41A8">
        <w:rPr>
          <w:rStyle w:val="Strong"/>
          <w:b w:val="0"/>
          <w:szCs w:val="22"/>
        </w:rPr>
        <w:t>If an Activity Tested Participant or a Volunteer does not attend an ESAt appointment they must attend the next scheduled appointment.</w:t>
      </w:r>
    </w:p>
    <w:p w:rsidR="002536BC" w:rsidRPr="00EC41A8" w:rsidRDefault="002536BC" w:rsidP="00656654">
      <w:pPr>
        <w:rPr>
          <w:rStyle w:val="Strong"/>
          <w:b w:val="0"/>
          <w:szCs w:val="22"/>
        </w:rPr>
      </w:pPr>
      <w:r w:rsidRPr="00EC41A8">
        <w:rPr>
          <w:rStyle w:val="Strong"/>
          <w:b w:val="0"/>
          <w:szCs w:val="22"/>
        </w:rPr>
        <w:t xml:space="preserve">Failure to attend a second scheduled appointment without notifying the Assessor of a valid reason will result in a follow-up contact request from Human Services. Human Services will suspend the </w:t>
      </w:r>
      <w:r w:rsidR="003978E7" w:rsidRPr="00EC41A8">
        <w:rPr>
          <w:rStyle w:val="Strong"/>
          <w:b w:val="0"/>
          <w:szCs w:val="22"/>
        </w:rPr>
        <w:t>Participants</w:t>
      </w:r>
      <w:r w:rsidRPr="00EC41A8">
        <w:rPr>
          <w:rStyle w:val="Strong"/>
          <w:b w:val="0"/>
          <w:szCs w:val="22"/>
        </w:rPr>
        <w:t xml:space="preserve"> Income Support Payment until the </w:t>
      </w:r>
      <w:r w:rsidR="003978E7" w:rsidRPr="00EC41A8">
        <w:rPr>
          <w:rStyle w:val="Strong"/>
          <w:b w:val="0"/>
          <w:szCs w:val="22"/>
        </w:rPr>
        <w:t>Participant</w:t>
      </w:r>
      <w:r w:rsidRPr="00EC41A8">
        <w:rPr>
          <w:rStyle w:val="Strong"/>
          <w:b w:val="0"/>
          <w:szCs w:val="22"/>
        </w:rPr>
        <w:t xml:space="preserve"> contacts Human Services to reschedule a further appointment. Failure to attend this appointment without notifying the Assessor of a valid reason may result in cancellation of the </w:t>
      </w:r>
      <w:r w:rsidR="003978E7" w:rsidRPr="00EC41A8">
        <w:rPr>
          <w:rStyle w:val="Strong"/>
          <w:b w:val="0"/>
          <w:szCs w:val="22"/>
        </w:rPr>
        <w:t>Participants</w:t>
      </w:r>
      <w:r w:rsidRPr="00EC41A8">
        <w:rPr>
          <w:rStyle w:val="Strong"/>
          <w:b w:val="0"/>
          <w:szCs w:val="22"/>
        </w:rPr>
        <w:t xml:space="preserve"> Income Support Payment.</w:t>
      </w:r>
    </w:p>
    <w:p w:rsidR="00CA70F1" w:rsidRPr="003B707F" w:rsidRDefault="00D131A8" w:rsidP="003B707F">
      <w:pPr>
        <w:pStyle w:val="Heading2"/>
        <w:rPr>
          <w:rStyle w:val="Strong"/>
          <w:b/>
          <w:bCs/>
        </w:rPr>
      </w:pPr>
      <w:bookmarkStart w:id="19" w:name="_Toc386108342"/>
      <w:r w:rsidRPr="00C32483">
        <w:rPr>
          <w:rStyle w:val="Strong"/>
          <w:b/>
          <w:bCs/>
        </w:rPr>
        <w:t>Minimising unnecessary ESAt referrals</w:t>
      </w:r>
      <w:bookmarkEnd w:id="19"/>
      <w:r w:rsidRPr="00C32483">
        <w:rPr>
          <w:rStyle w:val="Strong"/>
          <w:b/>
          <w:bCs/>
        </w:rPr>
        <w:t xml:space="preserve"> </w:t>
      </w:r>
    </w:p>
    <w:p w:rsidR="00CA70F1" w:rsidRDefault="00D131A8" w:rsidP="00CA70F1">
      <w:r w:rsidRPr="00D131A8">
        <w:t xml:space="preserve">DES </w:t>
      </w:r>
      <w:r w:rsidR="002600E1">
        <w:t>P</w:t>
      </w:r>
      <w:r w:rsidRPr="00D131A8">
        <w:t>roviders must minimise unnecessary referrals for ESAts. For example, if a Participant genuinely requires a Change of Circumstances Reassessment and their Program</w:t>
      </w:r>
      <w:r w:rsidR="00ED7181">
        <w:t>me</w:t>
      </w:r>
      <w:r w:rsidRPr="00D131A8">
        <w:t xml:space="preserve"> Review is expected within six to eight weeks, the DES </w:t>
      </w:r>
      <w:r w:rsidR="002600E1">
        <w:t>P</w:t>
      </w:r>
      <w:r w:rsidRPr="00D131A8">
        <w:t>rovider should consider if a single referral for a Program</w:t>
      </w:r>
      <w:r w:rsidR="00ED7181">
        <w:t>me</w:t>
      </w:r>
      <w:r w:rsidRPr="00D131A8">
        <w:t xml:space="preserve"> Review is appropriate.</w:t>
      </w:r>
    </w:p>
    <w:p w:rsidR="00CA70F1" w:rsidRDefault="00D131A8" w:rsidP="00656654">
      <w:pPr>
        <w:pStyle w:val="Heading2"/>
      </w:pPr>
      <w:bookmarkStart w:id="20" w:name="_Toc386108343"/>
      <w:r w:rsidRPr="00D131A8">
        <w:t>Cancelling an ESAt referral</w:t>
      </w:r>
      <w:bookmarkEnd w:id="20"/>
    </w:p>
    <w:p w:rsidR="00CA70F1" w:rsidRDefault="00D131A8" w:rsidP="00CA70F1">
      <w:pPr>
        <w:rPr>
          <w:rFonts w:cs="Arial"/>
        </w:rPr>
      </w:pPr>
      <w:r w:rsidRPr="00D131A8">
        <w:rPr>
          <w:rFonts w:cs="Arial"/>
        </w:rPr>
        <w:t xml:space="preserve">An ESAt referral should only be cancelled if it was made in error. Cancelling an ESAt referral should not be used as an alternative to rescheduling an appointment. Where necessary, DES </w:t>
      </w:r>
      <w:r w:rsidR="002600E1">
        <w:rPr>
          <w:rFonts w:cs="Arial"/>
        </w:rPr>
        <w:t>P</w:t>
      </w:r>
      <w:r w:rsidRPr="00D131A8">
        <w:rPr>
          <w:rFonts w:cs="Arial"/>
        </w:rPr>
        <w:t>roviders should contact the Assessor to arrange rescheduling of a Participant’s appointment and advise the Participant of the new appointment.</w:t>
      </w:r>
      <w:r w:rsidR="00CA70F1">
        <w:rPr>
          <w:rFonts w:cs="Arial"/>
        </w:rPr>
        <w:t xml:space="preserve"> </w:t>
      </w:r>
    </w:p>
    <w:p w:rsidR="00CA70F1" w:rsidRPr="003978E7" w:rsidRDefault="00CA70F1" w:rsidP="00656654">
      <w:pPr>
        <w:pStyle w:val="Heading2"/>
        <w:rPr>
          <w:rStyle w:val="Strong"/>
        </w:rPr>
      </w:pPr>
      <w:bookmarkStart w:id="21" w:name="_Toc386108344"/>
      <w:r w:rsidRPr="004B35FA">
        <w:rPr>
          <w:rStyle w:val="Strong"/>
          <w:b/>
          <w:bCs/>
        </w:rPr>
        <w:t>Monitoring progress of an ESAt</w:t>
      </w:r>
      <w:bookmarkEnd w:id="21"/>
    </w:p>
    <w:p w:rsidR="00D131A8" w:rsidRDefault="00D131A8" w:rsidP="00D131A8">
      <w:r>
        <w:t xml:space="preserve">Where the DES </w:t>
      </w:r>
      <w:r w:rsidR="002600E1">
        <w:t>P</w:t>
      </w:r>
      <w:r>
        <w:t xml:space="preserve">rovider has made a referral for an ESAt, the DES </w:t>
      </w:r>
      <w:r w:rsidR="002600E1">
        <w:t>P</w:t>
      </w:r>
      <w:r>
        <w:t>rovider can contact Human Services to discuss the progress of the Assessment.</w:t>
      </w:r>
    </w:p>
    <w:p w:rsidR="00CA70F1" w:rsidRDefault="00D131A8" w:rsidP="00D131A8">
      <w:r>
        <w:t xml:space="preserve">In most circumstances ESAt reports are automatically finalised 28 days after submission. If the report is older than this, the DES </w:t>
      </w:r>
      <w:r w:rsidR="002600E1">
        <w:t>P</w:t>
      </w:r>
      <w:r>
        <w:t>roviders should contact the Participant’s local Human Services Service Centre for further advice—Human Services review and accepts submitted ESAt reports for income support purposes.</w:t>
      </w:r>
    </w:p>
    <w:p w:rsidR="00CA70F1" w:rsidRDefault="00D131A8" w:rsidP="00656654">
      <w:pPr>
        <w:pStyle w:val="Heading2"/>
      </w:pPr>
      <w:bookmarkStart w:id="22" w:name="_Toc386108345"/>
      <w:r w:rsidRPr="00D131A8">
        <w:t>Servicing a Participant while waiting for the outcome of an ESAt</w:t>
      </w:r>
      <w:bookmarkEnd w:id="22"/>
    </w:p>
    <w:p w:rsidR="00D131A8" w:rsidRDefault="00D131A8" w:rsidP="00D131A8">
      <w:r w:rsidRPr="00E40B81">
        <w:rPr>
          <w:u w:val="single"/>
        </w:rPr>
        <w:t>Direct Registration of a new Participant</w:t>
      </w:r>
      <w:r>
        <w:t xml:space="preserve">—a newly Directly Registered Participant cannot be commenced in a DES </w:t>
      </w:r>
      <w:r w:rsidR="00EA0BC9">
        <w:t>P</w:t>
      </w:r>
      <w:r>
        <w:t>rogram</w:t>
      </w:r>
      <w:r w:rsidR="00ED7181">
        <w:t>me</w:t>
      </w:r>
      <w:r>
        <w:t xml:space="preserve"> until their eligibility has been determined by an Assessor.</w:t>
      </w:r>
    </w:p>
    <w:p w:rsidR="00CA70F1" w:rsidRDefault="00D131A8" w:rsidP="00D131A8">
      <w:r w:rsidRPr="00E40B81">
        <w:rPr>
          <w:u w:val="single"/>
        </w:rPr>
        <w:t>Participants already participating in DES</w:t>
      </w:r>
      <w:r>
        <w:t>—</w:t>
      </w:r>
      <w:proofErr w:type="gramStart"/>
      <w:r>
        <w:t>After</w:t>
      </w:r>
      <w:proofErr w:type="gramEnd"/>
      <w:r>
        <w:t xml:space="preserve"> the referral is made for an ESAt, the DES </w:t>
      </w:r>
      <w:r w:rsidR="002600E1">
        <w:t>P</w:t>
      </w:r>
      <w:r>
        <w:t xml:space="preserve">rovider must continue servicing the Participant while awaiting the outcome of the Assessment. The only </w:t>
      </w:r>
      <w:r>
        <w:lastRenderedPageBreak/>
        <w:t xml:space="preserve">exception is where the Participant has reached 78 weeks of Employment Assistance without an ESAt, in this circumstance the Participant should be </w:t>
      </w:r>
      <w:proofErr w:type="gramStart"/>
      <w:r>
        <w:t>Suspended</w:t>
      </w:r>
      <w:proofErr w:type="gramEnd"/>
      <w:r>
        <w:t xml:space="preserve"> until the ESAt Program</w:t>
      </w:r>
      <w:r w:rsidR="00ED7181">
        <w:t>me</w:t>
      </w:r>
      <w:r>
        <w:t xml:space="preserve"> Review is completed.</w:t>
      </w:r>
    </w:p>
    <w:p w:rsidR="002536BC" w:rsidRPr="00A16A99" w:rsidRDefault="002536BC" w:rsidP="00656654">
      <w:pPr>
        <w:pStyle w:val="Heading1"/>
        <w:rPr>
          <w:color w:val="4070AA"/>
        </w:rPr>
      </w:pPr>
      <w:bookmarkStart w:id="23" w:name="_Toc386108346"/>
      <w:r w:rsidRPr="00A16A99">
        <w:rPr>
          <w:color w:val="4070AA"/>
        </w:rPr>
        <w:t>Submitting the ESAt Report</w:t>
      </w:r>
      <w:bookmarkEnd w:id="23"/>
    </w:p>
    <w:p w:rsidR="002536BC" w:rsidRPr="00BA37D1" w:rsidRDefault="002536BC" w:rsidP="00656654">
      <w:r w:rsidRPr="00C32483">
        <w:t xml:space="preserve">After the ESAt has been conducted the Assessor will submit a report on </w:t>
      </w:r>
      <w:r w:rsidR="003978E7">
        <w:t>the Department of Employment’s Employment Services</w:t>
      </w:r>
      <w:r w:rsidRPr="00C32483">
        <w:t xml:space="preserve"> System</w:t>
      </w:r>
      <w:r w:rsidR="003978E7">
        <w:t xml:space="preserve"> (ESS)</w:t>
      </w:r>
      <w:r w:rsidRPr="00C32483">
        <w:t>. The ESAt report identifies the most suitable interventions for the Participant, their assessed work capacity in hour bandwidths and the employment service recommended for the Participant, where appropri</w:t>
      </w:r>
      <w:r w:rsidRPr="001824A1">
        <w:t>ate.</w:t>
      </w:r>
    </w:p>
    <w:p w:rsidR="002536BC" w:rsidRPr="003978E7" w:rsidRDefault="002536BC" w:rsidP="00656654">
      <w:r w:rsidRPr="00BA37D1">
        <w:t>Submission of the ESAt report completes the Assessment process for DES Participants and enables Program</w:t>
      </w:r>
      <w:r w:rsidR="00ED7181">
        <w:t>me</w:t>
      </w:r>
      <w:r w:rsidRPr="00BA37D1">
        <w:t xml:space="preserve"> eligibility and the Funding Level (if applicable) to be determined. The receiving DES </w:t>
      </w:r>
      <w:r w:rsidR="002600E1">
        <w:t>P</w:t>
      </w:r>
      <w:r w:rsidRPr="00BA37D1">
        <w:t xml:space="preserve">rovider is notified via the Noticeboard in </w:t>
      </w:r>
      <w:r w:rsidR="003978E7">
        <w:t>ESS</w:t>
      </w:r>
      <w:r w:rsidRPr="003978E7">
        <w:t xml:space="preserve"> when the ESAt report has been submitted and of the Participant’s Program</w:t>
      </w:r>
      <w:r w:rsidR="00ED7181">
        <w:t>me</w:t>
      </w:r>
      <w:r w:rsidRPr="003978E7">
        <w:t xml:space="preserve"> eligibility.</w:t>
      </w:r>
    </w:p>
    <w:p w:rsidR="002536BC" w:rsidRPr="004B35FA" w:rsidRDefault="002536BC" w:rsidP="00656654">
      <w:r w:rsidRPr="008F65B1">
        <w:t xml:space="preserve">Note: When the ESAt report is submitted, the Participant’s </w:t>
      </w:r>
      <w:r w:rsidR="00592639">
        <w:t>Participant</w:t>
      </w:r>
      <w:r w:rsidRPr="008F65B1">
        <w:t xml:space="preserve"> Classification</w:t>
      </w:r>
      <w:r w:rsidRPr="00A56D3D">
        <w:t xml:space="preserve"> Instrument (</w:t>
      </w:r>
      <w:r w:rsidRPr="004B35FA">
        <w:t>JSCI) may be automatically updated with relevant information from the ESAt report including the Participant’s assessed work capacity in hour bandwidths, any permanent medical conditions and the impact of any personal factors that were identified at the ESAt.</w:t>
      </w:r>
    </w:p>
    <w:p w:rsidR="002536BC" w:rsidRDefault="00F7738F" w:rsidP="00656654">
      <w:pPr>
        <w:pStyle w:val="Heading2"/>
      </w:pPr>
      <w:bookmarkStart w:id="24" w:name="_Toc386108347"/>
      <w:r>
        <w:t>Action taken on ESAt Outcome</w:t>
      </w:r>
      <w:bookmarkEnd w:id="24"/>
    </w:p>
    <w:p w:rsidR="00F7738F" w:rsidRPr="00656654" w:rsidRDefault="00F7738F" w:rsidP="00F7738F">
      <w:pPr>
        <w:rPr>
          <w:b/>
        </w:rPr>
      </w:pPr>
      <w:r w:rsidRPr="00656654">
        <w:rPr>
          <w:b/>
        </w:rPr>
        <w:t>Existing ESAt/JCA remains current and valid:</w:t>
      </w:r>
    </w:p>
    <w:p w:rsidR="00F7738F" w:rsidRDefault="00F7738F" w:rsidP="00F7738F">
      <w:r>
        <w:t xml:space="preserve">If an ESAt was not required for the Participant because the existing ESAt/JCA is </w:t>
      </w:r>
      <w:r w:rsidR="005B3BD9">
        <w:t>V</w:t>
      </w:r>
      <w:r>
        <w:t xml:space="preserve">alid, the DES </w:t>
      </w:r>
      <w:r w:rsidR="002600E1">
        <w:t>P</w:t>
      </w:r>
      <w:r>
        <w:t>rovider can recommence servicing the Participant.</w:t>
      </w:r>
    </w:p>
    <w:p w:rsidR="00F7738F" w:rsidRPr="00656654" w:rsidRDefault="00F7738F" w:rsidP="00F7738F">
      <w:pPr>
        <w:rPr>
          <w:b/>
        </w:rPr>
      </w:pPr>
      <w:r w:rsidRPr="00656654">
        <w:rPr>
          <w:b/>
        </w:rPr>
        <w:t>Unchanged servicing requirements:</w:t>
      </w:r>
    </w:p>
    <w:p w:rsidR="00F7738F" w:rsidRDefault="00F7738F" w:rsidP="00F7738F">
      <w:r>
        <w:t>If the ESAt report identifies that the Participant’s Program</w:t>
      </w:r>
      <w:r w:rsidR="00ED7181">
        <w:t>me</w:t>
      </w:r>
      <w:r>
        <w:t xml:space="preserve"> Services eligibility has not changed, the DES </w:t>
      </w:r>
      <w:r w:rsidR="002600E1">
        <w:t>P</w:t>
      </w:r>
      <w:r>
        <w:t>rovider must continue servicing the Participant in their current Program</w:t>
      </w:r>
      <w:r w:rsidR="00ED7181">
        <w:t>me</w:t>
      </w:r>
      <w:r>
        <w:t>.</w:t>
      </w:r>
    </w:p>
    <w:p w:rsidR="00F7738F" w:rsidRPr="00656654" w:rsidRDefault="00F7738F" w:rsidP="00F7738F">
      <w:pPr>
        <w:rPr>
          <w:b/>
        </w:rPr>
      </w:pPr>
      <w:r w:rsidRPr="00656654">
        <w:rPr>
          <w:b/>
        </w:rPr>
        <w:t>New Participant eligible for DES:</w:t>
      </w:r>
    </w:p>
    <w:p w:rsidR="00F7738F" w:rsidRDefault="00F7738F" w:rsidP="00F7738F">
      <w:r>
        <w:t>Where the ESAt report identifies that a new Participant is eligible for Program</w:t>
      </w:r>
      <w:r w:rsidR="00ED7181">
        <w:t>me</w:t>
      </w:r>
      <w:r>
        <w:t xml:space="preserve"> Services the DES </w:t>
      </w:r>
      <w:r w:rsidR="00917173">
        <w:t>P</w:t>
      </w:r>
      <w:r>
        <w:t xml:space="preserve">rovider delivers, the DES </w:t>
      </w:r>
      <w:r w:rsidR="00917173">
        <w:t>P</w:t>
      </w:r>
      <w:r>
        <w:t xml:space="preserve">rovider must </w:t>
      </w:r>
      <w:proofErr w:type="gramStart"/>
      <w:r w:rsidR="00917173">
        <w:t>C</w:t>
      </w:r>
      <w:r>
        <w:t>ommence</w:t>
      </w:r>
      <w:proofErr w:type="gramEnd"/>
      <w:r>
        <w:t xml:space="preserve"> the Participant in the Program</w:t>
      </w:r>
      <w:r w:rsidR="00ED7181">
        <w:t>me</w:t>
      </w:r>
      <w:r>
        <w:t xml:space="preserve"> Services in accordance with Referral and Commencement Guidelines.</w:t>
      </w:r>
    </w:p>
    <w:p w:rsidR="00F7738F" w:rsidRPr="00656654" w:rsidRDefault="00F7738F" w:rsidP="00F7738F">
      <w:pPr>
        <w:rPr>
          <w:b/>
        </w:rPr>
      </w:pPr>
      <w:r w:rsidRPr="00656654">
        <w:rPr>
          <w:b/>
        </w:rPr>
        <w:t>Change in DES Service (</w:t>
      </w:r>
      <w:r w:rsidR="00ED7181">
        <w:rPr>
          <w:b/>
        </w:rPr>
        <w:t>DES-</w:t>
      </w:r>
      <w:r w:rsidRPr="00656654">
        <w:rPr>
          <w:b/>
        </w:rPr>
        <w:t>DMS/</w:t>
      </w:r>
      <w:r w:rsidR="00ED7181">
        <w:rPr>
          <w:b/>
        </w:rPr>
        <w:t>DES-</w:t>
      </w:r>
      <w:r w:rsidRPr="00656654">
        <w:rPr>
          <w:b/>
        </w:rPr>
        <w:t>ESS):</w:t>
      </w:r>
    </w:p>
    <w:p w:rsidR="00F7738F" w:rsidRDefault="00F7738F" w:rsidP="00F7738F">
      <w:r>
        <w:t xml:space="preserve">Where the ESAt report identifies that an existing Participant is eligible for the alternate DES service to the one they are currently </w:t>
      </w:r>
      <w:proofErr w:type="gramStart"/>
      <w:r w:rsidR="00917173">
        <w:t>C</w:t>
      </w:r>
      <w:r>
        <w:t>ommenced</w:t>
      </w:r>
      <w:proofErr w:type="gramEnd"/>
      <w:r>
        <w:t xml:space="preserve"> in, the DES </w:t>
      </w:r>
      <w:r w:rsidR="00917173">
        <w:t>P</w:t>
      </w:r>
      <w:r>
        <w:t xml:space="preserve">rovider must </w:t>
      </w:r>
      <w:r w:rsidR="00ED7181">
        <w:t>C</w:t>
      </w:r>
      <w:r>
        <w:t>ommence the Participant in the recommended service in accordance with Referral and Commencement Guidelines.</w:t>
      </w:r>
    </w:p>
    <w:p w:rsidR="006E1B72" w:rsidRPr="00656654" w:rsidRDefault="006E1B72" w:rsidP="006E1B72">
      <w:pPr>
        <w:rPr>
          <w:b/>
        </w:rPr>
      </w:pPr>
      <w:r w:rsidRPr="00656654">
        <w:rPr>
          <w:b/>
        </w:rPr>
        <w:t>Report recommends ADE</w:t>
      </w:r>
    </w:p>
    <w:p w:rsidR="006E1B72" w:rsidRDefault="006E1B72" w:rsidP="006E1B72">
      <w:r>
        <w:t xml:space="preserve">If the ESAt report recommends ADE the DES </w:t>
      </w:r>
      <w:r w:rsidR="00917173">
        <w:t>P</w:t>
      </w:r>
      <w:r>
        <w:t>rovider must Exit the Participant in accordance with Exits Guidelines. Human Services will action the referral to ADE—End of process.</w:t>
      </w:r>
    </w:p>
    <w:p w:rsidR="006E1B72" w:rsidRPr="00656654" w:rsidRDefault="006E1B72" w:rsidP="006E1B72">
      <w:pPr>
        <w:rPr>
          <w:b/>
        </w:rPr>
      </w:pPr>
      <w:r w:rsidRPr="00656654">
        <w:rPr>
          <w:b/>
        </w:rPr>
        <w:t xml:space="preserve">Report recommends </w:t>
      </w:r>
      <w:r w:rsidR="00C07ADC">
        <w:rPr>
          <w:b/>
        </w:rPr>
        <w:t>jobactive</w:t>
      </w:r>
    </w:p>
    <w:p w:rsidR="006E1B72" w:rsidRDefault="006E1B72" w:rsidP="006E1B72">
      <w:r>
        <w:lastRenderedPageBreak/>
        <w:t xml:space="preserve">If the ESAt report recommends </w:t>
      </w:r>
      <w:r w:rsidR="00C07ADC">
        <w:t xml:space="preserve">jobactive </w:t>
      </w:r>
      <w:r>
        <w:t xml:space="preserve">the Assessor will generally make the </w:t>
      </w:r>
      <w:r w:rsidR="005B3BD9">
        <w:t>R</w:t>
      </w:r>
      <w:r>
        <w:t xml:space="preserve">eferral for the Participant. Participants will be automatically </w:t>
      </w:r>
      <w:proofErr w:type="gramStart"/>
      <w:r>
        <w:t>Exited</w:t>
      </w:r>
      <w:proofErr w:type="gramEnd"/>
      <w:r>
        <w:t xml:space="preserve"> from DES when they </w:t>
      </w:r>
      <w:r w:rsidR="005B3BD9">
        <w:t>C</w:t>
      </w:r>
      <w:r>
        <w:t xml:space="preserve">ommence in </w:t>
      </w:r>
      <w:r w:rsidR="00C07ADC">
        <w:t>jobactive</w:t>
      </w:r>
      <w:r>
        <w:t>.</w:t>
      </w:r>
    </w:p>
    <w:p w:rsidR="006E1B72" w:rsidRPr="00656654" w:rsidRDefault="006E1B72" w:rsidP="006E1B72">
      <w:pPr>
        <w:rPr>
          <w:b/>
        </w:rPr>
      </w:pPr>
      <w:r w:rsidRPr="00656654">
        <w:rPr>
          <w:b/>
        </w:rPr>
        <w:t xml:space="preserve">Participant unable to benefit in any </w:t>
      </w:r>
      <w:r w:rsidR="00ED7181">
        <w:rPr>
          <w:b/>
        </w:rPr>
        <w:t>P</w:t>
      </w:r>
      <w:r w:rsidRPr="00656654">
        <w:rPr>
          <w:b/>
        </w:rPr>
        <w:t>rogram</w:t>
      </w:r>
      <w:r w:rsidR="00ED7181">
        <w:rPr>
          <w:b/>
        </w:rPr>
        <w:t>me</w:t>
      </w:r>
    </w:p>
    <w:p w:rsidR="006E1B72" w:rsidRDefault="006E1B72" w:rsidP="006E1B72">
      <w:r>
        <w:t xml:space="preserve">Where the ESAt recommended referral is that the Participant would not benefit from participation in any </w:t>
      </w:r>
      <w:r w:rsidR="00ED7181">
        <w:t>P</w:t>
      </w:r>
      <w:r>
        <w:t>rogram</w:t>
      </w:r>
      <w:r w:rsidR="00ED7181">
        <w:t>me</w:t>
      </w:r>
      <w:r>
        <w:t xml:space="preserve"> the DES </w:t>
      </w:r>
      <w:r w:rsidR="00917173">
        <w:t>P</w:t>
      </w:r>
      <w:r>
        <w:t>rovider must manually Exit the Participant and complete a Program</w:t>
      </w:r>
      <w:r w:rsidR="00ED7181">
        <w:t>me</w:t>
      </w:r>
      <w:r>
        <w:t xml:space="preserve"> Summary in accordance with the Exits Guidelines.</w:t>
      </w:r>
    </w:p>
    <w:p w:rsidR="006E1B72" w:rsidRPr="00656654" w:rsidRDefault="006E1B72" w:rsidP="006E1B72">
      <w:pPr>
        <w:rPr>
          <w:b/>
        </w:rPr>
      </w:pPr>
      <w:r w:rsidRPr="00656654">
        <w:rPr>
          <w:b/>
        </w:rPr>
        <w:t xml:space="preserve">Participant unable to be immediately </w:t>
      </w:r>
      <w:proofErr w:type="gramStart"/>
      <w:r w:rsidR="00ED7181">
        <w:rPr>
          <w:b/>
        </w:rPr>
        <w:t>C</w:t>
      </w:r>
      <w:r w:rsidRPr="00656654">
        <w:rPr>
          <w:b/>
        </w:rPr>
        <w:t>ommenced</w:t>
      </w:r>
      <w:proofErr w:type="gramEnd"/>
    </w:p>
    <w:p w:rsidR="006E1B72" w:rsidRDefault="006E1B72" w:rsidP="006E1B72">
      <w:r>
        <w:t xml:space="preserve">If the Participant is referred to another service but is unable to be immediately </w:t>
      </w:r>
      <w:proofErr w:type="gramStart"/>
      <w:r w:rsidR="00ED7181">
        <w:t>C</w:t>
      </w:r>
      <w:r>
        <w:t>ommenced</w:t>
      </w:r>
      <w:proofErr w:type="gramEnd"/>
      <w:r>
        <w:t xml:space="preserve"> in that service they are not eligible to continue receiving DES Program</w:t>
      </w:r>
      <w:r w:rsidR="00ED7181">
        <w:t>me</w:t>
      </w:r>
      <w:r>
        <w:t xml:space="preserve"> Services. The DES </w:t>
      </w:r>
      <w:r w:rsidR="00917173">
        <w:t>P</w:t>
      </w:r>
      <w:r>
        <w:t>rovider must complete a Provider Exit in accordance with Exits Guidelines.</w:t>
      </w:r>
    </w:p>
    <w:p w:rsidR="00F7738F" w:rsidRDefault="00F7738F" w:rsidP="00F7738F">
      <w:r>
        <w:t>Participation in DES may be affected by the Participant’s Work Capacity as follows:</w:t>
      </w:r>
    </w:p>
    <w:p w:rsidR="00F7738F" w:rsidRPr="00656654" w:rsidRDefault="00F7738F" w:rsidP="00F7738F">
      <w:pPr>
        <w:rPr>
          <w:b/>
        </w:rPr>
      </w:pPr>
      <w:r w:rsidRPr="00656654">
        <w:rPr>
          <w:b/>
        </w:rPr>
        <w:t>Participant has Future Work Capacity of 0–7 hours per week:</w:t>
      </w:r>
    </w:p>
    <w:p w:rsidR="00F7738F" w:rsidRDefault="00F7738F" w:rsidP="00F7738F">
      <w:r>
        <w:t xml:space="preserve">If the ESAt report identifies a future work capacity of 0–7 hours per week, the DES </w:t>
      </w:r>
      <w:r w:rsidR="00BA1DB4">
        <w:t>P</w:t>
      </w:r>
      <w:r>
        <w:t>rovider must Exit the Participant in accordance with Exits Guidelines unless they are in employment—End of process.</w:t>
      </w:r>
    </w:p>
    <w:p w:rsidR="00F7738F" w:rsidRPr="00656654" w:rsidRDefault="00F7738F" w:rsidP="00F7738F">
      <w:pPr>
        <w:rPr>
          <w:b/>
        </w:rPr>
      </w:pPr>
      <w:r w:rsidRPr="00656654">
        <w:rPr>
          <w:b/>
        </w:rPr>
        <w:t>Participant has Temporary Reduced Work Capacity of 0–14 hours per week:</w:t>
      </w:r>
    </w:p>
    <w:p w:rsidR="00F7738F" w:rsidRDefault="00F7738F" w:rsidP="00F7738F">
      <w:r>
        <w:t xml:space="preserve">If the ESAt report identifies a Temporary Reduced Work Capacity or a Partial Capacity to Work of 0–14 hours per week for an Activity Tested Participant, ESS will automatically ‘Suspend’ the Participant from their Period of Service. Activity Tested Participants who are </w:t>
      </w:r>
      <w:proofErr w:type="gramStart"/>
      <w:r>
        <w:t>Suspended</w:t>
      </w:r>
      <w:proofErr w:type="gramEnd"/>
      <w:r>
        <w:t xml:space="preserve"> may elect to Volunteer to participate in additional activities during the period of their Suspension, in which case they would become a Volunteer (Activity Tested) Participant. </w:t>
      </w:r>
    </w:p>
    <w:p w:rsidR="00F7738F" w:rsidRPr="00F7738F" w:rsidRDefault="00F7738F" w:rsidP="00656654">
      <w:r>
        <w:t xml:space="preserve">DES </w:t>
      </w:r>
      <w:r w:rsidR="00BA1DB4">
        <w:t>P</w:t>
      </w:r>
      <w:r>
        <w:t xml:space="preserve">roviders should contact Participants who are </w:t>
      </w:r>
      <w:proofErr w:type="gramStart"/>
      <w:r>
        <w:t>Suspended</w:t>
      </w:r>
      <w:proofErr w:type="gramEnd"/>
      <w:r>
        <w:t xml:space="preserve"> to discuss with them the option of volunteering.</w:t>
      </w:r>
    </w:p>
    <w:p w:rsidR="004F23FD" w:rsidRDefault="004F23FD" w:rsidP="00656654">
      <w:r>
        <w:t xml:space="preserve">The determination of a </w:t>
      </w:r>
      <w:r w:rsidR="003978E7">
        <w:t>Participants</w:t>
      </w:r>
      <w:r>
        <w:t xml:space="preserve"> work capacity is a fundamental element of the ESAt. Work capacity is expressed as bandwidths of hours per week including: </w:t>
      </w:r>
    </w:p>
    <w:p w:rsidR="004F23FD" w:rsidRDefault="004F23FD" w:rsidP="003B707F">
      <w:pPr>
        <w:pStyle w:val="ListParagraph"/>
        <w:numPr>
          <w:ilvl w:val="0"/>
          <w:numId w:val="86"/>
        </w:numPr>
      </w:pPr>
      <w:r>
        <w:t xml:space="preserve">0–7 hours per week </w:t>
      </w:r>
    </w:p>
    <w:p w:rsidR="004F23FD" w:rsidRDefault="004F23FD" w:rsidP="003B707F">
      <w:pPr>
        <w:pStyle w:val="ListParagraph"/>
        <w:numPr>
          <w:ilvl w:val="0"/>
          <w:numId w:val="86"/>
        </w:numPr>
      </w:pPr>
      <w:r>
        <w:t xml:space="preserve">8–14 hours per week </w:t>
      </w:r>
    </w:p>
    <w:p w:rsidR="004F23FD" w:rsidRDefault="004F23FD" w:rsidP="003B707F">
      <w:pPr>
        <w:pStyle w:val="ListParagraph"/>
        <w:numPr>
          <w:ilvl w:val="0"/>
          <w:numId w:val="86"/>
        </w:numPr>
      </w:pPr>
      <w:r>
        <w:t xml:space="preserve">15–22 hours per week </w:t>
      </w:r>
    </w:p>
    <w:p w:rsidR="004F23FD" w:rsidRDefault="004F23FD" w:rsidP="003B707F">
      <w:pPr>
        <w:pStyle w:val="ListParagraph"/>
        <w:numPr>
          <w:ilvl w:val="0"/>
          <w:numId w:val="86"/>
        </w:numPr>
      </w:pPr>
      <w:r>
        <w:t xml:space="preserve">23–29 hours per week, and </w:t>
      </w:r>
    </w:p>
    <w:p w:rsidR="004F23FD" w:rsidRPr="00C32483" w:rsidRDefault="004F23FD" w:rsidP="003B707F">
      <w:pPr>
        <w:pStyle w:val="ListParagraph"/>
        <w:numPr>
          <w:ilvl w:val="0"/>
          <w:numId w:val="86"/>
        </w:numPr>
      </w:pPr>
      <w:r>
        <w:t xml:space="preserve">30+ hours per week. </w:t>
      </w:r>
    </w:p>
    <w:p w:rsidR="004F23FD" w:rsidRPr="004F23FD" w:rsidRDefault="004F23FD" w:rsidP="00656654">
      <w:r>
        <w:rPr>
          <w:b/>
          <w:bCs/>
          <w:szCs w:val="22"/>
        </w:rPr>
        <w:t xml:space="preserve">Note: </w:t>
      </w:r>
      <w:r>
        <w:rPr>
          <w:szCs w:val="22"/>
        </w:rPr>
        <w:t xml:space="preserve">DSP recipients who have a </w:t>
      </w:r>
      <w:r w:rsidR="005B3BD9">
        <w:rPr>
          <w:szCs w:val="22"/>
        </w:rPr>
        <w:t>V</w:t>
      </w:r>
      <w:r>
        <w:rPr>
          <w:szCs w:val="22"/>
        </w:rPr>
        <w:t>alid JCA</w:t>
      </w:r>
      <w:r>
        <w:rPr>
          <w:sz w:val="14"/>
          <w:szCs w:val="14"/>
        </w:rPr>
        <w:t xml:space="preserve">2 </w:t>
      </w:r>
      <w:r>
        <w:rPr>
          <w:szCs w:val="22"/>
        </w:rPr>
        <w:t>that was conducted prior to 1 July 2011 may have their work capacity expressed as bandwidths of 0-7 or 8+ hours per week.</w:t>
      </w:r>
      <w:r w:rsidR="00592639">
        <w:rPr>
          <w:szCs w:val="22"/>
        </w:rPr>
        <w:t xml:space="preserve"> </w:t>
      </w:r>
      <w:r w:rsidR="005B3BD9">
        <w:rPr>
          <w:szCs w:val="22"/>
        </w:rPr>
        <w:t xml:space="preserve">The </w:t>
      </w:r>
      <w:r w:rsidR="00592639">
        <w:rPr>
          <w:szCs w:val="22"/>
        </w:rPr>
        <w:t xml:space="preserve">JCA will remain </w:t>
      </w:r>
      <w:r w:rsidR="005B3BD9">
        <w:rPr>
          <w:szCs w:val="22"/>
        </w:rPr>
        <w:t>V</w:t>
      </w:r>
      <w:r w:rsidR="00592639">
        <w:rPr>
          <w:szCs w:val="22"/>
        </w:rPr>
        <w:t xml:space="preserve">alid </w:t>
      </w:r>
      <w:r w:rsidR="00592639">
        <w:t>unless the Participant has had a significant change in their circumstances and requires a new assessment.</w:t>
      </w:r>
    </w:p>
    <w:p w:rsidR="00CA70F1" w:rsidRDefault="00D131A8" w:rsidP="00656654">
      <w:pPr>
        <w:pStyle w:val="Heading2"/>
      </w:pPr>
      <w:bookmarkStart w:id="25" w:name="_Toc386108348"/>
      <w:r w:rsidRPr="00D131A8">
        <w:t xml:space="preserve">Request for review of an ESAt </w:t>
      </w:r>
      <w:r w:rsidR="0052549C">
        <w:t>recommended referral</w:t>
      </w:r>
      <w:r w:rsidRPr="00D131A8">
        <w:t xml:space="preserve"> (‘Disputed Assessment’)</w:t>
      </w:r>
      <w:bookmarkEnd w:id="25"/>
    </w:p>
    <w:p w:rsidR="00D131A8" w:rsidRDefault="00D131A8" w:rsidP="00D131A8">
      <w:r w:rsidRPr="0090784C">
        <w:rPr>
          <w:u w:val="single"/>
        </w:rPr>
        <w:t xml:space="preserve">Requests from DES </w:t>
      </w:r>
      <w:r w:rsidR="00BA1DB4">
        <w:rPr>
          <w:u w:val="single"/>
        </w:rPr>
        <w:t>P</w:t>
      </w:r>
      <w:r w:rsidRPr="0090784C">
        <w:rPr>
          <w:u w:val="single"/>
        </w:rPr>
        <w:t>roviders</w:t>
      </w:r>
      <w:r>
        <w:t xml:space="preserve">—DES </w:t>
      </w:r>
      <w:r w:rsidR="00BA1DB4">
        <w:t>P</w:t>
      </w:r>
      <w:r>
        <w:t xml:space="preserve">roviders are expected to accept all referrals of eligible Participants.  However, on rare occasions it may be necessary to ask for a review of an ESAt </w:t>
      </w:r>
      <w:r w:rsidR="0052549C">
        <w:lastRenderedPageBreak/>
        <w:t>recommended referral</w:t>
      </w:r>
      <w:r>
        <w:t xml:space="preserve"> for a Participant. This process should be completed within 28 days of the ESAt report being submitted on </w:t>
      </w:r>
      <w:r w:rsidR="00592639">
        <w:t>ESS</w:t>
      </w:r>
      <w:r>
        <w:t>. After that time the report will be finalised in</w:t>
      </w:r>
      <w:r w:rsidR="00991706">
        <w:t xml:space="preserve"> the Department’s IT System</w:t>
      </w:r>
      <w:r>
        <w:t xml:space="preserve"> </w:t>
      </w:r>
      <w:r w:rsidR="00991706">
        <w:t>(</w:t>
      </w:r>
      <w:r w:rsidR="003978E7">
        <w:t>ESS</w:t>
      </w:r>
      <w:r w:rsidR="00991706">
        <w:t xml:space="preserve"> Web)</w:t>
      </w:r>
      <w:r>
        <w:t xml:space="preserve"> and no further changes to the report will be possible.</w:t>
      </w:r>
    </w:p>
    <w:p w:rsidR="00D131A8" w:rsidRDefault="00D131A8" w:rsidP="00D131A8">
      <w:r>
        <w:t xml:space="preserve">Where the DES </w:t>
      </w:r>
      <w:r w:rsidR="00BA1DB4">
        <w:t>P</w:t>
      </w:r>
      <w:r>
        <w:t xml:space="preserve">rovider considers that the </w:t>
      </w:r>
      <w:r w:rsidR="0052549C">
        <w:t xml:space="preserve">recommended </w:t>
      </w:r>
      <w:r w:rsidR="00E0511C">
        <w:t>R</w:t>
      </w:r>
      <w:r>
        <w:t xml:space="preserve">eferral is not the appropriate service type to assist the Participant because new information has come to their attention that may influence the outcome of the ESAt or an error has been made, they should request a review from the relevant Assessor. DES </w:t>
      </w:r>
      <w:r w:rsidR="00BA1DB4">
        <w:t>P</w:t>
      </w:r>
      <w:r>
        <w:t>roviders are required to give detailed reasons with supporting evidence to substantiate their position.</w:t>
      </w:r>
    </w:p>
    <w:p w:rsidR="00D131A8" w:rsidRDefault="00D131A8" w:rsidP="00D131A8">
      <w:r>
        <w:t xml:space="preserve">Where a DES </w:t>
      </w:r>
      <w:r w:rsidR="00BA1DB4">
        <w:t>P</w:t>
      </w:r>
      <w:r>
        <w:t xml:space="preserve">rovider requests a review of an ESAt </w:t>
      </w:r>
      <w:r w:rsidR="0052549C">
        <w:t xml:space="preserve">recommended </w:t>
      </w:r>
      <w:r>
        <w:t xml:space="preserve">referral for an existing DES Participant, the </w:t>
      </w:r>
      <w:r w:rsidR="00BA1DB4">
        <w:t>P</w:t>
      </w:r>
      <w:r>
        <w:t xml:space="preserve">rovider must continue to provide services to the Participant until the outcome of the ESAt review is known </w:t>
      </w:r>
      <w:r w:rsidRPr="003B707F">
        <w:t xml:space="preserve">and a </w:t>
      </w:r>
      <w:r w:rsidR="00975BB9" w:rsidRPr="003B707F">
        <w:t>r</w:t>
      </w:r>
      <w:r w:rsidRPr="00952ABF">
        <w:t>eferral</w:t>
      </w:r>
      <w:r w:rsidRPr="003B707F">
        <w:t xml:space="preserve"> to anot</w:t>
      </w:r>
      <w:r w:rsidR="00B60675" w:rsidRPr="003B707F">
        <w:t>her</w:t>
      </w:r>
      <w:r w:rsidR="00B60675">
        <w:t xml:space="preserve"> service is made, if required</w:t>
      </w:r>
      <w:r>
        <w:t>.</w:t>
      </w:r>
    </w:p>
    <w:p w:rsidR="00D131A8" w:rsidRDefault="00D131A8" w:rsidP="00D131A8">
      <w:r>
        <w:t>If</w:t>
      </w:r>
      <w:r w:rsidR="00F24B28">
        <w:t>,</w:t>
      </w:r>
      <w:r>
        <w:t xml:space="preserve"> after providing the reasons and supporting evidence, the Assessor agrees that the </w:t>
      </w:r>
      <w:r w:rsidR="0052549C">
        <w:t xml:space="preserve">recommended </w:t>
      </w:r>
      <w:r>
        <w:t xml:space="preserve">referral is not appropriate, the Assessor will update the ESAt report to reflect the new service recommendation, contact the Participant to select a new employment service </w:t>
      </w:r>
      <w:r w:rsidR="00BA1DB4">
        <w:t>P</w:t>
      </w:r>
      <w:r>
        <w:t xml:space="preserve">rovider and refer the </w:t>
      </w:r>
      <w:r w:rsidR="00B60675">
        <w:t>Participant to the new service, where appropriate</w:t>
      </w:r>
      <w:r>
        <w:t>.</w:t>
      </w:r>
    </w:p>
    <w:p w:rsidR="00D131A8" w:rsidRDefault="00D131A8" w:rsidP="00D131A8">
      <w:r>
        <w:t xml:space="preserve">Where the Assessor does not agree to change their </w:t>
      </w:r>
      <w:r w:rsidR="0052549C">
        <w:t xml:space="preserve">recommended </w:t>
      </w:r>
      <w:r w:rsidR="00E0511C">
        <w:t>R</w:t>
      </w:r>
      <w:r w:rsidR="0052549C">
        <w:t>eferral</w:t>
      </w:r>
      <w:r>
        <w:t xml:space="preserve">, the Assessor’s decision is final and the DES </w:t>
      </w:r>
      <w:r w:rsidR="00BA1DB4">
        <w:t>P</w:t>
      </w:r>
      <w:r>
        <w:t xml:space="preserve">rovider must accept the </w:t>
      </w:r>
      <w:r w:rsidR="0052549C">
        <w:t>recommended referral</w:t>
      </w:r>
      <w:r>
        <w:t>.</w:t>
      </w:r>
    </w:p>
    <w:p w:rsidR="004D28B1" w:rsidRPr="004D28B1" w:rsidRDefault="00D131A8" w:rsidP="004D28B1">
      <w:r w:rsidRPr="000B4E1D">
        <w:rPr>
          <w:u w:val="single"/>
        </w:rPr>
        <w:t>Requests from Participants</w:t>
      </w:r>
      <w:r>
        <w:t>—A Human Services customer can request a review of their income support or Activity Test determination through Human Services. If the Human Services customer is not satisfied with the outcome of the Human Service review, further appeals are available through the Social Security Appeals Tribunal (SSAT) and the Administrative Appeals Tribunal (AAT).</w:t>
      </w:r>
    </w:p>
    <w:p w:rsidR="0079755E" w:rsidRDefault="003978E7" w:rsidP="00656654">
      <w:pPr>
        <w:pStyle w:val="Heading2"/>
      </w:pPr>
      <w:bookmarkStart w:id="26" w:name="_Toc386108349"/>
      <w:r w:rsidRPr="003B707F">
        <w:t>Participant</w:t>
      </w:r>
      <w:r w:rsidR="00975BB9" w:rsidRPr="00952ABF">
        <w:t>s</w:t>
      </w:r>
      <w:r w:rsidR="0079755E" w:rsidRPr="0072133E">
        <w:t xml:space="preserve"> who are</w:t>
      </w:r>
      <w:r w:rsidR="0079755E">
        <w:t xml:space="preserve"> assessed with a Partial Capacity to Work or a Temporary Reduced Work Capacity</w:t>
      </w:r>
      <w:bookmarkEnd w:id="26"/>
    </w:p>
    <w:p w:rsidR="0079755E" w:rsidRPr="00BA37D1" w:rsidRDefault="0079755E" w:rsidP="00656654">
      <w:r w:rsidRPr="00C32483">
        <w:t xml:space="preserve">If a </w:t>
      </w:r>
      <w:r w:rsidR="003978E7">
        <w:t>Participant</w:t>
      </w:r>
      <w:r w:rsidRPr="00C32483">
        <w:t xml:space="preserve"> has a current and future work capacity (work capacity in two years’ time from Assessment) of less than 30 ho</w:t>
      </w:r>
      <w:r w:rsidRPr="001824A1">
        <w:t xml:space="preserve">urs per week they have a Partial Capacity to Work (PCW) and for Activity Tested </w:t>
      </w:r>
      <w:r w:rsidR="008F65B1">
        <w:t>Participant</w:t>
      </w:r>
      <w:r w:rsidRPr="001824A1">
        <w:t>, their participation requirements are reduced in accordance with their work capacity.</w:t>
      </w:r>
    </w:p>
    <w:p w:rsidR="0079755E" w:rsidRPr="008F65B1" w:rsidRDefault="0079755E" w:rsidP="00656654">
      <w:r w:rsidRPr="00BA37D1">
        <w:t xml:space="preserve">Some </w:t>
      </w:r>
      <w:r w:rsidR="008F65B1">
        <w:t>Participants</w:t>
      </w:r>
      <w:r w:rsidRPr="00BA37D1">
        <w:t xml:space="preserve"> work capacity may be temporarily reduced due to a short </w:t>
      </w:r>
      <w:r w:rsidRPr="003978E7">
        <w:t xml:space="preserve">term condition. These </w:t>
      </w:r>
      <w:r w:rsidR="008F65B1">
        <w:t xml:space="preserve">Participants </w:t>
      </w:r>
      <w:r w:rsidRPr="003978E7">
        <w:t>have a Temporary Reduced Work Capacity (TRWC) which will end at a future date and their work capacity will be restored to its normal bandwidth which may be m</w:t>
      </w:r>
      <w:r w:rsidRPr="008F65B1">
        <w:t>ore or less than 30 hours per week.</w:t>
      </w:r>
    </w:p>
    <w:p w:rsidR="00CA70F1" w:rsidRPr="007A0B38" w:rsidRDefault="00D131A8" w:rsidP="00656654">
      <w:pPr>
        <w:pStyle w:val="Heading2"/>
      </w:pPr>
      <w:bookmarkStart w:id="27" w:name="_Toc386108350"/>
      <w:r w:rsidRPr="00D131A8">
        <w:t>Providing copies of the ESAt/JCA Report</w:t>
      </w:r>
      <w:bookmarkEnd w:id="27"/>
    </w:p>
    <w:p w:rsidR="00D131A8" w:rsidRDefault="00D131A8" w:rsidP="00D131A8">
      <w:r>
        <w:t xml:space="preserve">ESAt and JCA reports can be released to </w:t>
      </w:r>
      <w:r w:rsidR="008F65B1">
        <w:t>Participants</w:t>
      </w:r>
      <w:r>
        <w:t xml:space="preserve"> except where they have been identified as containing information that may be prejudicial to their health. Typically, the report will include one of the following statements:</w:t>
      </w:r>
    </w:p>
    <w:p w:rsidR="00D131A8" w:rsidRDefault="00D131A8" w:rsidP="003B707F">
      <w:pPr>
        <w:pStyle w:val="ListParagraph"/>
        <w:numPr>
          <w:ilvl w:val="0"/>
          <w:numId w:val="87"/>
        </w:numPr>
      </w:pPr>
      <w:r>
        <w:t xml:space="preserve">This report </w:t>
      </w:r>
      <w:r w:rsidRPr="000D0F17">
        <w:t>does not</w:t>
      </w:r>
      <w:r>
        <w:t xml:space="preserve"> contain any information, which if released to the client might be prejudicial to his/her health.</w:t>
      </w:r>
    </w:p>
    <w:p w:rsidR="00D131A8" w:rsidRDefault="00D131A8" w:rsidP="003B707F">
      <w:pPr>
        <w:pStyle w:val="ListParagraph"/>
        <w:numPr>
          <w:ilvl w:val="0"/>
          <w:numId w:val="87"/>
        </w:numPr>
      </w:pPr>
      <w:r>
        <w:t xml:space="preserve">This report </w:t>
      </w:r>
      <w:r w:rsidRPr="000D0F17">
        <w:t>does</w:t>
      </w:r>
      <w:r>
        <w:t xml:space="preserve"> contain information, which if released to the client, might be prejudicial to his/her health.</w:t>
      </w:r>
    </w:p>
    <w:p w:rsidR="00D131A8" w:rsidRDefault="00D131A8" w:rsidP="00D131A8">
      <w:r>
        <w:lastRenderedPageBreak/>
        <w:t xml:space="preserve">Where the ESAt/JCA report identifies that it contains information that may be prejudicial to the </w:t>
      </w:r>
      <w:r w:rsidR="008F65B1">
        <w:t>Participant’s</w:t>
      </w:r>
      <w:r>
        <w:t xml:space="preserve"> health, the information request should generally be directed to the department’s F</w:t>
      </w:r>
      <w:r w:rsidR="00E0511C">
        <w:t>reedom of Information (F</w:t>
      </w:r>
      <w:r>
        <w:t>OI</w:t>
      </w:r>
      <w:r w:rsidR="00E0511C">
        <w:t>)</w:t>
      </w:r>
      <w:r>
        <w:t xml:space="preserve"> team for consideration under the FOI Act. This is because the FOI Act sets up a specific arrangement under which the </w:t>
      </w:r>
      <w:r w:rsidR="00592639">
        <w:t>Participant</w:t>
      </w:r>
      <w:r>
        <w:t xml:space="preserve"> may obtain access to the record.</w:t>
      </w:r>
    </w:p>
    <w:p w:rsidR="00D131A8" w:rsidRDefault="00D131A8" w:rsidP="00D131A8">
      <w:r>
        <w:t xml:space="preserve">Please refer to the </w:t>
      </w:r>
      <w:hyperlink r:id="rId15" w:history="1">
        <w:r w:rsidR="000B4E1D" w:rsidRPr="00AF4BB8">
          <w:rPr>
            <w:rStyle w:val="Hyperlink"/>
            <w:rFonts w:cs="Arial"/>
            <w:i/>
            <w:szCs w:val="22"/>
            <w:lang w:eastAsia="en-US"/>
          </w:rPr>
          <w:t>Providing Access to Records Advice</w:t>
        </w:r>
      </w:hyperlink>
      <w:r w:rsidR="000B4E1D">
        <w:t xml:space="preserve"> </w:t>
      </w:r>
      <w:r>
        <w:t>on the Provider Portal for more information.</w:t>
      </w:r>
    </w:p>
    <w:p w:rsidR="003A6C98" w:rsidRDefault="00D131A8" w:rsidP="00656654">
      <w:r>
        <w:t xml:space="preserve">Please note that JCA reports obtained from Employment Services </w:t>
      </w:r>
      <w:r w:rsidR="001C13E8">
        <w:t>P</w:t>
      </w:r>
      <w:r>
        <w:t xml:space="preserve">roviders will only contain information relevant to the </w:t>
      </w:r>
      <w:r w:rsidR="008F65B1">
        <w:t>Participant’s</w:t>
      </w:r>
      <w:r>
        <w:t xml:space="preserve"> participation in employment services. These reports will not contain information used for DSP claims or reviews including the assessment against the Impairment Tables. If the </w:t>
      </w:r>
      <w:r w:rsidR="008F65B1">
        <w:t>Participant</w:t>
      </w:r>
      <w:r>
        <w:t xml:space="preserve"> requests the full JCA report they should be directed to Human Services.</w:t>
      </w:r>
      <w:bookmarkStart w:id="28" w:name="_Job_Services_Australia"/>
      <w:bookmarkEnd w:id="28"/>
    </w:p>
    <w:p w:rsidR="002536BC" w:rsidRPr="00A16A99" w:rsidRDefault="002536BC" w:rsidP="00656654">
      <w:pPr>
        <w:pStyle w:val="Heading1"/>
        <w:rPr>
          <w:color w:val="4070AA"/>
        </w:rPr>
      </w:pPr>
      <w:bookmarkStart w:id="29" w:name="_Toc386108351"/>
      <w:r w:rsidRPr="00A16A99">
        <w:rPr>
          <w:color w:val="4070AA"/>
        </w:rPr>
        <w:t xml:space="preserve">Special </w:t>
      </w:r>
      <w:r w:rsidR="00592639" w:rsidRPr="00A16A99">
        <w:rPr>
          <w:color w:val="4070AA"/>
        </w:rPr>
        <w:t>Participant</w:t>
      </w:r>
      <w:r w:rsidRPr="00A16A99">
        <w:rPr>
          <w:color w:val="4070AA"/>
        </w:rPr>
        <w:t xml:space="preserve"> groups</w:t>
      </w:r>
      <w:bookmarkEnd w:id="29"/>
    </w:p>
    <w:p w:rsidR="006E1B72" w:rsidRPr="00F20514" w:rsidRDefault="006E1B72" w:rsidP="00F20514">
      <w:pPr>
        <w:pStyle w:val="Heading2"/>
      </w:pPr>
      <w:bookmarkStart w:id="30" w:name="_Toc386108352"/>
      <w:r w:rsidRPr="00F20514">
        <w:t>DSP Recipients</w:t>
      </w:r>
      <w:bookmarkEnd w:id="30"/>
      <w:r w:rsidRPr="00F20514">
        <w:t xml:space="preserve"> </w:t>
      </w:r>
    </w:p>
    <w:p w:rsidR="006E1B72" w:rsidRDefault="006E1B72" w:rsidP="006E1B72">
      <w:r w:rsidRPr="003B707F">
        <w:t>DSP recipient</w:t>
      </w:r>
      <w:r w:rsidR="00975BB9" w:rsidRPr="00952ABF">
        <w:t>s</w:t>
      </w:r>
      <w:r w:rsidRPr="00952ABF">
        <w:t xml:space="preserve"> </w:t>
      </w:r>
      <w:r w:rsidR="00975BB9" w:rsidRPr="00952ABF">
        <w:t>with</w:t>
      </w:r>
      <w:r w:rsidRPr="00952ABF">
        <w:t xml:space="preserve"> no Activity Test</w:t>
      </w:r>
      <w:r w:rsidR="00975BB9" w:rsidRPr="003B707F">
        <w:t xml:space="preserve"> or participation requirements</w:t>
      </w:r>
      <w:r w:rsidR="00E506A3" w:rsidRPr="003B707F">
        <w:t xml:space="preserve"> may</w:t>
      </w:r>
      <w:r w:rsidR="00975BB9" w:rsidRPr="003B707F">
        <w:t xml:space="preserve"> </w:t>
      </w:r>
      <w:r w:rsidRPr="003B707F">
        <w:t>volunteer</w:t>
      </w:r>
      <w:r w:rsidR="00975BB9" w:rsidRPr="003B707F">
        <w:t xml:space="preserve"> for employment services and can be</w:t>
      </w:r>
      <w:r w:rsidRPr="003B707F">
        <w:t xml:space="preserve"> subsequently referred to an ESAt</w:t>
      </w:r>
      <w:r w:rsidR="00975BB9" w:rsidRPr="003B707F">
        <w:t>.</w:t>
      </w:r>
      <w:r w:rsidRPr="003B707F">
        <w:t xml:space="preserve"> </w:t>
      </w:r>
      <w:r w:rsidR="00975BB9" w:rsidRPr="003B707F">
        <w:t>T</w:t>
      </w:r>
      <w:r w:rsidRPr="003B707F">
        <w:t>he</w:t>
      </w:r>
      <w:r w:rsidR="00975BB9" w:rsidRPr="003B707F">
        <w:t>se</w:t>
      </w:r>
      <w:r w:rsidRPr="003B707F">
        <w:t xml:space="preserve"> </w:t>
      </w:r>
      <w:r w:rsidR="00592639">
        <w:t>Participant</w:t>
      </w:r>
      <w:r w:rsidR="00975BB9" w:rsidRPr="003B707F">
        <w:t xml:space="preserve">s </w:t>
      </w:r>
      <w:r w:rsidRPr="003B707F">
        <w:t xml:space="preserve">have the option at any point to withdraw from the process. If the DSP Volunteer decides not to undergo an ESAt they should inform their referring DES </w:t>
      </w:r>
      <w:r w:rsidR="00BA1DB4">
        <w:t>P</w:t>
      </w:r>
      <w:r w:rsidRPr="003B707F">
        <w:t>rovider that they no longer wish to volunteer</w:t>
      </w:r>
      <w:r>
        <w:t xml:space="preserve"> for employment assistance. </w:t>
      </w:r>
    </w:p>
    <w:p w:rsidR="002536BC" w:rsidRDefault="002536BC" w:rsidP="00474696">
      <w:pPr>
        <w:ind w:left="-624"/>
      </w:pPr>
    </w:p>
    <w:p w:rsidR="003A6C98" w:rsidRPr="00A16A99" w:rsidRDefault="003A6C98" w:rsidP="001824A1">
      <w:pPr>
        <w:pStyle w:val="Heading1"/>
        <w:rPr>
          <w:color w:val="4070AA"/>
        </w:rPr>
      </w:pPr>
      <w:bookmarkStart w:id="31" w:name="_Toc386108354"/>
      <w:r w:rsidRPr="00A16A99">
        <w:rPr>
          <w:color w:val="4070AA"/>
        </w:rPr>
        <w:lastRenderedPageBreak/>
        <w:t>Disability Employment Services Flow Chart—Referral to an Employment Services Assessment</w:t>
      </w:r>
      <w:bookmarkEnd w:id="31"/>
    </w:p>
    <w:p w:rsidR="00A931B2" w:rsidRPr="00474696" w:rsidRDefault="00577D17" w:rsidP="00656654">
      <w:pPr>
        <w:ind w:left="-624"/>
        <w:jc w:val="center"/>
      </w:pPr>
      <w:r>
        <w:rPr>
          <w:noProof/>
        </w:rPr>
        <w:drawing>
          <wp:inline distT="0" distB="0" distL="0" distR="0" wp14:anchorId="71EC305C" wp14:editId="0D082BFE">
            <wp:extent cx="5518785" cy="7751925"/>
            <wp:effectExtent l="0" t="0" r="5715" b="1905"/>
            <wp:docPr id="10" name="Picture 10" descr="Disability Employment Services Flow Chart - Referral to an Employment Services assessment" title="Disability Employment Services Flow Chart - Referral to an Employment Service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18785" cy="7751925"/>
                    </a:xfrm>
                    <a:prstGeom prst="rect">
                      <a:avLst/>
                    </a:prstGeom>
                  </pic:spPr>
                </pic:pic>
              </a:graphicData>
            </a:graphic>
          </wp:inline>
        </w:drawing>
      </w:r>
    </w:p>
    <w:p w:rsidR="004B0DD9" w:rsidRDefault="004B0DD9" w:rsidP="00656654">
      <w:pPr>
        <w:pStyle w:val="Heading3"/>
      </w:pPr>
    </w:p>
    <w:p w:rsidR="00E06145" w:rsidRDefault="00F2553A" w:rsidP="00656654">
      <w:pPr>
        <w:pStyle w:val="Heading3"/>
      </w:pPr>
      <w:bookmarkStart w:id="32" w:name="_Toc386108355"/>
      <w:r w:rsidRPr="003A6C98">
        <w:lastRenderedPageBreak/>
        <w:t xml:space="preserve">Text Version of Flow Chart: </w:t>
      </w:r>
      <w:r w:rsidR="00A931B2" w:rsidRPr="003A6C98">
        <w:t>Referral for an Employment Services Assessment</w:t>
      </w:r>
      <w:bookmarkEnd w:id="32"/>
      <w:r w:rsidR="00A931B2" w:rsidRPr="003A6C98">
        <w:t xml:space="preserve"> </w:t>
      </w:r>
    </w:p>
    <w:p w:rsidR="00852E05" w:rsidRDefault="00852E05" w:rsidP="00656654">
      <w:r>
        <w:t>Step 1</w:t>
      </w:r>
      <w:r w:rsidR="00920A9B">
        <w:t>(a)</w:t>
      </w:r>
      <w:r>
        <w:t xml:space="preserve">: </w:t>
      </w:r>
      <w:r w:rsidR="00940058">
        <w:t xml:space="preserve">The DES </w:t>
      </w:r>
      <w:r w:rsidR="00BA1DB4">
        <w:t>P</w:t>
      </w:r>
      <w:r w:rsidR="00940058">
        <w:t>rovider d</w:t>
      </w:r>
      <w:r>
        <w:t xml:space="preserve">irectly </w:t>
      </w:r>
      <w:r w:rsidR="00940058">
        <w:t>r</w:t>
      </w:r>
      <w:r>
        <w:t>egisters a potential Participant and where required conducts JSCI.</w:t>
      </w:r>
      <w:r w:rsidR="00920A9B">
        <w:t xml:space="preserve"> </w:t>
      </w:r>
      <w:r>
        <w:t>Go to Step 2.</w:t>
      </w:r>
    </w:p>
    <w:p w:rsidR="00920A9B" w:rsidRDefault="00920A9B" w:rsidP="00656654">
      <w:r>
        <w:t>Step 1(b): The Participant requires an ESAt Program</w:t>
      </w:r>
      <w:r w:rsidR="00ED7181">
        <w:t>me</w:t>
      </w:r>
      <w:r>
        <w:t xml:space="preserve"> Review. Go to Step 3.</w:t>
      </w:r>
    </w:p>
    <w:p w:rsidR="00920A9B" w:rsidRDefault="00920A9B" w:rsidP="00656654">
      <w:r>
        <w:t>Step 1(c): The Participant requires an ESAt Change of Circumstances Reassessment. Go to Step 3.</w:t>
      </w:r>
    </w:p>
    <w:p w:rsidR="00920A9B" w:rsidRPr="00656654" w:rsidRDefault="00920A9B" w:rsidP="00656654">
      <w:r w:rsidRPr="00952ABF">
        <w:t xml:space="preserve">Step 2: The DES </w:t>
      </w:r>
      <w:r w:rsidR="00BA1DB4">
        <w:t>P</w:t>
      </w:r>
      <w:r w:rsidRPr="00952ABF">
        <w:t>rovider determines if referral for an ESAt is appropriate.</w:t>
      </w:r>
      <w:r w:rsidRPr="001A7F11">
        <w:t xml:space="preserve"> </w:t>
      </w:r>
      <w:r w:rsidRPr="0072133E">
        <w:t>Yes? Go to Step</w:t>
      </w:r>
      <w:r w:rsidRPr="004B2215">
        <w:t xml:space="preserve"> 3</w:t>
      </w:r>
      <w:r w:rsidR="00577D17" w:rsidRPr="00656654">
        <w:t>a</w:t>
      </w:r>
      <w:r w:rsidRPr="00656654">
        <w:t xml:space="preserve">.  </w:t>
      </w:r>
      <w:r w:rsidR="00577D17" w:rsidRPr="00656654">
        <w:t>No? Go to Step 3b</w:t>
      </w:r>
    </w:p>
    <w:p w:rsidR="00920A9B" w:rsidRPr="00656654" w:rsidRDefault="00920A9B" w:rsidP="00656654">
      <w:r w:rsidRPr="00656654">
        <w:t>Step 3</w:t>
      </w:r>
      <w:r w:rsidR="00577D17" w:rsidRPr="00656654">
        <w:t>a</w:t>
      </w:r>
      <w:r w:rsidRPr="00656654">
        <w:t>: New ESAt Required.</w:t>
      </w:r>
    </w:p>
    <w:p w:rsidR="00577D17" w:rsidRDefault="00577D17" w:rsidP="00656654">
      <w:r w:rsidRPr="00656654">
        <w:t xml:space="preserve">Step 3b: The DES </w:t>
      </w:r>
      <w:r w:rsidR="00BA1DB4">
        <w:t>P</w:t>
      </w:r>
      <w:r w:rsidRPr="00656654">
        <w:t>rovider commences delivering DES services.</w:t>
      </w:r>
    </w:p>
    <w:p w:rsidR="00920A9B" w:rsidRDefault="00920A9B" w:rsidP="00656654">
      <w:r>
        <w:t>Step 4:</w:t>
      </w:r>
      <w:r w:rsidRPr="00920A9B">
        <w:t xml:space="preserve"> The DES </w:t>
      </w:r>
      <w:r w:rsidR="00BA1DB4">
        <w:t>P</w:t>
      </w:r>
      <w:r w:rsidRPr="00920A9B">
        <w:t>rovider refers the Participant for an ESAt.</w:t>
      </w:r>
    </w:p>
    <w:p w:rsidR="00920A9B" w:rsidRDefault="00920A9B" w:rsidP="00920A9B">
      <w:r>
        <w:t>Step 5:</w:t>
      </w:r>
      <w:r w:rsidRPr="00920A9B">
        <w:t xml:space="preserve"> </w:t>
      </w:r>
      <w:r>
        <w:t xml:space="preserve">The DES </w:t>
      </w:r>
      <w:r w:rsidR="00BA1DB4">
        <w:t>P</w:t>
      </w:r>
      <w:r>
        <w:t>rovider informs the Participant of the ESAt appointment.</w:t>
      </w:r>
    </w:p>
    <w:p w:rsidR="00920A9B" w:rsidRDefault="00920A9B" w:rsidP="00920A9B">
      <w:r>
        <w:t>Including:</w:t>
      </w:r>
    </w:p>
    <w:p w:rsidR="00920A9B" w:rsidRDefault="00940058" w:rsidP="00656654">
      <w:pPr>
        <w:pStyle w:val="ListParagraph"/>
        <w:numPr>
          <w:ilvl w:val="0"/>
          <w:numId w:val="89"/>
        </w:numPr>
      </w:pPr>
      <w:r>
        <w:t>T</w:t>
      </w:r>
      <w:r w:rsidR="00920A9B">
        <w:t>he purpose of the Assessment</w:t>
      </w:r>
      <w:r>
        <w:t>.</w:t>
      </w:r>
    </w:p>
    <w:p w:rsidR="00920A9B" w:rsidRDefault="00940058" w:rsidP="00656654">
      <w:pPr>
        <w:pStyle w:val="ListParagraph"/>
        <w:numPr>
          <w:ilvl w:val="0"/>
          <w:numId w:val="89"/>
        </w:numPr>
      </w:pPr>
      <w:r>
        <w:t>T</w:t>
      </w:r>
      <w:r w:rsidR="00920A9B">
        <w:t>hat attendance at the ESAt is compulsory for Activity Tested Participants</w:t>
      </w:r>
      <w:r>
        <w:t>.</w:t>
      </w:r>
    </w:p>
    <w:p w:rsidR="00920A9B" w:rsidRDefault="0073133E" w:rsidP="00656654">
      <w:pPr>
        <w:pStyle w:val="ListParagraph"/>
        <w:numPr>
          <w:ilvl w:val="0"/>
          <w:numId w:val="89"/>
        </w:numPr>
      </w:pPr>
      <w:r>
        <w:t>W</w:t>
      </w:r>
      <w:r w:rsidR="00920A9B">
        <w:t>here appropriate, the requirement to bring relevant medical re</w:t>
      </w:r>
      <w:r>
        <w:t>ports to the appointment.</w:t>
      </w:r>
    </w:p>
    <w:p w:rsidR="00920A9B" w:rsidRDefault="0073133E" w:rsidP="00656654">
      <w:pPr>
        <w:pStyle w:val="ListParagraph"/>
        <w:numPr>
          <w:ilvl w:val="0"/>
          <w:numId w:val="89"/>
        </w:numPr>
      </w:pPr>
      <w:r>
        <w:t>T</w:t>
      </w:r>
      <w:r w:rsidR="00920A9B">
        <w:t>he date, time and venue of the Assessment.</w:t>
      </w:r>
    </w:p>
    <w:p w:rsidR="00920A9B" w:rsidRDefault="00920A9B" w:rsidP="00920A9B">
      <w:r>
        <w:t>Step 6:</w:t>
      </w:r>
      <w:r w:rsidRPr="00920A9B">
        <w:t xml:space="preserve"> </w:t>
      </w:r>
      <w:r>
        <w:t xml:space="preserve">The Assessor conducts an ESAt and may also conduct a JSCI for Participants who disclose new information or do not currently have a JSCI.  </w:t>
      </w:r>
    </w:p>
    <w:p w:rsidR="00920A9B" w:rsidRDefault="00920A9B" w:rsidP="00920A9B">
      <w:r>
        <w:t xml:space="preserve">The Assessor then submits the ESAt report. </w:t>
      </w:r>
      <w:r w:rsidR="0073133E">
        <w:t>ESS</w:t>
      </w:r>
      <w:r w:rsidR="00991706">
        <w:t xml:space="preserve"> Web</w:t>
      </w:r>
      <w:r>
        <w:t xml:space="preserve"> automatically completes the ESAt process on submission of ESAt report. Information from the ESAt report including the Participant’s work capacity, impact of personal factors, support requirements, permanent medical conditions and recommended referral are automatically copied into the Participant’s JSCI.</w:t>
      </w:r>
    </w:p>
    <w:p w:rsidR="00920A9B" w:rsidRDefault="00920A9B" w:rsidP="00920A9B">
      <w:r>
        <w:t xml:space="preserve">For DES, the Participant’s </w:t>
      </w:r>
      <w:r w:rsidR="00ED7181">
        <w:t>P</w:t>
      </w:r>
      <w:r w:rsidR="0073133E">
        <w:t>rogram</w:t>
      </w:r>
      <w:r w:rsidR="00ED7181">
        <w:t>me</w:t>
      </w:r>
      <w:r w:rsidR="0073133E">
        <w:t xml:space="preserve"> and funding l</w:t>
      </w:r>
      <w:r>
        <w:t>evel eligibility is confirmed. Information from the ESAt or JCA and the JSCI is used by the Funding Level Tool (along with additional information from Human Services) to determine the funding level for Participants in the Employment Support Service.</w:t>
      </w:r>
    </w:p>
    <w:p w:rsidR="00920A9B" w:rsidRDefault="00920A9B" w:rsidP="00920A9B">
      <w:r>
        <w:t xml:space="preserve">The ESAt report is made available to DES </w:t>
      </w:r>
      <w:r w:rsidR="00BA1DB4">
        <w:t>P</w:t>
      </w:r>
      <w:r>
        <w:t xml:space="preserve">roviders in </w:t>
      </w:r>
      <w:r w:rsidR="0073133E">
        <w:t>ESS</w:t>
      </w:r>
      <w:r w:rsidR="00ED7181">
        <w:t xml:space="preserve"> Web</w:t>
      </w:r>
      <w:r w:rsidR="0073133E">
        <w:t xml:space="preserve"> </w:t>
      </w:r>
      <w:r>
        <w:t>to inform them on appropriate assistance for the Participant.</w:t>
      </w:r>
    </w:p>
    <w:p w:rsidR="00920A9B" w:rsidRDefault="00920A9B" w:rsidP="00920A9B">
      <w:r>
        <w:t>ESAt recommended referral is DES Program</w:t>
      </w:r>
      <w:r w:rsidR="00ED7181">
        <w:t>me</w:t>
      </w:r>
      <w:r>
        <w:t xml:space="preserve"> Services, Go to Step 7.</w:t>
      </w:r>
    </w:p>
    <w:p w:rsidR="00920A9B" w:rsidRDefault="00920A9B" w:rsidP="00656654">
      <w:r>
        <w:t>ESAt recommended referral is other than DES, e.g.  ADE Go to Step 8</w:t>
      </w:r>
    </w:p>
    <w:p w:rsidR="00920A9B" w:rsidRDefault="00920A9B" w:rsidP="00656654">
      <w:r>
        <w:t>Step 7:</w:t>
      </w:r>
      <w:r w:rsidRPr="00920A9B">
        <w:t xml:space="preserve"> The Assessor returns the </w:t>
      </w:r>
      <w:r w:rsidR="0073133E">
        <w:t xml:space="preserve">Participant </w:t>
      </w:r>
      <w:r w:rsidRPr="00920A9B">
        <w:t xml:space="preserve">to the receiving DES </w:t>
      </w:r>
      <w:r w:rsidR="00BA1DB4">
        <w:t>P</w:t>
      </w:r>
      <w:r w:rsidRPr="00920A9B">
        <w:t xml:space="preserve">rovider. The DES </w:t>
      </w:r>
      <w:r w:rsidR="00BA1DB4">
        <w:t>P</w:t>
      </w:r>
      <w:r w:rsidRPr="00920A9B">
        <w:t>rovider takes appropriate action based on the ESAt or JCA report.</w:t>
      </w:r>
    </w:p>
    <w:p w:rsidR="00920A9B" w:rsidRDefault="00920A9B" w:rsidP="00656654">
      <w:r>
        <w:t>Step 8:</w:t>
      </w:r>
      <w:r w:rsidRPr="00920A9B">
        <w:t xml:space="preserve"> </w:t>
      </w:r>
      <w:r>
        <w:t>The Assessor refers the Participant to services other than DES. Note: Human Services will action the recommend referral after any periods of incapacity.</w:t>
      </w:r>
    </w:p>
    <w:p w:rsidR="00C3084B" w:rsidRDefault="001B724E" w:rsidP="00656654">
      <w:bookmarkStart w:id="33" w:name="Step2"/>
      <w:bookmarkEnd w:id="33"/>
      <w:r w:rsidRPr="001B724E">
        <w:rPr>
          <w:rStyle w:val="Strong"/>
        </w:rPr>
        <w:t>Note</w:t>
      </w:r>
      <w:r>
        <w:t>: This should not be read as a stand-alone document, please refer to the Disability Employment Services Deed 2012–2015</w:t>
      </w:r>
      <w:r w:rsidR="00BF1DA1">
        <w:t>.</w:t>
      </w:r>
    </w:p>
    <w:p w:rsidR="00E06145" w:rsidRPr="004D28B1" w:rsidRDefault="001B724E" w:rsidP="00656654">
      <w:pPr>
        <w:pStyle w:val="Heading2"/>
      </w:pPr>
      <w:bookmarkStart w:id="34" w:name="_Toc386108356"/>
      <w:r w:rsidRPr="004D28B1">
        <w:lastRenderedPageBreak/>
        <w:t>Disability Employment Services Deed 2012-2015 Clauses</w:t>
      </w:r>
      <w:bookmarkEnd w:id="34"/>
    </w:p>
    <w:bookmarkStart w:id="35" w:name="_Toc334521394"/>
    <w:p w:rsidR="001B724E" w:rsidRPr="00903003" w:rsidRDefault="00154507" w:rsidP="001B724E">
      <w:pPr>
        <w:rPr>
          <w:rFonts w:cs="Arial"/>
          <w:bCs/>
          <w:i/>
          <w:szCs w:val="22"/>
          <w:lang w:eastAsia="en-US"/>
        </w:rPr>
      </w:pPr>
      <w:r w:rsidRPr="00903003">
        <w:rPr>
          <w:i/>
        </w:rPr>
        <w:fldChar w:fldCharType="begin"/>
      </w:r>
      <w:r w:rsidR="001B724E" w:rsidRPr="00903003">
        <w:rPr>
          <w:i/>
        </w:rPr>
        <w:instrText>HYPERLINK "https://ecsn.gov.au/sites/SecureSitePortal/Documents/Current/Disability%20Employment%20Services%20Deed%202010%20-%202012%20Programs%20A%20and%20B.htm" \l "083"</w:instrText>
      </w:r>
      <w:r w:rsidRPr="00903003">
        <w:rPr>
          <w:i/>
        </w:rPr>
        <w:fldChar w:fldCharType="separate"/>
      </w:r>
      <w:r w:rsidR="001B724E" w:rsidRPr="00903003">
        <w:rPr>
          <w:rStyle w:val="Hyperlink"/>
          <w:rFonts w:cs="Arial"/>
          <w:bCs/>
          <w:i/>
          <w:szCs w:val="22"/>
          <w:lang w:eastAsia="en-US"/>
        </w:rPr>
        <w:t>Clause 83–Direct Registration of Participants without a Referral</w:t>
      </w:r>
      <w:r w:rsidRPr="00903003">
        <w:rPr>
          <w:i/>
        </w:rPr>
        <w:fldChar w:fldCharType="end"/>
      </w:r>
    </w:p>
    <w:p w:rsidR="001B724E" w:rsidRPr="00903003" w:rsidRDefault="0096512B" w:rsidP="001B724E">
      <w:pPr>
        <w:rPr>
          <w:rFonts w:cs="Arial"/>
          <w:bCs/>
          <w:i/>
          <w:szCs w:val="22"/>
          <w:lang w:eastAsia="en-US"/>
        </w:rPr>
      </w:pPr>
      <w:hyperlink r:id="rId17" w:anchor="102" w:history="1">
        <w:r w:rsidR="001B724E" w:rsidRPr="00903003">
          <w:rPr>
            <w:rStyle w:val="Hyperlink"/>
            <w:rFonts w:cs="Arial"/>
            <w:bCs/>
            <w:i/>
            <w:szCs w:val="22"/>
            <w:lang w:eastAsia="en-US"/>
          </w:rPr>
          <w:t>Clause 102–Change of Circumstances Reassessment during Period of Service</w:t>
        </w:r>
      </w:hyperlink>
    </w:p>
    <w:p w:rsidR="001B724E" w:rsidRPr="00903003" w:rsidRDefault="0096512B" w:rsidP="001B724E">
      <w:pPr>
        <w:rPr>
          <w:rFonts w:cs="Arial"/>
          <w:i/>
          <w:szCs w:val="22"/>
        </w:rPr>
      </w:pPr>
      <w:hyperlink r:id="rId18" w:anchor="099" w:history="1">
        <w:r w:rsidR="001B724E" w:rsidRPr="00903003">
          <w:rPr>
            <w:rStyle w:val="Hyperlink"/>
            <w:rFonts w:cs="Arial"/>
            <w:bCs/>
            <w:i/>
            <w:szCs w:val="22"/>
            <w:lang w:eastAsia="en-US"/>
          </w:rPr>
          <w:t>Clause</w:t>
        </w:r>
        <w:r w:rsidR="001B724E" w:rsidRPr="00903003">
          <w:rPr>
            <w:rStyle w:val="Hyperlink"/>
            <w:rFonts w:cs="Arial"/>
            <w:i/>
            <w:szCs w:val="22"/>
          </w:rPr>
          <w:t xml:space="preserve"> 99–Program</w:t>
        </w:r>
        <w:r w:rsidR="00ED7181">
          <w:rPr>
            <w:rStyle w:val="Hyperlink"/>
            <w:rFonts w:cs="Arial"/>
            <w:i/>
            <w:szCs w:val="22"/>
          </w:rPr>
          <w:t>me</w:t>
        </w:r>
        <w:r w:rsidR="001B724E" w:rsidRPr="00903003">
          <w:rPr>
            <w:rStyle w:val="Hyperlink"/>
            <w:rFonts w:cs="Arial"/>
            <w:i/>
            <w:szCs w:val="22"/>
          </w:rPr>
          <w:t xml:space="preserve"> Review</w:t>
        </w:r>
      </w:hyperlink>
    </w:p>
    <w:p w:rsidR="001B724E" w:rsidRPr="00903003" w:rsidRDefault="0096512B" w:rsidP="001B724E">
      <w:pPr>
        <w:rPr>
          <w:rFonts w:cs="Arial"/>
          <w:i/>
          <w:szCs w:val="22"/>
        </w:rPr>
      </w:pPr>
      <w:hyperlink r:id="rId19" w:anchor="AnnexA" w:history="1">
        <w:r w:rsidR="001B724E" w:rsidRPr="00903003">
          <w:rPr>
            <w:rStyle w:val="Hyperlink"/>
            <w:rFonts w:cs="Arial"/>
            <w:i/>
            <w:szCs w:val="22"/>
          </w:rPr>
          <w:t>Annexure A–Definitions</w:t>
        </w:r>
      </w:hyperlink>
    </w:p>
    <w:p w:rsidR="00E06145" w:rsidRPr="004D28B1" w:rsidRDefault="00C9260F" w:rsidP="00656654">
      <w:pPr>
        <w:pStyle w:val="Heading2"/>
      </w:pPr>
      <w:bookmarkStart w:id="36" w:name="_Toc386108357"/>
      <w:r w:rsidRPr="004D28B1">
        <w:t>Referen</w:t>
      </w:r>
      <w:r w:rsidR="00333BC2" w:rsidRPr="004D28B1">
        <w:t>ce documents relevant to these G</w:t>
      </w:r>
      <w:r w:rsidRPr="004D28B1">
        <w:t>uidelines</w:t>
      </w:r>
      <w:bookmarkEnd w:id="35"/>
      <w:bookmarkEnd w:id="36"/>
    </w:p>
    <w:p w:rsidR="009904AF" w:rsidRDefault="001824A1">
      <w:pPr>
        <w:spacing w:before="0" w:after="0" w:line="240" w:lineRule="auto"/>
      </w:pPr>
      <w:r w:rsidRPr="001824A1">
        <w:t>Making an Employment Services Assessment (ESAt) Appointment/Referral - Supporting Document</w:t>
      </w:r>
    </w:p>
    <w:p w:rsidR="00E06145" w:rsidRPr="009C5261" w:rsidRDefault="00E06145"/>
    <w:sectPr w:rsidR="00E06145" w:rsidRPr="009C5261" w:rsidSect="00474696">
      <w:footerReference w:type="default" r:id="rId20"/>
      <w:pgSz w:w="11906" w:h="16838"/>
      <w:pgMar w:top="948" w:right="1418" w:bottom="1079" w:left="1797"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36" w:rsidRDefault="00904C36">
      <w:r>
        <w:separator/>
      </w:r>
    </w:p>
  </w:endnote>
  <w:endnote w:type="continuationSeparator" w:id="0">
    <w:p w:rsidR="00904C36" w:rsidRDefault="0090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A8" w:rsidRDefault="00904C36">
    <w:pPr>
      <w:pStyle w:val="Footer"/>
    </w:pPr>
    <w:r>
      <w:t xml:space="preserve">DES - </w:t>
    </w:r>
    <w:r w:rsidRPr="000C2D4F">
      <w:t>Referral for an Employment Services Assessment Guidelines</w:t>
    </w:r>
    <w:r w:rsidR="00EC41A8">
      <w:t xml:space="preserve"> V2.1</w:t>
    </w:r>
  </w:p>
  <w:p w:rsidR="00904C36" w:rsidRDefault="00904C36">
    <w:pPr>
      <w:pStyle w:val="Footer"/>
      <w:rPr>
        <w:rStyle w:val="PageNumber"/>
      </w:rPr>
    </w:pPr>
    <w:r>
      <w:t>T</w:t>
    </w:r>
    <w:r w:rsidR="00EC41A8">
      <w:t xml:space="preserve">rim ID: </w:t>
    </w:r>
    <w:r w:rsidR="00BD5F69">
      <w:t>D15/</w:t>
    </w:r>
    <w:r w:rsidR="009D4F5B">
      <w:t>4537</w:t>
    </w:r>
    <w:r w:rsidR="008C740A">
      <w:t>5</w:t>
    </w:r>
    <w:r w:rsidR="009D4F5B">
      <w:t>7</w:t>
    </w:r>
    <w:r>
      <w:tab/>
      <w:t xml:space="preserve">Effective Date: </w:t>
    </w:r>
    <w:r w:rsidR="00EC41A8">
      <w:t>12 September 2015</w:t>
    </w:r>
  </w:p>
  <w:p w:rsidR="00904C36" w:rsidRDefault="00904C36" w:rsidP="003D4719">
    <w:pPr>
      <w:pStyle w:val="Footer"/>
      <w:jc w:val="center"/>
    </w:pPr>
    <w:r w:rsidRPr="00BB0B24">
      <w:rPr>
        <w:rStyle w:val="PageNumber"/>
      </w:rPr>
      <w:fldChar w:fldCharType="begin"/>
    </w:r>
    <w:r w:rsidRPr="00BB0B24">
      <w:rPr>
        <w:rStyle w:val="PageNumber"/>
      </w:rPr>
      <w:instrText xml:space="preserve"> PAGE </w:instrText>
    </w:r>
    <w:r w:rsidRPr="00BB0B24">
      <w:rPr>
        <w:rStyle w:val="PageNumber"/>
      </w:rPr>
      <w:fldChar w:fldCharType="separate"/>
    </w:r>
    <w:r w:rsidR="0096512B">
      <w:rPr>
        <w:rStyle w:val="PageNumber"/>
        <w:noProof/>
      </w:rPr>
      <w:t>3</w:t>
    </w:r>
    <w:r w:rsidRPr="00BB0B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36" w:rsidRDefault="00904C36">
      <w:r>
        <w:separator/>
      </w:r>
    </w:p>
  </w:footnote>
  <w:footnote w:type="continuationSeparator" w:id="0">
    <w:p w:rsidR="00904C36" w:rsidRDefault="00904C36">
      <w:r>
        <w:continuationSeparator/>
      </w:r>
    </w:p>
  </w:footnote>
  <w:footnote w:id="1">
    <w:p w:rsidR="00904C36" w:rsidRPr="0090784C" w:rsidRDefault="00904C36">
      <w:pPr>
        <w:pStyle w:val="FootnoteText"/>
        <w:rPr>
          <w:sz w:val="18"/>
          <w:szCs w:val="18"/>
        </w:rPr>
      </w:pPr>
      <w:r w:rsidRPr="0090784C">
        <w:rPr>
          <w:rStyle w:val="FootnoteReference"/>
          <w:sz w:val="18"/>
          <w:szCs w:val="18"/>
        </w:rPr>
        <w:footnoteRef/>
      </w:r>
      <w:r w:rsidRPr="0090784C">
        <w:rPr>
          <w:sz w:val="18"/>
          <w:szCs w:val="18"/>
        </w:rPr>
        <w:t xml:space="preserve"> When required to meet the </w:t>
      </w:r>
      <w:r>
        <w:rPr>
          <w:sz w:val="18"/>
          <w:szCs w:val="18"/>
        </w:rPr>
        <w:t>Participant</w:t>
      </w:r>
      <w:r w:rsidRPr="0090784C">
        <w:rPr>
          <w:sz w:val="18"/>
          <w:szCs w:val="18"/>
        </w:rPr>
        <w:t>’s needs the ESAt may be conducted by video or telephone conference or file assessment.</w:t>
      </w:r>
    </w:p>
  </w:footnote>
  <w:footnote w:id="2">
    <w:p w:rsidR="00904C36" w:rsidRPr="0090784C" w:rsidRDefault="00904C36">
      <w:pPr>
        <w:pStyle w:val="FootnoteText"/>
        <w:rPr>
          <w:sz w:val="18"/>
          <w:szCs w:val="18"/>
        </w:rPr>
      </w:pPr>
      <w:r w:rsidRPr="0090784C">
        <w:rPr>
          <w:rStyle w:val="FootnoteReference"/>
          <w:sz w:val="18"/>
          <w:szCs w:val="18"/>
        </w:rPr>
        <w:footnoteRef/>
      </w:r>
      <w:r w:rsidRPr="0090784C">
        <w:rPr>
          <w:sz w:val="18"/>
          <w:szCs w:val="18"/>
        </w:rPr>
        <w:t xml:space="preserve"> Assessment refers to either an ESAt or JCA as applicable to employment services.</w:t>
      </w:r>
    </w:p>
  </w:footnote>
  <w:footnote w:id="3">
    <w:p w:rsidR="00904C36" w:rsidRPr="0090784C" w:rsidRDefault="00904C36">
      <w:pPr>
        <w:pStyle w:val="FootnoteText"/>
        <w:rPr>
          <w:sz w:val="18"/>
          <w:szCs w:val="18"/>
        </w:rPr>
      </w:pPr>
      <w:r w:rsidRPr="0090784C">
        <w:rPr>
          <w:rStyle w:val="FootnoteReference"/>
          <w:sz w:val="18"/>
          <w:szCs w:val="18"/>
        </w:rPr>
        <w:footnoteRef/>
      </w:r>
      <w:r w:rsidRPr="0090784C">
        <w:rPr>
          <w:sz w:val="18"/>
          <w:szCs w:val="18"/>
        </w:rPr>
        <w:t xml:space="preserve"> References to specific services and payments will remain as ‘Centrelink’ instead of Human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BEAD22"/>
    <w:lvl w:ilvl="0">
      <w:start w:val="1"/>
      <w:numFmt w:val="decimal"/>
      <w:pStyle w:val="ListNumber2"/>
      <w:lvlText w:val="%1."/>
      <w:lvlJc w:val="left"/>
      <w:pPr>
        <w:tabs>
          <w:tab w:val="num" w:pos="643"/>
        </w:tabs>
        <w:ind w:left="643" w:hanging="360"/>
      </w:pPr>
    </w:lvl>
  </w:abstractNum>
  <w:abstractNum w:abstractNumId="1">
    <w:nsid w:val="FFFFFF88"/>
    <w:multiLevelType w:val="multilevel"/>
    <w:tmpl w:val="81FAFC20"/>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FFFFFF89"/>
    <w:multiLevelType w:val="singleLevel"/>
    <w:tmpl w:val="90E04A06"/>
    <w:lvl w:ilvl="0">
      <w:start w:val="1"/>
      <w:numFmt w:val="bullet"/>
      <w:lvlText w:val=""/>
      <w:lvlJc w:val="left"/>
      <w:pPr>
        <w:tabs>
          <w:tab w:val="num" w:pos="360"/>
        </w:tabs>
        <w:ind w:left="360" w:hanging="360"/>
      </w:pPr>
      <w:rPr>
        <w:rFonts w:ascii="Symbol" w:hAnsi="Symbol" w:hint="default"/>
      </w:rPr>
    </w:lvl>
  </w:abstractNum>
  <w:abstractNum w:abstractNumId="3">
    <w:nsid w:val="002A78F2"/>
    <w:multiLevelType w:val="hybridMultilevel"/>
    <w:tmpl w:val="7EC82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05E4082"/>
    <w:multiLevelType w:val="hybridMultilevel"/>
    <w:tmpl w:val="D81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1181CFF"/>
    <w:multiLevelType w:val="hybridMultilevel"/>
    <w:tmpl w:val="258E358A"/>
    <w:lvl w:ilvl="0" w:tplc="AF000DB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1FC3C98"/>
    <w:multiLevelType w:val="hybridMultilevel"/>
    <w:tmpl w:val="BD2CE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39F1D6F"/>
    <w:multiLevelType w:val="hybridMultilevel"/>
    <w:tmpl w:val="B776C45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76C5F37"/>
    <w:multiLevelType w:val="hybridMultilevel"/>
    <w:tmpl w:val="03B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4C68BB"/>
    <w:multiLevelType w:val="hybridMultilevel"/>
    <w:tmpl w:val="10F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C04C11"/>
    <w:multiLevelType w:val="hybridMultilevel"/>
    <w:tmpl w:val="B79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265828"/>
    <w:multiLevelType w:val="hybridMultilevel"/>
    <w:tmpl w:val="713CA5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2">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10FF45B8"/>
    <w:multiLevelType w:val="hybridMultilevel"/>
    <w:tmpl w:val="A84ACDE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29F1879"/>
    <w:multiLevelType w:val="hybridMultilevel"/>
    <w:tmpl w:val="07AC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958DD"/>
    <w:multiLevelType w:val="hybridMultilevel"/>
    <w:tmpl w:val="E1DA00F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88C6FC9"/>
    <w:multiLevelType w:val="hybridMultilevel"/>
    <w:tmpl w:val="91C6C5E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18D30A2B"/>
    <w:multiLevelType w:val="hybridMultilevel"/>
    <w:tmpl w:val="78BA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7628DC"/>
    <w:multiLevelType w:val="hybridMultilevel"/>
    <w:tmpl w:val="8DDA483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F7038F0"/>
    <w:multiLevelType w:val="hybridMultilevel"/>
    <w:tmpl w:val="0AF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297B58"/>
    <w:multiLevelType w:val="hybridMultilevel"/>
    <w:tmpl w:val="659EC86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49106D2"/>
    <w:multiLevelType w:val="hybridMultilevel"/>
    <w:tmpl w:val="A1CED1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5CE1B18"/>
    <w:multiLevelType w:val="hybridMultilevel"/>
    <w:tmpl w:val="463A9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26EE3B11"/>
    <w:multiLevelType w:val="hybridMultilevel"/>
    <w:tmpl w:val="5A62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3129DC"/>
    <w:multiLevelType w:val="hybridMultilevel"/>
    <w:tmpl w:val="0E5AF66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79C482C"/>
    <w:multiLevelType w:val="hybridMultilevel"/>
    <w:tmpl w:val="F67CA33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294E57CE"/>
    <w:multiLevelType w:val="hybridMultilevel"/>
    <w:tmpl w:val="9BBA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A5775A5"/>
    <w:multiLevelType w:val="hybridMultilevel"/>
    <w:tmpl w:val="F872B022"/>
    <w:lvl w:ilvl="0" w:tplc="7FEAC5C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32A81DA2"/>
    <w:multiLevelType w:val="hybridMultilevel"/>
    <w:tmpl w:val="0E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4096D11"/>
    <w:multiLevelType w:val="multilevel"/>
    <w:tmpl w:val="D818CD76"/>
    <w:lvl w:ilvl="0">
      <w:start w:val="1"/>
      <w:numFmt w:val="bullet"/>
      <w:lvlText w:val="o"/>
      <w:lvlJc w:val="left"/>
      <w:pPr>
        <w:ind w:left="927" w:hanging="360"/>
      </w:pPr>
      <w:rPr>
        <w:rFonts w:ascii="Courier New" w:hAnsi="Courier New" w:cs="Courier New"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nsid w:val="37404ED0"/>
    <w:multiLevelType w:val="hybridMultilevel"/>
    <w:tmpl w:val="76C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9246298"/>
    <w:multiLevelType w:val="hybridMultilevel"/>
    <w:tmpl w:val="6142759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3B5B5826"/>
    <w:multiLevelType w:val="hybridMultilevel"/>
    <w:tmpl w:val="C24C52E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0D90CFB"/>
    <w:multiLevelType w:val="hybridMultilevel"/>
    <w:tmpl w:val="F7D2B960"/>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42E4765B"/>
    <w:multiLevelType w:val="multilevel"/>
    <w:tmpl w:val="C0505340"/>
    <w:numStyleLink w:val="Reference"/>
  </w:abstractNum>
  <w:abstractNum w:abstractNumId="38">
    <w:nsid w:val="44CB7034"/>
    <w:multiLevelType w:val="hybridMultilevel"/>
    <w:tmpl w:val="7F3A6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61B460C"/>
    <w:multiLevelType w:val="hybridMultilevel"/>
    <w:tmpl w:val="7FE2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6BA11E4"/>
    <w:multiLevelType w:val="hybridMultilevel"/>
    <w:tmpl w:val="3C70F2DC"/>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7025EC3"/>
    <w:multiLevelType w:val="hybridMultilevel"/>
    <w:tmpl w:val="3B407C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7321569"/>
    <w:multiLevelType w:val="hybridMultilevel"/>
    <w:tmpl w:val="FD3EF0E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48412F24"/>
    <w:multiLevelType w:val="hybridMultilevel"/>
    <w:tmpl w:val="7DF6C8FE"/>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49E75547"/>
    <w:multiLevelType w:val="hybridMultilevel"/>
    <w:tmpl w:val="A45626E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4BEC55F4"/>
    <w:multiLevelType w:val="hybridMultilevel"/>
    <w:tmpl w:val="584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DE20DC8"/>
    <w:multiLevelType w:val="multilevel"/>
    <w:tmpl w:val="C0505340"/>
    <w:numStyleLink w:val="Reference"/>
  </w:abstractNum>
  <w:abstractNum w:abstractNumId="48">
    <w:nsid w:val="4ED21C87"/>
    <w:multiLevelType w:val="hybridMultilevel"/>
    <w:tmpl w:val="5B206DE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51AB4469"/>
    <w:multiLevelType w:val="hybridMultilevel"/>
    <w:tmpl w:val="1F58B836"/>
    <w:lvl w:ilvl="0" w:tplc="27C4E75E">
      <w:start w:val="1"/>
      <w:numFmt w:val="bullet"/>
      <w:pStyle w:val="ListParagraph"/>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nsid w:val="521949DF"/>
    <w:multiLevelType w:val="hybridMultilevel"/>
    <w:tmpl w:val="7434873E"/>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52DC0ABC"/>
    <w:multiLevelType w:val="hybridMultilevel"/>
    <w:tmpl w:val="DAE64DCE"/>
    <w:lvl w:ilvl="0" w:tplc="29341B1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58B06AC"/>
    <w:multiLevelType w:val="hybridMultilevel"/>
    <w:tmpl w:val="3724F0B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56BE7972"/>
    <w:multiLevelType w:val="hybridMultilevel"/>
    <w:tmpl w:val="C2D61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55">
    <w:nsid w:val="5AAB24EF"/>
    <w:multiLevelType w:val="hybridMultilevel"/>
    <w:tmpl w:val="5B6EF81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5AEE21E5"/>
    <w:multiLevelType w:val="hybridMultilevel"/>
    <w:tmpl w:val="0324E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5B230555"/>
    <w:multiLevelType w:val="hybridMultilevel"/>
    <w:tmpl w:val="92A0834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nsid w:val="5BA63BC9"/>
    <w:multiLevelType w:val="multilevel"/>
    <w:tmpl w:val="C0505340"/>
    <w:numStyleLink w:val="Reference"/>
  </w:abstractNum>
  <w:abstractNum w:abstractNumId="59">
    <w:nsid w:val="5DA54961"/>
    <w:multiLevelType w:val="hybridMultilevel"/>
    <w:tmpl w:val="C2D8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F840E87"/>
    <w:multiLevelType w:val="hybridMultilevel"/>
    <w:tmpl w:val="FFE214F8"/>
    <w:lvl w:ilvl="0" w:tplc="F6BE7F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nsid w:val="61BF1CA0"/>
    <w:multiLevelType w:val="hybridMultilevel"/>
    <w:tmpl w:val="A4FAB2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nsid w:val="629A69F4"/>
    <w:multiLevelType w:val="hybridMultilevel"/>
    <w:tmpl w:val="F14E0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62D71E34"/>
    <w:multiLevelType w:val="hybridMultilevel"/>
    <w:tmpl w:val="44DC15A2"/>
    <w:lvl w:ilvl="0" w:tplc="482883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63226430"/>
    <w:multiLevelType w:val="hybridMultilevel"/>
    <w:tmpl w:val="B2365AD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nsid w:val="643C2AA9"/>
    <w:multiLevelType w:val="hybridMultilevel"/>
    <w:tmpl w:val="9A8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45274AE"/>
    <w:multiLevelType w:val="hybridMultilevel"/>
    <w:tmpl w:val="6E3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6522B95"/>
    <w:multiLevelType w:val="hybridMultilevel"/>
    <w:tmpl w:val="F1E6A1BC"/>
    <w:lvl w:ilvl="0" w:tplc="0C090001">
      <w:start w:val="1"/>
      <w:numFmt w:val="bullet"/>
      <w:lvlText w:val=""/>
      <w:lvlJc w:val="left"/>
      <w:pPr>
        <w:ind w:left="720" w:hanging="360"/>
      </w:pPr>
      <w:rPr>
        <w:rFonts w:ascii="Symbol" w:hAnsi="Symbol" w:hint="default"/>
      </w:rPr>
    </w:lvl>
    <w:lvl w:ilvl="1" w:tplc="4210C4D0">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A877B2F"/>
    <w:multiLevelType w:val="hybridMultilevel"/>
    <w:tmpl w:val="2DCA241A"/>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6C9D7FD2"/>
    <w:multiLevelType w:val="hybridMultilevel"/>
    <w:tmpl w:val="BFA6E6C8"/>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1">
    <w:nsid w:val="70722322"/>
    <w:multiLevelType w:val="hybridMultilevel"/>
    <w:tmpl w:val="EE9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0B76D09"/>
    <w:multiLevelType w:val="hybridMultilevel"/>
    <w:tmpl w:val="A05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71202CE5"/>
    <w:multiLevelType w:val="hybridMultilevel"/>
    <w:tmpl w:val="F8B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1627D60"/>
    <w:multiLevelType w:val="hybridMultilevel"/>
    <w:tmpl w:val="2F6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4FE041A"/>
    <w:multiLevelType w:val="hybridMultilevel"/>
    <w:tmpl w:val="0158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5714DE5"/>
    <w:multiLevelType w:val="hybridMultilevel"/>
    <w:tmpl w:val="26A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6E21D28"/>
    <w:multiLevelType w:val="hybridMultilevel"/>
    <w:tmpl w:val="82B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9D24344"/>
    <w:multiLevelType w:val="multilevel"/>
    <w:tmpl w:val="C0505340"/>
    <w:numStyleLink w:val="Reference"/>
  </w:abstractNum>
  <w:abstractNum w:abstractNumId="79">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4"/>
  </w:num>
  <w:num w:numId="3">
    <w:abstractNumId w:val="12"/>
  </w:num>
  <w:num w:numId="4">
    <w:abstractNumId w:val="1"/>
  </w:num>
  <w:num w:numId="5">
    <w:abstractNumId w:val="0"/>
  </w:num>
  <w:num w:numId="6">
    <w:abstractNumId w:val="49"/>
  </w:num>
  <w:num w:numId="7">
    <w:abstractNumId w:val="46"/>
  </w:num>
  <w:num w:numId="8">
    <w:abstractNumId w:val="19"/>
  </w:num>
  <w:num w:numId="9">
    <w:abstractNumId w:val="78"/>
  </w:num>
  <w:num w:numId="10">
    <w:abstractNumId w:val="58"/>
  </w:num>
  <w:num w:numId="11">
    <w:abstractNumId w:val="47"/>
  </w:num>
  <w:num w:numId="12">
    <w:abstractNumId w:val="37"/>
  </w:num>
  <w:num w:numId="13">
    <w:abstractNumId w:val="79"/>
  </w:num>
  <w:num w:numId="14">
    <w:abstractNumId w:val="27"/>
  </w:num>
  <w:num w:numId="15">
    <w:abstractNumId w:val="68"/>
  </w:num>
  <w:num w:numId="16">
    <w:abstractNumId w:val="75"/>
  </w:num>
  <w:num w:numId="17">
    <w:abstractNumId w:val="39"/>
  </w:num>
  <w:num w:numId="18">
    <w:abstractNumId w:val="62"/>
  </w:num>
  <w:num w:numId="19">
    <w:abstractNumId w:val="24"/>
  </w:num>
  <w:num w:numId="20">
    <w:abstractNumId w:val="23"/>
  </w:num>
  <w:num w:numId="21">
    <w:abstractNumId w:val="18"/>
  </w:num>
  <w:num w:numId="22">
    <w:abstractNumId w:val="7"/>
  </w:num>
  <w:num w:numId="23">
    <w:abstractNumId w:val="43"/>
  </w:num>
  <w:num w:numId="24">
    <w:abstractNumId w:val="34"/>
  </w:num>
  <w:num w:numId="25">
    <w:abstractNumId w:val="64"/>
  </w:num>
  <w:num w:numId="26">
    <w:abstractNumId w:val="30"/>
  </w:num>
  <w:num w:numId="27">
    <w:abstractNumId w:val="15"/>
  </w:num>
  <w:num w:numId="28">
    <w:abstractNumId w:val="57"/>
  </w:num>
  <w:num w:numId="29">
    <w:abstractNumId w:val="22"/>
  </w:num>
  <w:num w:numId="30">
    <w:abstractNumId w:val="55"/>
  </w:num>
  <w:num w:numId="31">
    <w:abstractNumId w:val="11"/>
  </w:num>
  <w:num w:numId="32">
    <w:abstractNumId w:val="6"/>
  </w:num>
  <w:num w:numId="33">
    <w:abstractNumId w:val="5"/>
  </w:num>
  <w:num w:numId="34">
    <w:abstractNumId w:val="53"/>
  </w:num>
  <w:num w:numId="35">
    <w:abstractNumId w:val="63"/>
  </w:num>
  <w:num w:numId="36">
    <w:abstractNumId w:val="13"/>
  </w:num>
  <w:num w:numId="37">
    <w:abstractNumId w:val="36"/>
  </w:num>
  <w:num w:numId="38">
    <w:abstractNumId w:val="3"/>
  </w:num>
  <w:num w:numId="39">
    <w:abstractNumId w:val="52"/>
  </w:num>
  <w:num w:numId="40">
    <w:abstractNumId w:val="42"/>
  </w:num>
  <w:num w:numId="41">
    <w:abstractNumId w:val="70"/>
  </w:num>
  <w:num w:numId="42">
    <w:abstractNumId w:val="44"/>
  </w:num>
  <w:num w:numId="43">
    <w:abstractNumId w:val="50"/>
  </w:num>
  <w:num w:numId="44">
    <w:abstractNumId w:val="48"/>
  </w:num>
  <w:num w:numId="45">
    <w:abstractNumId w:val="16"/>
  </w:num>
  <w:num w:numId="46">
    <w:abstractNumId w:val="26"/>
  </w:num>
  <w:num w:numId="47">
    <w:abstractNumId w:val="40"/>
  </w:num>
  <w:num w:numId="48">
    <w:abstractNumId w:val="35"/>
  </w:num>
  <w:num w:numId="49">
    <w:abstractNumId w:val="69"/>
  </w:num>
  <w:num w:numId="50">
    <w:abstractNumId w:val="28"/>
  </w:num>
  <w:num w:numId="51">
    <w:abstractNumId w:val="56"/>
  </w:num>
  <w:num w:numId="52">
    <w:abstractNumId w:val="61"/>
  </w:num>
  <w:num w:numId="53">
    <w:abstractNumId w:val="60"/>
  </w:num>
  <w:num w:numId="54">
    <w:abstractNumId w:val="25"/>
  </w:num>
  <w:num w:numId="55">
    <w:abstractNumId w:val="51"/>
  </w:num>
  <w:num w:numId="56">
    <w:abstractNumId w:val="32"/>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2"/>
  </w:num>
  <w:num w:numId="67">
    <w:abstractNumId w:val="66"/>
  </w:num>
  <w:num w:numId="68">
    <w:abstractNumId w:val="4"/>
  </w:num>
  <w:num w:numId="69">
    <w:abstractNumId w:val="8"/>
  </w:num>
  <w:num w:numId="70">
    <w:abstractNumId w:val="73"/>
  </w:num>
  <w:num w:numId="71">
    <w:abstractNumId w:val="33"/>
  </w:num>
  <w:num w:numId="72">
    <w:abstractNumId w:val="41"/>
  </w:num>
  <w:num w:numId="73">
    <w:abstractNumId w:val="76"/>
  </w:num>
  <w:num w:numId="74">
    <w:abstractNumId w:val="38"/>
  </w:num>
  <w:num w:numId="75">
    <w:abstractNumId w:val="65"/>
  </w:num>
  <w:num w:numId="76">
    <w:abstractNumId w:val="10"/>
  </w:num>
  <w:num w:numId="77">
    <w:abstractNumId w:val="45"/>
  </w:num>
  <w:num w:numId="78">
    <w:abstractNumId w:val="67"/>
  </w:num>
  <w:num w:numId="79">
    <w:abstractNumId w:val="9"/>
  </w:num>
  <w:num w:numId="80">
    <w:abstractNumId w:val="74"/>
  </w:num>
  <w:num w:numId="81">
    <w:abstractNumId w:val="31"/>
  </w:num>
  <w:num w:numId="82">
    <w:abstractNumId w:val="71"/>
  </w:num>
  <w:num w:numId="83">
    <w:abstractNumId w:val="72"/>
  </w:num>
  <w:num w:numId="84">
    <w:abstractNumId w:val="29"/>
  </w:num>
  <w:num w:numId="85">
    <w:abstractNumId w:val="17"/>
  </w:num>
  <w:num w:numId="86">
    <w:abstractNumId w:val="59"/>
  </w:num>
  <w:num w:numId="87">
    <w:abstractNumId w:val="77"/>
  </w:num>
  <w:num w:numId="88">
    <w:abstractNumId w:val="14"/>
  </w:num>
  <w:num w:numId="89">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2529">
      <v:stroke endarrow="block"/>
      <v:shadow color="#ccc"/>
      <o:colormru v:ext="edit" colors="#ddd"/>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0F"/>
    <w:rsid w:val="00011ACF"/>
    <w:rsid w:val="00012680"/>
    <w:rsid w:val="000144E0"/>
    <w:rsid w:val="00026315"/>
    <w:rsid w:val="0002683B"/>
    <w:rsid w:val="00031668"/>
    <w:rsid w:val="00031BBC"/>
    <w:rsid w:val="00031CD8"/>
    <w:rsid w:val="000371B2"/>
    <w:rsid w:val="00042527"/>
    <w:rsid w:val="00044340"/>
    <w:rsid w:val="00045926"/>
    <w:rsid w:val="0005233D"/>
    <w:rsid w:val="00053144"/>
    <w:rsid w:val="000534A3"/>
    <w:rsid w:val="00055F3F"/>
    <w:rsid w:val="00061AA1"/>
    <w:rsid w:val="00067466"/>
    <w:rsid w:val="0007140E"/>
    <w:rsid w:val="00071BA7"/>
    <w:rsid w:val="000773B8"/>
    <w:rsid w:val="000800E2"/>
    <w:rsid w:val="0008418F"/>
    <w:rsid w:val="000847B0"/>
    <w:rsid w:val="000978F2"/>
    <w:rsid w:val="000A4AC3"/>
    <w:rsid w:val="000A5D53"/>
    <w:rsid w:val="000B0D65"/>
    <w:rsid w:val="000B4893"/>
    <w:rsid w:val="000B4E1D"/>
    <w:rsid w:val="000C2D4F"/>
    <w:rsid w:val="000C35B7"/>
    <w:rsid w:val="000C3DCD"/>
    <w:rsid w:val="000D0D52"/>
    <w:rsid w:val="000D0F17"/>
    <w:rsid w:val="000D5785"/>
    <w:rsid w:val="000E1244"/>
    <w:rsid w:val="000F27E7"/>
    <w:rsid w:val="000F5D5B"/>
    <w:rsid w:val="000F7E2C"/>
    <w:rsid w:val="00104312"/>
    <w:rsid w:val="001044E4"/>
    <w:rsid w:val="001061C9"/>
    <w:rsid w:val="00112399"/>
    <w:rsid w:val="001148C8"/>
    <w:rsid w:val="001161C6"/>
    <w:rsid w:val="001242FA"/>
    <w:rsid w:val="00125724"/>
    <w:rsid w:val="001333EE"/>
    <w:rsid w:val="00133D60"/>
    <w:rsid w:val="001345EF"/>
    <w:rsid w:val="001352D0"/>
    <w:rsid w:val="00135640"/>
    <w:rsid w:val="00135D90"/>
    <w:rsid w:val="001479AA"/>
    <w:rsid w:val="00150FC8"/>
    <w:rsid w:val="001519EC"/>
    <w:rsid w:val="00151C3B"/>
    <w:rsid w:val="00152F4F"/>
    <w:rsid w:val="00154507"/>
    <w:rsid w:val="0015788A"/>
    <w:rsid w:val="001604D4"/>
    <w:rsid w:val="00160A63"/>
    <w:rsid w:val="00161628"/>
    <w:rsid w:val="00165068"/>
    <w:rsid w:val="0016599A"/>
    <w:rsid w:val="001661BC"/>
    <w:rsid w:val="00173604"/>
    <w:rsid w:val="00176440"/>
    <w:rsid w:val="001777B2"/>
    <w:rsid w:val="0018125C"/>
    <w:rsid w:val="001824A1"/>
    <w:rsid w:val="00186E7A"/>
    <w:rsid w:val="001876D7"/>
    <w:rsid w:val="0019206A"/>
    <w:rsid w:val="001A055A"/>
    <w:rsid w:val="001A120D"/>
    <w:rsid w:val="001A14E5"/>
    <w:rsid w:val="001A1753"/>
    <w:rsid w:val="001A3816"/>
    <w:rsid w:val="001A3D86"/>
    <w:rsid w:val="001A7F11"/>
    <w:rsid w:val="001B5B2D"/>
    <w:rsid w:val="001B724E"/>
    <w:rsid w:val="001B743D"/>
    <w:rsid w:val="001C13E8"/>
    <w:rsid w:val="001C1C52"/>
    <w:rsid w:val="001C6EB1"/>
    <w:rsid w:val="001D16BC"/>
    <w:rsid w:val="001D1F2E"/>
    <w:rsid w:val="001E210C"/>
    <w:rsid w:val="001E2681"/>
    <w:rsid w:val="001E4346"/>
    <w:rsid w:val="001E4374"/>
    <w:rsid w:val="001E6168"/>
    <w:rsid w:val="001F01F2"/>
    <w:rsid w:val="001F0D11"/>
    <w:rsid w:val="001F140B"/>
    <w:rsid w:val="001F142A"/>
    <w:rsid w:val="001F1F66"/>
    <w:rsid w:val="001F2A39"/>
    <w:rsid w:val="001F4B36"/>
    <w:rsid w:val="00200B6C"/>
    <w:rsid w:val="0020159B"/>
    <w:rsid w:val="00202758"/>
    <w:rsid w:val="002032B1"/>
    <w:rsid w:val="00203F51"/>
    <w:rsid w:val="00221272"/>
    <w:rsid w:val="002218FC"/>
    <w:rsid w:val="00222A49"/>
    <w:rsid w:val="00222BC2"/>
    <w:rsid w:val="00225B5E"/>
    <w:rsid w:val="002260E7"/>
    <w:rsid w:val="00230BA6"/>
    <w:rsid w:val="002341B6"/>
    <w:rsid w:val="002400ED"/>
    <w:rsid w:val="002438CE"/>
    <w:rsid w:val="0025218D"/>
    <w:rsid w:val="0025333F"/>
    <w:rsid w:val="002536BC"/>
    <w:rsid w:val="00255D1B"/>
    <w:rsid w:val="00256A13"/>
    <w:rsid w:val="002600E1"/>
    <w:rsid w:val="00262258"/>
    <w:rsid w:val="00263D1E"/>
    <w:rsid w:val="00263F23"/>
    <w:rsid w:val="0026723D"/>
    <w:rsid w:val="00281DA4"/>
    <w:rsid w:val="00282517"/>
    <w:rsid w:val="002839A8"/>
    <w:rsid w:val="00284610"/>
    <w:rsid w:val="00293D44"/>
    <w:rsid w:val="00294229"/>
    <w:rsid w:val="002A3903"/>
    <w:rsid w:val="002A428E"/>
    <w:rsid w:val="002B0337"/>
    <w:rsid w:val="002B04B3"/>
    <w:rsid w:val="002B45A4"/>
    <w:rsid w:val="002B67E0"/>
    <w:rsid w:val="002C075F"/>
    <w:rsid w:val="002C3B47"/>
    <w:rsid w:val="002C422B"/>
    <w:rsid w:val="002D0D44"/>
    <w:rsid w:val="002D4020"/>
    <w:rsid w:val="002D60BD"/>
    <w:rsid w:val="002D61B3"/>
    <w:rsid w:val="002E0A2E"/>
    <w:rsid w:val="002E36ED"/>
    <w:rsid w:val="002E5AFF"/>
    <w:rsid w:val="002F2F84"/>
    <w:rsid w:val="002F53B1"/>
    <w:rsid w:val="00303964"/>
    <w:rsid w:val="00305C5B"/>
    <w:rsid w:val="003070CA"/>
    <w:rsid w:val="00310AC0"/>
    <w:rsid w:val="0031648B"/>
    <w:rsid w:val="00320A28"/>
    <w:rsid w:val="003215F1"/>
    <w:rsid w:val="00322953"/>
    <w:rsid w:val="00333BC2"/>
    <w:rsid w:val="0033555B"/>
    <w:rsid w:val="003373AE"/>
    <w:rsid w:val="003378F7"/>
    <w:rsid w:val="00350E1A"/>
    <w:rsid w:val="00351E3D"/>
    <w:rsid w:val="003523C7"/>
    <w:rsid w:val="003541BB"/>
    <w:rsid w:val="00362B1E"/>
    <w:rsid w:val="00367B4B"/>
    <w:rsid w:val="00371949"/>
    <w:rsid w:val="00372AE5"/>
    <w:rsid w:val="00372F0F"/>
    <w:rsid w:val="003740C6"/>
    <w:rsid w:val="00374787"/>
    <w:rsid w:val="0037569B"/>
    <w:rsid w:val="00376DE9"/>
    <w:rsid w:val="00385615"/>
    <w:rsid w:val="003903ED"/>
    <w:rsid w:val="00391C56"/>
    <w:rsid w:val="003957DA"/>
    <w:rsid w:val="003971FB"/>
    <w:rsid w:val="003978E7"/>
    <w:rsid w:val="003A475B"/>
    <w:rsid w:val="003A6752"/>
    <w:rsid w:val="003A6C98"/>
    <w:rsid w:val="003B0224"/>
    <w:rsid w:val="003B2A91"/>
    <w:rsid w:val="003B366B"/>
    <w:rsid w:val="003B435C"/>
    <w:rsid w:val="003B454E"/>
    <w:rsid w:val="003B5A5C"/>
    <w:rsid w:val="003B6199"/>
    <w:rsid w:val="003B707F"/>
    <w:rsid w:val="003C16B4"/>
    <w:rsid w:val="003C5CF8"/>
    <w:rsid w:val="003C60B3"/>
    <w:rsid w:val="003D0750"/>
    <w:rsid w:val="003D17A6"/>
    <w:rsid w:val="003D2116"/>
    <w:rsid w:val="003D46B1"/>
    <w:rsid w:val="003D4719"/>
    <w:rsid w:val="003D471F"/>
    <w:rsid w:val="003D5247"/>
    <w:rsid w:val="003E45B7"/>
    <w:rsid w:val="003F22F8"/>
    <w:rsid w:val="004021D6"/>
    <w:rsid w:val="0040606D"/>
    <w:rsid w:val="00406793"/>
    <w:rsid w:val="00407FFD"/>
    <w:rsid w:val="00411A73"/>
    <w:rsid w:val="0042184C"/>
    <w:rsid w:val="004222F4"/>
    <w:rsid w:val="00430BCE"/>
    <w:rsid w:val="004315AF"/>
    <w:rsid w:val="0043164F"/>
    <w:rsid w:val="00432C80"/>
    <w:rsid w:val="0043378F"/>
    <w:rsid w:val="0043404C"/>
    <w:rsid w:val="00436C6B"/>
    <w:rsid w:val="00437186"/>
    <w:rsid w:val="00437AAE"/>
    <w:rsid w:val="00443DA7"/>
    <w:rsid w:val="004453A8"/>
    <w:rsid w:val="004479DF"/>
    <w:rsid w:val="00450928"/>
    <w:rsid w:val="00451426"/>
    <w:rsid w:val="00451CA9"/>
    <w:rsid w:val="004529CD"/>
    <w:rsid w:val="00454543"/>
    <w:rsid w:val="00454D62"/>
    <w:rsid w:val="00457C00"/>
    <w:rsid w:val="00460FB7"/>
    <w:rsid w:val="00463614"/>
    <w:rsid w:val="0046442C"/>
    <w:rsid w:val="00464E75"/>
    <w:rsid w:val="00465C47"/>
    <w:rsid w:val="00467E47"/>
    <w:rsid w:val="00470EF4"/>
    <w:rsid w:val="00471E75"/>
    <w:rsid w:val="00474696"/>
    <w:rsid w:val="00474C50"/>
    <w:rsid w:val="004802FF"/>
    <w:rsid w:val="0048532C"/>
    <w:rsid w:val="00492A8C"/>
    <w:rsid w:val="004A2A13"/>
    <w:rsid w:val="004A3F4A"/>
    <w:rsid w:val="004A5EC9"/>
    <w:rsid w:val="004B0DD9"/>
    <w:rsid w:val="004B10C5"/>
    <w:rsid w:val="004B2215"/>
    <w:rsid w:val="004B35FA"/>
    <w:rsid w:val="004C14B4"/>
    <w:rsid w:val="004C403C"/>
    <w:rsid w:val="004C521B"/>
    <w:rsid w:val="004C762C"/>
    <w:rsid w:val="004D22AF"/>
    <w:rsid w:val="004D28B1"/>
    <w:rsid w:val="004D60B5"/>
    <w:rsid w:val="004E01C9"/>
    <w:rsid w:val="004E1D99"/>
    <w:rsid w:val="004E1E7D"/>
    <w:rsid w:val="004E1F94"/>
    <w:rsid w:val="004E51AD"/>
    <w:rsid w:val="004E58AA"/>
    <w:rsid w:val="004F23FD"/>
    <w:rsid w:val="004F2D3A"/>
    <w:rsid w:val="004F4EDB"/>
    <w:rsid w:val="004F5731"/>
    <w:rsid w:val="00502D75"/>
    <w:rsid w:val="00504EAD"/>
    <w:rsid w:val="00506910"/>
    <w:rsid w:val="005107D4"/>
    <w:rsid w:val="005129A0"/>
    <w:rsid w:val="005160B2"/>
    <w:rsid w:val="005208A9"/>
    <w:rsid w:val="0052549C"/>
    <w:rsid w:val="00525D6D"/>
    <w:rsid w:val="005279E1"/>
    <w:rsid w:val="005344C3"/>
    <w:rsid w:val="0053689E"/>
    <w:rsid w:val="005415F4"/>
    <w:rsid w:val="00550144"/>
    <w:rsid w:val="005501DF"/>
    <w:rsid w:val="00555C93"/>
    <w:rsid w:val="00557B61"/>
    <w:rsid w:val="00560323"/>
    <w:rsid w:val="00562FEB"/>
    <w:rsid w:val="005656AD"/>
    <w:rsid w:val="00571FEF"/>
    <w:rsid w:val="005747CB"/>
    <w:rsid w:val="00577D17"/>
    <w:rsid w:val="00592639"/>
    <w:rsid w:val="005A04A2"/>
    <w:rsid w:val="005A0DAD"/>
    <w:rsid w:val="005B1E78"/>
    <w:rsid w:val="005B3BD9"/>
    <w:rsid w:val="005B67AD"/>
    <w:rsid w:val="005B6E4D"/>
    <w:rsid w:val="005C211A"/>
    <w:rsid w:val="005C4FD4"/>
    <w:rsid w:val="005C6181"/>
    <w:rsid w:val="005D25F4"/>
    <w:rsid w:val="005D3A86"/>
    <w:rsid w:val="005D4108"/>
    <w:rsid w:val="005D5515"/>
    <w:rsid w:val="005D61F6"/>
    <w:rsid w:val="005D78E6"/>
    <w:rsid w:val="005E15D3"/>
    <w:rsid w:val="005E522F"/>
    <w:rsid w:val="005E543F"/>
    <w:rsid w:val="005E5BFB"/>
    <w:rsid w:val="005F3AC7"/>
    <w:rsid w:val="005F5D95"/>
    <w:rsid w:val="006015D0"/>
    <w:rsid w:val="00610326"/>
    <w:rsid w:val="0061167F"/>
    <w:rsid w:val="00615528"/>
    <w:rsid w:val="00620716"/>
    <w:rsid w:val="00624779"/>
    <w:rsid w:val="006333B3"/>
    <w:rsid w:val="0064150A"/>
    <w:rsid w:val="0065024D"/>
    <w:rsid w:val="0065226F"/>
    <w:rsid w:val="006526E8"/>
    <w:rsid w:val="00656296"/>
    <w:rsid w:val="00656654"/>
    <w:rsid w:val="00660222"/>
    <w:rsid w:val="006638E8"/>
    <w:rsid w:val="00664A32"/>
    <w:rsid w:val="00666473"/>
    <w:rsid w:val="00667EE4"/>
    <w:rsid w:val="006706F9"/>
    <w:rsid w:val="00671C9B"/>
    <w:rsid w:val="0068086C"/>
    <w:rsid w:val="00682ABA"/>
    <w:rsid w:val="0068467E"/>
    <w:rsid w:val="006870A6"/>
    <w:rsid w:val="0069150A"/>
    <w:rsid w:val="006938FA"/>
    <w:rsid w:val="00695EB6"/>
    <w:rsid w:val="00696105"/>
    <w:rsid w:val="00697082"/>
    <w:rsid w:val="006A3817"/>
    <w:rsid w:val="006A6878"/>
    <w:rsid w:val="006B196C"/>
    <w:rsid w:val="006B1F8B"/>
    <w:rsid w:val="006B5667"/>
    <w:rsid w:val="006C722F"/>
    <w:rsid w:val="006C7F59"/>
    <w:rsid w:val="006D2068"/>
    <w:rsid w:val="006D6F04"/>
    <w:rsid w:val="006D7355"/>
    <w:rsid w:val="006E02B3"/>
    <w:rsid w:val="006E1B72"/>
    <w:rsid w:val="006E239D"/>
    <w:rsid w:val="006F2AFF"/>
    <w:rsid w:val="006F37D2"/>
    <w:rsid w:val="006F5E6D"/>
    <w:rsid w:val="007039F0"/>
    <w:rsid w:val="00704305"/>
    <w:rsid w:val="007069A8"/>
    <w:rsid w:val="0071156C"/>
    <w:rsid w:val="0071254B"/>
    <w:rsid w:val="007138CC"/>
    <w:rsid w:val="00713DD6"/>
    <w:rsid w:val="0071483E"/>
    <w:rsid w:val="007212D2"/>
    <w:rsid w:val="0072133E"/>
    <w:rsid w:val="00727264"/>
    <w:rsid w:val="007303CC"/>
    <w:rsid w:val="0073133E"/>
    <w:rsid w:val="00734598"/>
    <w:rsid w:val="00735010"/>
    <w:rsid w:val="007366AB"/>
    <w:rsid w:val="0074246A"/>
    <w:rsid w:val="00746B5C"/>
    <w:rsid w:val="007536A6"/>
    <w:rsid w:val="00754368"/>
    <w:rsid w:val="0075790C"/>
    <w:rsid w:val="00757B59"/>
    <w:rsid w:val="0076069E"/>
    <w:rsid w:val="007628EA"/>
    <w:rsid w:val="0076709B"/>
    <w:rsid w:val="007722C8"/>
    <w:rsid w:val="0077584C"/>
    <w:rsid w:val="00777FD0"/>
    <w:rsid w:val="00781439"/>
    <w:rsid w:val="00782346"/>
    <w:rsid w:val="00782D43"/>
    <w:rsid w:val="00787787"/>
    <w:rsid w:val="00787F68"/>
    <w:rsid w:val="0079163B"/>
    <w:rsid w:val="00794CB6"/>
    <w:rsid w:val="0079755E"/>
    <w:rsid w:val="0079793A"/>
    <w:rsid w:val="007A0B38"/>
    <w:rsid w:val="007A1189"/>
    <w:rsid w:val="007B1A8B"/>
    <w:rsid w:val="007C4212"/>
    <w:rsid w:val="007C46D9"/>
    <w:rsid w:val="007C5846"/>
    <w:rsid w:val="007C6244"/>
    <w:rsid w:val="007C6CEB"/>
    <w:rsid w:val="007C72C7"/>
    <w:rsid w:val="007D0262"/>
    <w:rsid w:val="007D4C34"/>
    <w:rsid w:val="007E1267"/>
    <w:rsid w:val="007E4740"/>
    <w:rsid w:val="007E6045"/>
    <w:rsid w:val="007E729E"/>
    <w:rsid w:val="007F10D4"/>
    <w:rsid w:val="007F2E46"/>
    <w:rsid w:val="007F6E76"/>
    <w:rsid w:val="008014E3"/>
    <w:rsid w:val="00802E35"/>
    <w:rsid w:val="00803B3C"/>
    <w:rsid w:val="00807B56"/>
    <w:rsid w:val="00810B81"/>
    <w:rsid w:val="00814ADD"/>
    <w:rsid w:val="0082089F"/>
    <w:rsid w:val="008237F5"/>
    <w:rsid w:val="00826E6D"/>
    <w:rsid w:val="0083706B"/>
    <w:rsid w:val="00845A59"/>
    <w:rsid w:val="00847D95"/>
    <w:rsid w:val="00850809"/>
    <w:rsid w:val="00852E05"/>
    <w:rsid w:val="008534F6"/>
    <w:rsid w:val="008535F8"/>
    <w:rsid w:val="00860271"/>
    <w:rsid w:val="00862873"/>
    <w:rsid w:val="00862BB3"/>
    <w:rsid w:val="00870101"/>
    <w:rsid w:val="0087020F"/>
    <w:rsid w:val="00876F3B"/>
    <w:rsid w:val="008774B0"/>
    <w:rsid w:val="00880D0C"/>
    <w:rsid w:val="0088143B"/>
    <w:rsid w:val="0088714E"/>
    <w:rsid w:val="00890CB8"/>
    <w:rsid w:val="00892AB5"/>
    <w:rsid w:val="00892ADC"/>
    <w:rsid w:val="00892FA3"/>
    <w:rsid w:val="008A0B15"/>
    <w:rsid w:val="008A0E81"/>
    <w:rsid w:val="008A227F"/>
    <w:rsid w:val="008A3F10"/>
    <w:rsid w:val="008A4B1B"/>
    <w:rsid w:val="008A75E9"/>
    <w:rsid w:val="008B0EBE"/>
    <w:rsid w:val="008B16E6"/>
    <w:rsid w:val="008B2C45"/>
    <w:rsid w:val="008B33DE"/>
    <w:rsid w:val="008B6447"/>
    <w:rsid w:val="008C5028"/>
    <w:rsid w:val="008C693F"/>
    <w:rsid w:val="008C740A"/>
    <w:rsid w:val="008C7B5C"/>
    <w:rsid w:val="008D373C"/>
    <w:rsid w:val="008D52E9"/>
    <w:rsid w:val="008D57CD"/>
    <w:rsid w:val="008E0FC1"/>
    <w:rsid w:val="008E1C15"/>
    <w:rsid w:val="008E7190"/>
    <w:rsid w:val="008F3AD7"/>
    <w:rsid w:val="008F5D20"/>
    <w:rsid w:val="008F65B1"/>
    <w:rsid w:val="008F764A"/>
    <w:rsid w:val="00900844"/>
    <w:rsid w:val="00901695"/>
    <w:rsid w:val="00903003"/>
    <w:rsid w:val="009039D2"/>
    <w:rsid w:val="0090461D"/>
    <w:rsid w:val="00904C36"/>
    <w:rsid w:val="009050E5"/>
    <w:rsid w:val="009068DE"/>
    <w:rsid w:val="0090784C"/>
    <w:rsid w:val="00910380"/>
    <w:rsid w:val="00914E5E"/>
    <w:rsid w:val="00917173"/>
    <w:rsid w:val="00920A9B"/>
    <w:rsid w:val="00921FF3"/>
    <w:rsid w:val="00924F9A"/>
    <w:rsid w:val="00927EC7"/>
    <w:rsid w:val="009302E5"/>
    <w:rsid w:val="00932D63"/>
    <w:rsid w:val="00934351"/>
    <w:rsid w:val="00935741"/>
    <w:rsid w:val="00940058"/>
    <w:rsid w:val="0094022F"/>
    <w:rsid w:val="00945E5A"/>
    <w:rsid w:val="0094651B"/>
    <w:rsid w:val="009471B7"/>
    <w:rsid w:val="00947ACD"/>
    <w:rsid w:val="00950B2F"/>
    <w:rsid w:val="00952ABF"/>
    <w:rsid w:val="00954D55"/>
    <w:rsid w:val="00955673"/>
    <w:rsid w:val="00956FE7"/>
    <w:rsid w:val="009631F7"/>
    <w:rsid w:val="00964273"/>
    <w:rsid w:val="0096512B"/>
    <w:rsid w:val="00965F9B"/>
    <w:rsid w:val="009671D9"/>
    <w:rsid w:val="009710C1"/>
    <w:rsid w:val="00971748"/>
    <w:rsid w:val="009731CD"/>
    <w:rsid w:val="0097456F"/>
    <w:rsid w:val="00975BB9"/>
    <w:rsid w:val="00980AAF"/>
    <w:rsid w:val="0098176E"/>
    <w:rsid w:val="0098202E"/>
    <w:rsid w:val="0098384C"/>
    <w:rsid w:val="009904AF"/>
    <w:rsid w:val="009916C5"/>
    <w:rsid w:val="00991706"/>
    <w:rsid w:val="00991B0A"/>
    <w:rsid w:val="00992028"/>
    <w:rsid w:val="00996D13"/>
    <w:rsid w:val="009A14BA"/>
    <w:rsid w:val="009A5F4F"/>
    <w:rsid w:val="009B5B8D"/>
    <w:rsid w:val="009B729D"/>
    <w:rsid w:val="009C5261"/>
    <w:rsid w:val="009C70E6"/>
    <w:rsid w:val="009D4CAF"/>
    <w:rsid w:val="009D4F5B"/>
    <w:rsid w:val="009D66D8"/>
    <w:rsid w:val="009D6982"/>
    <w:rsid w:val="009D6D01"/>
    <w:rsid w:val="009E29FA"/>
    <w:rsid w:val="00A07673"/>
    <w:rsid w:val="00A115F5"/>
    <w:rsid w:val="00A12A20"/>
    <w:rsid w:val="00A16A99"/>
    <w:rsid w:val="00A21A3C"/>
    <w:rsid w:val="00A22F2E"/>
    <w:rsid w:val="00A24B13"/>
    <w:rsid w:val="00A2588A"/>
    <w:rsid w:val="00A2691E"/>
    <w:rsid w:val="00A27760"/>
    <w:rsid w:val="00A422FE"/>
    <w:rsid w:val="00A45EB7"/>
    <w:rsid w:val="00A52AE6"/>
    <w:rsid w:val="00A5510C"/>
    <w:rsid w:val="00A5678E"/>
    <w:rsid w:val="00A56D3D"/>
    <w:rsid w:val="00A73A49"/>
    <w:rsid w:val="00A808A5"/>
    <w:rsid w:val="00A858C1"/>
    <w:rsid w:val="00A92A08"/>
    <w:rsid w:val="00A931B2"/>
    <w:rsid w:val="00A93FEA"/>
    <w:rsid w:val="00A94E2A"/>
    <w:rsid w:val="00A95CD5"/>
    <w:rsid w:val="00A95D9A"/>
    <w:rsid w:val="00A96C2A"/>
    <w:rsid w:val="00A975E0"/>
    <w:rsid w:val="00AA0853"/>
    <w:rsid w:val="00AA65B1"/>
    <w:rsid w:val="00AB0560"/>
    <w:rsid w:val="00AB06D4"/>
    <w:rsid w:val="00AB15A9"/>
    <w:rsid w:val="00AB3079"/>
    <w:rsid w:val="00AB5697"/>
    <w:rsid w:val="00AC1080"/>
    <w:rsid w:val="00AC20C9"/>
    <w:rsid w:val="00AC32C3"/>
    <w:rsid w:val="00AC4C4C"/>
    <w:rsid w:val="00AC70B3"/>
    <w:rsid w:val="00AC7F36"/>
    <w:rsid w:val="00AD13B3"/>
    <w:rsid w:val="00AD46CE"/>
    <w:rsid w:val="00AE2D97"/>
    <w:rsid w:val="00AE32B4"/>
    <w:rsid w:val="00AE4885"/>
    <w:rsid w:val="00AF1482"/>
    <w:rsid w:val="00AF34CC"/>
    <w:rsid w:val="00AF4E57"/>
    <w:rsid w:val="00AF5DCB"/>
    <w:rsid w:val="00B014AE"/>
    <w:rsid w:val="00B03257"/>
    <w:rsid w:val="00B10E7D"/>
    <w:rsid w:val="00B124D0"/>
    <w:rsid w:val="00B16C54"/>
    <w:rsid w:val="00B20C1D"/>
    <w:rsid w:val="00B2167A"/>
    <w:rsid w:val="00B260B8"/>
    <w:rsid w:val="00B30CA1"/>
    <w:rsid w:val="00B30FDC"/>
    <w:rsid w:val="00B410B0"/>
    <w:rsid w:val="00B42C93"/>
    <w:rsid w:val="00B45B0E"/>
    <w:rsid w:val="00B558C8"/>
    <w:rsid w:val="00B60675"/>
    <w:rsid w:val="00B625DE"/>
    <w:rsid w:val="00B62780"/>
    <w:rsid w:val="00B67B86"/>
    <w:rsid w:val="00B71DF8"/>
    <w:rsid w:val="00B72721"/>
    <w:rsid w:val="00B76ABF"/>
    <w:rsid w:val="00B80BE8"/>
    <w:rsid w:val="00B85B9A"/>
    <w:rsid w:val="00B87D9A"/>
    <w:rsid w:val="00B9414D"/>
    <w:rsid w:val="00B97C75"/>
    <w:rsid w:val="00BA06B4"/>
    <w:rsid w:val="00BA0FB0"/>
    <w:rsid w:val="00BA1DB4"/>
    <w:rsid w:val="00BA37D1"/>
    <w:rsid w:val="00BB0B24"/>
    <w:rsid w:val="00BB3EF5"/>
    <w:rsid w:val="00BB6EA5"/>
    <w:rsid w:val="00BB70BD"/>
    <w:rsid w:val="00BC39E3"/>
    <w:rsid w:val="00BC3B82"/>
    <w:rsid w:val="00BD0C34"/>
    <w:rsid w:val="00BD4483"/>
    <w:rsid w:val="00BD5F69"/>
    <w:rsid w:val="00BE2481"/>
    <w:rsid w:val="00BF1DA1"/>
    <w:rsid w:val="00BF448A"/>
    <w:rsid w:val="00C00209"/>
    <w:rsid w:val="00C02C7D"/>
    <w:rsid w:val="00C03AAE"/>
    <w:rsid w:val="00C03EDC"/>
    <w:rsid w:val="00C07ADC"/>
    <w:rsid w:val="00C11DED"/>
    <w:rsid w:val="00C20E16"/>
    <w:rsid w:val="00C22A67"/>
    <w:rsid w:val="00C22E26"/>
    <w:rsid w:val="00C239BC"/>
    <w:rsid w:val="00C26CE7"/>
    <w:rsid w:val="00C30561"/>
    <w:rsid w:val="00C3084B"/>
    <w:rsid w:val="00C30FAF"/>
    <w:rsid w:val="00C32483"/>
    <w:rsid w:val="00C340AA"/>
    <w:rsid w:val="00C36E7A"/>
    <w:rsid w:val="00C42759"/>
    <w:rsid w:val="00C565E4"/>
    <w:rsid w:val="00C60362"/>
    <w:rsid w:val="00C62C5C"/>
    <w:rsid w:val="00C64776"/>
    <w:rsid w:val="00C71EE7"/>
    <w:rsid w:val="00C81E1D"/>
    <w:rsid w:val="00C8576A"/>
    <w:rsid w:val="00C858B2"/>
    <w:rsid w:val="00C907F4"/>
    <w:rsid w:val="00C90E6E"/>
    <w:rsid w:val="00C9260F"/>
    <w:rsid w:val="00CA0723"/>
    <w:rsid w:val="00CA325F"/>
    <w:rsid w:val="00CA5ED2"/>
    <w:rsid w:val="00CA70F1"/>
    <w:rsid w:val="00CB4F00"/>
    <w:rsid w:val="00CC428B"/>
    <w:rsid w:val="00CC6AC7"/>
    <w:rsid w:val="00CC75F6"/>
    <w:rsid w:val="00CD1710"/>
    <w:rsid w:val="00CD2408"/>
    <w:rsid w:val="00CD69BD"/>
    <w:rsid w:val="00CE2BB6"/>
    <w:rsid w:val="00CE424A"/>
    <w:rsid w:val="00CE4757"/>
    <w:rsid w:val="00CE4A51"/>
    <w:rsid w:val="00CF2B26"/>
    <w:rsid w:val="00CF6B60"/>
    <w:rsid w:val="00D1180C"/>
    <w:rsid w:val="00D11BC7"/>
    <w:rsid w:val="00D12219"/>
    <w:rsid w:val="00D131A8"/>
    <w:rsid w:val="00D141BB"/>
    <w:rsid w:val="00D209EA"/>
    <w:rsid w:val="00D21724"/>
    <w:rsid w:val="00D30BFE"/>
    <w:rsid w:val="00D31306"/>
    <w:rsid w:val="00D36818"/>
    <w:rsid w:val="00D50CDE"/>
    <w:rsid w:val="00D5719E"/>
    <w:rsid w:val="00D60E9B"/>
    <w:rsid w:val="00D61EC7"/>
    <w:rsid w:val="00D64E84"/>
    <w:rsid w:val="00D652EC"/>
    <w:rsid w:val="00D7158F"/>
    <w:rsid w:val="00D76AB4"/>
    <w:rsid w:val="00D77F2A"/>
    <w:rsid w:val="00D8384F"/>
    <w:rsid w:val="00D931FB"/>
    <w:rsid w:val="00D94186"/>
    <w:rsid w:val="00D949E8"/>
    <w:rsid w:val="00D969FA"/>
    <w:rsid w:val="00D97F45"/>
    <w:rsid w:val="00DA2601"/>
    <w:rsid w:val="00DB3D10"/>
    <w:rsid w:val="00DC3128"/>
    <w:rsid w:val="00DC4AEE"/>
    <w:rsid w:val="00DC5F6A"/>
    <w:rsid w:val="00DC6B42"/>
    <w:rsid w:val="00DC7E76"/>
    <w:rsid w:val="00DD0310"/>
    <w:rsid w:val="00DE0CDE"/>
    <w:rsid w:val="00DE2CA1"/>
    <w:rsid w:val="00DE373F"/>
    <w:rsid w:val="00DE45ED"/>
    <w:rsid w:val="00DE6F91"/>
    <w:rsid w:val="00DF0530"/>
    <w:rsid w:val="00DF1B63"/>
    <w:rsid w:val="00DF23AF"/>
    <w:rsid w:val="00DF5307"/>
    <w:rsid w:val="00DF5EC3"/>
    <w:rsid w:val="00E014EF"/>
    <w:rsid w:val="00E0511C"/>
    <w:rsid w:val="00E06145"/>
    <w:rsid w:val="00E11D4B"/>
    <w:rsid w:val="00E20DC3"/>
    <w:rsid w:val="00E2205E"/>
    <w:rsid w:val="00E226D2"/>
    <w:rsid w:val="00E23194"/>
    <w:rsid w:val="00E25BCC"/>
    <w:rsid w:val="00E26477"/>
    <w:rsid w:val="00E27E62"/>
    <w:rsid w:val="00E306C5"/>
    <w:rsid w:val="00E30C84"/>
    <w:rsid w:val="00E36360"/>
    <w:rsid w:val="00E36918"/>
    <w:rsid w:val="00E40B81"/>
    <w:rsid w:val="00E44C5C"/>
    <w:rsid w:val="00E4561A"/>
    <w:rsid w:val="00E47EA8"/>
    <w:rsid w:val="00E506A3"/>
    <w:rsid w:val="00E5449F"/>
    <w:rsid w:val="00E5747E"/>
    <w:rsid w:val="00E63E64"/>
    <w:rsid w:val="00E641C0"/>
    <w:rsid w:val="00E66F90"/>
    <w:rsid w:val="00E74A08"/>
    <w:rsid w:val="00E75DD5"/>
    <w:rsid w:val="00E87563"/>
    <w:rsid w:val="00E924B6"/>
    <w:rsid w:val="00E92890"/>
    <w:rsid w:val="00E93FE7"/>
    <w:rsid w:val="00E94145"/>
    <w:rsid w:val="00E96299"/>
    <w:rsid w:val="00EA0BC9"/>
    <w:rsid w:val="00EA23FE"/>
    <w:rsid w:val="00EA26FB"/>
    <w:rsid w:val="00EA3953"/>
    <w:rsid w:val="00EA5367"/>
    <w:rsid w:val="00EA5C27"/>
    <w:rsid w:val="00EA75C5"/>
    <w:rsid w:val="00EB5B10"/>
    <w:rsid w:val="00EC3E14"/>
    <w:rsid w:val="00EC41A8"/>
    <w:rsid w:val="00EC6108"/>
    <w:rsid w:val="00EC7570"/>
    <w:rsid w:val="00ED11EF"/>
    <w:rsid w:val="00ED1D00"/>
    <w:rsid w:val="00ED5882"/>
    <w:rsid w:val="00ED61A7"/>
    <w:rsid w:val="00ED7181"/>
    <w:rsid w:val="00ED7474"/>
    <w:rsid w:val="00ED7E42"/>
    <w:rsid w:val="00EE3BD1"/>
    <w:rsid w:val="00EF5EC2"/>
    <w:rsid w:val="00EF67AB"/>
    <w:rsid w:val="00EF72C4"/>
    <w:rsid w:val="00EF7BE0"/>
    <w:rsid w:val="00F049D4"/>
    <w:rsid w:val="00F1474A"/>
    <w:rsid w:val="00F17635"/>
    <w:rsid w:val="00F20514"/>
    <w:rsid w:val="00F21CBD"/>
    <w:rsid w:val="00F236EC"/>
    <w:rsid w:val="00F24B28"/>
    <w:rsid w:val="00F2553A"/>
    <w:rsid w:val="00F271D9"/>
    <w:rsid w:val="00F31912"/>
    <w:rsid w:val="00F34460"/>
    <w:rsid w:val="00F37C8B"/>
    <w:rsid w:val="00F41229"/>
    <w:rsid w:val="00F416CB"/>
    <w:rsid w:val="00F41B0B"/>
    <w:rsid w:val="00F44559"/>
    <w:rsid w:val="00F45B82"/>
    <w:rsid w:val="00F52820"/>
    <w:rsid w:val="00F537A7"/>
    <w:rsid w:val="00F5485A"/>
    <w:rsid w:val="00F60401"/>
    <w:rsid w:val="00F63C18"/>
    <w:rsid w:val="00F703C7"/>
    <w:rsid w:val="00F70A35"/>
    <w:rsid w:val="00F71D6E"/>
    <w:rsid w:val="00F730F4"/>
    <w:rsid w:val="00F731E1"/>
    <w:rsid w:val="00F7738F"/>
    <w:rsid w:val="00F8226A"/>
    <w:rsid w:val="00F86502"/>
    <w:rsid w:val="00F86BFA"/>
    <w:rsid w:val="00F876A2"/>
    <w:rsid w:val="00F91D71"/>
    <w:rsid w:val="00F92A36"/>
    <w:rsid w:val="00F92E88"/>
    <w:rsid w:val="00FA0D4D"/>
    <w:rsid w:val="00FA16AE"/>
    <w:rsid w:val="00FA2CB3"/>
    <w:rsid w:val="00FA3B29"/>
    <w:rsid w:val="00FA4320"/>
    <w:rsid w:val="00FA4668"/>
    <w:rsid w:val="00FB0D22"/>
    <w:rsid w:val="00FB313C"/>
    <w:rsid w:val="00FC198B"/>
    <w:rsid w:val="00FC3607"/>
    <w:rsid w:val="00FC37C8"/>
    <w:rsid w:val="00FC41BC"/>
    <w:rsid w:val="00FD49F4"/>
    <w:rsid w:val="00FE45FF"/>
    <w:rsid w:val="00FE6172"/>
    <w:rsid w:val="00FE710E"/>
    <w:rsid w:val="00FF1532"/>
    <w:rsid w:val="00FF19D8"/>
    <w:rsid w:val="00FF3A10"/>
    <w:rsid w:val="00FF475E"/>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endarrow="block"/>
      <v:shadow color="#ccc"/>
      <o:colormru v:ext="edit" colors="#ddd"/>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257"/>
    <w:pPr>
      <w:spacing w:before="120" w:after="120" w:line="276" w:lineRule="auto"/>
    </w:pPr>
    <w:rPr>
      <w:rFonts w:ascii="Calibri" w:hAnsi="Calibri"/>
      <w:sz w:val="22"/>
      <w:szCs w:val="24"/>
    </w:rPr>
  </w:style>
  <w:style w:type="paragraph" w:styleId="Heading1">
    <w:name w:val="heading 1"/>
    <w:basedOn w:val="Normal"/>
    <w:next w:val="Normal"/>
    <w:qFormat/>
    <w:rsid w:val="001333EE"/>
    <w:pPr>
      <w:keepNext/>
      <w:spacing w:before="240"/>
      <w:outlineLvl w:val="0"/>
    </w:pPr>
    <w:rPr>
      <w:rFonts w:cs="Arial"/>
      <w:b/>
      <w:bCs/>
      <w:color w:val="009892"/>
      <w:kern w:val="32"/>
      <w:sz w:val="36"/>
      <w:szCs w:val="32"/>
    </w:rPr>
  </w:style>
  <w:style w:type="paragraph" w:styleId="Heading2">
    <w:name w:val="heading 2"/>
    <w:basedOn w:val="Normal"/>
    <w:next w:val="Normal"/>
    <w:qFormat/>
    <w:rsid w:val="007F2E46"/>
    <w:pPr>
      <w:keepNext/>
      <w:outlineLvl w:val="1"/>
    </w:pPr>
    <w:rPr>
      <w:rFonts w:cs="Arial"/>
      <w:b/>
      <w:bCs/>
      <w:iCs/>
      <w:color w:val="482F92"/>
      <w:sz w:val="24"/>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rPr>
      <w:sz w:val="24"/>
    </w:r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spacing w:after="0"/>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sz w:val="24"/>
      <w:lang w:val="en-US" w:eastAsia="en-US"/>
    </w:rPr>
  </w:style>
  <w:style w:type="paragraph" w:customStyle="1" w:styleId="TableHeading">
    <w:name w:val="Table Heading"/>
    <w:basedOn w:val="Normal"/>
    <w:next w:val="Normal"/>
    <w:qFormat/>
    <w:rsid w:val="001333EE"/>
    <w:pPr>
      <w:jc w:val="center"/>
    </w:pPr>
    <w:rPr>
      <w:rFonts w:cs="Arial"/>
      <w:b/>
      <w:color w:val="FFFFFF"/>
      <w:sz w:val="24"/>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pPr>
      <w:spacing w:before="0" w:after="0"/>
    </w:pPr>
    <w:rPr>
      <w:b/>
      <w:color w:val="009892"/>
      <w:sz w:val="36"/>
    </w:rPr>
  </w:style>
  <w:style w:type="character" w:styleId="Strong">
    <w:name w:val="Strong"/>
    <w:basedOn w:val="DefaultParagraphFont"/>
    <w:qFormat/>
    <w:rsid w:val="001333EE"/>
    <w:rPr>
      <w:b/>
      <w:bCs/>
    </w:rPr>
  </w:style>
  <w:style w:type="character" w:styleId="Emphasis">
    <w:name w:val="Emphasis"/>
    <w:basedOn w:val="DefaultParagraphFont"/>
    <w:qFormat/>
    <w:rsid w:val="00E96299"/>
    <w:rPr>
      <w:i/>
      <w:iCs/>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892AB5"/>
    <w:pPr>
      <w:spacing w:after="120"/>
    </w:pPr>
    <w:rPr>
      <w:b/>
      <w:bCs/>
      <w:i w:val="0"/>
      <w:iCs w:val="0"/>
      <w:smallCaps/>
    </w:rPr>
  </w:style>
  <w:style w:type="paragraph" w:styleId="TOC3">
    <w:name w:val="toc 3"/>
    <w:basedOn w:val="Normal"/>
    <w:next w:val="Normal"/>
    <w:autoRedefine/>
    <w:uiPriority w:val="39"/>
    <w:qFormat/>
    <w:rsid w:val="00FC198B"/>
    <w:pPr>
      <w:spacing w:before="0" w:after="0"/>
      <w:ind w:left="440"/>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3373AE"/>
    <w:pPr>
      <w:jc w:val="center"/>
    </w:pPr>
    <w:rPr>
      <w:b/>
      <w:color w:val="482F92"/>
      <w:sz w:val="52"/>
      <w:szCs w:val="52"/>
    </w:rPr>
  </w:style>
  <w:style w:type="character" w:customStyle="1" w:styleId="TitleChar">
    <w:name w:val="Title Char"/>
    <w:basedOn w:val="DefaultParagraphFont"/>
    <w:link w:val="Title"/>
    <w:rsid w:val="003373AE"/>
    <w:rPr>
      <w:rFonts w:ascii="Calibri" w:hAnsi="Calibri"/>
      <w:b/>
      <w:color w:val="482F92"/>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before="0" w:after="240" w:line="240" w:lineRule="auto"/>
    </w:pPr>
    <w:rPr>
      <w:rFonts w:ascii="Arial" w:hAnsi="Arial" w:cs="Arial"/>
      <w:sz w:val="40"/>
      <w:szCs w:val="40"/>
    </w:rPr>
  </w:style>
  <w:style w:type="paragraph" w:styleId="TOC4">
    <w:name w:val="toc 4"/>
    <w:basedOn w:val="Normal"/>
    <w:next w:val="Normal"/>
    <w:autoRedefine/>
    <w:rsid w:val="006F5E6D"/>
    <w:pPr>
      <w:spacing w:before="0" w:after="0"/>
      <w:ind w:left="660"/>
    </w:pPr>
    <w:rPr>
      <w:rFonts w:asciiTheme="minorHAnsi" w:hAnsiTheme="minorHAnsi"/>
      <w:sz w:val="20"/>
      <w:szCs w:val="20"/>
    </w:rPr>
  </w:style>
  <w:style w:type="paragraph" w:styleId="TOC5">
    <w:name w:val="toc 5"/>
    <w:basedOn w:val="Normal"/>
    <w:next w:val="Normal"/>
    <w:autoRedefine/>
    <w:rsid w:val="006F5E6D"/>
    <w:pPr>
      <w:spacing w:before="0" w:after="0"/>
      <w:ind w:left="880"/>
    </w:pPr>
    <w:rPr>
      <w:rFonts w:asciiTheme="minorHAnsi" w:hAnsiTheme="minorHAnsi"/>
      <w:sz w:val="20"/>
      <w:szCs w:val="20"/>
    </w:rPr>
  </w:style>
  <w:style w:type="paragraph" w:styleId="TOC6">
    <w:name w:val="toc 6"/>
    <w:basedOn w:val="Normal"/>
    <w:next w:val="Normal"/>
    <w:autoRedefine/>
    <w:rsid w:val="006F5E6D"/>
    <w:pPr>
      <w:spacing w:before="0" w:after="0"/>
      <w:ind w:left="1100"/>
    </w:pPr>
    <w:rPr>
      <w:rFonts w:asciiTheme="minorHAnsi" w:hAnsiTheme="minorHAnsi"/>
      <w:sz w:val="20"/>
      <w:szCs w:val="20"/>
    </w:rPr>
  </w:style>
  <w:style w:type="paragraph" w:styleId="TOC7">
    <w:name w:val="toc 7"/>
    <w:basedOn w:val="Normal"/>
    <w:next w:val="Normal"/>
    <w:autoRedefine/>
    <w:rsid w:val="006F5E6D"/>
    <w:pPr>
      <w:spacing w:before="0" w:after="0"/>
      <w:ind w:left="1320"/>
    </w:pPr>
    <w:rPr>
      <w:rFonts w:asciiTheme="minorHAnsi" w:hAnsiTheme="minorHAnsi"/>
      <w:sz w:val="20"/>
      <w:szCs w:val="20"/>
    </w:rPr>
  </w:style>
  <w:style w:type="paragraph" w:styleId="TOC8">
    <w:name w:val="toc 8"/>
    <w:basedOn w:val="Normal"/>
    <w:next w:val="Normal"/>
    <w:autoRedefine/>
    <w:rsid w:val="006F5E6D"/>
    <w:pPr>
      <w:spacing w:before="0" w:after="0"/>
      <w:ind w:left="1540"/>
    </w:pPr>
    <w:rPr>
      <w:rFonts w:asciiTheme="minorHAnsi" w:hAnsiTheme="minorHAnsi"/>
      <w:sz w:val="20"/>
      <w:szCs w:val="20"/>
    </w:rPr>
  </w:style>
  <w:style w:type="paragraph" w:styleId="TOC9">
    <w:name w:val="toc 9"/>
    <w:basedOn w:val="Normal"/>
    <w:next w:val="Normal"/>
    <w:autoRedefine/>
    <w:rsid w:val="006F5E6D"/>
    <w:pPr>
      <w:spacing w:before="0"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257"/>
    <w:pPr>
      <w:spacing w:before="120" w:after="120" w:line="276" w:lineRule="auto"/>
    </w:pPr>
    <w:rPr>
      <w:rFonts w:ascii="Calibri" w:hAnsi="Calibri"/>
      <w:sz w:val="22"/>
      <w:szCs w:val="24"/>
    </w:rPr>
  </w:style>
  <w:style w:type="paragraph" w:styleId="Heading1">
    <w:name w:val="heading 1"/>
    <w:basedOn w:val="Normal"/>
    <w:next w:val="Normal"/>
    <w:qFormat/>
    <w:rsid w:val="001333EE"/>
    <w:pPr>
      <w:keepNext/>
      <w:spacing w:before="240"/>
      <w:outlineLvl w:val="0"/>
    </w:pPr>
    <w:rPr>
      <w:rFonts w:cs="Arial"/>
      <w:b/>
      <w:bCs/>
      <w:color w:val="009892"/>
      <w:kern w:val="32"/>
      <w:sz w:val="36"/>
      <w:szCs w:val="32"/>
    </w:rPr>
  </w:style>
  <w:style w:type="paragraph" w:styleId="Heading2">
    <w:name w:val="heading 2"/>
    <w:basedOn w:val="Normal"/>
    <w:next w:val="Normal"/>
    <w:qFormat/>
    <w:rsid w:val="007F2E46"/>
    <w:pPr>
      <w:keepNext/>
      <w:outlineLvl w:val="1"/>
    </w:pPr>
    <w:rPr>
      <w:rFonts w:cs="Arial"/>
      <w:b/>
      <w:bCs/>
      <w:iCs/>
      <w:color w:val="482F92"/>
      <w:sz w:val="24"/>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rPr>
      <w:sz w:val="24"/>
    </w:r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spacing w:after="0"/>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sz w:val="24"/>
      <w:lang w:val="en-US" w:eastAsia="en-US"/>
    </w:rPr>
  </w:style>
  <w:style w:type="paragraph" w:customStyle="1" w:styleId="TableHeading">
    <w:name w:val="Table Heading"/>
    <w:basedOn w:val="Normal"/>
    <w:next w:val="Normal"/>
    <w:qFormat/>
    <w:rsid w:val="001333EE"/>
    <w:pPr>
      <w:jc w:val="center"/>
    </w:pPr>
    <w:rPr>
      <w:rFonts w:cs="Arial"/>
      <w:b/>
      <w:color w:val="FFFFFF"/>
      <w:sz w:val="24"/>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pPr>
      <w:spacing w:before="0" w:after="0"/>
    </w:pPr>
    <w:rPr>
      <w:b/>
      <w:color w:val="009892"/>
      <w:sz w:val="36"/>
    </w:rPr>
  </w:style>
  <w:style w:type="character" w:styleId="Strong">
    <w:name w:val="Strong"/>
    <w:basedOn w:val="DefaultParagraphFont"/>
    <w:qFormat/>
    <w:rsid w:val="001333EE"/>
    <w:rPr>
      <w:b/>
      <w:bCs/>
    </w:rPr>
  </w:style>
  <w:style w:type="character" w:styleId="Emphasis">
    <w:name w:val="Emphasis"/>
    <w:basedOn w:val="DefaultParagraphFont"/>
    <w:qFormat/>
    <w:rsid w:val="00E96299"/>
    <w:rPr>
      <w:i/>
      <w:iCs/>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892AB5"/>
    <w:pPr>
      <w:spacing w:after="120"/>
    </w:pPr>
    <w:rPr>
      <w:b/>
      <w:bCs/>
      <w:i w:val="0"/>
      <w:iCs w:val="0"/>
      <w:smallCaps/>
    </w:rPr>
  </w:style>
  <w:style w:type="paragraph" w:styleId="TOC3">
    <w:name w:val="toc 3"/>
    <w:basedOn w:val="Normal"/>
    <w:next w:val="Normal"/>
    <w:autoRedefine/>
    <w:uiPriority w:val="39"/>
    <w:qFormat/>
    <w:rsid w:val="00FC198B"/>
    <w:pPr>
      <w:spacing w:before="0" w:after="0"/>
      <w:ind w:left="440"/>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3373AE"/>
    <w:pPr>
      <w:jc w:val="center"/>
    </w:pPr>
    <w:rPr>
      <w:b/>
      <w:color w:val="482F92"/>
      <w:sz w:val="52"/>
      <w:szCs w:val="52"/>
    </w:rPr>
  </w:style>
  <w:style w:type="character" w:customStyle="1" w:styleId="TitleChar">
    <w:name w:val="Title Char"/>
    <w:basedOn w:val="DefaultParagraphFont"/>
    <w:link w:val="Title"/>
    <w:rsid w:val="003373AE"/>
    <w:rPr>
      <w:rFonts w:ascii="Calibri" w:hAnsi="Calibri"/>
      <w:b/>
      <w:color w:val="482F92"/>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before="0" w:after="240" w:line="240" w:lineRule="auto"/>
    </w:pPr>
    <w:rPr>
      <w:rFonts w:ascii="Arial" w:hAnsi="Arial" w:cs="Arial"/>
      <w:sz w:val="40"/>
      <w:szCs w:val="40"/>
    </w:rPr>
  </w:style>
  <w:style w:type="paragraph" w:styleId="TOC4">
    <w:name w:val="toc 4"/>
    <w:basedOn w:val="Normal"/>
    <w:next w:val="Normal"/>
    <w:autoRedefine/>
    <w:rsid w:val="006F5E6D"/>
    <w:pPr>
      <w:spacing w:before="0" w:after="0"/>
      <w:ind w:left="660"/>
    </w:pPr>
    <w:rPr>
      <w:rFonts w:asciiTheme="minorHAnsi" w:hAnsiTheme="minorHAnsi"/>
      <w:sz w:val="20"/>
      <w:szCs w:val="20"/>
    </w:rPr>
  </w:style>
  <w:style w:type="paragraph" w:styleId="TOC5">
    <w:name w:val="toc 5"/>
    <w:basedOn w:val="Normal"/>
    <w:next w:val="Normal"/>
    <w:autoRedefine/>
    <w:rsid w:val="006F5E6D"/>
    <w:pPr>
      <w:spacing w:before="0" w:after="0"/>
      <w:ind w:left="880"/>
    </w:pPr>
    <w:rPr>
      <w:rFonts w:asciiTheme="minorHAnsi" w:hAnsiTheme="minorHAnsi"/>
      <w:sz w:val="20"/>
      <w:szCs w:val="20"/>
    </w:rPr>
  </w:style>
  <w:style w:type="paragraph" w:styleId="TOC6">
    <w:name w:val="toc 6"/>
    <w:basedOn w:val="Normal"/>
    <w:next w:val="Normal"/>
    <w:autoRedefine/>
    <w:rsid w:val="006F5E6D"/>
    <w:pPr>
      <w:spacing w:before="0" w:after="0"/>
      <w:ind w:left="1100"/>
    </w:pPr>
    <w:rPr>
      <w:rFonts w:asciiTheme="minorHAnsi" w:hAnsiTheme="minorHAnsi"/>
      <w:sz w:val="20"/>
      <w:szCs w:val="20"/>
    </w:rPr>
  </w:style>
  <w:style w:type="paragraph" w:styleId="TOC7">
    <w:name w:val="toc 7"/>
    <w:basedOn w:val="Normal"/>
    <w:next w:val="Normal"/>
    <w:autoRedefine/>
    <w:rsid w:val="006F5E6D"/>
    <w:pPr>
      <w:spacing w:before="0" w:after="0"/>
      <w:ind w:left="1320"/>
    </w:pPr>
    <w:rPr>
      <w:rFonts w:asciiTheme="minorHAnsi" w:hAnsiTheme="minorHAnsi"/>
      <w:sz w:val="20"/>
      <w:szCs w:val="20"/>
    </w:rPr>
  </w:style>
  <w:style w:type="paragraph" w:styleId="TOC8">
    <w:name w:val="toc 8"/>
    <w:basedOn w:val="Normal"/>
    <w:next w:val="Normal"/>
    <w:autoRedefine/>
    <w:rsid w:val="006F5E6D"/>
    <w:pPr>
      <w:spacing w:before="0" w:after="0"/>
      <w:ind w:left="1540"/>
    </w:pPr>
    <w:rPr>
      <w:rFonts w:asciiTheme="minorHAnsi" w:hAnsiTheme="minorHAnsi"/>
      <w:sz w:val="20"/>
      <w:szCs w:val="20"/>
    </w:rPr>
  </w:style>
  <w:style w:type="paragraph" w:styleId="TOC9">
    <w:name w:val="toc 9"/>
    <w:basedOn w:val="Normal"/>
    <w:next w:val="Normal"/>
    <w:autoRedefine/>
    <w:rsid w:val="006F5E6D"/>
    <w:pPr>
      <w:spacing w:before="0"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ecsn.gov.au/sites/SecureSitePortal/Documents/Current/Disability%20Employment%20Services%20Deed%202010%20-%202012%20Programs%20A%20and%20B.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sn.gov.au/sites/SecureSitePortal/Documents/Current/Disability%20Employment%20Services%20Deed%202010%20-%202012%20Programs%20A%20and%20B.ht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sn.gov.au/sites/SecureSitePortal/Documents/Current/Guide%20to%20Providing%20Access%20to%20Records.pdf" TargetMode="External"/><Relationship Id="rId10" Type="http://schemas.openxmlformats.org/officeDocument/2006/relationships/webSettings" Target="webSettings.xml"/><Relationship Id="rId19" Type="http://schemas.openxmlformats.org/officeDocument/2006/relationships/hyperlink" Target="https://ecsn.gov.au/sites/SecureSitePortal/Documents/Current/Disability%20Employment%20Services%20Deed%202010%20-%202012%20Programs%20A%20and%20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umanservices.gov.au/customer/forms/su6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A39C8F7345ACE444B9608811AE9A0B1A" ma:contentTypeVersion="8" ma:contentTypeDescription="Ddocs' Word Content Type" ma:contentTypeScope="" ma:versionID="2dbbaefbd7c651f3cc6e7e33dd776ded">
  <xsd:schema xmlns:xsd="http://www.w3.org/2001/XMLSchema" xmlns:p="http://schemas.microsoft.com/office/2006/metadata/properties" xmlns:ns2="http://schemas.microsoft.com/sharepoint/v3/fields" xmlns:ns3="4ff5bc6b-1238-418a-b0ee-f48830a30d62" targetNamespace="http://schemas.microsoft.com/office/2006/metadata/properties" ma:root="true" ma:fieldsID="af474600617a985f828c7e7d098b3b7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ternalName="DNetUniqueId" ma:readOnly="true">
      <xsd:simpleType>
        <xsd:restriction base="dms:Text"/>
      </xsd:simpleType>
    </xsd:element>
  </xsd:schema>
  <xsd:schema xmlns:xsd="http://www.w3.org/2001/XMLSchema" xmlns:dms="http://schemas.microsoft.com/office/2006/documentManagement/types" targetNamespace="4ff5bc6b-1238-418a-b0ee-f48830a30d62"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docsSearchTerms xmlns="http://schemas.microsoft.com/sharepoint/v3/fields" xsi:nil="true"/>
    <_dlc_ExpireDate xmlns="4ff5bc6b-1238-418a-b0ee-f48830a30d62">2016-08-19T00:22:40+00:00</_dlc_ExpireDate>
    <_dlc_ExpireDateSaved xmlns="4ff5bc6b-1238-418a-b0ee-f48830a30d62" xsi:nil="true"/>
    <DNetUniqueId xmlns="http://schemas.microsoft.com/sharepoint/v3/fields">D06-8136994</DNetUniqu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3CA3-2C10-493C-879F-3D629BA3D3E4}">
  <ds:schemaRefs>
    <ds:schemaRef ds:uri="http://schemas.microsoft.com/sharepoint/events"/>
  </ds:schemaRefs>
</ds:datastoreItem>
</file>

<file path=customXml/itemProps2.xml><?xml version="1.0" encoding="utf-8"?>
<ds:datastoreItem xmlns:ds="http://schemas.openxmlformats.org/officeDocument/2006/customXml" ds:itemID="{37921350-24DE-4736-BED8-ADBB21749E0F}">
  <ds:schemaRefs>
    <ds:schemaRef ds:uri="office.server.policy"/>
  </ds:schemaRefs>
</ds:datastoreItem>
</file>

<file path=customXml/itemProps3.xml><?xml version="1.0" encoding="utf-8"?>
<ds:datastoreItem xmlns:ds="http://schemas.openxmlformats.org/officeDocument/2006/customXml" ds:itemID="{AA5130D9-26AE-47B3-9F19-0AA7A9B0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F8F074-7E76-486F-91B2-4C470EA56329}">
  <ds:schemaRefs>
    <ds:schemaRef ds:uri="4ff5bc6b-1238-418a-b0ee-f48830a30d62"/>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3/fields"/>
    <ds:schemaRef ds:uri="http://purl.org/dc/dcmitype/"/>
    <ds:schemaRef ds:uri="http://www.w3.org/XML/1998/namespace"/>
  </ds:schemaRefs>
</ds:datastoreItem>
</file>

<file path=customXml/itemProps5.xml><?xml version="1.0" encoding="utf-8"?>
<ds:datastoreItem xmlns:ds="http://schemas.openxmlformats.org/officeDocument/2006/customXml" ds:itemID="{38D6BC3C-90E8-496D-A417-A1022808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5227</Words>
  <Characters>32072</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Job Seeker Classification Instrument Guidelines</vt:lpstr>
    </vt:vector>
  </TitlesOfParts>
  <Company>Australian Government</Company>
  <LinksUpToDate>false</LinksUpToDate>
  <CharactersWithSpaces>37225</CharactersWithSpaces>
  <SharedDoc>false</SharedDoc>
  <HLinks>
    <vt:vector size="144" baseType="variant">
      <vt:variant>
        <vt:i4>3801197</vt:i4>
      </vt:variant>
      <vt:variant>
        <vt:i4>93</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90</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87</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84</vt:i4>
      </vt:variant>
      <vt:variant>
        <vt:i4>0</vt:i4>
      </vt:variant>
      <vt:variant>
        <vt:i4>5</vt:i4>
      </vt:variant>
      <vt:variant>
        <vt:lpwstr>https://ecsn.gov.au/sites/SecureSitePortal/Documents/Current/Stream Services Review Guidelines.pdf</vt:lpwstr>
      </vt:variant>
      <vt:variant>
        <vt:lpwstr/>
      </vt:variant>
      <vt:variant>
        <vt:i4>3801197</vt:i4>
      </vt:variant>
      <vt:variant>
        <vt:i4>81</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78</vt:i4>
      </vt:variant>
      <vt:variant>
        <vt:i4>0</vt:i4>
      </vt:variant>
      <vt:variant>
        <vt:i4>5</vt:i4>
      </vt:variant>
      <vt:variant>
        <vt:lpwstr>https://ecsn.gov.au/sites/SecureSitePortal/Documents/Current/Stream Services Review Guidelines.pdf</vt:lpwstr>
      </vt:variant>
      <vt:variant>
        <vt:lpwstr/>
      </vt:variant>
      <vt:variant>
        <vt:i4>8323124</vt:i4>
      </vt:variant>
      <vt:variant>
        <vt:i4>75</vt:i4>
      </vt:variant>
      <vt:variant>
        <vt:i4>0</vt:i4>
      </vt:variant>
      <vt:variant>
        <vt:i4>5</vt:i4>
      </vt:variant>
      <vt:variant>
        <vt:lpwstr>https://ecsn.gov.au/sites/SecureSitePortal/Documents/Current/Direct Registration Guidelines.pdf</vt:lpwstr>
      </vt:variant>
      <vt:variant>
        <vt:lpwstr/>
      </vt:variant>
      <vt:variant>
        <vt:i4>3801197</vt:i4>
      </vt:variant>
      <vt:variant>
        <vt:i4>72</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69</vt:i4>
      </vt:variant>
      <vt:variant>
        <vt:i4>0</vt:i4>
      </vt:variant>
      <vt:variant>
        <vt:i4>5</vt:i4>
      </vt:variant>
      <vt:variant>
        <vt:lpwstr>https://ecsn.gov.au/sites/SecureSitePortal/Documents/Current/Stream Services Review Guidelines.pdf</vt:lpwstr>
      </vt:variant>
      <vt:variant>
        <vt:lpwstr/>
      </vt:variant>
      <vt:variant>
        <vt:i4>8323124</vt:i4>
      </vt:variant>
      <vt:variant>
        <vt:i4>66</vt:i4>
      </vt:variant>
      <vt:variant>
        <vt:i4>0</vt:i4>
      </vt:variant>
      <vt:variant>
        <vt:i4>5</vt:i4>
      </vt:variant>
      <vt:variant>
        <vt:lpwstr>https://ecsn.gov.au/sites/SecureSitePortal/Documents/Current/Direct Registration Guidelines.pdf</vt:lpwstr>
      </vt:variant>
      <vt:variant>
        <vt:lpwstr/>
      </vt:variant>
      <vt:variant>
        <vt:i4>2949221</vt:i4>
      </vt:variant>
      <vt:variant>
        <vt:i4>63</vt:i4>
      </vt:variant>
      <vt:variant>
        <vt:i4>0</vt:i4>
      </vt:variant>
      <vt:variant>
        <vt:i4>5</vt:i4>
      </vt:variant>
      <vt:variant>
        <vt:lpwstr>https://ecsn.gov.au/sites/SecureSitePortal/Documents/Current/Vulnerable Youth and Vulnerable Youth (Student) Direct Registration Guidelines.pdf</vt:lpwstr>
      </vt:variant>
      <vt:variant>
        <vt:lpwstr/>
      </vt:variant>
      <vt:variant>
        <vt:i4>7143540</vt:i4>
      </vt:variant>
      <vt:variant>
        <vt:i4>60</vt:i4>
      </vt:variant>
      <vt:variant>
        <vt:i4>0</vt:i4>
      </vt:variant>
      <vt:variant>
        <vt:i4>5</vt:i4>
      </vt:variant>
      <vt:variant>
        <vt:lpwstr>https://ecsn.gov.au/sites/SecureSitePortal/Documents/Current/Stream Services Review Guidelines.pdf</vt:lpwstr>
      </vt:variant>
      <vt:variant>
        <vt:lpwstr/>
      </vt:variant>
      <vt:variant>
        <vt:i4>3801197</vt:i4>
      </vt:variant>
      <vt:variant>
        <vt:i4>57</vt:i4>
      </vt:variant>
      <vt:variant>
        <vt:i4>0</vt:i4>
      </vt:variant>
      <vt:variant>
        <vt:i4>5</vt:i4>
      </vt:variant>
      <vt:variant>
        <vt:lpwstr>https://ecsn.gov.au/sites/SecureSitePortal/Documents/Current/Referral for a Job Capacity Assessment Guidelines.pdf</vt:lpwstr>
      </vt:variant>
      <vt:variant>
        <vt:lpwstr/>
      </vt:variant>
      <vt:variant>
        <vt:i4>8323124</vt:i4>
      </vt:variant>
      <vt:variant>
        <vt:i4>54</vt:i4>
      </vt:variant>
      <vt:variant>
        <vt:i4>0</vt:i4>
      </vt:variant>
      <vt:variant>
        <vt:i4>5</vt:i4>
      </vt:variant>
      <vt:variant>
        <vt:lpwstr>https://ecsn.gov.au/sites/SecureSitePortal/Documents/Current/Direct Registration Guidelines.pdf</vt:lpwstr>
      </vt:variant>
      <vt:variant>
        <vt:lpwstr/>
      </vt:variant>
      <vt:variant>
        <vt:i4>5242949</vt:i4>
      </vt:variant>
      <vt:variant>
        <vt:i4>51</vt:i4>
      </vt:variant>
      <vt:variant>
        <vt:i4>0</vt:i4>
      </vt:variant>
      <vt:variant>
        <vt:i4>5</vt:i4>
      </vt:variant>
      <vt:variant>
        <vt:lpwstr>https://ecsn.gov.au/sites/SecureSitePortal/Documents/Current/Employment Services Deed 2009-2012 SS.htm</vt:lpwstr>
      </vt:variant>
      <vt:variant>
        <vt:lpwstr>annexe</vt:lpwstr>
      </vt:variant>
      <vt:variant>
        <vt:i4>655362</vt:i4>
      </vt:variant>
      <vt:variant>
        <vt:i4>48</vt:i4>
      </vt:variant>
      <vt:variant>
        <vt:i4>0</vt:i4>
      </vt:variant>
      <vt:variant>
        <vt:i4>5</vt:i4>
      </vt:variant>
      <vt:variant>
        <vt:lpwstr>https://ecsn.gov.au/sites/SecureSitePortal/Documents/Current/Employment Services Deed 2009-2012 SS.htm</vt:lpwstr>
      </vt:variant>
      <vt:variant>
        <vt:lpwstr>042</vt:lpwstr>
      </vt:variant>
      <vt:variant>
        <vt:i4>655362</vt:i4>
      </vt:variant>
      <vt:variant>
        <vt:i4>45</vt:i4>
      </vt:variant>
      <vt:variant>
        <vt:i4>0</vt:i4>
      </vt:variant>
      <vt:variant>
        <vt:i4>5</vt:i4>
      </vt:variant>
      <vt:variant>
        <vt:lpwstr>https://ecsn.gov.au/sites/SecureSitePortal/Documents/Current/Employment Services Deed 2009-2012 SS.htm</vt:lpwstr>
      </vt:variant>
      <vt:variant>
        <vt:lpwstr>041</vt:lpwstr>
      </vt:variant>
      <vt:variant>
        <vt:i4>655362</vt:i4>
      </vt:variant>
      <vt:variant>
        <vt:i4>42</vt:i4>
      </vt:variant>
      <vt:variant>
        <vt:i4>0</vt:i4>
      </vt:variant>
      <vt:variant>
        <vt:i4>5</vt:i4>
      </vt:variant>
      <vt:variant>
        <vt:lpwstr>https://ecsn.gov.au/sites/SecureSitePortal/Documents/Current/Employment Services Deed 2009-2012 SS.htm</vt:lpwstr>
      </vt:variant>
      <vt:variant>
        <vt:lpwstr>040</vt:lpwstr>
      </vt:variant>
      <vt:variant>
        <vt:i4>1179702</vt:i4>
      </vt:variant>
      <vt:variant>
        <vt:i4>35</vt:i4>
      </vt:variant>
      <vt:variant>
        <vt:i4>0</vt:i4>
      </vt:variant>
      <vt:variant>
        <vt:i4>5</vt:i4>
      </vt:variant>
      <vt:variant>
        <vt:lpwstr/>
      </vt:variant>
      <vt:variant>
        <vt:lpwstr>_Toc252868006</vt:lpwstr>
      </vt:variant>
      <vt:variant>
        <vt:i4>1179702</vt:i4>
      </vt:variant>
      <vt:variant>
        <vt:i4>29</vt:i4>
      </vt:variant>
      <vt:variant>
        <vt:i4>0</vt:i4>
      </vt:variant>
      <vt:variant>
        <vt:i4>5</vt:i4>
      </vt:variant>
      <vt:variant>
        <vt:lpwstr/>
      </vt:variant>
      <vt:variant>
        <vt:lpwstr>_Toc252868005</vt:lpwstr>
      </vt:variant>
      <vt:variant>
        <vt:i4>1179702</vt:i4>
      </vt:variant>
      <vt:variant>
        <vt:i4>23</vt:i4>
      </vt:variant>
      <vt:variant>
        <vt:i4>0</vt:i4>
      </vt:variant>
      <vt:variant>
        <vt:i4>5</vt:i4>
      </vt:variant>
      <vt:variant>
        <vt:lpwstr/>
      </vt:variant>
      <vt:variant>
        <vt:lpwstr>_Toc252868004</vt:lpwstr>
      </vt:variant>
      <vt:variant>
        <vt:i4>1179702</vt:i4>
      </vt:variant>
      <vt:variant>
        <vt:i4>17</vt:i4>
      </vt:variant>
      <vt:variant>
        <vt:i4>0</vt:i4>
      </vt:variant>
      <vt:variant>
        <vt:i4>5</vt:i4>
      </vt:variant>
      <vt:variant>
        <vt:lpwstr/>
      </vt:variant>
      <vt:variant>
        <vt:lpwstr>_Toc252868003</vt:lpwstr>
      </vt:variant>
      <vt:variant>
        <vt:i4>1179702</vt:i4>
      </vt:variant>
      <vt:variant>
        <vt:i4>11</vt:i4>
      </vt:variant>
      <vt:variant>
        <vt:i4>0</vt:i4>
      </vt:variant>
      <vt:variant>
        <vt:i4>5</vt:i4>
      </vt:variant>
      <vt:variant>
        <vt:lpwstr/>
      </vt:variant>
      <vt:variant>
        <vt:lpwstr>_Toc252868001</vt:lpwstr>
      </vt:variant>
      <vt:variant>
        <vt:i4>1179702</vt:i4>
      </vt:variant>
      <vt:variant>
        <vt:i4>5</vt:i4>
      </vt:variant>
      <vt:variant>
        <vt:i4>0</vt:i4>
      </vt:variant>
      <vt:variant>
        <vt:i4>5</vt:i4>
      </vt:variant>
      <vt:variant>
        <vt:lpwstr/>
      </vt:variant>
      <vt:variant>
        <vt:lpwstr>_Toc252868000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Seeker Classification Instrument Guidelines</dc:title>
  <dc:creator>DEEWR</dc:creator>
  <cp:lastModifiedBy>RAYNER, Leigh</cp:lastModifiedBy>
  <cp:revision>19</cp:revision>
  <cp:lastPrinted>2014-03-11T23:34:00Z</cp:lastPrinted>
  <dcterms:created xsi:type="dcterms:W3CDTF">2014-06-26T00:50:00Z</dcterms:created>
  <dcterms:modified xsi:type="dcterms:W3CDTF">2015-07-22T23:18:00Z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0x0101009EDC4876AF524A70BD125A9D2C0D191E0C00A39C8F7345ACE444B9608811AE9A0B1A</vt:lpwstr>
  </property>
</Properties>
</file>