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270" w:rsidRDefault="00525408" w:rsidP="00A30270">
      <w:pPr>
        <w:pStyle w:val="Title"/>
        <w:jc w:val="right"/>
        <w:rPr>
          <w:b w:val="0"/>
        </w:rPr>
      </w:pPr>
      <w:r>
        <w:rPr>
          <w:noProof/>
          <w:lang w:eastAsia="en-AU"/>
        </w:rPr>
        <w:drawing>
          <wp:inline distT="0" distB="0" distL="0" distR="0" wp14:anchorId="03E32B19" wp14:editId="3CF90C63">
            <wp:extent cx="2616200" cy="723265"/>
            <wp:effectExtent l="0" t="0" r="0" b="635"/>
            <wp:docPr id="4" name="Picture 4" descr="Australian Government and Disability Employment Servic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6200" cy="723265"/>
                    </a:xfrm>
                    <a:prstGeom prst="rect">
                      <a:avLst/>
                    </a:prstGeom>
                    <a:noFill/>
                    <a:ln>
                      <a:noFill/>
                    </a:ln>
                  </pic:spPr>
                </pic:pic>
              </a:graphicData>
            </a:graphic>
          </wp:inline>
        </w:drawing>
      </w:r>
    </w:p>
    <w:p w:rsidR="00D51AA1" w:rsidRPr="006214DA" w:rsidRDefault="004A37B6" w:rsidP="006214DA">
      <w:pPr>
        <w:pStyle w:val="Title"/>
      </w:pPr>
      <w:r w:rsidRPr="006214DA">
        <w:t>Job Seeker Compliance Framework Guideline</w:t>
      </w:r>
      <w:r w:rsidR="0088393D" w:rsidRPr="006214DA">
        <w:t xml:space="preserve"> </w:t>
      </w:r>
    </w:p>
    <w:p w:rsidR="006214DA" w:rsidRDefault="006214DA" w:rsidP="00753E58">
      <w:pPr>
        <w:pStyle w:val="NoSpacing"/>
      </w:pPr>
    </w:p>
    <w:p w:rsidR="006214DA" w:rsidRDefault="00F25C08" w:rsidP="006214DA">
      <w:pPr>
        <w:pStyle w:val="Heading2"/>
      </w:pPr>
      <w:r w:rsidRPr="00B315F3">
        <w:t xml:space="preserve">Document change history </w:t>
      </w:r>
    </w:p>
    <w:p w:rsidR="006214DA" w:rsidRPr="006214DA" w:rsidRDefault="006214DA" w:rsidP="006214DA"/>
    <w:tbl>
      <w:tblPr>
        <w:tblW w:w="10145" w:type="dxa"/>
        <w:jc w:val="center"/>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486"/>
        <w:gridCol w:w="1519"/>
        <w:gridCol w:w="1485"/>
        <w:gridCol w:w="4678"/>
      </w:tblGrid>
      <w:tr w:rsidR="00F25C08" w:rsidRPr="00B315F3" w:rsidTr="00A14DC9">
        <w:trPr>
          <w:tblHeader/>
          <w:jc w:val="center"/>
        </w:trPr>
        <w:tc>
          <w:tcPr>
            <w:tcW w:w="496" w:type="dxa"/>
            <w:shd w:val="clear" w:color="auto" w:fill="auto"/>
            <w:vAlign w:val="center"/>
          </w:tcPr>
          <w:p w:rsidR="00F25C08" w:rsidRPr="00B315F3" w:rsidRDefault="00F25C08" w:rsidP="00550378">
            <w:pPr>
              <w:pStyle w:val="TableHeadingCentred"/>
              <w:rPr>
                <w:color w:val="auto"/>
              </w:rPr>
            </w:pPr>
            <w:r w:rsidRPr="00B315F3">
              <w:rPr>
                <w:color w:val="auto"/>
              </w:rPr>
              <w:t>Version</w:t>
            </w:r>
          </w:p>
        </w:tc>
        <w:tc>
          <w:tcPr>
            <w:tcW w:w="1559" w:type="dxa"/>
            <w:shd w:val="clear" w:color="auto" w:fill="auto"/>
            <w:vAlign w:val="center"/>
          </w:tcPr>
          <w:p w:rsidR="00F25C08" w:rsidRPr="00B315F3" w:rsidRDefault="00F25C08" w:rsidP="00550378">
            <w:pPr>
              <w:pStyle w:val="TableHeadingCentred"/>
              <w:rPr>
                <w:color w:val="auto"/>
              </w:rPr>
            </w:pPr>
            <w:r w:rsidRPr="00B315F3">
              <w:rPr>
                <w:color w:val="auto"/>
              </w:rPr>
              <w:t>Start date</w:t>
            </w:r>
          </w:p>
        </w:tc>
        <w:tc>
          <w:tcPr>
            <w:tcW w:w="1559" w:type="dxa"/>
            <w:shd w:val="clear" w:color="auto" w:fill="auto"/>
            <w:vAlign w:val="center"/>
          </w:tcPr>
          <w:p w:rsidR="00F25C08" w:rsidRPr="00B315F3" w:rsidRDefault="00F25C08" w:rsidP="00550378">
            <w:pPr>
              <w:pStyle w:val="TableHeadingCentred"/>
              <w:rPr>
                <w:color w:val="auto"/>
              </w:rPr>
            </w:pPr>
            <w:r w:rsidRPr="00B315F3">
              <w:rPr>
                <w:color w:val="auto"/>
              </w:rPr>
              <w:t>Effective date</w:t>
            </w:r>
          </w:p>
        </w:tc>
        <w:tc>
          <w:tcPr>
            <w:tcW w:w="1560" w:type="dxa"/>
            <w:shd w:val="clear" w:color="auto" w:fill="auto"/>
            <w:vAlign w:val="center"/>
          </w:tcPr>
          <w:p w:rsidR="00F25C08" w:rsidRPr="00B315F3" w:rsidRDefault="00F25C08" w:rsidP="00550378">
            <w:pPr>
              <w:pStyle w:val="TableHeadingCentred"/>
              <w:rPr>
                <w:color w:val="auto"/>
              </w:rPr>
            </w:pPr>
            <w:r w:rsidRPr="00B315F3">
              <w:rPr>
                <w:color w:val="auto"/>
              </w:rPr>
              <w:t>End date</w:t>
            </w:r>
          </w:p>
        </w:tc>
        <w:tc>
          <w:tcPr>
            <w:tcW w:w="4971" w:type="dxa"/>
            <w:shd w:val="clear" w:color="auto" w:fill="auto"/>
            <w:vAlign w:val="center"/>
          </w:tcPr>
          <w:p w:rsidR="00F25C08" w:rsidRPr="00B315F3" w:rsidRDefault="00F25C08" w:rsidP="00550378">
            <w:pPr>
              <w:pStyle w:val="TableHeadingCentred"/>
              <w:rPr>
                <w:color w:val="auto"/>
              </w:rPr>
            </w:pPr>
            <w:r w:rsidRPr="00B315F3">
              <w:rPr>
                <w:color w:val="auto"/>
              </w:rPr>
              <w:t xml:space="preserve">Change and location </w:t>
            </w:r>
          </w:p>
        </w:tc>
      </w:tr>
      <w:tr w:rsidR="009350B7" w:rsidRPr="00B315F3" w:rsidTr="00A14DC9">
        <w:trPr>
          <w:tblHeader/>
          <w:jc w:val="center"/>
        </w:trPr>
        <w:tc>
          <w:tcPr>
            <w:tcW w:w="496" w:type="dxa"/>
            <w:shd w:val="clear" w:color="auto" w:fill="auto"/>
            <w:vAlign w:val="center"/>
          </w:tcPr>
          <w:p w:rsidR="009350B7" w:rsidRPr="00B315F3" w:rsidRDefault="009350B7" w:rsidP="00550378">
            <w:pPr>
              <w:pStyle w:val="TableHeadingCentred"/>
              <w:rPr>
                <w:color w:val="auto"/>
              </w:rPr>
            </w:pPr>
            <w:r>
              <w:rPr>
                <w:color w:val="auto"/>
              </w:rPr>
              <w:t>2.0</w:t>
            </w:r>
          </w:p>
        </w:tc>
        <w:tc>
          <w:tcPr>
            <w:tcW w:w="1559" w:type="dxa"/>
            <w:shd w:val="clear" w:color="auto" w:fill="auto"/>
            <w:vAlign w:val="center"/>
          </w:tcPr>
          <w:p w:rsidR="009350B7" w:rsidRPr="00B315F3" w:rsidRDefault="009350B7" w:rsidP="00550378">
            <w:pPr>
              <w:pStyle w:val="TableHeadingCentred"/>
              <w:rPr>
                <w:color w:val="auto"/>
              </w:rPr>
            </w:pPr>
            <w:r>
              <w:rPr>
                <w:color w:val="auto"/>
              </w:rPr>
              <w:t>13 08 15</w:t>
            </w:r>
          </w:p>
        </w:tc>
        <w:tc>
          <w:tcPr>
            <w:tcW w:w="1559" w:type="dxa"/>
            <w:shd w:val="clear" w:color="auto" w:fill="auto"/>
            <w:vAlign w:val="center"/>
          </w:tcPr>
          <w:p w:rsidR="009350B7" w:rsidRPr="00B315F3" w:rsidRDefault="009350B7" w:rsidP="00550378">
            <w:pPr>
              <w:pStyle w:val="TableHeadingCentred"/>
              <w:rPr>
                <w:color w:val="auto"/>
              </w:rPr>
            </w:pPr>
            <w:r>
              <w:rPr>
                <w:color w:val="auto"/>
              </w:rPr>
              <w:t>13 08 15</w:t>
            </w:r>
          </w:p>
        </w:tc>
        <w:tc>
          <w:tcPr>
            <w:tcW w:w="1560" w:type="dxa"/>
            <w:shd w:val="clear" w:color="auto" w:fill="auto"/>
            <w:vAlign w:val="center"/>
          </w:tcPr>
          <w:p w:rsidR="009350B7" w:rsidRPr="00B315F3" w:rsidRDefault="009350B7" w:rsidP="00550378">
            <w:pPr>
              <w:pStyle w:val="TableHeadingCentred"/>
              <w:rPr>
                <w:color w:val="auto"/>
              </w:rPr>
            </w:pPr>
          </w:p>
        </w:tc>
        <w:tc>
          <w:tcPr>
            <w:tcW w:w="4971" w:type="dxa"/>
            <w:shd w:val="clear" w:color="auto" w:fill="auto"/>
            <w:vAlign w:val="center"/>
          </w:tcPr>
          <w:p w:rsidR="009350B7" w:rsidRPr="00B315F3" w:rsidRDefault="009350B7" w:rsidP="00717BC3">
            <w:pPr>
              <w:pStyle w:val="TableHeadingCentred"/>
              <w:jc w:val="left"/>
              <w:rPr>
                <w:color w:val="auto"/>
              </w:rPr>
            </w:pPr>
            <w:r>
              <w:rPr>
                <w:color w:val="auto"/>
              </w:rPr>
              <w:t>Inclusion of Request for Vulnerability Indicator Review form and instructions (pp. 4,13,14,1</w:t>
            </w:r>
            <w:r w:rsidR="00717BC3">
              <w:rPr>
                <w:color w:val="auto"/>
              </w:rPr>
              <w:t>7</w:t>
            </w:r>
            <w:r>
              <w:rPr>
                <w:color w:val="auto"/>
              </w:rPr>
              <w:t>)</w:t>
            </w:r>
          </w:p>
        </w:tc>
      </w:tr>
      <w:tr w:rsidR="00F25C08" w:rsidRPr="00B315F3" w:rsidTr="00A14DC9">
        <w:trPr>
          <w:jc w:val="center"/>
        </w:trPr>
        <w:tc>
          <w:tcPr>
            <w:tcW w:w="496" w:type="dxa"/>
          </w:tcPr>
          <w:p w:rsidR="00F25C08" w:rsidRPr="00B315F3" w:rsidRDefault="00F25C08" w:rsidP="00550378">
            <w:pPr>
              <w:pStyle w:val="TableTextCentred"/>
            </w:pPr>
            <w:r w:rsidRPr="00B315F3">
              <w:t>1.0</w:t>
            </w:r>
          </w:p>
        </w:tc>
        <w:tc>
          <w:tcPr>
            <w:tcW w:w="1559" w:type="dxa"/>
            <w:shd w:val="clear" w:color="auto" w:fill="auto"/>
          </w:tcPr>
          <w:p w:rsidR="00F25C08" w:rsidRPr="00B315F3" w:rsidRDefault="00F25C08" w:rsidP="00550378">
            <w:pPr>
              <w:pStyle w:val="TableTextCentred"/>
            </w:pPr>
            <w:r w:rsidRPr="00B315F3">
              <w:t>01 07 15</w:t>
            </w:r>
          </w:p>
        </w:tc>
        <w:tc>
          <w:tcPr>
            <w:tcW w:w="1559" w:type="dxa"/>
          </w:tcPr>
          <w:p w:rsidR="00F25C08" w:rsidRPr="00B315F3" w:rsidRDefault="00F25C08" w:rsidP="00550378">
            <w:pPr>
              <w:pStyle w:val="TableTextCentred"/>
            </w:pPr>
            <w:r w:rsidRPr="00B315F3">
              <w:t>01 07 15</w:t>
            </w:r>
          </w:p>
        </w:tc>
        <w:tc>
          <w:tcPr>
            <w:tcW w:w="1560" w:type="dxa"/>
            <w:shd w:val="clear" w:color="auto" w:fill="auto"/>
          </w:tcPr>
          <w:p w:rsidR="00F25C08" w:rsidRPr="00B315F3" w:rsidRDefault="00C24879" w:rsidP="00550378">
            <w:pPr>
              <w:pStyle w:val="TableTextCentred"/>
            </w:pPr>
            <w:r>
              <w:t>12 08 15</w:t>
            </w:r>
          </w:p>
        </w:tc>
        <w:tc>
          <w:tcPr>
            <w:tcW w:w="4971" w:type="dxa"/>
          </w:tcPr>
          <w:p w:rsidR="00F25C08" w:rsidRPr="00B315F3" w:rsidRDefault="00F25C08" w:rsidP="00550378">
            <w:pPr>
              <w:pStyle w:val="TableText"/>
            </w:pPr>
            <w:r w:rsidRPr="00B315F3">
              <w:t>Original version of document</w:t>
            </w:r>
          </w:p>
        </w:tc>
      </w:tr>
    </w:tbl>
    <w:p w:rsidR="006214DA" w:rsidRDefault="006214DA" w:rsidP="00753E58">
      <w:pPr>
        <w:pStyle w:val="NoSpacing"/>
      </w:pPr>
    </w:p>
    <w:p w:rsidR="009654DE" w:rsidRPr="00B315F3" w:rsidRDefault="00F25C08" w:rsidP="006214DA">
      <w:pPr>
        <w:pStyle w:val="Heading1"/>
      </w:pPr>
      <w:r w:rsidRPr="00B315F3">
        <w:t>Explanatory Note</w:t>
      </w:r>
    </w:p>
    <w:p w:rsidR="008D4422" w:rsidRPr="00B315F3" w:rsidRDefault="008D4422" w:rsidP="008D4422">
      <w:r w:rsidRPr="00B315F3">
        <w:t xml:space="preserve">All capitalised terms have the same meaning as in </w:t>
      </w:r>
      <w:r w:rsidR="00525408">
        <w:t xml:space="preserve">the </w:t>
      </w:r>
      <w:r w:rsidR="00525408">
        <w:rPr>
          <w:rFonts w:ascii="Calibri" w:eastAsia="Calibri" w:hAnsi="Calibri" w:cs="Calibri"/>
          <w:spacing w:val="1"/>
        </w:rPr>
        <w:t>D</w:t>
      </w:r>
      <w:r w:rsidR="00525408">
        <w:rPr>
          <w:rFonts w:ascii="Calibri" w:eastAsia="Calibri" w:hAnsi="Calibri" w:cs="Calibri"/>
        </w:rPr>
        <w:t>isa</w:t>
      </w:r>
      <w:r w:rsidR="00525408">
        <w:rPr>
          <w:rFonts w:ascii="Calibri" w:eastAsia="Calibri" w:hAnsi="Calibri" w:cs="Calibri"/>
          <w:spacing w:val="-1"/>
        </w:rPr>
        <w:t>b</w:t>
      </w:r>
      <w:r w:rsidR="00525408">
        <w:rPr>
          <w:rFonts w:ascii="Calibri" w:eastAsia="Calibri" w:hAnsi="Calibri" w:cs="Calibri"/>
        </w:rPr>
        <w:t>ility</w:t>
      </w:r>
      <w:r w:rsidR="00525408">
        <w:rPr>
          <w:rFonts w:ascii="Calibri" w:eastAsia="Calibri" w:hAnsi="Calibri" w:cs="Calibri"/>
          <w:spacing w:val="-1"/>
        </w:rPr>
        <w:t xml:space="preserve"> </w:t>
      </w:r>
      <w:r w:rsidR="00525408">
        <w:rPr>
          <w:rFonts w:ascii="Calibri" w:eastAsia="Calibri" w:hAnsi="Calibri" w:cs="Calibri"/>
          <w:spacing w:val="-2"/>
        </w:rPr>
        <w:t>E</w:t>
      </w:r>
      <w:r w:rsidR="00525408">
        <w:rPr>
          <w:rFonts w:ascii="Calibri" w:eastAsia="Calibri" w:hAnsi="Calibri" w:cs="Calibri"/>
          <w:spacing w:val="1"/>
        </w:rPr>
        <w:t>m</w:t>
      </w:r>
      <w:r w:rsidR="00525408">
        <w:rPr>
          <w:rFonts w:ascii="Calibri" w:eastAsia="Calibri" w:hAnsi="Calibri" w:cs="Calibri"/>
          <w:spacing w:val="-1"/>
        </w:rPr>
        <w:t>p</w:t>
      </w:r>
      <w:r w:rsidR="00525408">
        <w:rPr>
          <w:rFonts w:ascii="Calibri" w:eastAsia="Calibri" w:hAnsi="Calibri" w:cs="Calibri"/>
        </w:rPr>
        <w:t>l</w:t>
      </w:r>
      <w:r w:rsidR="00525408">
        <w:rPr>
          <w:rFonts w:ascii="Calibri" w:eastAsia="Calibri" w:hAnsi="Calibri" w:cs="Calibri"/>
          <w:spacing w:val="-1"/>
        </w:rPr>
        <w:t>o</w:t>
      </w:r>
      <w:r w:rsidR="00525408">
        <w:rPr>
          <w:rFonts w:ascii="Calibri" w:eastAsia="Calibri" w:hAnsi="Calibri" w:cs="Calibri"/>
          <w:spacing w:val="1"/>
        </w:rPr>
        <w:t>y</w:t>
      </w:r>
      <w:r w:rsidR="00525408">
        <w:rPr>
          <w:rFonts w:ascii="Calibri" w:eastAsia="Calibri" w:hAnsi="Calibri" w:cs="Calibri"/>
          <w:spacing w:val="-1"/>
        </w:rPr>
        <w:t>m</w:t>
      </w:r>
      <w:r w:rsidR="00525408">
        <w:rPr>
          <w:rFonts w:ascii="Calibri" w:eastAsia="Calibri" w:hAnsi="Calibri" w:cs="Calibri"/>
          <w:spacing w:val="1"/>
        </w:rPr>
        <w:t>e</w:t>
      </w:r>
      <w:r w:rsidR="00525408">
        <w:rPr>
          <w:rFonts w:ascii="Calibri" w:eastAsia="Calibri" w:hAnsi="Calibri" w:cs="Calibri"/>
          <w:spacing w:val="-1"/>
        </w:rPr>
        <w:t>n</w:t>
      </w:r>
      <w:r w:rsidR="00525408">
        <w:rPr>
          <w:rFonts w:ascii="Calibri" w:eastAsia="Calibri" w:hAnsi="Calibri" w:cs="Calibri"/>
        </w:rPr>
        <w:t>t</w:t>
      </w:r>
      <w:r w:rsidR="00525408">
        <w:rPr>
          <w:rFonts w:ascii="Calibri" w:eastAsia="Calibri" w:hAnsi="Calibri" w:cs="Calibri"/>
          <w:spacing w:val="1"/>
        </w:rPr>
        <w:t xml:space="preserve"> </w:t>
      </w:r>
      <w:r w:rsidR="00525408">
        <w:rPr>
          <w:rFonts w:ascii="Calibri" w:eastAsia="Calibri" w:hAnsi="Calibri" w:cs="Calibri"/>
          <w:spacing w:val="-1"/>
        </w:rPr>
        <w:t>S</w:t>
      </w:r>
      <w:r w:rsidR="00525408">
        <w:rPr>
          <w:rFonts w:ascii="Calibri" w:eastAsia="Calibri" w:hAnsi="Calibri" w:cs="Calibri"/>
          <w:spacing w:val="1"/>
        </w:rPr>
        <w:t>e</w:t>
      </w:r>
      <w:r w:rsidR="00525408">
        <w:rPr>
          <w:rFonts w:ascii="Calibri" w:eastAsia="Calibri" w:hAnsi="Calibri" w:cs="Calibri"/>
          <w:spacing w:val="-3"/>
        </w:rPr>
        <w:t>r</w:t>
      </w:r>
      <w:r w:rsidR="00525408">
        <w:rPr>
          <w:rFonts w:ascii="Calibri" w:eastAsia="Calibri" w:hAnsi="Calibri" w:cs="Calibri"/>
          <w:spacing w:val="-1"/>
        </w:rPr>
        <w:t>v</w:t>
      </w:r>
      <w:r w:rsidR="00525408">
        <w:rPr>
          <w:rFonts w:ascii="Calibri" w:eastAsia="Calibri" w:hAnsi="Calibri" w:cs="Calibri"/>
        </w:rPr>
        <w:t>ic</w:t>
      </w:r>
      <w:r w:rsidR="00525408">
        <w:rPr>
          <w:rFonts w:ascii="Calibri" w:eastAsia="Calibri" w:hAnsi="Calibri" w:cs="Calibri"/>
          <w:spacing w:val="1"/>
        </w:rPr>
        <w:t>e</w:t>
      </w:r>
      <w:r w:rsidR="00525408">
        <w:rPr>
          <w:rFonts w:ascii="Calibri" w:eastAsia="Calibri" w:hAnsi="Calibri" w:cs="Calibri"/>
        </w:rPr>
        <w:t>s</w:t>
      </w:r>
      <w:r w:rsidR="00525408">
        <w:rPr>
          <w:rFonts w:ascii="Calibri" w:eastAsia="Calibri" w:hAnsi="Calibri" w:cs="Calibri"/>
          <w:spacing w:val="-2"/>
        </w:rPr>
        <w:t xml:space="preserve"> </w:t>
      </w:r>
      <w:r w:rsidR="00525408">
        <w:rPr>
          <w:rFonts w:ascii="Calibri" w:eastAsia="Calibri" w:hAnsi="Calibri" w:cs="Calibri"/>
          <w:spacing w:val="1"/>
        </w:rPr>
        <w:t>Dee</w:t>
      </w:r>
      <w:r w:rsidR="00525408">
        <w:rPr>
          <w:rFonts w:ascii="Calibri" w:eastAsia="Calibri" w:hAnsi="Calibri" w:cs="Calibri"/>
        </w:rPr>
        <w:t>d</w:t>
      </w:r>
      <w:r w:rsidR="00B5367C">
        <w:rPr>
          <w:rFonts w:ascii="Calibri" w:eastAsia="Calibri" w:hAnsi="Calibri" w:cs="Calibri"/>
        </w:rPr>
        <w:t xml:space="preserve"> (the Deed)</w:t>
      </w:r>
      <w:r w:rsidRPr="00B315F3">
        <w:t>. In this document, ‘</w:t>
      </w:r>
      <w:r w:rsidRPr="00B315F3">
        <w:rPr>
          <w:b/>
        </w:rPr>
        <w:t>must</w:t>
      </w:r>
      <w:r w:rsidRPr="00B315F3">
        <w:t>’ means that compliance is mandatory and ‘</w:t>
      </w:r>
      <w:r w:rsidRPr="00B315F3">
        <w:rPr>
          <w:b/>
        </w:rPr>
        <w:t>should</w:t>
      </w:r>
      <w:r w:rsidRPr="00B315F3">
        <w:t>’ means that compliance represents best practice and that compliance is discretionary.</w:t>
      </w:r>
    </w:p>
    <w:p w:rsidR="00D35970" w:rsidRPr="00B315F3" w:rsidRDefault="00D35970" w:rsidP="008D4422">
      <w:proofErr w:type="gramStart"/>
      <w:r w:rsidRPr="00B315F3">
        <w:t>The term ‘</w:t>
      </w:r>
      <w:r w:rsidR="00B9525E">
        <w:t>Participant”</w:t>
      </w:r>
      <w:r w:rsidRPr="00B315F3">
        <w:t xml:space="preserve"> in this Guideline means </w:t>
      </w:r>
      <w:r w:rsidRPr="00724F8A">
        <w:t xml:space="preserve">any </w:t>
      </w:r>
      <w:r w:rsidR="00525408" w:rsidRPr="00724F8A">
        <w:t xml:space="preserve">Participant with </w:t>
      </w:r>
      <w:r w:rsidRPr="00724F8A">
        <w:t>Mutual Obligation</w:t>
      </w:r>
      <w:r w:rsidR="00525408" w:rsidRPr="00724F8A">
        <w:t xml:space="preserve"> Requirements</w:t>
      </w:r>
      <w:r w:rsidRPr="00724F8A">
        <w:t>.</w:t>
      </w:r>
      <w:proofErr w:type="gramEnd"/>
    </w:p>
    <w:p w:rsidR="009654DE" w:rsidRPr="00B315F3" w:rsidRDefault="009654DE" w:rsidP="006214DA">
      <w:pPr>
        <w:pStyle w:val="Heading2"/>
      </w:pPr>
      <w:r w:rsidRPr="00B315F3">
        <w:t>Disclaimer</w:t>
      </w:r>
    </w:p>
    <w:p w:rsidR="00525408" w:rsidRDefault="00525408" w:rsidP="00724F8A">
      <w:pPr>
        <w:spacing w:line="267" w:lineRule="exact"/>
        <w:ind w:right="-20"/>
        <w:rPr>
          <w:rFonts w:ascii="Calibri" w:eastAsia="Calibri" w:hAnsi="Calibri" w:cs="Calibri"/>
        </w:rPr>
      </w:pP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 xml:space="preserve">is </w:t>
      </w:r>
      <w:r>
        <w:rPr>
          <w:rFonts w:ascii="Calibri" w:eastAsia="Calibri" w:hAnsi="Calibri" w:cs="Calibri"/>
          <w:spacing w:val="-1"/>
          <w:position w:val="1"/>
        </w:rPr>
        <w:t>d</w:t>
      </w:r>
      <w:r>
        <w:rPr>
          <w:rFonts w:ascii="Calibri" w:eastAsia="Calibri" w:hAnsi="Calibri" w:cs="Calibri"/>
          <w:spacing w:val="1"/>
          <w:position w:val="1"/>
        </w:rPr>
        <w:t>o</w:t>
      </w:r>
      <w:r>
        <w:rPr>
          <w:rFonts w:ascii="Calibri" w:eastAsia="Calibri" w:hAnsi="Calibri" w:cs="Calibri"/>
          <w:position w:val="1"/>
        </w:rPr>
        <w:t>c</w:t>
      </w:r>
      <w:r>
        <w:rPr>
          <w:rFonts w:ascii="Calibri" w:eastAsia="Calibri" w:hAnsi="Calibri" w:cs="Calibri"/>
          <w:spacing w:val="-3"/>
          <w:position w:val="1"/>
        </w:rPr>
        <w:t>u</w:t>
      </w:r>
      <w:r>
        <w:rPr>
          <w:rFonts w:ascii="Calibri" w:eastAsia="Calibri" w:hAnsi="Calibri" w:cs="Calibri"/>
          <w:spacing w:val="1"/>
          <w:position w:val="1"/>
        </w:rPr>
        <w:t>me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 xml:space="preserve">is </w:t>
      </w:r>
      <w:r>
        <w:rPr>
          <w:rFonts w:ascii="Calibri" w:eastAsia="Calibri" w:hAnsi="Calibri" w:cs="Calibri"/>
          <w:spacing w:val="-3"/>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2"/>
          <w:position w:val="1"/>
        </w:rPr>
        <w:t xml:space="preserve"> </w:t>
      </w:r>
      <w:r>
        <w:rPr>
          <w:rFonts w:ascii="Calibri" w:eastAsia="Calibri" w:hAnsi="Calibri" w:cs="Calibri"/>
          <w:position w:val="1"/>
        </w:rPr>
        <w:t>sta</w:t>
      </w:r>
      <w:r>
        <w:rPr>
          <w:rFonts w:ascii="Calibri" w:eastAsia="Calibri" w:hAnsi="Calibri" w:cs="Calibri"/>
          <w:spacing w:val="-3"/>
          <w:position w:val="1"/>
        </w:rPr>
        <w:t>n</w:t>
      </w:r>
      <w:r>
        <w:rPr>
          <w:rFonts w:ascii="Calibri" w:eastAsia="Calibri" w:hAnsi="Calibri" w:cs="Calibri"/>
          <w:position w:val="1"/>
        </w:rPr>
        <w:t>d-al</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do</w:t>
      </w:r>
      <w:r>
        <w:rPr>
          <w:rFonts w:ascii="Calibri" w:eastAsia="Calibri" w:hAnsi="Calibri" w:cs="Calibri"/>
          <w:position w:val="1"/>
        </w:rPr>
        <w:t>c</w:t>
      </w:r>
      <w:r>
        <w:rPr>
          <w:rFonts w:ascii="Calibri" w:eastAsia="Calibri" w:hAnsi="Calibri" w:cs="Calibri"/>
          <w:spacing w:val="-1"/>
          <w:position w:val="1"/>
        </w:rPr>
        <w:t>um</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 xml:space="preserve">d </w:t>
      </w:r>
      <w:r>
        <w:rPr>
          <w:rFonts w:ascii="Calibri" w:eastAsia="Calibri" w:hAnsi="Calibri" w:cs="Calibri"/>
          <w:spacing w:val="-3"/>
          <w:position w:val="1"/>
        </w:rPr>
        <w:t>d</w:t>
      </w:r>
      <w:r>
        <w:rPr>
          <w:rFonts w:ascii="Calibri" w:eastAsia="Calibri" w:hAnsi="Calibri" w:cs="Calibri"/>
          <w:spacing w:val="1"/>
          <w:position w:val="1"/>
        </w:rPr>
        <w:t>o</w:t>
      </w:r>
      <w:r>
        <w:rPr>
          <w:rFonts w:ascii="Calibri" w:eastAsia="Calibri" w:hAnsi="Calibri" w:cs="Calibri"/>
          <w:spacing w:val="-2"/>
          <w:position w:val="1"/>
        </w:rPr>
        <w:t>e</w:t>
      </w:r>
      <w:r>
        <w:rPr>
          <w:rFonts w:ascii="Calibri" w:eastAsia="Calibri" w:hAnsi="Calibri" w:cs="Calibri"/>
          <w:position w:val="1"/>
        </w:rPr>
        <w:t>s</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spacing w:val="1"/>
          <w:position w:val="1"/>
        </w:rPr>
        <w:t>o</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spacing w:val="-2"/>
          <w:position w:val="1"/>
        </w:rPr>
        <w:t>t</w:t>
      </w:r>
      <w:r>
        <w:rPr>
          <w:rFonts w:ascii="Calibri" w:eastAsia="Calibri" w:hAnsi="Calibri" w:cs="Calibri"/>
          <w:position w:val="1"/>
        </w:rPr>
        <w:t>ain 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tir</w:t>
      </w:r>
      <w:r>
        <w:rPr>
          <w:rFonts w:ascii="Calibri" w:eastAsia="Calibri" w:hAnsi="Calibri" w:cs="Calibri"/>
          <w:spacing w:val="-2"/>
          <w:position w:val="1"/>
        </w:rPr>
        <w:t>e</w:t>
      </w:r>
      <w:r>
        <w:rPr>
          <w:rFonts w:ascii="Calibri" w:eastAsia="Calibri" w:hAnsi="Calibri" w:cs="Calibri"/>
          <w:position w:val="1"/>
        </w:rPr>
        <w:t>ty</w:t>
      </w:r>
      <w:r>
        <w:rPr>
          <w:rFonts w:ascii="Calibri" w:eastAsia="Calibri" w:hAnsi="Calibri" w:cs="Calibri"/>
          <w:spacing w:val="-1"/>
          <w:position w:val="1"/>
        </w:rPr>
        <w:t xml:space="preserve"> o</w:t>
      </w:r>
      <w:r>
        <w:rPr>
          <w:rFonts w:ascii="Calibri" w:eastAsia="Calibri" w:hAnsi="Calibri" w:cs="Calibri"/>
          <w:position w:val="1"/>
        </w:rPr>
        <w:t xml:space="preserve">f </w:t>
      </w:r>
      <w:r>
        <w:rPr>
          <w:rFonts w:ascii="Calibri" w:eastAsia="Calibri" w:hAnsi="Calibri" w:cs="Calibri"/>
          <w:spacing w:val="1"/>
          <w:position w:val="1"/>
        </w:rPr>
        <w:t>D</w:t>
      </w:r>
      <w:r>
        <w:rPr>
          <w:rFonts w:ascii="Calibri" w:eastAsia="Calibri" w:hAnsi="Calibri" w:cs="Calibri"/>
          <w:position w:val="1"/>
        </w:rPr>
        <w:t>isa</w:t>
      </w:r>
      <w:r>
        <w:rPr>
          <w:rFonts w:ascii="Calibri" w:eastAsia="Calibri" w:hAnsi="Calibri" w:cs="Calibri"/>
          <w:spacing w:val="-1"/>
          <w:position w:val="1"/>
        </w:rPr>
        <w:t>b</w:t>
      </w:r>
      <w:r>
        <w:rPr>
          <w:rFonts w:ascii="Calibri" w:eastAsia="Calibri" w:hAnsi="Calibri" w:cs="Calibri"/>
          <w:position w:val="1"/>
        </w:rPr>
        <w:t>ili</w:t>
      </w:r>
      <w:r>
        <w:rPr>
          <w:rFonts w:ascii="Calibri" w:eastAsia="Calibri" w:hAnsi="Calibri" w:cs="Calibri"/>
          <w:spacing w:val="-2"/>
          <w:position w:val="1"/>
        </w:rPr>
        <w:t>t</w:t>
      </w:r>
      <w:r>
        <w:rPr>
          <w:rFonts w:ascii="Calibri" w:eastAsia="Calibri" w:hAnsi="Calibri" w:cs="Calibri"/>
          <w:position w:val="1"/>
        </w:rPr>
        <w:t>y 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w:t>
      </w:r>
      <w:r>
        <w:rPr>
          <w:rFonts w:ascii="Calibri" w:eastAsia="Calibri" w:hAnsi="Calibri" w:cs="Calibri"/>
          <w:spacing w:val="-1"/>
          <w:position w:val="1"/>
        </w:rPr>
        <w:t>oy</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S</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spacing w:val="-3"/>
          <w:position w:val="1"/>
        </w:rPr>
        <w:t>i</w:t>
      </w:r>
      <w:r>
        <w:rPr>
          <w:rFonts w:ascii="Calibri" w:eastAsia="Calibri" w:hAnsi="Calibri" w:cs="Calibri"/>
          <w:position w:val="1"/>
        </w:rPr>
        <w:t>ces</w:t>
      </w:r>
      <w:r>
        <w:rPr>
          <w:rFonts w:ascii="Calibri" w:eastAsia="Calibri" w:hAnsi="Calibri" w:cs="Calibri"/>
          <w:spacing w:val="-1"/>
          <w:position w:val="1"/>
        </w:rPr>
        <w:t xml:space="preserve"> </w:t>
      </w:r>
      <w:r w:rsidR="00B5367C">
        <w:rPr>
          <w:rFonts w:ascii="Calibri" w:eastAsia="Calibri" w:hAnsi="Calibri" w:cs="Calibri"/>
          <w:spacing w:val="1"/>
          <w:position w:val="1"/>
        </w:rPr>
        <w:t>(DES)</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spacing w:val="1"/>
          <w:position w:val="1"/>
        </w:rPr>
        <w:t>e</w:t>
      </w:r>
      <w:r>
        <w:rPr>
          <w:rFonts w:ascii="Calibri" w:eastAsia="Calibri" w:hAnsi="Calibri" w:cs="Calibri"/>
          <w:position w:val="1"/>
        </w:rPr>
        <w:t>rs'</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spacing w:val="-1"/>
          <w:position w:val="1"/>
        </w:rPr>
        <w:t>b</w:t>
      </w:r>
      <w:r>
        <w:rPr>
          <w:rFonts w:ascii="Calibri" w:eastAsia="Calibri" w:hAnsi="Calibri" w:cs="Calibri"/>
          <w:position w:val="1"/>
        </w:rPr>
        <w:t>li</w:t>
      </w:r>
      <w:r>
        <w:rPr>
          <w:rFonts w:ascii="Calibri" w:eastAsia="Calibri" w:hAnsi="Calibri" w:cs="Calibri"/>
          <w:spacing w:val="-1"/>
          <w:position w:val="1"/>
        </w:rPr>
        <w:t>g</w:t>
      </w:r>
      <w:r>
        <w:rPr>
          <w:rFonts w:ascii="Calibri" w:eastAsia="Calibri" w:hAnsi="Calibri" w:cs="Calibri"/>
          <w:position w:val="1"/>
        </w:rPr>
        <w:t>at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s. </w:t>
      </w:r>
      <w:r>
        <w:rPr>
          <w:rFonts w:ascii="Calibri" w:eastAsia="Calibri" w:hAnsi="Calibri" w:cs="Calibri"/>
          <w:spacing w:val="-3"/>
          <w:position w:val="1"/>
        </w:rPr>
        <w:t>I</w:t>
      </w:r>
      <w:r>
        <w:rPr>
          <w:rFonts w:ascii="Calibri" w:eastAsia="Calibri" w:hAnsi="Calibri" w:cs="Calibri"/>
          <w:position w:val="1"/>
        </w:rPr>
        <w:t>t</w:t>
      </w:r>
      <w:r>
        <w:rPr>
          <w:rFonts w:ascii="Calibri" w:eastAsia="Calibri" w:hAnsi="Calibri" w:cs="Calibri"/>
          <w:spacing w:val="1"/>
          <w:position w:val="1"/>
        </w:rPr>
        <w:t xml:space="preserve"> </w:t>
      </w:r>
      <w:r w:rsidRPr="00525408">
        <w:rPr>
          <w:rFonts w:ascii="Calibri" w:eastAsia="Calibri" w:hAnsi="Calibri" w:cs="Calibri"/>
          <w:b/>
          <w:position w:val="1"/>
        </w:rPr>
        <w:t xml:space="preserve">must </w:t>
      </w:r>
      <w:r>
        <w:rPr>
          <w:rFonts w:ascii="Calibri" w:eastAsia="Calibri" w:hAnsi="Calibri" w:cs="Calibri"/>
          <w:spacing w:val="-1"/>
          <w:position w:val="1"/>
        </w:rPr>
        <w:t>b</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ad in</w:t>
      </w:r>
      <w:r>
        <w:rPr>
          <w:rFonts w:ascii="Calibri" w:eastAsia="Calibri" w:hAnsi="Calibri" w:cs="Calibri"/>
          <w:spacing w:val="-3"/>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j</w:t>
      </w:r>
      <w:r>
        <w:rPr>
          <w:rFonts w:ascii="Calibri" w:eastAsia="Calibri" w:hAnsi="Calibri" w:cs="Calibri"/>
          <w:spacing w:val="-1"/>
          <w:position w:val="1"/>
        </w:rPr>
        <w:t>un</w:t>
      </w:r>
      <w:r>
        <w:rPr>
          <w:rFonts w:ascii="Calibri" w:eastAsia="Calibri" w:hAnsi="Calibri" w:cs="Calibri"/>
          <w:spacing w:val="-2"/>
          <w:position w:val="1"/>
        </w:rPr>
        <w:t>c</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position w:val="1"/>
        </w:rPr>
        <w:t>n w</w:t>
      </w:r>
      <w:r>
        <w:rPr>
          <w:rFonts w:ascii="Calibri" w:eastAsia="Calibri" w:hAnsi="Calibri" w:cs="Calibri"/>
          <w:spacing w:val="-3"/>
          <w:position w:val="1"/>
        </w:rPr>
        <w:t>i</w:t>
      </w:r>
      <w:r>
        <w:rPr>
          <w:rFonts w:ascii="Calibri" w:eastAsia="Calibri" w:hAnsi="Calibri" w:cs="Calibri"/>
          <w:position w:val="1"/>
        </w:rPr>
        <w:t>th t</w:t>
      </w:r>
      <w:r>
        <w:rPr>
          <w:rFonts w:ascii="Calibri" w:eastAsia="Calibri" w:hAnsi="Calibri" w:cs="Calibri"/>
          <w:spacing w:val="-1"/>
          <w:position w:val="1"/>
        </w:rPr>
        <w:t>h</w:t>
      </w:r>
      <w:r>
        <w:rPr>
          <w:rFonts w:ascii="Calibri" w:eastAsia="Calibri" w:hAnsi="Calibri" w:cs="Calibri"/>
          <w:position w:val="1"/>
        </w:rPr>
        <w:t xml:space="preserve">e </w:t>
      </w:r>
      <w:r>
        <w:rPr>
          <w:rFonts w:ascii="Calibri" w:eastAsia="Calibri" w:hAnsi="Calibri" w:cs="Calibri"/>
          <w:spacing w:val="1"/>
        </w:rPr>
        <w:t>Dee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r</w:t>
      </w:r>
      <w:r>
        <w:rPr>
          <w:rFonts w:ascii="Calibri" w:eastAsia="Calibri" w:hAnsi="Calibri" w:cs="Calibri"/>
          <w:spacing w:val="1"/>
        </w:rPr>
        <w:t>e</w:t>
      </w:r>
      <w:r>
        <w:rPr>
          <w:rFonts w:ascii="Calibri" w:eastAsia="Calibri" w:hAnsi="Calibri" w:cs="Calibri"/>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u</w:t>
      </w:r>
      <w:r>
        <w:rPr>
          <w:rFonts w:ascii="Calibri" w:eastAsia="Calibri" w:hAnsi="Calibri" w:cs="Calibri"/>
        </w:rPr>
        <w:t>i</w:t>
      </w:r>
      <w:r>
        <w:rPr>
          <w:rFonts w:ascii="Calibri" w:eastAsia="Calibri" w:hAnsi="Calibri" w:cs="Calibri"/>
          <w:spacing w:val="-1"/>
        </w:rPr>
        <w:t>d</w:t>
      </w:r>
      <w:r>
        <w:rPr>
          <w:rFonts w:ascii="Calibri" w:eastAsia="Calibri" w:hAnsi="Calibri" w:cs="Calibri"/>
          <w:spacing w:val="1"/>
        </w:rPr>
        <w:t>e</w:t>
      </w:r>
      <w:r>
        <w:rPr>
          <w:rFonts w:ascii="Calibri" w:eastAsia="Calibri" w:hAnsi="Calibri" w:cs="Calibri"/>
        </w:rPr>
        <w:t>li</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3"/>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m</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e</w:t>
      </w:r>
      <w:r>
        <w:rPr>
          <w:rFonts w:ascii="Calibri" w:eastAsia="Calibri" w:hAnsi="Calibri" w:cs="Calibri"/>
        </w:rPr>
        <w:t>rial iss</w:t>
      </w:r>
      <w:r>
        <w:rPr>
          <w:rFonts w:ascii="Calibri" w:eastAsia="Calibri" w:hAnsi="Calibri" w:cs="Calibri"/>
          <w:spacing w:val="-1"/>
        </w:rPr>
        <w:t>u</w:t>
      </w:r>
      <w:r>
        <w:rPr>
          <w:rFonts w:ascii="Calibri" w:eastAsia="Calibri" w:hAnsi="Calibri" w:cs="Calibri"/>
          <w:spacing w:val="1"/>
        </w:rPr>
        <w:t>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 xml:space="preserve">e </w:t>
      </w:r>
      <w:r>
        <w:rPr>
          <w:rFonts w:ascii="Calibri" w:eastAsia="Calibri" w:hAnsi="Calibri" w:cs="Calibri"/>
          <w:spacing w:val="1"/>
        </w:rPr>
        <w:t>De</w:t>
      </w:r>
      <w:r>
        <w:rPr>
          <w:rFonts w:ascii="Calibri" w:eastAsia="Calibri" w:hAnsi="Calibri" w:cs="Calibri"/>
          <w:spacing w:val="-1"/>
        </w:rPr>
        <w:t>p</w:t>
      </w:r>
      <w:r>
        <w:rPr>
          <w:rFonts w:ascii="Calibri" w:eastAsia="Calibri" w:hAnsi="Calibri" w:cs="Calibri"/>
        </w:rPr>
        <w:t>ar</w:t>
      </w:r>
      <w:r>
        <w:rPr>
          <w:rFonts w:ascii="Calibri" w:eastAsia="Calibri" w:hAnsi="Calibri" w:cs="Calibri"/>
          <w:spacing w:val="-2"/>
        </w:rPr>
        <w:t>t</w:t>
      </w:r>
      <w:r>
        <w:rPr>
          <w:rFonts w:ascii="Calibri" w:eastAsia="Calibri" w:hAnsi="Calibri" w:cs="Calibri"/>
          <w:spacing w:val="1"/>
        </w:rPr>
        <w:t>me</w:t>
      </w:r>
      <w:r>
        <w:rPr>
          <w:rFonts w:ascii="Calibri" w:eastAsia="Calibri" w:hAnsi="Calibri" w:cs="Calibri"/>
          <w:spacing w:val="-3"/>
        </w:rPr>
        <w:t>n</w:t>
      </w:r>
      <w:r>
        <w:rPr>
          <w:rFonts w:ascii="Calibri" w:eastAsia="Calibri" w:hAnsi="Calibri" w:cs="Calibri"/>
        </w:rPr>
        <w:t>t</w:t>
      </w:r>
      <w:r>
        <w:rPr>
          <w:rFonts w:ascii="Calibri" w:eastAsia="Calibri" w:hAnsi="Calibri" w:cs="Calibri"/>
          <w:spacing w:val="1"/>
        </w:rPr>
        <w:t xml:space="preserve"> 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1"/>
        </w:rPr>
        <w:t>So</w:t>
      </w:r>
      <w:r>
        <w:rPr>
          <w:rFonts w:ascii="Calibri" w:eastAsia="Calibri" w:hAnsi="Calibri" w:cs="Calibri"/>
        </w:rPr>
        <w:t xml:space="preserve">cial </w:t>
      </w:r>
      <w:r>
        <w:rPr>
          <w:rFonts w:ascii="Calibri" w:eastAsia="Calibri" w:hAnsi="Calibri" w:cs="Calibri"/>
          <w:spacing w:val="-1"/>
        </w:rPr>
        <w:t>S</w:t>
      </w:r>
      <w:r>
        <w:rPr>
          <w:rFonts w:ascii="Calibri" w:eastAsia="Calibri" w:hAnsi="Calibri" w:cs="Calibri"/>
          <w:spacing w:val="1"/>
        </w:rPr>
        <w:t>e</w:t>
      </w:r>
      <w:r>
        <w:rPr>
          <w:rFonts w:ascii="Calibri" w:eastAsia="Calibri" w:hAnsi="Calibri" w:cs="Calibri"/>
          <w:spacing w:val="-3"/>
        </w:rPr>
        <w:t>r</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und</w:t>
      </w:r>
      <w:r>
        <w:rPr>
          <w:rFonts w:ascii="Calibri" w:eastAsia="Calibri" w:hAnsi="Calibri" w:cs="Calibri"/>
          <w:spacing w:val="1"/>
        </w:rPr>
        <w:t>e</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r in</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nn</w:t>
      </w:r>
      <w:r>
        <w:rPr>
          <w:rFonts w:ascii="Calibri" w:eastAsia="Calibri" w:hAnsi="Calibri" w:cs="Calibri"/>
          <w:spacing w:val="1"/>
        </w:rPr>
        <w:t>e</w:t>
      </w:r>
      <w:r>
        <w:rPr>
          <w:rFonts w:ascii="Calibri" w:eastAsia="Calibri" w:hAnsi="Calibri" w:cs="Calibri"/>
          <w:spacing w:val="-2"/>
        </w:rPr>
        <w:t>c</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with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rPr>
        <w:t>e</w:t>
      </w:r>
      <w:r>
        <w:rPr>
          <w:rFonts w:ascii="Calibri" w:eastAsia="Calibri" w:hAnsi="Calibri" w:cs="Calibri"/>
          <w:spacing w:val="-1"/>
        </w:rPr>
        <w:t>d</w:t>
      </w:r>
      <w:r>
        <w:rPr>
          <w:rFonts w:ascii="Calibri" w:eastAsia="Calibri" w:hAnsi="Calibri" w:cs="Calibri"/>
        </w:rPr>
        <w:t>.</w:t>
      </w:r>
    </w:p>
    <w:p w:rsidR="009654DE" w:rsidRPr="00B315F3" w:rsidRDefault="009654DE" w:rsidP="00B2611B">
      <w:pPr>
        <w:pStyle w:val="Heading1"/>
      </w:pPr>
      <w:r w:rsidRPr="00B315F3">
        <w:t>Summary</w:t>
      </w:r>
    </w:p>
    <w:p w:rsidR="003929A6" w:rsidRPr="00B315F3" w:rsidRDefault="003929A6" w:rsidP="003929A6">
      <w:r w:rsidRPr="00B315F3">
        <w:t xml:space="preserve">This </w:t>
      </w:r>
      <w:r w:rsidR="002D11F5" w:rsidRPr="00B315F3">
        <w:t>G</w:t>
      </w:r>
      <w:r w:rsidRPr="00B315F3">
        <w:t xml:space="preserve">uideline provides information on the policy and processes that </w:t>
      </w:r>
      <w:r w:rsidR="00525408">
        <w:t xml:space="preserve">Disability </w:t>
      </w:r>
      <w:r w:rsidRPr="00B315F3">
        <w:t xml:space="preserve">Employment </w:t>
      </w:r>
      <w:r w:rsidR="00525408">
        <w:t xml:space="preserve">Services </w:t>
      </w:r>
      <w:r w:rsidRPr="00B315F3">
        <w:t xml:space="preserve">Providers (Providers) </w:t>
      </w:r>
      <w:r w:rsidRPr="00B315F3">
        <w:rPr>
          <w:b/>
        </w:rPr>
        <w:t xml:space="preserve">must </w:t>
      </w:r>
      <w:r w:rsidRPr="00B315F3">
        <w:t xml:space="preserve">use in delivering services to assist </w:t>
      </w:r>
      <w:r w:rsidR="00525408">
        <w:t>Participants</w:t>
      </w:r>
      <w:r w:rsidRPr="00B315F3">
        <w:t xml:space="preserve"> to be aware </w:t>
      </w:r>
      <w:r w:rsidR="008E32BE" w:rsidRPr="00B315F3">
        <w:t>of</w:t>
      </w:r>
      <w:r w:rsidRPr="00B315F3">
        <w:t xml:space="preserve"> fully understand and meet their Mutual Obligation Requirements. ‘Mutual Obligation Requirements’ refers to the activity test or participation requirements that a </w:t>
      </w:r>
      <w:r w:rsidR="00525408">
        <w:t>Participant</w:t>
      </w:r>
      <w:r w:rsidRPr="00B315F3">
        <w:t xml:space="preserve"> </w:t>
      </w:r>
      <w:r w:rsidRPr="00B315F3">
        <w:rPr>
          <w:b/>
        </w:rPr>
        <w:t>must</w:t>
      </w:r>
      <w:r w:rsidRPr="00B315F3">
        <w:t xml:space="preserve"> meet in order to receive an income support payment under</w:t>
      </w:r>
      <w:r w:rsidR="00527F1B">
        <w:t xml:space="preserve"> the </w:t>
      </w:r>
      <w:r w:rsidRPr="00B315F3">
        <w:t xml:space="preserve">Social Security </w:t>
      </w:r>
      <w:r w:rsidR="00B66980" w:rsidRPr="00B315F3">
        <w:t>Law and in accordance with any G</w:t>
      </w:r>
      <w:r w:rsidRPr="00B315F3">
        <w:t xml:space="preserve">uidelines (see </w:t>
      </w:r>
      <w:r w:rsidR="0042020E" w:rsidRPr="0042020E">
        <w:t xml:space="preserve">Mutual Obligation Requirements </w:t>
      </w:r>
      <w:r w:rsidR="00777B4D" w:rsidRPr="0042020E">
        <w:t>Guideline</w:t>
      </w:r>
      <w:r w:rsidR="0042020E" w:rsidRPr="0042020E">
        <w:rPr>
          <w:rStyle w:val="Hyperlink"/>
          <w:color w:val="auto"/>
          <w:u w:val="none"/>
        </w:rPr>
        <w:t>s</w:t>
      </w:r>
      <w:r w:rsidR="00777B4D" w:rsidRPr="0042020E">
        <w:rPr>
          <w:rStyle w:val="Hyperlink"/>
          <w:color w:val="auto"/>
          <w:u w:val="none"/>
        </w:rPr>
        <w:t xml:space="preserve"> </w:t>
      </w:r>
      <w:r w:rsidRPr="0042020E">
        <w:t xml:space="preserve">for </w:t>
      </w:r>
      <w:r w:rsidRPr="00B315F3">
        <w:t>more information).</w:t>
      </w:r>
    </w:p>
    <w:p w:rsidR="003929A6" w:rsidRPr="00B315F3" w:rsidRDefault="00B66980" w:rsidP="003929A6">
      <w:r w:rsidRPr="00B315F3">
        <w:t>This G</w:t>
      </w:r>
      <w:r w:rsidR="003929A6" w:rsidRPr="00B315F3">
        <w:t xml:space="preserve">uideline also provides information on the job seeker compliance framework—a tool available to Providers to support </w:t>
      </w:r>
      <w:r w:rsidR="0042020E">
        <w:t>Participant</w:t>
      </w:r>
      <w:r w:rsidR="003929A6" w:rsidRPr="00B315F3">
        <w:t xml:space="preserve"> engagement and designed to influence a change in the </w:t>
      </w:r>
      <w:r w:rsidR="0042020E">
        <w:t>Participant’s</w:t>
      </w:r>
      <w:r w:rsidR="003929A6" w:rsidRPr="00B315F3">
        <w:t xml:space="preserve"> behaviour, where required.</w:t>
      </w:r>
    </w:p>
    <w:p w:rsidR="003929A6" w:rsidRDefault="003929A6" w:rsidP="003929A6">
      <w:r w:rsidRPr="00B315F3">
        <w:t xml:space="preserve">The job seeker compliance framework does not apply to </w:t>
      </w:r>
      <w:r w:rsidR="0042020E">
        <w:t>Participants</w:t>
      </w:r>
      <w:r w:rsidRPr="00B315F3">
        <w:t xml:space="preserve"> who</w:t>
      </w:r>
      <w:r w:rsidR="00527F1B">
        <w:t xml:space="preserve"> do not have Mutual Obligation R</w:t>
      </w:r>
      <w:r w:rsidRPr="00B315F3">
        <w:t xml:space="preserve">equirements. Advice on arrangements </w:t>
      </w:r>
      <w:r w:rsidR="00527F1B">
        <w:t xml:space="preserve">for </w:t>
      </w:r>
      <w:r w:rsidR="00527F1B" w:rsidRPr="0042020E">
        <w:t>Disability Support Pension R</w:t>
      </w:r>
      <w:r w:rsidRPr="0042020E">
        <w:t>ecipients with compulsory requirements</w:t>
      </w:r>
      <w:r w:rsidRPr="00B315F3">
        <w:t xml:space="preserve"> is provided in a separate Guideline.</w:t>
      </w:r>
    </w:p>
    <w:p w:rsidR="008501CF" w:rsidRDefault="00C87722" w:rsidP="003929A6">
      <w:pPr>
        <w:rPr>
          <w:b/>
        </w:rPr>
      </w:pPr>
      <w:r w:rsidRPr="008501CF">
        <w:rPr>
          <w:b/>
          <w:bCs/>
        </w:rPr>
        <w:t xml:space="preserve">Please note:  </w:t>
      </w:r>
      <w:r w:rsidR="008501CF" w:rsidRPr="008501CF">
        <w:rPr>
          <w:b/>
          <w:bCs/>
        </w:rPr>
        <w:t xml:space="preserve">Although </w:t>
      </w:r>
      <w:r w:rsidR="008501CF">
        <w:rPr>
          <w:b/>
          <w:bCs/>
        </w:rPr>
        <w:t>P</w:t>
      </w:r>
      <w:r w:rsidR="008501CF" w:rsidRPr="008501CF">
        <w:rPr>
          <w:b/>
          <w:bCs/>
        </w:rPr>
        <w:t xml:space="preserve">roviders may choose to do so they </w:t>
      </w:r>
      <w:r w:rsidR="008501CF" w:rsidRPr="008501CF">
        <w:rPr>
          <w:b/>
        </w:rPr>
        <w:t xml:space="preserve">are not required to use the </w:t>
      </w:r>
      <w:r w:rsidR="008501CF">
        <w:rPr>
          <w:b/>
        </w:rPr>
        <w:t>Departments IT Systems</w:t>
      </w:r>
      <w:r w:rsidR="008501CF" w:rsidRPr="008501CF">
        <w:rPr>
          <w:b/>
        </w:rPr>
        <w:t xml:space="preserve"> to book all Contacts with the Participants</w:t>
      </w:r>
      <w:r w:rsidR="008501CF">
        <w:rPr>
          <w:b/>
        </w:rPr>
        <w:t xml:space="preserve"> - </w:t>
      </w:r>
      <w:r w:rsidR="008501CF" w:rsidRPr="008501CF">
        <w:rPr>
          <w:b/>
        </w:rPr>
        <w:t>the exception being</w:t>
      </w:r>
      <w:r w:rsidR="00AB78F4">
        <w:rPr>
          <w:b/>
        </w:rPr>
        <w:t>:</w:t>
      </w:r>
    </w:p>
    <w:p w:rsidR="008501CF" w:rsidRPr="008501CF" w:rsidRDefault="008501CF" w:rsidP="008501CF">
      <w:pPr>
        <w:numPr>
          <w:ilvl w:val="0"/>
          <w:numId w:val="42"/>
        </w:numPr>
        <w:rPr>
          <w:rFonts w:eastAsia="Times New Roman" w:cs="Times New Roman"/>
          <w:lang w:eastAsia="en-AU"/>
        </w:rPr>
      </w:pPr>
      <w:r w:rsidRPr="008501CF">
        <w:rPr>
          <w:rFonts w:eastAsia="Times New Roman" w:cs="Times New Roman"/>
          <w:lang w:eastAsia="en-AU"/>
        </w:rPr>
        <w:t xml:space="preserve">Conducting an Initial Interview </w:t>
      </w:r>
    </w:p>
    <w:p w:rsidR="008501CF" w:rsidRPr="008501CF" w:rsidRDefault="008501CF" w:rsidP="008501CF">
      <w:pPr>
        <w:numPr>
          <w:ilvl w:val="0"/>
          <w:numId w:val="42"/>
        </w:numPr>
        <w:rPr>
          <w:rFonts w:eastAsia="Times New Roman" w:cs="Times New Roman"/>
          <w:lang w:eastAsia="en-AU"/>
        </w:rPr>
      </w:pPr>
      <w:r w:rsidRPr="008501CF">
        <w:rPr>
          <w:rFonts w:eastAsia="Times New Roman" w:cs="Times New Roman"/>
          <w:lang w:eastAsia="en-AU"/>
        </w:rPr>
        <w:t xml:space="preserve">Re-engagement  </w:t>
      </w:r>
    </w:p>
    <w:p w:rsidR="008501CF" w:rsidRDefault="008501CF" w:rsidP="008501CF">
      <w:pPr>
        <w:numPr>
          <w:ilvl w:val="0"/>
          <w:numId w:val="42"/>
        </w:numPr>
        <w:spacing w:after="240"/>
        <w:rPr>
          <w:rFonts w:eastAsia="Times New Roman" w:cs="Times New Roman"/>
          <w:lang w:eastAsia="en-AU"/>
        </w:rPr>
      </w:pPr>
      <w:r w:rsidRPr="008501CF">
        <w:rPr>
          <w:rFonts w:eastAsia="Times New Roman" w:cs="Times New Roman"/>
          <w:lang w:eastAsia="en-AU"/>
        </w:rPr>
        <w:t xml:space="preserve">Conducting a Contact with the Participant following a Change of Circumstances Reassessment or a Program Review </w:t>
      </w:r>
    </w:p>
    <w:p w:rsidR="00C87722" w:rsidRPr="008501CF" w:rsidRDefault="008501CF" w:rsidP="008501CF">
      <w:pPr>
        <w:rPr>
          <w:b/>
        </w:rPr>
      </w:pPr>
      <w:r w:rsidRPr="008501CF">
        <w:rPr>
          <w:b/>
        </w:rPr>
        <w:t>However</w:t>
      </w:r>
      <w:r>
        <w:rPr>
          <w:b/>
        </w:rPr>
        <w:t>, in</w:t>
      </w:r>
      <w:r w:rsidRPr="008501CF">
        <w:rPr>
          <w:b/>
        </w:rPr>
        <w:t xml:space="preserve"> order for Providers to be able to take action using the job seeker compliance framework for non-compliance, Providers </w:t>
      </w:r>
      <w:r w:rsidRPr="00B315F3">
        <w:rPr>
          <w:b/>
        </w:rPr>
        <w:t>must</w:t>
      </w:r>
      <w:r w:rsidRPr="008501CF">
        <w:rPr>
          <w:b/>
        </w:rPr>
        <w:t xml:space="preserve"> use the Department's IT Systems to record appointments. </w:t>
      </w:r>
    </w:p>
    <w:p w:rsidR="009654DE" w:rsidRPr="006214DA" w:rsidRDefault="009654DE" w:rsidP="006214DA">
      <w:pPr>
        <w:pStyle w:val="Heading1"/>
      </w:pPr>
      <w:r w:rsidRPr="006214DA">
        <w:lastRenderedPageBreak/>
        <w:t>Policy Intent</w:t>
      </w:r>
    </w:p>
    <w:p w:rsidR="003929A6" w:rsidRPr="00B315F3" w:rsidRDefault="003929A6" w:rsidP="003929A6">
      <w:r w:rsidRPr="00B315F3">
        <w:t xml:space="preserve">The job seeker compliance framework is designed to encourage </w:t>
      </w:r>
      <w:r w:rsidR="00CC54F6">
        <w:t>Participants</w:t>
      </w:r>
      <w:r w:rsidRPr="00B315F3">
        <w:t xml:space="preserve"> to engag</w:t>
      </w:r>
      <w:r w:rsidR="00CC54F6">
        <w:t xml:space="preserve">e with their </w:t>
      </w:r>
      <w:r w:rsidR="00527F1B">
        <w:t>P</w:t>
      </w:r>
      <w:r w:rsidRPr="00B315F3">
        <w:t>rovider, undertake activities t</w:t>
      </w:r>
      <w:r w:rsidR="00527F1B">
        <w:t>o meet their Mutual Obligation R</w:t>
      </w:r>
      <w:r w:rsidRPr="00B315F3">
        <w:t>equirements and actively look for work.</w:t>
      </w:r>
    </w:p>
    <w:p w:rsidR="003C2292" w:rsidRPr="00B315F3" w:rsidRDefault="003929A6" w:rsidP="003929A6">
      <w:r w:rsidRPr="00B315F3">
        <w:t xml:space="preserve">The job seeker compliance framework helps Providers to quickly re-engage </w:t>
      </w:r>
      <w:r w:rsidR="00CC54F6">
        <w:t>Participants</w:t>
      </w:r>
      <w:r w:rsidRPr="00B315F3">
        <w:t xml:space="preserve"> who do not comply with their Mutual Obligation Requirements. Providers can report non-compliance to the Department of Human Services (DHS), which makes compliance decisions under the Social Security Law, including income support payment suspensions and the application of financial penalties where </w:t>
      </w:r>
      <w:r w:rsidR="00CC54F6">
        <w:t>Participants</w:t>
      </w:r>
      <w:r w:rsidRPr="00B315F3">
        <w:t xml:space="preserve"> do not have a Reasonable Excuse. Providers have flexibility to choose when they report non-compliance and when they use discretion and other strategies to re-engage or positively influence the </w:t>
      </w:r>
      <w:r w:rsidR="0020287B">
        <w:rPr>
          <w:lang w:eastAsia="en-AU"/>
        </w:rPr>
        <w:t>Participant</w:t>
      </w:r>
      <w:r w:rsidR="0020287B">
        <w:t>’s</w:t>
      </w:r>
      <w:r w:rsidRPr="00B315F3">
        <w:t xml:space="preserve"> behaviour.</w:t>
      </w:r>
    </w:p>
    <w:p w:rsidR="00832EC2" w:rsidRDefault="00832EC2">
      <w:pPr>
        <w:spacing w:after="200" w:line="276" w:lineRule="auto"/>
        <w:rPr>
          <w:rFonts w:ascii="Calibri" w:eastAsiaTheme="majorEastAsia" w:hAnsi="Calibri" w:cstheme="majorBidi"/>
          <w:b/>
          <w:bCs/>
          <w:sz w:val="28"/>
          <w:szCs w:val="28"/>
        </w:rPr>
      </w:pPr>
      <w:r>
        <w:br w:type="page"/>
      </w:r>
    </w:p>
    <w:p w:rsidR="00C77310" w:rsidRPr="00B315F3" w:rsidRDefault="00C77310" w:rsidP="00B2611B">
      <w:pPr>
        <w:pStyle w:val="Heading1"/>
      </w:pPr>
      <w:r w:rsidRPr="00B315F3">
        <w:lastRenderedPageBreak/>
        <w:t>Relevant Deed clause/s</w:t>
      </w:r>
    </w:p>
    <w:p w:rsidR="003929A6" w:rsidRDefault="003929A6" w:rsidP="003929A6">
      <w:r w:rsidRPr="00B315F3">
        <w:rPr>
          <w:szCs w:val="21"/>
        </w:rPr>
        <w:t xml:space="preserve">The relevant clauses in the </w:t>
      </w:r>
      <w:r w:rsidR="00832EC2">
        <w:rPr>
          <w:szCs w:val="21"/>
        </w:rPr>
        <w:t>Deed</w:t>
      </w:r>
      <w:r w:rsidRPr="00B315F3">
        <w:rPr>
          <w:szCs w:val="21"/>
        </w:rPr>
        <w:t xml:space="preserve"> are</w:t>
      </w:r>
      <w:r w:rsidR="00832EC2">
        <w:t>:</w:t>
      </w:r>
    </w:p>
    <w:p w:rsidR="00163D4E" w:rsidRPr="00163D4E" w:rsidRDefault="00163D4E" w:rsidP="00163D4E">
      <w:pPr>
        <w:rPr>
          <w:rFonts w:ascii="Calibri" w:eastAsia="Times New Roman" w:hAnsi="Calibri" w:cs="Times New Roman"/>
          <w:szCs w:val="24"/>
          <w:lang w:eastAsia="en-AU"/>
        </w:rPr>
      </w:pPr>
      <w:r w:rsidRPr="00163D4E">
        <w:rPr>
          <w:rFonts w:ascii="Calibri" w:eastAsia="Times New Roman" w:hAnsi="Calibri" w:cs="Times New Roman"/>
          <w:szCs w:val="24"/>
          <w:lang w:eastAsia="en-AU"/>
        </w:rPr>
        <w:t>Clause 87 – Appointments with Participants</w:t>
      </w:r>
    </w:p>
    <w:p w:rsidR="00163D4E" w:rsidRPr="00163D4E" w:rsidRDefault="00163D4E" w:rsidP="00163D4E">
      <w:pPr>
        <w:rPr>
          <w:rFonts w:ascii="Calibri" w:eastAsia="Times New Roman" w:hAnsi="Calibri" w:cs="Times New Roman"/>
          <w:b/>
          <w:bCs/>
          <w:lang w:eastAsia="en-AU"/>
        </w:rPr>
      </w:pPr>
      <w:r w:rsidRPr="00163D4E">
        <w:rPr>
          <w:rFonts w:ascii="Calibri" w:eastAsia="Times New Roman" w:hAnsi="Calibri" w:cs="Times New Roman"/>
          <w:szCs w:val="24"/>
          <w:lang w:eastAsia="en-AU"/>
        </w:rPr>
        <w:t>Clause 96 – General requirements for an Employment Pathway Plan</w:t>
      </w:r>
      <w:r w:rsidRPr="00163D4E">
        <w:rPr>
          <w:rFonts w:ascii="Calibri" w:eastAsia="Times New Roman" w:hAnsi="Calibri" w:cs="Times New Roman"/>
          <w:b/>
          <w:bCs/>
          <w:lang w:eastAsia="en-AU"/>
        </w:rPr>
        <w:t xml:space="preserve"> </w:t>
      </w:r>
    </w:p>
    <w:p w:rsidR="00163D4E" w:rsidRDefault="00163D4E" w:rsidP="00163D4E">
      <w:pPr>
        <w:rPr>
          <w:rFonts w:ascii="Calibri" w:eastAsia="Times New Roman" w:hAnsi="Calibri" w:cs="Times New Roman"/>
          <w:szCs w:val="24"/>
          <w:lang w:eastAsia="en-AU"/>
        </w:rPr>
      </w:pPr>
      <w:r w:rsidRPr="00163D4E">
        <w:rPr>
          <w:rFonts w:ascii="Calibri" w:eastAsia="Times New Roman" w:hAnsi="Calibri" w:cs="Times New Roman"/>
          <w:szCs w:val="24"/>
          <w:lang w:eastAsia="en-AU"/>
        </w:rPr>
        <w:t>Clause 97 – Failure and Reporting</w:t>
      </w:r>
    </w:p>
    <w:p w:rsidR="00163D4E" w:rsidRPr="00163D4E" w:rsidRDefault="00163D4E" w:rsidP="00163D4E">
      <w:pPr>
        <w:rPr>
          <w:rFonts w:ascii="Calibri" w:eastAsia="Times New Roman" w:hAnsi="Calibri" w:cs="Times New Roman"/>
          <w:szCs w:val="24"/>
          <w:lang w:eastAsia="en-AU"/>
        </w:rPr>
      </w:pPr>
      <w:r>
        <w:rPr>
          <w:rFonts w:ascii="Calibri" w:eastAsia="Times New Roman" w:hAnsi="Calibri" w:cs="Times New Roman"/>
          <w:szCs w:val="24"/>
          <w:lang w:eastAsia="en-AU"/>
        </w:rPr>
        <w:t>Clause 98 – Compliance Activities</w:t>
      </w:r>
    </w:p>
    <w:p w:rsidR="00832EC2" w:rsidRPr="00B315F3" w:rsidRDefault="00832EC2" w:rsidP="003929A6"/>
    <w:p w:rsidR="00C77310" w:rsidRPr="00B315F3" w:rsidRDefault="00C77310" w:rsidP="00B2611B">
      <w:pPr>
        <w:pStyle w:val="Heading1"/>
      </w:pPr>
      <w:r w:rsidRPr="00B315F3">
        <w:t xml:space="preserve">Relevant references </w:t>
      </w:r>
    </w:p>
    <w:p w:rsidR="00E076EF" w:rsidRPr="00B315F3" w:rsidRDefault="00E076EF" w:rsidP="00DF0E89">
      <w:r w:rsidRPr="00B315F3">
        <w:t>Reference documents relevant to this Guideline include:</w:t>
      </w:r>
    </w:p>
    <w:p w:rsidR="00611071" w:rsidRDefault="00541833" w:rsidP="00DF0E89">
      <w:pPr>
        <w:pStyle w:val="ListParagraph"/>
        <w:numPr>
          <w:ilvl w:val="0"/>
          <w:numId w:val="22"/>
        </w:numPr>
      </w:pPr>
      <w:r w:rsidRPr="004366F7">
        <w:t>Learning Centre website</w:t>
      </w:r>
    </w:p>
    <w:p w:rsidR="003929A6" w:rsidRPr="00B315F3" w:rsidRDefault="003929A6" w:rsidP="00DF0E89">
      <w:pPr>
        <w:pStyle w:val="ListParagraph"/>
        <w:numPr>
          <w:ilvl w:val="0"/>
          <w:numId w:val="22"/>
        </w:numPr>
      </w:pPr>
      <w:r w:rsidRPr="004366F7">
        <w:t>Mutual Obligation Requirements</w:t>
      </w:r>
      <w:r w:rsidR="00DF0E89" w:rsidRPr="004366F7">
        <w:t xml:space="preserve"> </w:t>
      </w:r>
      <w:r w:rsidR="00EB502B" w:rsidRPr="004366F7">
        <w:t>Guideline</w:t>
      </w:r>
    </w:p>
    <w:p w:rsidR="003929A6" w:rsidRPr="00B315F3" w:rsidRDefault="003929A6" w:rsidP="00DF0E89">
      <w:pPr>
        <w:pStyle w:val="ListParagraph"/>
        <w:numPr>
          <w:ilvl w:val="0"/>
          <w:numId w:val="22"/>
        </w:numPr>
      </w:pPr>
      <w:r w:rsidRPr="004366F7">
        <w:t>Job Plan</w:t>
      </w:r>
      <w:r w:rsidR="00527F1B" w:rsidRPr="004366F7">
        <w:t>s</w:t>
      </w:r>
      <w:r w:rsidRPr="004366F7">
        <w:t xml:space="preserve"> Guideline</w:t>
      </w:r>
    </w:p>
    <w:p w:rsidR="003929A6" w:rsidRPr="00B315F3" w:rsidRDefault="003929A6" w:rsidP="00DF0E89">
      <w:pPr>
        <w:pStyle w:val="ListParagraph"/>
        <w:numPr>
          <w:ilvl w:val="0"/>
          <w:numId w:val="22"/>
        </w:numPr>
      </w:pPr>
      <w:r w:rsidRPr="004366F7">
        <w:t xml:space="preserve">Managing and Monitoring </w:t>
      </w:r>
      <w:r w:rsidR="004366F7">
        <w:t>Participants</w:t>
      </w:r>
      <w:r w:rsidRPr="004366F7">
        <w:t xml:space="preserve"> Appointments</w:t>
      </w:r>
      <w:r w:rsidR="00DF0E89" w:rsidRPr="004366F7">
        <w:t xml:space="preserve"> Guideline</w:t>
      </w:r>
    </w:p>
    <w:p w:rsidR="003929A6" w:rsidRPr="00B315F3" w:rsidRDefault="003929A6" w:rsidP="00DF0E89">
      <w:pPr>
        <w:pStyle w:val="ListParagraph"/>
        <w:numPr>
          <w:ilvl w:val="0"/>
          <w:numId w:val="22"/>
        </w:numPr>
      </w:pPr>
      <w:r w:rsidRPr="004366F7">
        <w:t>Managing and Monitoring Job Search Guideline</w:t>
      </w:r>
    </w:p>
    <w:p w:rsidR="003929A6" w:rsidRPr="00B315F3" w:rsidRDefault="00753E58" w:rsidP="00DF0E89">
      <w:pPr>
        <w:pStyle w:val="ListParagraph"/>
        <w:numPr>
          <w:ilvl w:val="0"/>
          <w:numId w:val="22"/>
        </w:numPr>
      </w:pPr>
      <w:hyperlink r:id="rId13" w:history="1">
        <w:r w:rsidR="003929A6" w:rsidRPr="004366F7">
          <w:t>Comprehensive Compliance Assessments and Compliance Activities Guideline</w:t>
        </w:r>
      </w:hyperlink>
    </w:p>
    <w:p w:rsidR="003929A6" w:rsidRPr="00B315F3" w:rsidRDefault="00753E58" w:rsidP="00DF0E89">
      <w:pPr>
        <w:pStyle w:val="ListParagraph"/>
        <w:numPr>
          <w:ilvl w:val="0"/>
          <w:numId w:val="22"/>
        </w:numPr>
      </w:pPr>
      <w:hyperlink r:id="rId14" w:history="1">
        <w:r w:rsidR="003929A6" w:rsidRPr="004366F7">
          <w:t>Activity Management Guideline</w:t>
        </w:r>
      </w:hyperlink>
    </w:p>
    <w:p w:rsidR="00527F1B" w:rsidRPr="00B315F3" w:rsidRDefault="00527F1B" w:rsidP="00DF0E89">
      <w:pPr>
        <w:pStyle w:val="ListParagraph"/>
        <w:numPr>
          <w:ilvl w:val="0"/>
          <w:numId w:val="22"/>
        </w:numPr>
      </w:pPr>
      <w:r w:rsidRPr="004366F7">
        <w:t>Relocation Assistance to Take Up a Job Guideline</w:t>
      </w:r>
    </w:p>
    <w:p w:rsidR="00527F1B" w:rsidRPr="00362980" w:rsidRDefault="00753E58" w:rsidP="00527F1B">
      <w:pPr>
        <w:pStyle w:val="ListParagraph"/>
        <w:numPr>
          <w:ilvl w:val="0"/>
          <w:numId w:val="22"/>
        </w:numPr>
      </w:pPr>
      <w:hyperlink r:id="rId15" w:history="1">
        <w:r w:rsidR="00527F1B" w:rsidRPr="004366F7">
          <w:t>Social Security Act 1991</w:t>
        </w:r>
      </w:hyperlink>
    </w:p>
    <w:p w:rsidR="00527F1B" w:rsidRPr="00362980" w:rsidRDefault="00753E58" w:rsidP="00527F1B">
      <w:pPr>
        <w:pStyle w:val="ListParagraph"/>
        <w:numPr>
          <w:ilvl w:val="0"/>
          <w:numId w:val="22"/>
        </w:numPr>
      </w:pPr>
      <w:hyperlink r:id="rId16" w:history="1">
        <w:r w:rsidR="00527F1B" w:rsidRPr="004366F7">
          <w:t>Social Security (Administration) Act 1999</w:t>
        </w:r>
      </w:hyperlink>
    </w:p>
    <w:p w:rsidR="00527F1B" w:rsidRPr="00362980" w:rsidRDefault="00753E58" w:rsidP="00527F1B">
      <w:pPr>
        <w:pStyle w:val="ListParagraph"/>
        <w:numPr>
          <w:ilvl w:val="0"/>
          <w:numId w:val="22"/>
        </w:numPr>
      </w:pPr>
      <w:hyperlink r:id="rId17" w:history="1">
        <w:r w:rsidR="00527F1B" w:rsidRPr="004366F7">
          <w:t>Guide to Social Security Law</w:t>
        </w:r>
      </w:hyperlink>
    </w:p>
    <w:p w:rsidR="003929A6" w:rsidRPr="00527F1B" w:rsidRDefault="003929A6" w:rsidP="00527F1B">
      <w:pPr>
        <w:pStyle w:val="ListParagraph"/>
        <w:numPr>
          <w:ilvl w:val="0"/>
          <w:numId w:val="22"/>
        </w:numPr>
        <w:rPr>
          <w:i/>
        </w:rPr>
      </w:pPr>
      <w:r w:rsidRPr="00B315F3">
        <w:t>Employment and  Community Services Network (ECSN) - Reports – Compliance</w:t>
      </w:r>
    </w:p>
    <w:p w:rsidR="003929A6" w:rsidRPr="00B315F3" w:rsidRDefault="003929A6" w:rsidP="00DF0E89">
      <w:pPr>
        <w:pStyle w:val="ListParagraph"/>
        <w:numPr>
          <w:ilvl w:val="1"/>
          <w:numId w:val="22"/>
        </w:numPr>
      </w:pPr>
      <w:r w:rsidRPr="00B315F3">
        <w:t>CPL0</w:t>
      </w:r>
      <w:r w:rsidR="004366F7">
        <w:t>2</w:t>
      </w:r>
      <w:r w:rsidRPr="00B315F3">
        <w:t xml:space="preserve"> </w:t>
      </w:r>
      <w:r w:rsidR="004366F7">
        <w:t>DES</w:t>
      </w:r>
      <w:r w:rsidRPr="00B315F3">
        <w:t xml:space="preserve"> Job Seeker Compliance</w:t>
      </w:r>
    </w:p>
    <w:p w:rsidR="003929A6" w:rsidRPr="00B315F3" w:rsidRDefault="003929A6" w:rsidP="00DF0E89">
      <w:pPr>
        <w:pStyle w:val="ListParagraph"/>
        <w:numPr>
          <w:ilvl w:val="1"/>
          <w:numId w:val="22"/>
        </w:numPr>
      </w:pPr>
      <w:r w:rsidRPr="00B315F3">
        <w:t>CPL03 Appointment Outcome</w:t>
      </w:r>
    </w:p>
    <w:p w:rsidR="003929A6" w:rsidRPr="00B315F3" w:rsidRDefault="003929A6" w:rsidP="00DF0E89">
      <w:pPr>
        <w:pStyle w:val="ListParagraph"/>
        <w:numPr>
          <w:ilvl w:val="1"/>
          <w:numId w:val="22"/>
        </w:numPr>
      </w:pPr>
      <w:r w:rsidRPr="00B315F3">
        <w:t>CPL04 Job Seeker Re-Engagement</w:t>
      </w:r>
    </w:p>
    <w:p w:rsidR="00DF0E89" w:rsidRPr="00B315F3" w:rsidRDefault="003929A6" w:rsidP="00DF0E89">
      <w:pPr>
        <w:pStyle w:val="ListParagraph"/>
        <w:numPr>
          <w:ilvl w:val="1"/>
          <w:numId w:val="22"/>
        </w:numPr>
        <w:sectPr w:rsidR="00DF0E89" w:rsidRPr="00B315F3" w:rsidSect="00B93E2A">
          <w:footerReference w:type="default" r:id="rId18"/>
          <w:type w:val="continuous"/>
          <w:pgSz w:w="11906" w:h="16838"/>
          <w:pgMar w:top="709" w:right="991" w:bottom="851" w:left="851" w:header="624" w:footer="218" w:gutter="0"/>
          <w:cols w:space="708"/>
          <w:docGrid w:linePitch="360"/>
        </w:sectPr>
      </w:pPr>
      <w:r w:rsidRPr="00B315F3">
        <w:t>CPL05 Job Seeker Reconnection Report</w:t>
      </w:r>
      <w:r w:rsidR="00DF0E89" w:rsidRPr="00B315F3">
        <w:t>.</w:t>
      </w:r>
    </w:p>
    <w:p w:rsidR="00C77310" w:rsidRPr="00B315F3" w:rsidRDefault="00DF0E89" w:rsidP="00DF0E89">
      <w:pPr>
        <w:pStyle w:val="Heading1"/>
      </w:pPr>
      <w:r w:rsidRPr="00B315F3">
        <w:lastRenderedPageBreak/>
        <w:t xml:space="preserve">Notifying </w:t>
      </w:r>
      <w:r w:rsidR="00832EC2">
        <w:t>Participants</w:t>
      </w:r>
      <w:r w:rsidRPr="00B315F3">
        <w:t xml:space="preserve"> of their Mutual Obligation Requirements, monitoring participation and using the job seeker compliance framework</w:t>
      </w:r>
    </w:p>
    <w:tbl>
      <w:tblPr>
        <w:tblStyle w:val="TableGrid"/>
        <w:tblW w:w="10881" w:type="dxa"/>
        <w:tblLook w:val="04A0" w:firstRow="1" w:lastRow="0" w:firstColumn="1" w:lastColumn="0" w:noHBand="0" w:noVBand="1"/>
        <w:tblDescription w:val="Table: Notifying Participants of their Mutual Obligation Requirements, monitoring participation and using the job seeker compliance framework."/>
      </w:tblPr>
      <w:tblGrid>
        <w:gridCol w:w="2943"/>
        <w:gridCol w:w="7938"/>
      </w:tblGrid>
      <w:tr w:rsidR="00C77310" w:rsidRPr="00B315F3" w:rsidTr="0082742F">
        <w:trPr>
          <w:tblHeader/>
        </w:trPr>
        <w:tc>
          <w:tcPr>
            <w:tcW w:w="2943" w:type="dxa"/>
          </w:tcPr>
          <w:p w:rsidR="00C77310" w:rsidRPr="006214DA" w:rsidRDefault="00C77310" w:rsidP="006214DA">
            <w:pPr>
              <w:rPr>
                <w:b/>
              </w:rPr>
            </w:pPr>
            <w:r w:rsidRPr="006214DA">
              <w:rPr>
                <w:b/>
              </w:rPr>
              <w:t>Process</w:t>
            </w:r>
          </w:p>
        </w:tc>
        <w:tc>
          <w:tcPr>
            <w:tcW w:w="7938" w:type="dxa"/>
          </w:tcPr>
          <w:p w:rsidR="00C77310" w:rsidRPr="006214DA" w:rsidRDefault="00C77310" w:rsidP="006214DA">
            <w:pPr>
              <w:rPr>
                <w:b/>
              </w:rPr>
            </w:pPr>
            <w:r w:rsidRPr="006214DA">
              <w:rPr>
                <w:b/>
              </w:rPr>
              <w:t>Details</w:t>
            </w:r>
          </w:p>
        </w:tc>
      </w:tr>
      <w:tr w:rsidR="00C77310" w:rsidRPr="00B315F3" w:rsidTr="00E06EDE">
        <w:tc>
          <w:tcPr>
            <w:tcW w:w="2943" w:type="dxa"/>
          </w:tcPr>
          <w:p w:rsidR="00C77310" w:rsidRPr="006214DA" w:rsidRDefault="004A37B6" w:rsidP="006214DA">
            <w:pPr>
              <w:rPr>
                <w:b/>
              </w:rPr>
            </w:pPr>
            <w:r w:rsidRPr="006214DA">
              <w:rPr>
                <w:b/>
              </w:rPr>
              <w:t xml:space="preserve">Provider ensures that </w:t>
            </w:r>
            <w:r w:rsidR="00832EC2" w:rsidRPr="006214DA">
              <w:rPr>
                <w:b/>
              </w:rPr>
              <w:t>Participants</w:t>
            </w:r>
            <w:r w:rsidRPr="006214DA">
              <w:rPr>
                <w:b/>
              </w:rPr>
              <w:t xml:space="preserve"> are aware of their Mutual Obligation Requirements and details of meeting them</w:t>
            </w:r>
          </w:p>
        </w:tc>
        <w:tc>
          <w:tcPr>
            <w:tcW w:w="7938" w:type="dxa"/>
          </w:tcPr>
          <w:p w:rsidR="00DF0E89" w:rsidRPr="00B315F3" w:rsidRDefault="00DF0E89" w:rsidP="00DF0E89">
            <w:pPr>
              <w:rPr>
                <w:b/>
              </w:rPr>
            </w:pPr>
            <w:r w:rsidRPr="00B315F3">
              <w:rPr>
                <w:b/>
              </w:rPr>
              <w:t>Job Plans</w:t>
            </w:r>
          </w:p>
          <w:p w:rsidR="00DF0E89" w:rsidRPr="00B315F3" w:rsidRDefault="00DF0E89" w:rsidP="00DF0E89">
            <w:r w:rsidRPr="00B315F3">
              <w:t xml:space="preserve">Under the Social Security Law, </w:t>
            </w:r>
            <w:r w:rsidR="00832EC2">
              <w:t>Participants</w:t>
            </w:r>
            <w:r w:rsidRPr="00B315F3">
              <w:t xml:space="preserve"> </w:t>
            </w:r>
            <w:r w:rsidRPr="00B315F3">
              <w:rPr>
                <w:b/>
              </w:rPr>
              <w:t>must</w:t>
            </w:r>
            <w:r w:rsidRPr="00B315F3">
              <w:t xml:space="preserve"> enter into and agree to the terms of a Job Plan. The Job Plan will include the Appointments, Job Search Requirements and any other activities that will enable the </w:t>
            </w:r>
            <w:r w:rsidR="00832EC2">
              <w:t>Participant</w:t>
            </w:r>
            <w:r w:rsidRPr="00B315F3">
              <w:t xml:space="preserve"> to meet their Mutual Obligation Requirements</w:t>
            </w:r>
            <w:r w:rsidR="00832EC2">
              <w:t>.</w:t>
            </w:r>
            <w:r w:rsidRPr="00B315F3">
              <w:t xml:space="preserve"> When deciding what Mutual Obligation Requirements to include in the Job Plan, Providers </w:t>
            </w:r>
            <w:r w:rsidRPr="00B315F3">
              <w:rPr>
                <w:b/>
              </w:rPr>
              <w:t>must</w:t>
            </w:r>
            <w:r w:rsidRPr="00B315F3">
              <w:t xml:space="preserve"> consider the </w:t>
            </w:r>
            <w:r w:rsidR="00C07A2B">
              <w:t>Participant’s</w:t>
            </w:r>
            <w:r w:rsidRPr="00B315F3">
              <w:t xml:space="preserve"> individual circumstances, including their work capacity</w:t>
            </w:r>
            <w:r w:rsidR="00AB78F4">
              <w:t xml:space="preserve"> (</w:t>
            </w:r>
            <w:r w:rsidRPr="00B315F3">
              <w:t>where relevant</w:t>
            </w:r>
            <w:r w:rsidR="00AB78F4">
              <w:t>)</w:t>
            </w:r>
            <w:proofErr w:type="gramStart"/>
            <w:r w:rsidRPr="00B315F3">
              <w:t>,</w:t>
            </w:r>
            <w:proofErr w:type="gramEnd"/>
            <w:r w:rsidRPr="00B315F3">
              <w:t xml:space="preserve"> personal needs, caring responsibilities</w:t>
            </w:r>
            <w:r w:rsidR="009350B7">
              <w:t xml:space="preserve">, any vulnerability indicators on the </w:t>
            </w:r>
            <w:r w:rsidR="00C24879">
              <w:t>Participant’s</w:t>
            </w:r>
            <w:r w:rsidR="009350B7">
              <w:t xml:space="preserve"> record</w:t>
            </w:r>
            <w:r w:rsidRPr="00B315F3">
              <w:t xml:space="preserve"> and </w:t>
            </w:r>
            <w:r w:rsidR="009350B7">
              <w:t xml:space="preserve">their </w:t>
            </w:r>
            <w:r w:rsidRPr="00B315F3">
              <w:t>capacity to comply with the requirements.</w:t>
            </w:r>
          </w:p>
          <w:p w:rsidR="00DF0E89" w:rsidRPr="00B315F3" w:rsidRDefault="00DF0E89" w:rsidP="00777B4D">
            <w:r w:rsidRPr="00B315F3">
              <w:t xml:space="preserve">For more information on Job Plans, see the </w:t>
            </w:r>
            <w:r w:rsidR="00777B4D" w:rsidRPr="00C07A2B">
              <w:rPr>
                <w:i/>
              </w:rPr>
              <w:t>Job Plan</w:t>
            </w:r>
            <w:r w:rsidR="00B5367C">
              <w:rPr>
                <w:i/>
              </w:rPr>
              <w:t>s</w:t>
            </w:r>
            <w:r w:rsidR="00777B4D" w:rsidRPr="00C07A2B">
              <w:rPr>
                <w:i/>
              </w:rPr>
              <w:t xml:space="preserve"> Guideline</w:t>
            </w:r>
            <w:r w:rsidRPr="00B315F3">
              <w:t>.</w:t>
            </w:r>
          </w:p>
          <w:p w:rsidR="00DF0E89" w:rsidRPr="00B315F3" w:rsidRDefault="00DF0E89" w:rsidP="00DF0E89">
            <w:r w:rsidRPr="00B315F3">
              <w:t xml:space="preserve">Providers </w:t>
            </w:r>
            <w:r w:rsidRPr="00B315F3">
              <w:rPr>
                <w:b/>
              </w:rPr>
              <w:t>must</w:t>
            </w:r>
            <w:r w:rsidRPr="00B315F3">
              <w:t xml:space="preserve"> ensure that </w:t>
            </w:r>
            <w:r w:rsidR="00C07A2B">
              <w:t>Participants</w:t>
            </w:r>
            <w:r w:rsidRPr="00B315F3">
              <w:t xml:space="preserve"> are correctly notified of their Mutual Obligation Requirements so that </w:t>
            </w:r>
            <w:r w:rsidR="00D00B56">
              <w:t>P</w:t>
            </w:r>
            <w:r w:rsidR="00C07A2B">
              <w:t>articipants</w:t>
            </w:r>
            <w:r w:rsidRPr="00B315F3">
              <w:t xml:space="preserve"> are aware at all times of what the Social Security Law requires them to do in return for their income support payment. Providers </w:t>
            </w:r>
            <w:r w:rsidRPr="00B315F3">
              <w:rPr>
                <w:b/>
              </w:rPr>
              <w:t>must</w:t>
            </w:r>
            <w:r w:rsidRPr="00B315F3">
              <w:t xml:space="preserve"> use the Department's IT Systems to record the way that the </w:t>
            </w:r>
            <w:r w:rsidR="007F640D">
              <w:t>Participant</w:t>
            </w:r>
            <w:r w:rsidRPr="00B315F3">
              <w:t xml:space="preserve"> was notified of their Mutual Obligation Requirements. This enables Providers to be able to take action using the job seeker compliance framework for non-compliance where they choose to do so.</w:t>
            </w:r>
          </w:p>
          <w:p w:rsidR="00DF0E89" w:rsidRPr="00B315F3" w:rsidRDefault="00DF0E89" w:rsidP="00DF0E89">
            <w:pPr>
              <w:rPr>
                <w:b/>
              </w:rPr>
            </w:pPr>
            <w:r w:rsidRPr="00B315F3">
              <w:rPr>
                <w:b/>
              </w:rPr>
              <w:t xml:space="preserve">Authority to formally notify a </w:t>
            </w:r>
            <w:r w:rsidR="00AB78F4">
              <w:rPr>
                <w:b/>
              </w:rPr>
              <w:t>Participant</w:t>
            </w:r>
            <w:r w:rsidRPr="00B315F3">
              <w:rPr>
                <w:b/>
              </w:rPr>
              <w:t xml:space="preserve"> of their Mutual Obligation Requirements</w:t>
            </w:r>
          </w:p>
          <w:p w:rsidR="00DF0E89" w:rsidRPr="00B315F3" w:rsidRDefault="00DF0E89" w:rsidP="00DF0E89">
            <w:r w:rsidRPr="00B315F3">
              <w:t>Each person engaged by a Provider to perform functions or to provide Services under the Deed is a delegate of the Secretary of the Department of Employment. Delegates have been given the authority under the Social Security Law (Social Security (Administration) Act 1999, s 63(2); and Soc</w:t>
            </w:r>
            <w:r w:rsidR="003F0A00" w:rsidRPr="00B315F3">
              <w:t xml:space="preserve">ial Security Act 1991, </w:t>
            </w:r>
            <w:proofErr w:type="spellStart"/>
            <w:r w:rsidR="003F0A00" w:rsidRPr="00B315F3">
              <w:t>ss</w:t>
            </w:r>
            <w:proofErr w:type="spellEnd"/>
            <w:r w:rsidR="003F0A00" w:rsidRPr="00B315F3">
              <w:t> </w:t>
            </w:r>
            <w:r w:rsidRPr="00B315F3">
              <w:t xml:space="preserve">501, 544, 605 and 731L) to formally notify the </w:t>
            </w:r>
            <w:r w:rsidR="00AB78F4">
              <w:t>Participant</w:t>
            </w:r>
            <w:r w:rsidRPr="00B315F3">
              <w:t xml:space="preserve"> of the requirements to:</w:t>
            </w:r>
          </w:p>
          <w:p w:rsidR="00DF0E89" w:rsidRPr="00B315F3" w:rsidRDefault="00DF0E89" w:rsidP="00DF0E89">
            <w:pPr>
              <w:pStyle w:val="ListParagraph"/>
              <w:numPr>
                <w:ilvl w:val="0"/>
                <w:numId w:val="23"/>
              </w:numPr>
            </w:pPr>
            <w:r w:rsidRPr="00B315F3">
              <w:t>attend Appointments with their Provider or a third party</w:t>
            </w:r>
          </w:p>
          <w:p w:rsidR="00DF0E89" w:rsidRPr="00B315F3" w:rsidRDefault="00DF0E89" w:rsidP="00DF0E89">
            <w:pPr>
              <w:pStyle w:val="ListParagraph"/>
              <w:numPr>
                <w:ilvl w:val="0"/>
                <w:numId w:val="23"/>
              </w:numPr>
            </w:pPr>
            <w:r w:rsidRPr="00B315F3">
              <w:t>attend a</w:t>
            </w:r>
            <w:r w:rsidR="00AC3305">
              <w:t xml:space="preserve"> location to participate in an a</w:t>
            </w:r>
            <w:r w:rsidRPr="00B315F3">
              <w:t>ctivity</w:t>
            </w:r>
          </w:p>
          <w:p w:rsidR="00DF0E89" w:rsidRPr="00B315F3" w:rsidRDefault="00DF0E89" w:rsidP="00527F1B">
            <w:pPr>
              <w:pStyle w:val="ListParagraph"/>
              <w:numPr>
                <w:ilvl w:val="0"/>
                <w:numId w:val="23"/>
              </w:numPr>
            </w:pPr>
            <w:r w:rsidRPr="00B315F3">
              <w:t>attend a job interview</w:t>
            </w:r>
          </w:p>
          <w:p w:rsidR="00C77310" w:rsidRPr="00B315F3" w:rsidRDefault="00DF0E89" w:rsidP="00DF0E89">
            <w:pPr>
              <w:pStyle w:val="ListParagraph"/>
              <w:numPr>
                <w:ilvl w:val="0"/>
                <w:numId w:val="23"/>
              </w:numPr>
            </w:pPr>
            <w:proofErr w:type="gramStart"/>
            <w:r w:rsidRPr="00B315F3">
              <w:t>nego</w:t>
            </w:r>
            <w:r w:rsidR="00527F1B">
              <w:t>tiate</w:t>
            </w:r>
            <w:proofErr w:type="gramEnd"/>
            <w:r w:rsidR="00527F1B">
              <w:t xml:space="preserve"> and enter into a Job Plan (which may include Job Search Requirements).</w:t>
            </w:r>
          </w:p>
        </w:tc>
      </w:tr>
      <w:tr w:rsidR="00C77310" w:rsidRPr="00B315F3" w:rsidTr="00E06EDE">
        <w:tc>
          <w:tcPr>
            <w:tcW w:w="2943" w:type="dxa"/>
          </w:tcPr>
          <w:p w:rsidR="00C77310" w:rsidRPr="006214DA" w:rsidRDefault="004A37B6" w:rsidP="006214DA">
            <w:pPr>
              <w:rPr>
                <w:b/>
              </w:rPr>
            </w:pPr>
            <w:r w:rsidRPr="006214DA">
              <w:rPr>
                <w:b/>
              </w:rPr>
              <w:t>Provider ensures that formal notification contains all required details</w:t>
            </w:r>
          </w:p>
        </w:tc>
        <w:tc>
          <w:tcPr>
            <w:tcW w:w="7938" w:type="dxa"/>
          </w:tcPr>
          <w:p w:rsidR="003F0A00" w:rsidRPr="00B315F3" w:rsidRDefault="003F0A00" w:rsidP="003F0A00">
            <w:r w:rsidRPr="00B315F3">
              <w:t xml:space="preserve">Providers </w:t>
            </w:r>
            <w:r w:rsidRPr="00B315F3">
              <w:rPr>
                <w:b/>
              </w:rPr>
              <w:t>must</w:t>
            </w:r>
            <w:r w:rsidRPr="00B315F3">
              <w:t xml:space="preserve"> ensure that the following details are included in the formal notification:</w:t>
            </w:r>
          </w:p>
          <w:p w:rsidR="003F0A00" w:rsidRPr="00B315F3" w:rsidRDefault="003F0A00" w:rsidP="003F0A00">
            <w:pPr>
              <w:pStyle w:val="ListParagraph"/>
              <w:numPr>
                <w:ilvl w:val="0"/>
                <w:numId w:val="26"/>
              </w:numPr>
            </w:pPr>
            <w:r w:rsidRPr="00B315F3">
              <w:t>the nature of the requiremen</w:t>
            </w:r>
            <w:r w:rsidR="00527F1B">
              <w:t>t (e.g. Appointments,</w:t>
            </w:r>
            <w:r w:rsidRPr="00B315F3">
              <w:t xml:space="preserve"> activities</w:t>
            </w:r>
            <w:r w:rsidR="00527F1B">
              <w:t>, entering into a Job Plan</w:t>
            </w:r>
            <w:r w:rsidRPr="00B315F3">
              <w:t>)</w:t>
            </w:r>
          </w:p>
          <w:p w:rsidR="003F0A00" w:rsidRPr="00B315F3" w:rsidRDefault="003F0A00" w:rsidP="003F0A00">
            <w:pPr>
              <w:pStyle w:val="ListParagraph"/>
              <w:numPr>
                <w:ilvl w:val="0"/>
                <w:numId w:val="26"/>
              </w:numPr>
            </w:pPr>
            <w:r w:rsidRPr="00B315F3">
              <w:t xml:space="preserve">the date and time of the requirement or the time the requirement needs to be completed by </w:t>
            </w:r>
          </w:p>
          <w:p w:rsidR="003F0A00" w:rsidRPr="00B315F3" w:rsidRDefault="003F0A00" w:rsidP="003F0A00">
            <w:pPr>
              <w:pStyle w:val="ListParagraph"/>
              <w:numPr>
                <w:ilvl w:val="0"/>
                <w:numId w:val="26"/>
              </w:numPr>
            </w:pPr>
            <w:r w:rsidRPr="00B315F3">
              <w:t>the location of the requirement where relevant (for Appointments and activities, for instance)</w:t>
            </w:r>
          </w:p>
          <w:p w:rsidR="003F0A00" w:rsidRPr="00B315F3" w:rsidRDefault="003F0A00" w:rsidP="003F0A00">
            <w:pPr>
              <w:pStyle w:val="ListParagraph"/>
              <w:numPr>
                <w:ilvl w:val="0"/>
                <w:numId w:val="26"/>
              </w:numPr>
            </w:pPr>
            <w:r w:rsidRPr="00B315F3">
              <w:t xml:space="preserve">the consequences of </w:t>
            </w:r>
            <w:r w:rsidR="00EB502B" w:rsidRPr="00B315F3">
              <w:t>failing to meet the requirement</w:t>
            </w:r>
            <w:r w:rsidR="00B93E2A" w:rsidRPr="00B315F3">
              <w:t xml:space="preserve"> </w:t>
            </w:r>
            <w:r w:rsidR="00EB502B" w:rsidRPr="00B315F3">
              <w:t>and</w:t>
            </w:r>
          </w:p>
          <w:p w:rsidR="003F0A00" w:rsidRPr="00B315F3" w:rsidRDefault="003F0A00" w:rsidP="003F0A00">
            <w:pPr>
              <w:pStyle w:val="ListParagraph"/>
              <w:numPr>
                <w:ilvl w:val="0"/>
                <w:numId w:val="26"/>
              </w:numPr>
            </w:pPr>
            <w:proofErr w:type="gramStart"/>
            <w:r w:rsidRPr="00B315F3">
              <w:t>a</w:t>
            </w:r>
            <w:proofErr w:type="gramEnd"/>
            <w:r w:rsidRPr="00B315F3">
              <w:t xml:space="preserve"> statement that it is a notice under the Social Security Law. The statement explains to the </w:t>
            </w:r>
            <w:r w:rsidR="00B64E94">
              <w:t>Participant</w:t>
            </w:r>
            <w:r w:rsidRPr="00B315F3">
              <w:t xml:space="preserve"> that the Appointment </w:t>
            </w:r>
            <w:r w:rsidR="00527F1B">
              <w:t>or a</w:t>
            </w:r>
            <w:r w:rsidRPr="00B315F3">
              <w:t xml:space="preserve">ctivity, for example, is part of their requirements in order to receive income </w:t>
            </w:r>
            <w:r w:rsidRPr="00B315F3">
              <w:lastRenderedPageBreak/>
              <w:t>support payments.</w:t>
            </w:r>
          </w:p>
          <w:p w:rsidR="003F0A00" w:rsidRPr="00B315F3" w:rsidRDefault="003F0A00" w:rsidP="003F0A00">
            <w:r w:rsidRPr="00B315F3">
              <w:t>Other requirements when issuing formal notification include:</w:t>
            </w:r>
          </w:p>
          <w:p w:rsidR="003F0A00" w:rsidRPr="00B315F3" w:rsidRDefault="003F0A00" w:rsidP="003F0A00">
            <w:pPr>
              <w:pStyle w:val="ListParagraph"/>
              <w:numPr>
                <w:ilvl w:val="0"/>
                <w:numId w:val="25"/>
              </w:numPr>
            </w:pPr>
            <w:r w:rsidRPr="00B315F3">
              <w:t xml:space="preserve">Where a </w:t>
            </w:r>
            <w:r w:rsidR="00B64E94">
              <w:t>participant</w:t>
            </w:r>
            <w:r w:rsidR="00527F1B">
              <w:t xml:space="preserve"> is required to attend an </w:t>
            </w:r>
            <w:r w:rsidR="00B5367C">
              <w:t>A</w:t>
            </w:r>
            <w:r w:rsidRPr="00B315F3">
              <w:t xml:space="preserve">ppointment, the Provider </w:t>
            </w:r>
            <w:r w:rsidRPr="00B315F3">
              <w:rPr>
                <w:b/>
              </w:rPr>
              <w:t>must</w:t>
            </w:r>
            <w:r w:rsidRPr="00B315F3">
              <w:t xml:space="preserve"> ensure that the notice includes the purpose of the </w:t>
            </w:r>
            <w:r w:rsidR="00B5367C">
              <w:t>A</w:t>
            </w:r>
            <w:r w:rsidRPr="00B315F3">
              <w:t>ppointment</w:t>
            </w:r>
          </w:p>
          <w:p w:rsidR="003F0A00" w:rsidRPr="00B315F3" w:rsidRDefault="00B64E94" w:rsidP="003F0A00">
            <w:pPr>
              <w:pStyle w:val="ListParagraph"/>
              <w:numPr>
                <w:ilvl w:val="0"/>
                <w:numId w:val="25"/>
              </w:numPr>
            </w:pPr>
            <w:r>
              <w:t>Participants</w:t>
            </w:r>
            <w:r w:rsidR="003F0A00" w:rsidRPr="00B315F3">
              <w:t xml:space="preserve"> </w:t>
            </w:r>
            <w:r w:rsidR="003F0A00" w:rsidRPr="00B315F3">
              <w:rPr>
                <w:b/>
              </w:rPr>
              <w:t>must</w:t>
            </w:r>
            <w:r w:rsidR="003F0A00" w:rsidRPr="00B315F3">
              <w:t xml:space="preserve"> be advised that, if they have a Valid Reason for not being able to meet their requirements, they </w:t>
            </w:r>
            <w:r w:rsidR="003F0A00" w:rsidRPr="00B315F3">
              <w:rPr>
                <w:b/>
              </w:rPr>
              <w:t>must</w:t>
            </w:r>
            <w:r w:rsidR="003F0A00" w:rsidRPr="00B315F3">
              <w:t xml:space="preserve"> contact their Provider beforehand to advise of this</w:t>
            </w:r>
          </w:p>
          <w:p w:rsidR="00C77310" w:rsidRPr="00B315F3" w:rsidRDefault="003F0A00" w:rsidP="00B64E94">
            <w:pPr>
              <w:pStyle w:val="ListParagraph"/>
              <w:numPr>
                <w:ilvl w:val="0"/>
                <w:numId w:val="24"/>
              </w:numPr>
              <w:rPr>
                <w:rFonts w:cstheme="minorHAnsi"/>
              </w:rPr>
            </w:pPr>
            <w:r w:rsidRPr="00B315F3">
              <w:t xml:space="preserve">If a </w:t>
            </w:r>
            <w:r w:rsidR="00B64E94">
              <w:t>Participant</w:t>
            </w:r>
            <w:r w:rsidRPr="00B315F3">
              <w:t xml:space="preserve"> is required to attend an Appointment or activity, the provider </w:t>
            </w:r>
            <w:r w:rsidRPr="00B315F3">
              <w:rPr>
                <w:b/>
              </w:rPr>
              <w:t>must</w:t>
            </w:r>
            <w:r w:rsidRPr="00B315F3">
              <w:t xml:space="preserve"> ensure that it gives reasonable notice ahead of</w:t>
            </w:r>
            <w:r w:rsidR="00527F1B">
              <w:t xml:space="preserve"> the Appointment or day of the a</w:t>
            </w:r>
            <w:r w:rsidRPr="00B315F3">
              <w:t xml:space="preserve">ctivity. Reasonable notice gives the </w:t>
            </w:r>
            <w:r w:rsidR="00B64E94">
              <w:t>Participant</w:t>
            </w:r>
            <w:r w:rsidRPr="00B315F3">
              <w:t xml:space="preserve"> sufficient time to prepare for the requirement-for example, to arrange transportation.</w:t>
            </w:r>
          </w:p>
        </w:tc>
      </w:tr>
      <w:tr w:rsidR="00C77310" w:rsidRPr="00B315F3" w:rsidTr="00E06EDE">
        <w:tc>
          <w:tcPr>
            <w:tcW w:w="2943" w:type="dxa"/>
          </w:tcPr>
          <w:p w:rsidR="00C77310" w:rsidRPr="006214DA" w:rsidRDefault="004A37B6" w:rsidP="006214DA">
            <w:pPr>
              <w:rPr>
                <w:b/>
              </w:rPr>
            </w:pPr>
            <w:r w:rsidRPr="006214DA">
              <w:rPr>
                <w:b/>
              </w:rPr>
              <w:lastRenderedPageBreak/>
              <w:t xml:space="preserve">Provider issues the most appropriate form of formal notification to </w:t>
            </w:r>
            <w:r w:rsidR="00E84498" w:rsidRPr="006214DA">
              <w:rPr>
                <w:b/>
              </w:rPr>
              <w:t>Participant</w:t>
            </w:r>
            <w:r w:rsidRPr="006214DA">
              <w:rPr>
                <w:b/>
              </w:rPr>
              <w:t xml:space="preserve"> in reasonable notice timeframes</w:t>
            </w:r>
          </w:p>
        </w:tc>
        <w:tc>
          <w:tcPr>
            <w:tcW w:w="7938" w:type="dxa"/>
          </w:tcPr>
          <w:p w:rsidR="003F0A00" w:rsidRPr="00B315F3" w:rsidRDefault="003F0A00" w:rsidP="003F0A00">
            <w:pPr>
              <w:rPr>
                <w:b/>
                <w:lang w:eastAsia="en-AU"/>
              </w:rPr>
            </w:pPr>
            <w:r w:rsidRPr="00B315F3">
              <w:rPr>
                <w:b/>
                <w:lang w:eastAsia="en-AU"/>
              </w:rPr>
              <w:t>Types of formal notification</w:t>
            </w:r>
          </w:p>
          <w:p w:rsidR="003F0A00" w:rsidRPr="00B315F3" w:rsidRDefault="003F0A00" w:rsidP="003F0A00">
            <w:pPr>
              <w:rPr>
                <w:u w:val="single"/>
                <w:lang w:eastAsia="en-AU"/>
              </w:rPr>
            </w:pPr>
            <w:r w:rsidRPr="00B315F3">
              <w:rPr>
                <w:lang w:eastAsia="en-AU"/>
              </w:rPr>
              <w:t xml:space="preserve">Providers can notify a </w:t>
            </w:r>
            <w:r w:rsidR="00925F0A">
              <w:rPr>
                <w:lang w:eastAsia="en-AU"/>
              </w:rPr>
              <w:t>Participant</w:t>
            </w:r>
            <w:r w:rsidRPr="00B315F3">
              <w:rPr>
                <w:lang w:eastAsia="en-AU"/>
              </w:rPr>
              <w:t xml:space="preserve"> of the details of their Mutual Obligation Requirements either by including them in the </w:t>
            </w:r>
            <w:r w:rsidR="00925F0A">
              <w:rPr>
                <w:lang w:eastAsia="en-AU"/>
              </w:rPr>
              <w:t>Participant</w:t>
            </w:r>
            <w:r w:rsidRPr="00B315F3">
              <w:rPr>
                <w:lang w:eastAsia="en-AU"/>
              </w:rPr>
              <w:t>’s Job Plan or by issuing separate formal notification to the</w:t>
            </w:r>
            <w:r w:rsidR="00925F0A">
              <w:rPr>
                <w:rStyle w:val="Strong"/>
                <w:bCs w:val="0"/>
                <w:lang w:eastAsia="en-AU"/>
              </w:rPr>
              <w:t xml:space="preserve"> </w:t>
            </w:r>
            <w:r w:rsidR="00925F0A" w:rsidRPr="00925F0A">
              <w:rPr>
                <w:rStyle w:val="Strong"/>
                <w:b w:val="0"/>
                <w:bCs w:val="0"/>
                <w:lang w:eastAsia="en-AU"/>
              </w:rPr>
              <w:t>Participant.</w:t>
            </w:r>
          </w:p>
          <w:p w:rsidR="003F0A00" w:rsidRPr="00B315F3" w:rsidRDefault="003F0A00" w:rsidP="003F0A00">
            <w:pPr>
              <w:pStyle w:val="ListParagraph"/>
              <w:numPr>
                <w:ilvl w:val="0"/>
                <w:numId w:val="27"/>
              </w:numPr>
              <w:rPr>
                <w:lang w:eastAsia="en-AU"/>
              </w:rPr>
            </w:pPr>
            <w:r w:rsidRPr="00B315F3">
              <w:rPr>
                <w:lang w:eastAsia="en-AU"/>
              </w:rPr>
              <w:t>Job Plan</w:t>
            </w:r>
          </w:p>
          <w:p w:rsidR="003F0A00" w:rsidRPr="00B315F3" w:rsidRDefault="003F0A00" w:rsidP="003F0A00">
            <w:pPr>
              <w:rPr>
                <w:lang w:eastAsia="en-AU"/>
              </w:rPr>
            </w:pPr>
            <w:r w:rsidRPr="00B315F3">
              <w:rPr>
                <w:lang w:eastAsia="en-AU"/>
              </w:rPr>
              <w:t xml:space="preserve">The Job Plan can be used as the full formal notification only if the time, date and location details (where relevant) of the particular requirements are included. Providers will generally be unable to include all of these details at the time the Job Plan is being negotiated, so the Provider </w:t>
            </w:r>
            <w:r w:rsidRPr="00B315F3">
              <w:rPr>
                <w:b/>
                <w:lang w:eastAsia="en-AU"/>
              </w:rPr>
              <w:t>must</w:t>
            </w:r>
            <w:r w:rsidRPr="00B315F3">
              <w:rPr>
                <w:lang w:eastAsia="en-AU"/>
              </w:rPr>
              <w:t xml:space="preserve"> issue the </w:t>
            </w:r>
            <w:r w:rsidR="00925F0A">
              <w:rPr>
                <w:lang w:eastAsia="en-AU"/>
              </w:rPr>
              <w:t>Participant</w:t>
            </w:r>
            <w:r w:rsidRPr="00B315F3">
              <w:rPr>
                <w:lang w:eastAsia="en-AU"/>
              </w:rPr>
              <w:t xml:space="preserve"> with separate formal notification </w:t>
            </w:r>
            <w:r w:rsidR="00527F1B">
              <w:rPr>
                <w:lang w:eastAsia="en-AU"/>
              </w:rPr>
              <w:t>to support the Appointment and a</w:t>
            </w:r>
            <w:r w:rsidRPr="00B315F3">
              <w:rPr>
                <w:lang w:eastAsia="en-AU"/>
              </w:rPr>
              <w:t>ctivity requirements in the Job Plan.</w:t>
            </w:r>
          </w:p>
          <w:p w:rsidR="003F0A00" w:rsidRPr="00B315F3" w:rsidRDefault="003F0A00" w:rsidP="003F0A00">
            <w:pPr>
              <w:rPr>
                <w:lang w:eastAsia="en-AU"/>
              </w:rPr>
            </w:pPr>
            <w:r w:rsidRPr="00B315F3">
              <w:rPr>
                <w:lang w:eastAsia="en-AU"/>
              </w:rPr>
              <w:t>The Job Plan can also be used as the full formal notification for Job Search Requirements as long as the Job Plan includes:</w:t>
            </w:r>
          </w:p>
          <w:p w:rsidR="003F0A00" w:rsidRPr="00B315F3" w:rsidRDefault="003F0A00" w:rsidP="003F0A00">
            <w:pPr>
              <w:pStyle w:val="ListParagraph"/>
              <w:numPr>
                <w:ilvl w:val="0"/>
                <w:numId w:val="24"/>
              </w:numPr>
              <w:rPr>
                <w:lang w:eastAsia="en-AU"/>
              </w:rPr>
            </w:pPr>
            <w:r w:rsidRPr="00B315F3">
              <w:rPr>
                <w:lang w:eastAsia="en-AU"/>
              </w:rPr>
              <w:t xml:space="preserve">the number of Job Searches required (refer to the </w:t>
            </w:r>
            <w:r w:rsidR="00777B4D" w:rsidRPr="00925F0A">
              <w:rPr>
                <w:i/>
              </w:rPr>
              <w:t>Mutual Obligation Requirements Guideline</w:t>
            </w:r>
            <w:r w:rsidR="005B08EB">
              <w:rPr>
                <w:i/>
              </w:rPr>
              <w:t>,</w:t>
            </w:r>
            <w:r w:rsidR="00925F0A" w:rsidRPr="00925F0A">
              <w:rPr>
                <w:rStyle w:val="Hyperlink"/>
                <w:u w:val="none"/>
              </w:rPr>
              <w:t xml:space="preserve"> </w:t>
            </w:r>
            <w:r w:rsidRPr="00925F0A">
              <w:rPr>
                <w:lang w:eastAsia="en-AU"/>
              </w:rPr>
              <w:t>and</w:t>
            </w:r>
          </w:p>
          <w:p w:rsidR="003F0A00" w:rsidRPr="00B315F3" w:rsidRDefault="003F0A00" w:rsidP="003F0A00">
            <w:pPr>
              <w:pStyle w:val="ListParagraph"/>
              <w:numPr>
                <w:ilvl w:val="0"/>
                <w:numId w:val="24"/>
              </w:numPr>
              <w:rPr>
                <w:lang w:eastAsia="en-AU"/>
              </w:rPr>
            </w:pPr>
            <w:proofErr w:type="gramStart"/>
            <w:r w:rsidRPr="00B315F3">
              <w:rPr>
                <w:lang w:eastAsia="en-AU"/>
              </w:rPr>
              <w:t>the</w:t>
            </w:r>
            <w:proofErr w:type="gramEnd"/>
            <w:r w:rsidRPr="00B315F3">
              <w:rPr>
                <w:lang w:eastAsia="en-AU"/>
              </w:rPr>
              <w:t xml:space="preserve"> period of time over which the requirement needs to be undertaken.</w:t>
            </w:r>
          </w:p>
          <w:p w:rsidR="003F0A00" w:rsidRPr="00B315F3" w:rsidRDefault="003F0A00" w:rsidP="003F0A00">
            <w:pPr>
              <w:rPr>
                <w:lang w:eastAsia="en-AU"/>
              </w:rPr>
            </w:pPr>
            <w:r w:rsidRPr="00B315F3">
              <w:rPr>
                <w:lang w:eastAsia="en-AU"/>
              </w:rPr>
              <w:t xml:space="preserve">Providers </w:t>
            </w:r>
            <w:r w:rsidRPr="00B315F3">
              <w:rPr>
                <w:b/>
                <w:lang w:eastAsia="en-AU"/>
              </w:rPr>
              <w:t>should</w:t>
            </w:r>
            <w:r w:rsidRPr="00B315F3">
              <w:rPr>
                <w:lang w:eastAsia="en-AU"/>
              </w:rPr>
              <w:t xml:space="preserve"> use this method of formal notification in the vast majority of cases concerning notification of Job Search Requirements.</w:t>
            </w:r>
          </w:p>
          <w:p w:rsidR="003F0A00" w:rsidRPr="00B315F3" w:rsidRDefault="003F0A00" w:rsidP="003F0A00">
            <w:pPr>
              <w:pStyle w:val="ListParagraph"/>
              <w:numPr>
                <w:ilvl w:val="0"/>
                <w:numId w:val="27"/>
              </w:numPr>
              <w:rPr>
                <w:lang w:eastAsia="en-AU"/>
              </w:rPr>
            </w:pPr>
            <w:r w:rsidRPr="00B315F3">
              <w:rPr>
                <w:lang w:eastAsia="en-AU"/>
              </w:rPr>
              <w:t>Separate formal notification (in particular, for Appointments and participation in activities)</w:t>
            </w:r>
          </w:p>
          <w:p w:rsidR="003F0A00" w:rsidRPr="00B315F3" w:rsidRDefault="003F0A00" w:rsidP="003F0A00">
            <w:pPr>
              <w:rPr>
                <w:lang w:eastAsia="en-AU"/>
              </w:rPr>
            </w:pPr>
            <w:r w:rsidRPr="00B315F3">
              <w:rPr>
                <w:lang w:eastAsia="en-AU"/>
              </w:rPr>
              <w:t xml:space="preserve">The table below sets out the methods of formal notification that can be used by Providers and the period of notice required ahead of the scheduled requirement (‘reasonable notice’) to issue it to the </w:t>
            </w:r>
            <w:r w:rsidR="00925F0A">
              <w:rPr>
                <w:lang w:eastAsia="en-AU"/>
              </w:rPr>
              <w:t>Participant</w:t>
            </w:r>
            <w:r w:rsidRPr="00B315F3">
              <w:rPr>
                <w:lang w:eastAsia="en-AU"/>
              </w:rPr>
              <w:t>.</w:t>
            </w:r>
          </w:p>
          <w:p w:rsidR="003F0A00" w:rsidRDefault="003F0A00" w:rsidP="003F0A00">
            <w:pPr>
              <w:rPr>
                <w:lang w:eastAsia="en-AU"/>
              </w:rPr>
            </w:pPr>
            <w:r w:rsidRPr="00B315F3">
              <w:rPr>
                <w:lang w:eastAsia="en-AU"/>
              </w:rPr>
              <w:t xml:space="preserve">The Department’s IT Systems can be used to create notifications for </w:t>
            </w:r>
            <w:r w:rsidR="00925F0A">
              <w:rPr>
                <w:lang w:eastAsia="en-AU"/>
              </w:rPr>
              <w:t>Participants</w:t>
            </w:r>
            <w:r w:rsidRPr="00B315F3">
              <w:rPr>
                <w:lang w:eastAsia="en-AU"/>
              </w:rPr>
              <w:t>, either automatically by using the diaries or by using the templates that are available in the system.</w:t>
            </w:r>
          </w:p>
          <w:p w:rsidR="00863DE3" w:rsidRPr="00B315F3" w:rsidRDefault="00863DE3" w:rsidP="003F0A00">
            <w:pPr>
              <w:rPr>
                <w:lang w:eastAsia="en-AU"/>
              </w:rPr>
            </w:pPr>
          </w:p>
          <w:tbl>
            <w:tblPr>
              <w:tblStyle w:val="TableGrid"/>
              <w:tblW w:w="0" w:type="auto"/>
              <w:tblLook w:val="04A0" w:firstRow="1" w:lastRow="0" w:firstColumn="1" w:lastColumn="0" w:noHBand="0" w:noVBand="1"/>
              <w:tblDescription w:val="Table: Amount of advance notice that Participants need to be given."/>
            </w:tblPr>
            <w:tblGrid>
              <w:gridCol w:w="2273"/>
              <w:gridCol w:w="1559"/>
              <w:gridCol w:w="3655"/>
            </w:tblGrid>
            <w:tr w:rsidR="003F0A00" w:rsidRPr="00B315F3" w:rsidTr="00EF1EC4">
              <w:trPr>
                <w:tblHeader/>
              </w:trPr>
              <w:tc>
                <w:tcPr>
                  <w:tcW w:w="2273" w:type="dxa"/>
                </w:tcPr>
                <w:p w:rsidR="003F0A00" w:rsidRPr="00B315F3" w:rsidRDefault="003F0A00" w:rsidP="003F0A00">
                  <w:pPr>
                    <w:rPr>
                      <w:rFonts w:ascii="Calibri" w:eastAsia="Times New Roman" w:hAnsi="Calibri" w:cs="Times New Roman"/>
                      <w:b/>
                      <w:szCs w:val="24"/>
                      <w:lang w:eastAsia="en-AU"/>
                    </w:rPr>
                  </w:pPr>
                  <w:r w:rsidRPr="00B315F3">
                    <w:rPr>
                      <w:rFonts w:ascii="Calibri" w:eastAsia="Times New Roman" w:hAnsi="Calibri" w:cs="Times New Roman"/>
                      <w:b/>
                      <w:szCs w:val="24"/>
                      <w:lang w:eastAsia="en-AU"/>
                    </w:rPr>
                    <w:t>Method</w:t>
                  </w:r>
                </w:p>
              </w:tc>
              <w:tc>
                <w:tcPr>
                  <w:tcW w:w="1559" w:type="dxa"/>
                </w:tcPr>
                <w:p w:rsidR="003F0A00" w:rsidRPr="00B315F3" w:rsidRDefault="003F0A00" w:rsidP="0020287B">
                  <w:pPr>
                    <w:rPr>
                      <w:rFonts w:ascii="Calibri" w:eastAsia="Times New Roman" w:hAnsi="Calibri" w:cs="Times New Roman"/>
                      <w:b/>
                      <w:szCs w:val="24"/>
                      <w:lang w:eastAsia="en-AU"/>
                    </w:rPr>
                  </w:pPr>
                  <w:r w:rsidRPr="00B315F3">
                    <w:rPr>
                      <w:rFonts w:ascii="Calibri" w:eastAsia="Times New Roman" w:hAnsi="Calibri" w:cs="Times New Roman"/>
                      <w:b/>
                      <w:szCs w:val="24"/>
                      <w:lang w:eastAsia="en-AU"/>
                    </w:rPr>
                    <w:t xml:space="preserve">Amount of advance notice that </w:t>
                  </w:r>
                  <w:r w:rsidR="0020287B" w:rsidRPr="0020287B">
                    <w:rPr>
                      <w:rFonts w:ascii="Calibri" w:eastAsia="Times New Roman" w:hAnsi="Calibri" w:cs="Times New Roman"/>
                      <w:b/>
                      <w:szCs w:val="24"/>
                      <w:lang w:eastAsia="en-AU"/>
                    </w:rPr>
                    <w:t>Participant</w:t>
                  </w:r>
                  <w:r w:rsidR="0020287B">
                    <w:rPr>
                      <w:rFonts w:ascii="Calibri" w:eastAsia="Times New Roman" w:hAnsi="Calibri" w:cs="Times New Roman"/>
                      <w:b/>
                      <w:szCs w:val="24"/>
                      <w:lang w:eastAsia="en-AU"/>
                    </w:rPr>
                    <w:t>s</w:t>
                  </w:r>
                  <w:r w:rsidRPr="00B315F3">
                    <w:rPr>
                      <w:rFonts w:ascii="Calibri" w:eastAsia="Times New Roman" w:hAnsi="Calibri" w:cs="Times New Roman"/>
                      <w:b/>
                      <w:szCs w:val="24"/>
                      <w:lang w:eastAsia="en-AU"/>
                    </w:rPr>
                    <w:t xml:space="preserve"> need to be given </w:t>
                  </w:r>
                </w:p>
              </w:tc>
              <w:tc>
                <w:tcPr>
                  <w:tcW w:w="3655" w:type="dxa"/>
                </w:tcPr>
                <w:p w:rsidR="003F0A00" w:rsidRPr="00B315F3" w:rsidRDefault="003F0A00" w:rsidP="003F0A00">
                  <w:pPr>
                    <w:rPr>
                      <w:rFonts w:ascii="Calibri" w:eastAsia="Times New Roman" w:hAnsi="Calibri" w:cs="Times New Roman"/>
                      <w:b/>
                      <w:szCs w:val="24"/>
                      <w:lang w:eastAsia="en-AU"/>
                    </w:rPr>
                  </w:pPr>
                  <w:r w:rsidRPr="00B315F3">
                    <w:rPr>
                      <w:rFonts w:ascii="Calibri" w:eastAsia="Times New Roman" w:hAnsi="Calibri" w:cs="Times New Roman"/>
                      <w:b/>
                      <w:szCs w:val="24"/>
                      <w:lang w:eastAsia="en-AU"/>
                    </w:rPr>
                    <w:t>Details</w:t>
                  </w:r>
                  <w:bookmarkStart w:id="0" w:name="_GoBack"/>
                  <w:bookmarkEnd w:id="0"/>
                </w:p>
              </w:tc>
            </w:tr>
            <w:tr w:rsidR="003F0A00" w:rsidRPr="00B315F3" w:rsidTr="00550378">
              <w:tc>
                <w:tcPr>
                  <w:tcW w:w="2273" w:type="dxa"/>
                </w:tcPr>
                <w:p w:rsidR="003F0A00" w:rsidRPr="00B315F3" w:rsidRDefault="003F0A00" w:rsidP="003F0A00">
                  <w:pPr>
                    <w:rPr>
                      <w:rFonts w:ascii="Calibri" w:eastAsia="Times New Roman" w:hAnsi="Calibri" w:cs="Times New Roman"/>
                      <w:szCs w:val="24"/>
                      <w:lang w:eastAsia="en-AU"/>
                    </w:rPr>
                  </w:pPr>
                  <w:r w:rsidRPr="00B315F3">
                    <w:rPr>
                      <w:rFonts w:ascii="Calibri" w:eastAsia="Times New Roman" w:hAnsi="Calibri" w:cs="Times New Roman"/>
                      <w:szCs w:val="24"/>
                      <w:lang w:eastAsia="en-AU"/>
                    </w:rPr>
                    <w:t>Phone</w:t>
                  </w:r>
                </w:p>
              </w:tc>
              <w:tc>
                <w:tcPr>
                  <w:tcW w:w="1559" w:type="dxa"/>
                </w:tcPr>
                <w:p w:rsidR="003F0A00" w:rsidRPr="00B315F3" w:rsidRDefault="003F0A00" w:rsidP="003F0A00">
                  <w:pPr>
                    <w:rPr>
                      <w:rFonts w:ascii="Calibri" w:eastAsia="Times New Roman" w:hAnsi="Calibri" w:cs="Times New Roman"/>
                      <w:szCs w:val="24"/>
                      <w:lang w:eastAsia="en-AU"/>
                    </w:rPr>
                  </w:pPr>
                  <w:r w:rsidRPr="00B315F3">
                    <w:rPr>
                      <w:rFonts w:ascii="Calibri" w:eastAsia="Times New Roman" w:hAnsi="Calibri" w:cs="Times New Roman"/>
                      <w:szCs w:val="24"/>
                      <w:lang w:eastAsia="en-AU"/>
                    </w:rPr>
                    <w:t>Three calendar days</w:t>
                  </w:r>
                </w:p>
              </w:tc>
              <w:tc>
                <w:tcPr>
                  <w:tcW w:w="3655" w:type="dxa"/>
                </w:tcPr>
                <w:p w:rsidR="003F0A00" w:rsidRPr="00B315F3" w:rsidRDefault="003F0A00" w:rsidP="00925F0A">
                  <w:pPr>
                    <w:rPr>
                      <w:rFonts w:ascii="Calibri" w:eastAsia="Times New Roman" w:hAnsi="Calibri" w:cs="Times New Roman"/>
                      <w:szCs w:val="24"/>
                      <w:lang w:eastAsia="en-AU"/>
                    </w:rPr>
                  </w:pPr>
                  <w:r w:rsidRPr="00B315F3">
                    <w:rPr>
                      <w:rFonts w:ascii="Calibri" w:eastAsia="Times New Roman" w:hAnsi="Calibri" w:cs="Times New Roman"/>
                      <w:szCs w:val="24"/>
                      <w:lang w:eastAsia="en-AU"/>
                    </w:rPr>
                    <w:t xml:space="preserve">Providers </w:t>
                  </w:r>
                  <w:r w:rsidRPr="00B315F3">
                    <w:rPr>
                      <w:rFonts w:ascii="Calibri" w:eastAsia="Times New Roman" w:hAnsi="Calibri" w:cs="Times New Roman"/>
                      <w:b/>
                      <w:szCs w:val="24"/>
                      <w:lang w:eastAsia="en-AU"/>
                    </w:rPr>
                    <w:t>must</w:t>
                  </w:r>
                  <w:r w:rsidRPr="00B315F3">
                    <w:rPr>
                      <w:rFonts w:ascii="Calibri" w:eastAsia="Times New Roman" w:hAnsi="Calibri" w:cs="Times New Roman"/>
                      <w:szCs w:val="24"/>
                      <w:lang w:eastAsia="en-AU"/>
                    </w:rPr>
                    <w:t xml:space="preserve"> speak directly with the </w:t>
                  </w:r>
                  <w:r w:rsidR="00925F0A" w:rsidRPr="00925F0A">
                    <w:rPr>
                      <w:rFonts w:ascii="Calibri" w:eastAsia="Times New Roman" w:hAnsi="Calibri" w:cs="Times New Roman"/>
                      <w:szCs w:val="24"/>
                      <w:lang w:eastAsia="en-AU"/>
                    </w:rPr>
                    <w:t>Participant</w:t>
                  </w:r>
                  <w:r w:rsidRPr="00B315F3">
                    <w:rPr>
                      <w:rFonts w:ascii="Calibri" w:eastAsia="Times New Roman" w:hAnsi="Calibri" w:cs="Times New Roman"/>
                      <w:szCs w:val="24"/>
                      <w:lang w:eastAsia="en-AU"/>
                    </w:rPr>
                    <w:t xml:space="preserve"> and give all </w:t>
                  </w:r>
                  <w:r w:rsidRPr="00B315F3">
                    <w:rPr>
                      <w:rFonts w:ascii="Calibri" w:eastAsia="Times New Roman" w:hAnsi="Calibri" w:cs="Times New Roman"/>
                      <w:szCs w:val="24"/>
                      <w:lang w:eastAsia="en-AU"/>
                    </w:rPr>
                    <w:lastRenderedPageBreak/>
                    <w:t>required information using the verbal script. A message cannot be left with another person, left on an answering machine or sent by SMS, as this will not constitute formal notification.</w:t>
                  </w:r>
                </w:p>
              </w:tc>
            </w:tr>
            <w:tr w:rsidR="003F0A00" w:rsidRPr="00B315F3" w:rsidTr="00550378">
              <w:tc>
                <w:tcPr>
                  <w:tcW w:w="2273" w:type="dxa"/>
                </w:tcPr>
                <w:p w:rsidR="003F0A00" w:rsidRPr="00B315F3" w:rsidRDefault="003F0A00" w:rsidP="003F0A00">
                  <w:pPr>
                    <w:rPr>
                      <w:rFonts w:ascii="Calibri" w:eastAsia="Times New Roman" w:hAnsi="Calibri" w:cs="Times New Roman"/>
                      <w:szCs w:val="24"/>
                      <w:lang w:eastAsia="en-AU"/>
                    </w:rPr>
                  </w:pPr>
                  <w:r w:rsidRPr="00B315F3">
                    <w:rPr>
                      <w:rFonts w:ascii="Calibri" w:eastAsia="Times New Roman" w:hAnsi="Calibri" w:cs="Times New Roman"/>
                      <w:szCs w:val="24"/>
                      <w:lang w:eastAsia="en-AU"/>
                    </w:rPr>
                    <w:lastRenderedPageBreak/>
                    <w:t>Face to face</w:t>
                  </w:r>
                </w:p>
              </w:tc>
              <w:tc>
                <w:tcPr>
                  <w:tcW w:w="1559" w:type="dxa"/>
                </w:tcPr>
                <w:p w:rsidR="003F0A00" w:rsidRPr="00B315F3" w:rsidRDefault="003F0A00" w:rsidP="003F0A00">
                  <w:pPr>
                    <w:rPr>
                      <w:rFonts w:ascii="Calibri" w:eastAsia="Times New Roman" w:hAnsi="Calibri" w:cs="Times New Roman"/>
                      <w:szCs w:val="24"/>
                      <w:lang w:eastAsia="en-AU"/>
                    </w:rPr>
                  </w:pPr>
                  <w:r w:rsidRPr="00B315F3">
                    <w:rPr>
                      <w:rFonts w:ascii="Calibri" w:eastAsia="Times New Roman" w:hAnsi="Calibri" w:cs="Times New Roman"/>
                      <w:szCs w:val="24"/>
                      <w:lang w:eastAsia="en-AU"/>
                    </w:rPr>
                    <w:t>Three calendar days</w:t>
                  </w:r>
                </w:p>
              </w:tc>
              <w:tc>
                <w:tcPr>
                  <w:tcW w:w="3655" w:type="dxa"/>
                </w:tcPr>
                <w:p w:rsidR="003F0A00" w:rsidRPr="00B315F3" w:rsidRDefault="003F0A00" w:rsidP="00925F0A">
                  <w:pPr>
                    <w:rPr>
                      <w:rFonts w:ascii="Calibri" w:eastAsia="Times New Roman" w:hAnsi="Calibri" w:cs="Times New Roman"/>
                      <w:szCs w:val="24"/>
                      <w:lang w:eastAsia="en-AU"/>
                    </w:rPr>
                  </w:pPr>
                  <w:r w:rsidRPr="00B315F3">
                    <w:rPr>
                      <w:rFonts w:ascii="Calibri" w:eastAsia="Times New Roman" w:hAnsi="Calibri" w:cs="Times New Roman"/>
                      <w:szCs w:val="24"/>
                      <w:lang w:eastAsia="en-AU"/>
                    </w:rPr>
                    <w:t xml:space="preserve">Providers </w:t>
                  </w:r>
                  <w:r w:rsidRPr="00B315F3">
                    <w:rPr>
                      <w:rFonts w:ascii="Calibri" w:eastAsia="Times New Roman" w:hAnsi="Calibri" w:cs="Times New Roman"/>
                      <w:b/>
                      <w:szCs w:val="24"/>
                      <w:lang w:eastAsia="en-AU"/>
                    </w:rPr>
                    <w:t>must</w:t>
                  </w:r>
                  <w:r w:rsidRPr="00B315F3">
                    <w:rPr>
                      <w:rFonts w:ascii="Calibri" w:eastAsia="Times New Roman" w:hAnsi="Calibri" w:cs="Times New Roman"/>
                      <w:szCs w:val="24"/>
                      <w:lang w:eastAsia="en-AU"/>
                    </w:rPr>
                    <w:t xml:space="preserve"> give all required information using the verbal script. Providers may also choose to issue the </w:t>
                  </w:r>
                  <w:r w:rsidR="00925F0A" w:rsidRPr="00925F0A">
                    <w:rPr>
                      <w:rFonts w:ascii="Calibri" w:eastAsia="Times New Roman" w:hAnsi="Calibri" w:cs="Times New Roman"/>
                      <w:szCs w:val="24"/>
                      <w:lang w:eastAsia="en-AU"/>
                    </w:rPr>
                    <w:t>Participant</w:t>
                  </w:r>
                  <w:r w:rsidRPr="00B315F3">
                    <w:rPr>
                      <w:rFonts w:ascii="Calibri" w:eastAsia="Times New Roman" w:hAnsi="Calibri" w:cs="Times New Roman"/>
                      <w:szCs w:val="24"/>
                      <w:lang w:eastAsia="en-AU"/>
                    </w:rPr>
                    <w:t xml:space="preserve"> with a form of written notification at the same time.</w:t>
                  </w:r>
                </w:p>
              </w:tc>
            </w:tr>
            <w:tr w:rsidR="003F0A00" w:rsidRPr="00B315F3" w:rsidTr="00550378">
              <w:tc>
                <w:tcPr>
                  <w:tcW w:w="2273" w:type="dxa"/>
                </w:tcPr>
                <w:p w:rsidR="003F0A00" w:rsidRPr="00B315F3" w:rsidRDefault="00527F1B" w:rsidP="00925F0A">
                  <w:pPr>
                    <w:rPr>
                      <w:rFonts w:ascii="Calibri" w:eastAsia="Times New Roman" w:hAnsi="Calibri" w:cs="Times New Roman"/>
                      <w:szCs w:val="24"/>
                      <w:lang w:eastAsia="en-AU"/>
                    </w:rPr>
                  </w:pPr>
                  <w:r>
                    <w:rPr>
                      <w:rFonts w:ascii="Calibri" w:eastAsia="Times New Roman" w:hAnsi="Calibri" w:cs="Times New Roman"/>
                      <w:szCs w:val="24"/>
                      <w:lang w:eastAsia="en-AU"/>
                    </w:rPr>
                    <w:t>Letter or a</w:t>
                  </w:r>
                  <w:r w:rsidR="003F0A00" w:rsidRPr="00B315F3">
                    <w:rPr>
                      <w:rFonts w:ascii="Calibri" w:eastAsia="Times New Roman" w:hAnsi="Calibri" w:cs="Times New Roman"/>
                      <w:szCs w:val="24"/>
                      <w:lang w:eastAsia="en-AU"/>
                    </w:rPr>
                    <w:t>ctivity notification (</w:t>
                  </w:r>
                  <w:r w:rsidR="003F0A00" w:rsidRPr="00B315F3">
                    <w:rPr>
                      <w:rFonts w:ascii="Calibri" w:eastAsia="Times New Roman" w:hAnsi="Calibri" w:cs="Times New Roman"/>
                      <w:b/>
                      <w:szCs w:val="24"/>
                      <w:lang w:eastAsia="en-AU"/>
                    </w:rPr>
                    <w:t>mailed</w:t>
                  </w:r>
                  <w:r w:rsidR="003F0A00" w:rsidRPr="00B315F3">
                    <w:rPr>
                      <w:rFonts w:ascii="Calibri" w:eastAsia="Times New Roman" w:hAnsi="Calibri" w:cs="Times New Roman"/>
                      <w:szCs w:val="24"/>
                      <w:lang w:eastAsia="en-AU"/>
                    </w:rPr>
                    <w:t xml:space="preserve"> to the </w:t>
                  </w:r>
                  <w:r w:rsidR="00925F0A" w:rsidRPr="00925F0A">
                    <w:rPr>
                      <w:rFonts w:ascii="Calibri" w:eastAsia="Times New Roman" w:hAnsi="Calibri" w:cs="Times New Roman"/>
                      <w:szCs w:val="24"/>
                      <w:lang w:eastAsia="en-AU"/>
                    </w:rPr>
                    <w:t>Participant</w:t>
                  </w:r>
                  <w:r w:rsidR="003F0A00" w:rsidRPr="00B315F3">
                    <w:rPr>
                      <w:rFonts w:ascii="Calibri" w:eastAsia="Times New Roman" w:hAnsi="Calibri" w:cs="Times New Roman"/>
                      <w:szCs w:val="24"/>
                      <w:lang w:eastAsia="en-AU"/>
                    </w:rPr>
                    <w:t>)</w:t>
                  </w:r>
                </w:p>
              </w:tc>
              <w:tc>
                <w:tcPr>
                  <w:tcW w:w="1559" w:type="dxa"/>
                </w:tcPr>
                <w:p w:rsidR="003F0A00" w:rsidRPr="00B315F3" w:rsidRDefault="003F0A00" w:rsidP="003F0A00">
                  <w:pPr>
                    <w:rPr>
                      <w:rFonts w:ascii="Calibri" w:eastAsia="Times New Roman" w:hAnsi="Calibri" w:cs="Times New Roman"/>
                      <w:szCs w:val="24"/>
                      <w:lang w:eastAsia="en-AU"/>
                    </w:rPr>
                  </w:pPr>
                  <w:r w:rsidRPr="00B315F3">
                    <w:rPr>
                      <w:rFonts w:ascii="Calibri" w:eastAsia="Times New Roman" w:hAnsi="Calibri" w:cs="Times New Roman"/>
                      <w:szCs w:val="24"/>
                      <w:lang w:eastAsia="en-AU"/>
                    </w:rPr>
                    <w:t xml:space="preserve">Four Business Days </w:t>
                  </w:r>
                </w:p>
              </w:tc>
              <w:tc>
                <w:tcPr>
                  <w:tcW w:w="3655" w:type="dxa"/>
                </w:tcPr>
                <w:p w:rsidR="003F0A00" w:rsidRPr="00B315F3" w:rsidRDefault="003F0A00" w:rsidP="00925F0A">
                  <w:pPr>
                    <w:rPr>
                      <w:rFonts w:ascii="Calibri" w:eastAsia="Times New Roman" w:hAnsi="Calibri" w:cs="Times New Roman"/>
                      <w:szCs w:val="24"/>
                      <w:lang w:eastAsia="en-AU"/>
                    </w:rPr>
                  </w:pPr>
                  <w:r w:rsidRPr="00B315F3">
                    <w:rPr>
                      <w:rFonts w:ascii="Calibri" w:eastAsia="Times New Roman" w:hAnsi="Calibri" w:cs="Times New Roman"/>
                      <w:szCs w:val="24"/>
                      <w:lang w:eastAsia="en-AU"/>
                    </w:rPr>
                    <w:t xml:space="preserve">Providers need to take into account the </w:t>
                  </w:r>
                  <w:r w:rsidR="00925F0A" w:rsidRPr="00925F0A">
                    <w:rPr>
                      <w:rFonts w:ascii="Calibri" w:eastAsia="Times New Roman" w:hAnsi="Calibri" w:cs="Times New Roman"/>
                      <w:szCs w:val="24"/>
                      <w:lang w:eastAsia="en-AU"/>
                    </w:rPr>
                    <w:t>Participant</w:t>
                  </w:r>
                  <w:r w:rsidR="00925F0A">
                    <w:rPr>
                      <w:rFonts w:ascii="Calibri" w:eastAsia="Times New Roman" w:hAnsi="Calibri" w:cs="Times New Roman"/>
                      <w:szCs w:val="24"/>
                      <w:lang w:eastAsia="en-AU"/>
                    </w:rPr>
                    <w:t>’s</w:t>
                  </w:r>
                  <w:r w:rsidRPr="00B315F3">
                    <w:rPr>
                      <w:rFonts w:ascii="Calibri" w:eastAsia="Times New Roman" w:hAnsi="Calibri" w:cs="Times New Roman"/>
                      <w:szCs w:val="24"/>
                      <w:lang w:eastAsia="en-AU"/>
                    </w:rPr>
                    <w:t xml:space="preserve"> mailing arrangements when using postal services. </w:t>
                  </w:r>
                </w:p>
              </w:tc>
            </w:tr>
            <w:tr w:rsidR="003F0A00" w:rsidRPr="00B315F3" w:rsidTr="00550378">
              <w:tc>
                <w:tcPr>
                  <w:tcW w:w="2273" w:type="dxa"/>
                </w:tcPr>
                <w:p w:rsidR="003F0A00" w:rsidRPr="00B315F3" w:rsidRDefault="00527F1B" w:rsidP="00925F0A">
                  <w:pPr>
                    <w:rPr>
                      <w:rFonts w:ascii="Calibri" w:eastAsia="Times New Roman" w:hAnsi="Calibri" w:cs="Times New Roman"/>
                      <w:szCs w:val="24"/>
                      <w:lang w:eastAsia="en-AU"/>
                    </w:rPr>
                  </w:pPr>
                  <w:r>
                    <w:rPr>
                      <w:rFonts w:ascii="Calibri" w:eastAsia="Times New Roman" w:hAnsi="Calibri" w:cs="Times New Roman"/>
                      <w:szCs w:val="24"/>
                      <w:lang w:eastAsia="en-AU"/>
                    </w:rPr>
                    <w:t>Letter or a</w:t>
                  </w:r>
                  <w:r w:rsidR="003F0A00" w:rsidRPr="00B315F3">
                    <w:rPr>
                      <w:rFonts w:ascii="Calibri" w:eastAsia="Times New Roman" w:hAnsi="Calibri" w:cs="Times New Roman"/>
                      <w:szCs w:val="24"/>
                      <w:lang w:eastAsia="en-AU"/>
                    </w:rPr>
                    <w:t>ctivity notification (</w:t>
                  </w:r>
                  <w:r w:rsidR="003F0A00" w:rsidRPr="00B315F3">
                    <w:rPr>
                      <w:rFonts w:ascii="Calibri" w:eastAsia="Times New Roman" w:hAnsi="Calibri" w:cs="Times New Roman"/>
                      <w:b/>
                      <w:szCs w:val="24"/>
                      <w:lang w:eastAsia="en-AU"/>
                    </w:rPr>
                    <w:t>handed</w:t>
                  </w:r>
                  <w:r w:rsidR="003F0A00" w:rsidRPr="00B315F3">
                    <w:rPr>
                      <w:rFonts w:ascii="Calibri" w:eastAsia="Times New Roman" w:hAnsi="Calibri" w:cs="Times New Roman"/>
                      <w:szCs w:val="24"/>
                      <w:lang w:eastAsia="en-AU"/>
                    </w:rPr>
                    <w:t xml:space="preserve"> to the </w:t>
                  </w:r>
                  <w:r w:rsidR="00925F0A" w:rsidRPr="00925F0A">
                    <w:rPr>
                      <w:rFonts w:ascii="Calibri" w:eastAsia="Times New Roman" w:hAnsi="Calibri" w:cs="Times New Roman"/>
                      <w:szCs w:val="24"/>
                      <w:lang w:eastAsia="en-AU"/>
                    </w:rPr>
                    <w:t>Participant</w:t>
                  </w:r>
                  <w:r w:rsidR="003F0A00" w:rsidRPr="00B315F3">
                    <w:rPr>
                      <w:rFonts w:ascii="Calibri" w:eastAsia="Times New Roman" w:hAnsi="Calibri" w:cs="Times New Roman"/>
                      <w:szCs w:val="24"/>
                      <w:lang w:eastAsia="en-AU"/>
                    </w:rPr>
                    <w:t>)</w:t>
                  </w:r>
                </w:p>
              </w:tc>
              <w:tc>
                <w:tcPr>
                  <w:tcW w:w="1559" w:type="dxa"/>
                </w:tcPr>
                <w:p w:rsidR="003F0A00" w:rsidRPr="00B315F3" w:rsidRDefault="003F0A00" w:rsidP="003F0A00">
                  <w:pPr>
                    <w:rPr>
                      <w:rFonts w:ascii="Calibri" w:eastAsia="Times New Roman" w:hAnsi="Calibri" w:cs="Times New Roman"/>
                      <w:szCs w:val="24"/>
                      <w:lang w:eastAsia="en-AU"/>
                    </w:rPr>
                  </w:pPr>
                  <w:r w:rsidRPr="00B315F3">
                    <w:rPr>
                      <w:rFonts w:ascii="Calibri" w:eastAsia="Times New Roman" w:hAnsi="Calibri" w:cs="Times New Roman"/>
                      <w:szCs w:val="24"/>
                      <w:lang w:eastAsia="en-AU"/>
                    </w:rPr>
                    <w:t>Three calendar days</w:t>
                  </w:r>
                </w:p>
              </w:tc>
              <w:tc>
                <w:tcPr>
                  <w:tcW w:w="3655" w:type="dxa"/>
                </w:tcPr>
                <w:p w:rsidR="003F0A00" w:rsidRPr="00B315F3" w:rsidRDefault="003F0A00" w:rsidP="003F0A00">
                  <w:pPr>
                    <w:rPr>
                      <w:rFonts w:ascii="Calibri" w:eastAsia="Times New Roman" w:hAnsi="Calibri" w:cs="Times New Roman"/>
                      <w:szCs w:val="24"/>
                      <w:lang w:eastAsia="en-AU"/>
                    </w:rPr>
                  </w:pPr>
                  <w:r w:rsidRPr="00B315F3">
                    <w:rPr>
                      <w:rFonts w:ascii="Calibri" w:eastAsia="Times New Roman" w:hAnsi="Calibri" w:cs="Times New Roman"/>
                      <w:szCs w:val="24"/>
                      <w:lang w:eastAsia="en-AU"/>
                    </w:rPr>
                    <w:t>Providers may wish to use this form of formal notification in conjunction with face-to-face verbal notification.</w:t>
                  </w:r>
                </w:p>
              </w:tc>
            </w:tr>
            <w:tr w:rsidR="003F0A00" w:rsidRPr="00B315F3" w:rsidTr="00550378">
              <w:tc>
                <w:tcPr>
                  <w:tcW w:w="2273" w:type="dxa"/>
                </w:tcPr>
                <w:p w:rsidR="003F0A00" w:rsidRPr="00B315F3" w:rsidRDefault="003F0A00" w:rsidP="00925F0A">
                  <w:pPr>
                    <w:rPr>
                      <w:rFonts w:ascii="Calibri" w:eastAsia="Times New Roman" w:hAnsi="Calibri" w:cs="Times New Roman"/>
                      <w:szCs w:val="24"/>
                      <w:lang w:eastAsia="en-AU"/>
                    </w:rPr>
                  </w:pPr>
                  <w:r w:rsidRPr="00B315F3">
                    <w:rPr>
                      <w:rFonts w:ascii="Calibri" w:eastAsia="Times New Roman" w:hAnsi="Calibri" w:cs="Times New Roman"/>
                      <w:szCs w:val="24"/>
                      <w:lang w:eastAsia="en-AU"/>
                    </w:rPr>
                    <w:t xml:space="preserve">Email (only available when it is the </w:t>
                  </w:r>
                  <w:r w:rsidR="00925F0A" w:rsidRPr="00925F0A">
                    <w:rPr>
                      <w:rFonts w:ascii="Calibri" w:eastAsia="Times New Roman" w:hAnsi="Calibri" w:cs="Times New Roman"/>
                      <w:szCs w:val="24"/>
                      <w:lang w:eastAsia="en-AU"/>
                    </w:rPr>
                    <w:t>Participant</w:t>
                  </w:r>
                  <w:r w:rsidR="00925F0A">
                    <w:rPr>
                      <w:rFonts w:ascii="Calibri" w:eastAsia="Times New Roman" w:hAnsi="Calibri" w:cs="Times New Roman"/>
                      <w:szCs w:val="24"/>
                      <w:lang w:eastAsia="en-AU"/>
                    </w:rPr>
                    <w:t>’s</w:t>
                  </w:r>
                  <w:r w:rsidRPr="00B315F3">
                    <w:rPr>
                      <w:rFonts w:ascii="Calibri" w:eastAsia="Times New Roman" w:hAnsi="Calibri" w:cs="Times New Roman"/>
                      <w:szCs w:val="24"/>
                      <w:lang w:eastAsia="en-AU"/>
                    </w:rPr>
                    <w:t xml:space="preserve"> notification preference)</w:t>
                  </w:r>
                </w:p>
              </w:tc>
              <w:tc>
                <w:tcPr>
                  <w:tcW w:w="1559" w:type="dxa"/>
                </w:tcPr>
                <w:p w:rsidR="003F0A00" w:rsidRPr="00B315F3" w:rsidRDefault="003F0A00" w:rsidP="003F0A00">
                  <w:pPr>
                    <w:rPr>
                      <w:rFonts w:ascii="Calibri" w:eastAsia="Times New Roman" w:hAnsi="Calibri" w:cs="Times New Roman"/>
                      <w:szCs w:val="24"/>
                      <w:lang w:eastAsia="en-AU"/>
                    </w:rPr>
                  </w:pPr>
                  <w:r w:rsidRPr="00B315F3">
                    <w:rPr>
                      <w:rFonts w:ascii="Calibri" w:eastAsia="Times New Roman" w:hAnsi="Calibri" w:cs="Times New Roman"/>
                      <w:szCs w:val="24"/>
                      <w:lang w:eastAsia="en-AU"/>
                    </w:rPr>
                    <w:t>Two Business Days</w:t>
                  </w:r>
                </w:p>
              </w:tc>
              <w:tc>
                <w:tcPr>
                  <w:tcW w:w="3655" w:type="dxa"/>
                </w:tcPr>
                <w:p w:rsidR="003F0A00" w:rsidRPr="00B315F3" w:rsidRDefault="003F0A00" w:rsidP="00925F0A">
                  <w:pPr>
                    <w:rPr>
                      <w:rFonts w:ascii="Calibri" w:eastAsia="Times New Roman" w:hAnsi="Calibri" w:cs="Times New Roman"/>
                      <w:szCs w:val="24"/>
                      <w:lang w:eastAsia="en-AU"/>
                    </w:rPr>
                  </w:pPr>
                  <w:r w:rsidRPr="00B315F3">
                    <w:rPr>
                      <w:rFonts w:ascii="Calibri" w:eastAsia="Times New Roman" w:hAnsi="Calibri" w:cs="Times New Roman"/>
                      <w:szCs w:val="24"/>
                      <w:lang w:eastAsia="en-AU"/>
                    </w:rPr>
                    <w:t xml:space="preserve">For an email notification to be valid, Providers </w:t>
                  </w:r>
                  <w:r w:rsidRPr="00B315F3">
                    <w:rPr>
                      <w:rFonts w:ascii="Calibri" w:eastAsia="Times New Roman" w:hAnsi="Calibri" w:cs="Times New Roman"/>
                      <w:b/>
                      <w:szCs w:val="24"/>
                      <w:lang w:eastAsia="en-AU"/>
                    </w:rPr>
                    <w:t>must</w:t>
                  </w:r>
                  <w:r w:rsidRPr="00B315F3">
                    <w:rPr>
                      <w:rFonts w:ascii="Calibri" w:eastAsia="Times New Roman" w:hAnsi="Calibri" w:cs="Times New Roman"/>
                      <w:szCs w:val="24"/>
                      <w:lang w:eastAsia="en-AU"/>
                    </w:rPr>
                    <w:t xml:space="preserve"> ensure that the </w:t>
                  </w:r>
                  <w:r w:rsidR="00925F0A" w:rsidRPr="00925F0A">
                    <w:rPr>
                      <w:rFonts w:ascii="Calibri" w:eastAsia="Times New Roman" w:hAnsi="Calibri" w:cs="Times New Roman"/>
                      <w:szCs w:val="24"/>
                      <w:lang w:eastAsia="en-AU"/>
                    </w:rPr>
                    <w:t>Participant</w:t>
                  </w:r>
                  <w:r w:rsidRPr="00B315F3">
                    <w:rPr>
                      <w:rFonts w:ascii="Calibri" w:eastAsia="Times New Roman" w:hAnsi="Calibri" w:cs="Times New Roman"/>
                      <w:szCs w:val="24"/>
                      <w:lang w:eastAsia="en-AU"/>
                    </w:rPr>
                    <w:t xml:space="preserve"> has read and understood the email—for example, by using a ‘read receipt’—at least one</w:t>
                  </w:r>
                  <w:r w:rsidR="00527F1B">
                    <w:rPr>
                      <w:rFonts w:ascii="Calibri" w:eastAsia="Times New Roman" w:hAnsi="Calibri" w:cs="Times New Roman"/>
                      <w:szCs w:val="24"/>
                      <w:lang w:eastAsia="en-AU"/>
                    </w:rPr>
                    <w:t xml:space="preserve"> day before the Appointment or a</w:t>
                  </w:r>
                  <w:r w:rsidRPr="00B315F3">
                    <w:rPr>
                      <w:rFonts w:ascii="Calibri" w:eastAsia="Times New Roman" w:hAnsi="Calibri" w:cs="Times New Roman"/>
                      <w:szCs w:val="24"/>
                      <w:lang w:eastAsia="en-AU"/>
                    </w:rPr>
                    <w:t xml:space="preserve">ctivity. Where the </w:t>
                  </w:r>
                  <w:r w:rsidR="00925F0A" w:rsidRPr="00925F0A">
                    <w:rPr>
                      <w:rFonts w:ascii="Calibri" w:eastAsia="Times New Roman" w:hAnsi="Calibri" w:cs="Times New Roman"/>
                      <w:szCs w:val="24"/>
                      <w:lang w:eastAsia="en-AU"/>
                    </w:rPr>
                    <w:t>Participant</w:t>
                  </w:r>
                  <w:r w:rsidRPr="00B315F3">
                    <w:rPr>
                      <w:rFonts w:ascii="Calibri" w:eastAsia="Times New Roman" w:hAnsi="Calibri" w:cs="Times New Roman"/>
                      <w:szCs w:val="24"/>
                      <w:lang w:eastAsia="en-AU"/>
                    </w:rPr>
                    <w:t xml:space="preserve"> does not respond to email notification, another method </w:t>
                  </w:r>
                  <w:r w:rsidRPr="00B315F3">
                    <w:rPr>
                      <w:rFonts w:ascii="Calibri" w:eastAsia="Times New Roman" w:hAnsi="Calibri" w:cs="Times New Roman"/>
                      <w:b/>
                      <w:szCs w:val="24"/>
                      <w:lang w:eastAsia="en-AU"/>
                    </w:rPr>
                    <w:t>should</w:t>
                  </w:r>
                  <w:r w:rsidRPr="00B315F3">
                    <w:rPr>
                      <w:rFonts w:ascii="Calibri" w:eastAsia="Times New Roman" w:hAnsi="Calibri" w:cs="Times New Roman"/>
                      <w:szCs w:val="24"/>
                      <w:lang w:eastAsia="en-AU"/>
                    </w:rPr>
                    <w:t xml:space="preserve"> be used.</w:t>
                  </w:r>
                </w:p>
              </w:tc>
            </w:tr>
          </w:tbl>
          <w:p w:rsidR="003F0A00" w:rsidRPr="00B315F3" w:rsidRDefault="003F0A00" w:rsidP="003F0A00">
            <w:pPr>
              <w:rPr>
                <w:lang w:eastAsia="en-AU"/>
              </w:rPr>
            </w:pPr>
            <w:r w:rsidRPr="00B315F3">
              <w:rPr>
                <w:lang w:eastAsia="en-AU"/>
              </w:rPr>
              <w:t>Where an Appo</w:t>
            </w:r>
            <w:r w:rsidR="00527F1B">
              <w:rPr>
                <w:lang w:eastAsia="en-AU"/>
              </w:rPr>
              <w:t>intment or participation in an a</w:t>
            </w:r>
            <w:r w:rsidRPr="00B315F3">
              <w:rPr>
                <w:lang w:eastAsia="en-AU"/>
              </w:rPr>
              <w:t xml:space="preserve">ctivity has been arranged directly between the Provider and </w:t>
            </w:r>
            <w:r w:rsidR="00086D7D">
              <w:rPr>
                <w:lang w:eastAsia="en-AU"/>
              </w:rPr>
              <w:t>Participant</w:t>
            </w:r>
            <w:r w:rsidRPr="00B315F3">
              <w:rPr>
                <w:lang w:eastAsia="en-AU"/>
              </w:rPr>
              <w:t xml:space="preserve"> and the </w:t>
            </w:r>
            <w:r w:rsidR="00086D7D">
              <w:rPr>
                <w:lang w:eastAsia="en-AU"/>
              </w:rPr>
              <w:t>Participant</w:t>
            </w:r>
            <w:r w:rsidRPr="00B315F3">
              <w:rPr>
                <w:lang w:eastAsia="en-AU"/>
              </w:rPr>
              <w:t xml:space="preserve"> has indicated their intent to attend, reasonable notice is considered to have been given, even if the Appoi</w:t>
            </w:r>
            <w:r w:rsidR="00527F1B">
              <w:rPr>
                <w:lang w:eastAsia="en-AU"/>
              </w:rPr>
              <w:t>ntment or participation in the a</w:t>
            </w:r>
            <w:r w:rsidRPr="00B315F3">
              <w:rPr>
                <w:lang w:eastAsia="en-AU"/>
              </w:rPr>
              <w:t xml:space="preserve">ctivity is on the </w:t>
            </w:r>
            <w:r w:rsidRPr="00B315F3">
              <w:rPr>
                <w:i/>
                <w:lang w:eastAsia="en-AU"/>
              </w:rPr>
              <w:t>same day</w:t>
            </w:r>
            <w:r w:rsidRPr="00B315F3">
              <w:rPr>
                <w:lang w:eastAsia="en-AU"/>
              </w:rPr>
              <w:t xml:space="preserve"> as the notification.</w:t>
            </w:r>
          </w:p>
          <w:p w:rsidR="003F0A00" w:rsidRPr="00B315F3" w:rsidRDefault="003F0A00" w:rsidP="003F0A00">
            <w:pPr>
              <w:rPr>
                <w:b/>
                <w:lang w:eastAsia="en-AU"/>
              </w:rPr>
            </w:pPr>
            <w:r w:rsidRPr="00B315F3">
              <w:rPr>
                <w:b/>
                <w:lang w:eastAsia="en-AU"/>
              </w:rPr>
              <w:t>Mutual Obligation Requirement reminders</w:t>
            </w:r>
          </w:p>
          <w:p w:rsidR="003F0A00" w:rsidRPr="00B315F3" w:rsidRDefault="003F0A00" w:rsidP="003F0A00">
            <w:pPr>
              <w:rPr>
                <w:lang w:eastAsia="en-AU"/>
              </w:rPr>
            </w:pPr>
            <w:r w:rsidRPr="00B315F3">
              <w:rPr>
                <w:lang w:eastAsia="en-AU"/>
              </w:rPr>
              <w:t xml:space="preserve">To encourage </w:t>
            </w:r>
            <w:r w:rsidR="00086D7D">
              <w:rPr>
                <w:lang w:eastAsia="en-AU"/>
              </w:rPr>
              <w:t>Participant</w:t>
            </w:r>
            <w:r w:rsidRPr="00B315F3">
              <w:rPr>
                <w:lang w:eastAsia="en-AU"/>
              </w:rPr>
              <w:t xml:space="preserve"> attendance and compliance with their Mutual Obligation Requirements, Providers can issue reminders to </w:t>
            </w:r>
            <w:r w:rsidR="00086D7D">
              <w:rPr>
                <w:lang w:eastAsia="en-AU"/>
              </w:rPr>
              <w:t>Participants</w:t>
            </w:r>
            <w:r w:rsidRPr="00B315F3">
              <w:rPr>
                <w:lang w:eastAsia="en-AU"/>
              </w:rPr>
              <w:t xml:space="preserve"> including SMS, email and letters, as their requirement date approaches. These can be created using the Department’s IT Systems.</w:t>
            </w:r>
          </w:p>
          <w:p w:rsidR="003F0A00" w:rsidRPr="00B315F3" w:rsidRDefault="003F0A00" w:rsidP="003F0A00">
            <w:pPr>
              <w:rPr>
                <w:rFonts w:cs="Arial"/>
                <w:b/>
                <w:szCs w:val="28"/>
              </w:rPr>
            </w:pPr>
            <w:r w:rsidRPr="00B315F3">
              <w:rPr>
                <w:rFonts w:cs="Arial"/>
                <w:b/>
                <w:szCs w:val="28"/>
              </w:rPr>
              <w:t xml:space="preserve">Recording </w:t>
            </w:r>
            <w:r w:rsidR="00086D7D" w:rsidRPr="00086D7D">
              <w:rPr>
                <w:rFonts w:cs="Arial"/>
                <w:b/>
                <w:szCs w:val="28"/>
                <w:lang w:eastAsia="en-AU"/>
              </w:rPr>
              <w:t>Participant</w:t>
            </w:r>
            <w:r w:rsidRPr="00B315F3">
              <w:rPr>
                <w:rFonts w:cs="Arial"/>
                <w:b/>
                <w:szCs w:val="28"/>
              </w:rPr>
              <w:t xml:space="preserve"> notifications</w:t>
            </w:r>
          </w:p>
          <w:p w:rsidR="003F0A00" w:rsidRPr="00B315F3" w:rsidRDefault="00086D7D" w:rsidP="003F0A00">
            <w:pPr>
              <w:rPr>
                <w:szCs w:val="24"/>
                <w:lang w:eastAsia="en-AU"/>
              </w:rPr>
            </w:pPr>
            <w:r>
              <w:rPr>
                <w:szCs w:val="24"/>
                <w:lang w:eastAsia="en-AU"/>
              </w:rPr>
              <w:t>Where the Department</w:t>
            </w:r>
            <w:r w:rsidR="005B08EB">
              <w:rPr>
                <w:szCs w:val="24"/>
                <w:lang w:eastAsia="en-AU"/>
              </w:rPr>
              <w:t>’</w:t>
            </w:r>
            <w:r>
              <w:rPr>
                <w:szCs w:val="24"/>
                <w:lang w:eastAsia="en-AU"/>
              </w:rPr>
              <w:t xml:space="preserve">s IT Systems is used to record appointments, </w:t>
            </w:r>
            <w:r w:rsidR="003F0A00" w:rsidRPr="00B315F3">
              <w:rPr>
                <w:szCs w:val="24"/>
                <w:lang w:eastAsia="en-AU"/>
              </w:rPr>
              <w:t xml:space="preserve">Providers </w:t>
            </w:r>
            <w:r w:rsidR="003F0A00" w:rsidRPr="00B315F3">
              <w:rPr>
                <w:b/>
                <w:szCs w:val="24"/>
                <w:lang w:eastAsia="en-AU"/>
              </w:rPr>
              <w:t>must</w:t>
            </w:r>
            <w:r w:rsidR="003F0A00" w:rsidRPr="00B315F3">
              <w:rPr>
                <w:szCs w:val="24"/>
                <w:lang w:eastAsia="en-AU"/>
              </w:rPr>
              <w:t xml:space="preserve"> keep a record of all notifications issued to a </w:t>
            </w:r>
            <w:r w:rsidRPr="00086D7D">
              <w:rPr>
                <w:szCs w:val="24"/>
                <w:lang w:eastAsia="en-AU"/>
              </w:rPr>
              <w:t>Participant</w:t>
            </w:r>
            <w:r w:rsidR="003F0A00" w:rsidRPr="00B315F3">
              <w:rPr>
                <w:szCs w:val="24"/>
                <w:lang w:eastAsia="en-AU"/>
              </w:rPr>
              <w:t xml:space="preserve"> </w:t>
            </w:r>
            <w:r>
              <w:rPr>
                <w:szCs w:val="24"/>
                <w:lang w:eastAsia="en-AU"/>
              </w:rPr>
              <w:t>in</w:t>
            </w:r>
            <w:r w:rsidRPr="00B315F3">
              <w:rPr>
                <w:szCs w:val="24"/>
                <w:lang w:eastAsia="en-AU"/>
              </w:rPr>
              <w:t xml:space="preserve"> </w:t>
            </w:r>
            <w:r w:rsidR="003F0A00" w:rsidRPr="00B315F3">
              <w:rPr>
                <w:szCs w:val="24"/>
                <w:lang w:eastAsia="en-AU"/>
              </w:rPr>
              <w:t xml:space="preserve">the Department’s IT Systems. If a Provider subsequently decides to use the job seeker compliance framework, they need to show that formal notification was issued to the </w:t>
            </w:r>
            <w:r w:rsidRPr="00086D7D">
              <w:rPr>
                <w:szCs w:val="24"/>
                <w:lang w:eastAsia="en-AU"/>
              </w:rPr>
              <w:t>Participant</w:t>
            </w:r>
            <w:r w:rsidR="003F0A00" w:rsidRPr="00B315F3">
              <w:rPr>
                <w:szCs w:val="24"/>
                <w:lang w:eastAsia="en-AU"/>
              </w:rPr>
              <w:t xml:space="preserve"> so that DHS can be satisfied that the </w:t>
            </w:r>
            <w:r w:rsidRPr="00086D7D">
              <w:rPr>
                <w:szCs w:val="24"/>
                <w:lang w:eastAsia="en-AU"/>
              </w:rPr>
              <w:t>Participant</w:t>
            </w:r>
            <w:r w:rsidR="003F0A00" w:rsidRPr="00B315F3">
              <w:rPr>
                <w:szCs w:val="24"/>
                <w:lang w:eastAsia="en-AU"/>
              </w:rPr>
              <w:t xml:space="preserve"> was properly notified and fully aware of their requirements.</w:t>
            </w:r>
          </w:p>
          <w:p w:rsidR="004A37B6" w:rsidRPr="00B315F3" w:rsidRDefault="003F0A00" w:rsidP="00086D7D">
            <w:r w:rsidRPr="00B315F3">
              <w:rPr>
                <w:rFonts w:ascii="Calibri" w:eastAsia="Times New Roman" w:hAnsi="Calibri" w:cs="Times New Roman"/>
                <w:szCs w:val="24"/>
                <w:lang w:eastAsia="en-AU"/>
              </w:rPr>
              <w:t xml:space="preserve">Note: The requirement to formally notify individuals who receive income </w:t>
            </w:r>
            <w:r w:rsidRPr="00B315F3">
              <w:rPr>
                <w:rFonts w:ascii="Calibri" w:eastAsia="Times New Roman" w:hAnsi="Calibri" w:cs="Times New Roman"/>
                <w:szCs w:val="24"/>
                <w:lang w:eastAsia="en-AU"/>
              </w:rPr>
              <w:lastRenderedPageBreak/>
              <w:t>support payments also applies to Disability Support Pension Recipients (Compulsory Requirements).</w:t>
            </w:r>
          </w:p>
        </w:tc>
      </w:tr>
      <w:tr w:rsidR="00C77310" w:rsidRPr="00B315F3" w:rsidTr="00E06EDE">
        <w:tc>
          <w:tcPr>
            <w:tcW w:w="2943" w:type="dxa"/>
          </w:tcPr>
          <w:p w:rsidR="00C77310" w:rsidRPr="006214DA" w:rsidRDefault="003F0A00" w:rsidP="006214DA">
            <w:pPr>
              <w:rPr>
                <w:b/>
              </w:rPr>
            </w:pPr>
            <w:r w:rsidRPr="006214DA">
              <w:rPr>
                <w:b/>
              </w:rPr>
              <w:lastRenderedPageBreak/>
              <w:t xml:space="preserve">Actively monitor </w:t>
            </w:r>
            <w:r w:rsidR="00E15541" w:rsidRPr="006214DA">
              <w:rPr>
                <w:b/>
                <w:lang w:eastAsia="en-AU"/>
              </w:rPr>
              <w:t>Participant</w:t>
            </w:r>
            <w:r w:rsidR="00E15541" w:rsidRPr="006214DA">
              <w:rPr>
                <w:b/>
              </w:rPr>
              <w:t>s</w:t>
            </w:r>
            <w:r w:rsidRPr="006214DA">
              <w:rPr>
                <w:b/>
              </w:rPr>
              <w:t xml:space="preserve"> to ensure they meet their Mutual Obligation Requirements</w:t>
            </w:r>
          </w:p>
        </w:tc>
        <w:tc>
          <w:tcPr>
            <w:tcW w:w="7938" w:type="dxa"/>
          </w:tcPr>
          <w:p w:rsidR="003F0A00" w:rsidRPr="00B315F3" w:rsidRDefault="003F0A00" w:rsidP="003F0A00">
            <w:r w:rsidRPr="00B315F3">
              <w:t xml:space="preserve">Providers </w:t>
            </w:r>
            <w:r w:rsidRPr="00B315F3">
              <w:rPr>
                <w:b/>
              </w:rPr>
              <w:t>must</w:t>
            </w:r>
            <w:r w:rsidRPr="00B315F3">
              <w:t xml:space="preserve"> use their best endeavours to ensure that all </w:t>
            </w:r>
            <w:r w:rsidR="00E15541">
              <w:rPr>
                <w:lang w:eastAsia="en-AU"/>
              </w:rPr>
              <w:t>Participant</w:t>
            </w:r>
            <w:r w:rsidR="00E15541">
              <w:t>s</w:t>
            </w:r>
            <w:r w:rsidRPr="00B315F3">
              <w:t xml:space="preserve"> meet their Mutual Obligation Requirements, including by attending Appointments, </w:t>
            </w:r>
            <w:r w:rsidR="00527F1B">
              <w:t>participating in any other a</w:t>
            </w:r>
            <w:r w:rsidRPr="00B315F3">
              <w:t>ctivity that is included in their Job Plan on a compulsory basis and undertaking Job Search.</w:t>
            </w:r>
          </w:p>
          <w:p w:rsidR="003F0A00" w:rsidRPr="00B315F3" w:rsidRDefault="003F0A00" w:rsidP="003F0A00">
            <w:r w:rsidRPr="00B315F3">
              <w:t xml:space="preserve">Providers </w:t>
            </w:r>
            <w:r w:rsidRPr="00B315F3">
              <w:rPr>
                <w:b/>
              </w:rPr>
              <w:t>must</w:t>
            </w:r>
            <w:r w:rsidRPr="00B315F3">
              <w:t xml:space="preserve"> actively monitor </w:t>
            </w:r>
            <w:r w:rsidR="00E15541">
              <w:rPr>
                <w:lang w:eastAsia="en-AU"/>
              </w:rPr>
              <w:t>Participant</w:t>
            </w:r>
            <w:r w:rsidR="00E15541">
              <w:t>s’</w:t>
            </w:r>
            <w:r w:rsidRPr="00B315F3">
              <w:t xml:space="preserve"> compliance with their Mutual Obligation Requirements. Where </w:t>
            </w:r>
            <w:r w:rsidR="00E15541">
              <w:rPr>
                <w:lang w:eastAsia="en-AU"/>
              </w:rPr>
              <w:t>Participant</w:t>
            </w:r>
            <w:r w:rsidR="00E15541">
              <w:t>s</w:t>
            </w:r>
            <w:r w:rsidRPr="00B315F3">
              <w:t xml:space="preserve"> do not meet their requirements, Providers </w:t>
            </w:r>
            <w:r w:rsidRPr="00B315F3">
              <w:rPr>
                <w:b/>
              </w:rPr>
              <w:t>must</w:t>
            </w:r>
            <w:r w:rsidRPr="00B315F3">
              <w:t xml:space="preserve"> determine the best strategy to re-engage or positively influence a change of behaviour in the </w:t>
            </w:r>
            <w:r w:rsidR="00E15541">
              <w:rPr>
                <w:lang w:eastAsia="en-AU"/>
              </w:rPr>
              <w:t>Participant</w:t>
            </w:r>
            <w:r w:rsidRPr="00B315F3">
              <w:t>. This may include reporting the non</w:t>
            </w:r>
            <w:r w:rsidRPr="00B315F3">
              <w:noBreakHyphen/>
              <w:t xml:space="preserve">compliance to DHS or using another strategy to ensure that the </w:t>
            </w:r>
            <w:r w:rsidR="00E15541">
              <w:rPr>
                <w:lang w:eastAsia="en-AU"/>
              </w:rPr>
              <w:t>Participant</w:t>
            </w:r>
            <w:r w:rsidRPr="00B315F3">
              <w:t xml:space="preserve"> complies at the next available opportunity, consistent with the Social Security Law.</w:t>
            </w:r>
          </w:p>
          <w:p w:rsidR="00C77310" w:rsidRPr="00B315F3" w:rsidRDefault="003F0A00" w:rsidP="00163D4E">
            <w:r w:rsidRPr="00B315F3">
              <w:t>Note</w:t>
            </w:r>
            <w:r w:rsidRPr="00B315F3">
              <w:rPr>
                <w:b/>
              </w:rPr>
              <w:t>:</w:t>
            </w:r>
            <w:r w:rsidRPr="00B315F3">
              <w:t xml:space="preserve"> In deciding whether it is appropriate to report the non-compliance to DHS, Providers </w:t>
            </w:r>
            <w:r w:rsidRPr="00B315F3">
              <w:rPr>
                <w:b/>
              </w:rPr>
              <w:t>must</w:t>
            </w:r>
            <w:r w:rsidRPr="00B315F3">
              <w:t xml:space="preserve"> consider certain factors to ascertain whether the </w:t>
            </w:r>
            <w:r w:rsidR="00E15541">
              <w:rPr>
                <w:lang w:eastAsia="en-AU"/>
              </w:rPr>
              <w:t>Participant</w:t>
            </w:r>
            <w:r w:rsidRPr="00B315F3">
              <w:t xml:space="preserve"> had a Valid Reason or Reasonable Excuse (explained below). However, DHS, not Providers, makes all penalty decisions under the Soc</w:t>
            </w:r>
            <w:r w:rsidR="00163D4E">
              <w:t>ial Security Law.</w:t>
            </w:r>
          </w:p>
        </w:tc>
      </w:tr>
      <w:tr w:rsidR="00C77310" w:rsidRPr="00B315F3" w:rsidTr="00E06EDE">
        <w:tc>
          <w:tcPr>
            <w:tcW w:w="2943" w:type="dxa"/>
          </w:tcPr>
          <w:p w:rsidR="00C77310" w:rsidRPr="006214DA" w:rsidRDefault="00FF3F4E" w:rsidP="006214DA">
            <w:pPr>
              <w:rPr>
                <w:b/>
              </w:rPr>
            </w:pPr>
            <w:r w:rsidRPr="006214DA">
              <w:rPr>
                <w:b/>
                <w:lang w:eastAsia="en-AU"/>
              </w:rPr>
              <w:t>Participant</w:t>
            </w:r>
            <w:r w:rsidR="003F0A00" w:rsidRPr="006214DA">
              <w:rPr>
                <w:b/>
              </w:rPr>
              <w:t xml:space="preserve"> gives prior notice of inability to meet a Mutual Obligation Requirement—do they have a Valid Reason?</w:t>
            </w:r>
          </w:p>
        </w:tc>
        <w:tc>
          <w:tcPr>
            <w:tcW w:w="7938" w:type="dxa"/>
          </w:tcPr>
          <w:p w:rsidR="003F0A00" w:rsidRPr="00B315F3" w:rsidRDefault="003F0A00" w:rsidP="003F0A00">
            <w:r w:rsidRPr="00B315F3">
              <w:t xml:space="preserve">Where a </w:t>
            </w:r>
            <w:r w:rsidR="00FF3F4E">
              <w:rPr>
                <w:lang w:eastAsia="en-AU"/>
              </w:rPr>
              <w:t>Participant</w:t>
            </w:r>
            <w:r w:rsidRPr="00B315F3">
              <w:t xml:space="preserve"> is unable to attend an Appointment, activity or job interview with a prospective employer, they </w:t>
            </w:r>
            <w:r w:rsidRPr="00B315F3">
              <w:rPr>
                <w:b/>
              </w:rPr>
              <w:t>must</w:t>
            </w:r>
            <w:r w:rsidRPr="00B315F3">
              <w:t xml:space="preserve"> contact their Provider beforehand to advise them of a Valid Reason for being unable to meet their requirement. Providers </w:t>
            </w:r>
            <w:r w:rsidRPr="00B315F3">
              <w:rPr>
                <w:b/>
              </w:rPr>
              <w:t>must</w:t>
            </w:r>
            <w:r w:rsidRPr="00B315F3">
              <w:t xml:space="preserve"> ensure they have mechanisms in place in their organisation to allow </w:t>
            </w:r>
            <w:r w:rsidR="00FF3F4E">
              <w:rPr>
                <w:lang w:eastAsia="en-AU"/>
              </w:rPr>
              <w:t>Participant</w:t>
            </w:r>
            <w:r w:rsidR="00FF3F4E">
              <w:t>s</w:t>
            </w:r>
            <w:r w:rsidRPr="00B315F3">
              <w:t xml:space="preserve"> to make timely contact with their Provider—for example, answering machine, dedicated </w:t>
            </w:r>
            <w:r w:rsidR="00FF3F4E">
              <w:rPr>
                <w:lang w:eastAsia="en-AU"/>
              </w:rPr>
              <w:t>Participant</w:t>
            </w:r>
            <w:r w:rsidRPr="00B315F3">
              <w:t xml:space="preserve"> phone lines or the ability to accept reverse charge</w:t>
            </w:r>
            <w:r w:rsidR="00885655" w:rsidRPr="00B315F3">
              <w:t xml:space="preserve"> phone calls from </w:t>
            </w:r>
            <w:r w:rsidR="00FF3F4E">
              <w:rPr>
                <w:lang w:eastAsia="en-AU"/>
              </w:rPr>
              <w:t>Participant</w:t>
            </w:r>
            <w:r w:rsidR="00FF3F4E">
              <w:t>s</w:t>
            </w:r>
            <w:r w:rsidR="00885655" w:rsidRPr="00B315F3">
              <w:t>.</w:t>
            </w:r>
          </w:p>
          <w:p w:rsidR="003F0A00" w:rsidRPr="00B315F3" w:rsidRDefault="003F0A00" w:rsidP="003F0A00">
            <w:r w:rsidRPr="00B315F3">
              <w:t xml:space="preserve">When determining whether a reason for non-attendance is valid, Providers will need to use their judgement and knowledge of the </w:t>
            </w:r>
            <w:r w:rsidR="00FF3F4E">
              <w:rPr>
                <w:lang w:eastAsia="en-AU"/>
              </w:rPr>
              <w:t>Participant</w:t>
            </w:r>
            <w:r w:rsidRPr="00B315F3">
              <w:t xml:space="preserve">. Generally, the measure of ‘validity’ is whether a member of the public would accept the circumstances as reasonable. For example, given that the focus is for </w:t>
            </w:r>
            <w:r w:rsidR="00FF3F4E">
              <w:rPr>
                <w:lang w:eastAsia="en-AU"/>
              </w:rPr>
              <w:t>Participant</w:t>
            </w:r>
            <w:r w:rsidR="00FF3F4E">
              <w:t>s</w:t>
            </w:r>
            <w:r w:rsidRPr="00B315F3">
              <w:t xml:space="preserve"> to develop work-like behaviours and move into sustainable paid employment, would the reason that the </w:t>
            </w:r>
            <w:r w:rsidR="00FF3F4E">
              <w:rPr>
                <w:lang w:eastAsia="en-AU"/>
              </w:rPr>
              <w:t>Participant</w:t>
            </w:r>
            <w:r w:rsidRPr="00B315F3">
              <w:t xml:space="preserve"> provid</w:t>
            </w:r>
            <w:r w:rsidR="00885655" w:rsidRPr="00B315F3">
              <w:t>es be accepted by an employer?</w:t>
            </w:r>
          </w:p>
          <w:p w:rsidR="003F0A00" w:rsidRPr="00B315F3" w:rsidRDefault="003F0A00" w:rsidP="003F0A00">
            <w:r w:rsidRPr="00B315F3">
              <w:t xml:space="preserve">The Provider then needs to determine what is acceptable in the context of the specific situation. Providers </w:t>
            </w:r>
            <w:r w:rsidRPr="00B315F3">
              <w:rPr>
                <w:b/>
              </w:rPr>
              <w:t>must</w:t>
            </w:r>
            <w:r w:rsidRPr="00B315F3">
              <w:t xml:space="preserve"> consider why the </w:t>
            </w:r>
            <w:r w:rsidR="00FF3F4E">
              <w:rPr>
                <w:lang w:eastAsia="en-AU"/>
              </w:rPr>
              <w:t>Participant</w:t>
            </w:r>
            <w:r w:rsidRPr="00B315F3">
              <w:t xml:space="preserve"> was unable to meet their requirements and whether it is a valid excuse for non-attendance.</w:t>
            </w:r>
          </w:p>
          <w:p w:rsidR="003F0A00" w:rsidRPr="00B315F3" w:rsidRDefault="003F0A00" w:rsidP="003F0A00">
            <w:r w:rsidRPr="00B315F3">
              <w:t xml:space="preserve">Providers </w:t>
            </w:r>
            <w:r w:rsidRPr="00B315F3">
              <w:rPr>
                <w:b/>
              </w:rPr>
              <w:t>should</w:t>
            </w:r>
            <w:r w:rsidRPr="00B315F3">
              <w:t xml:space="preserve"> consider the degree of flexibility afforded to the </w:t>
            </w:r>
            <w:r w:rsidR="00FF3F4E">
              <w:rPr>
                <w:lang w:eastAsia="en-AU"/>
              </w:rPr>
              <w:t>Participant</w:t>
            </w:r>
            <w:r w:rsidRPr="00B315F3">
              <w:t xml:space="preserve"> in the past and what effect has this had on the </w:t>
            </w:r>
            <w:r w:rsidR="00FF3F4E">
              <w:rPr>
                <w:lang w:eastAsia="en-AU"/>
              </w:rPr>
              <w:t>Participant</w:t>
            </w:r>
            <w:r w:rsidR="00FF3F4E">
              <w:t>’s</w:t>
            </w:r>
            <w:r w:rsidRPr="00B315F3">
              <w:t xml:space="preserve"> compliance with requirements (for example, have there been many instances of non-attendance or ha</w:t>
            </w:r>
            <w:r w:rsidR="002B56C5">
              <w:t>ve Appointments/a</w:t>
            </w:r>
            <w:r w:rsidRPr="00B315F3">
              <w:t>ctivities repeatedly been rescheduled).</w:t>
            </w:r>
          </w:p>
          <w:p w:rsidR="003F0A00" w:rsidRPr="00B315F3" w:rsidRDefault="003F0A00" w:rsidP="003F0A00">
            <w:r w:rsidRPr="00B315F3">
              <w:t xml:space="preserve">If, taking the above factors into account, the Provider considers the reason to be </w:t>
            </w:r>
            <w:proofErr w:type="gramStart"/>
            <w:r w:rsidRPr="00B315F3">
              <w:t>valid,</w:t>
            </w:r>
            <w:proofErr w:type="gramEnd"/>
            <w:r w:rsidRPr="00B315F3">
              <w:t xml:space="preserve"> they </w:t>
            </w:r>
            <w:r w:rsidRPr="00B315F3">
              <w:rPr>
                <w:b/>
              </w:rPr>
              <w:t>must</w:t>
            </w:r>
            <w:r w:rsidRPr="00B315F3">
              <w:t xml:space="preserve"> record this in the Department’s IT Systems and make other arrangements for the requirement such as rescheduli</w:t>
            </w:r>
            <w:r w:rsidR="002B56C5">
              <w:t>ng the relevant Appointment or a</w:t>
            </w:r>
            <w:r w:rsidRPr="00B315F3">
              <w:t xml:space="preserve">ctivity for a suitable time. If it is not appropriate to reschedule the requirement, the Provider </w:t>
            </w:r>
            <w:r w:rsidRPr="00B315F3">
              <w:rPr>
                <w:b/>
              </w:rPr>
              <w:t>must</w:t>
            </w:r>
            <w:r w:rsidRPr="00B315F3">
              <w:t xml:space="preserve"> ensure that the </w:t>
            </w:r>
            <w:r w:rsidR="00FF3F4E">
              <w:rPr>
                <w:lang w:eastAsia="en-AU"/>
              </w:rPr>
              <w:t>Participant</w:t>
            </w:r>
            <w:r w:rsidRPr="00B315F3">
              <w:t xml:space="preserve"> is aware of their next requirement to engage</w:t>
            </w:r>
            <w:r w:rsidR="002B56C5">
              <w:t xml:space="preserve"> with them (for example, if an a</w:t>
            </w:r>
            <w:r w:rsidRPr="00B315F3">
              <w:t xml:space="preserve">ctivity cannot be rescheduled, the Provider </w:t>
            </w:r>
            <w:r w:rsidRPr="00B315F3">
              <w:rPr>
                <w:b/>
              </w:rPr>
              <w:t>should</w:t>
            </w:r>
            <w:r w:rsidRPr="00B315F3">
              <w:t xml:space="preserve"> remind the </w:t>
            </w:r>
            <w:r w:rsidR="00FF3F4E">
              <w:rPr>
                <w:lang w:eastAsia="en-AU"/>
              </w:rPr>
              <w:t>Participant</w:t>
            </w:r>
            <w:r w:rsidRPr="00B315F3">
              <w:t xml:space="preserve"> of their next Appointment).</w:t>
            </w:r>
          </w:p>
          <w:p w:rsidR="00C77310" w:rsidRPr="00B315F3" w:rsidRDefault="003F0A00" w:rsidP="00FF3F4E">
            <w:r w:rsidRPr="00B315F3">
              <w:t xml:space="preserve">In instances where a </w:t>
            </w:r>
            <w:r w:rsidR="00FF3F4E">
              <w:rPr>
                <w:lang w:eastAsia="en-AU"/>
              </w:rPr>
              <w:t>Participant</w:t>
            </w:r>
            <w:r w:rsidRPr="00B315F3">
              <w:t xml:space="preserve"> makes contact before their requirement but </w:t>
            </w:r>
            <w:r w:rsidRPr="00B315F3">
              <w:lastRenderedPageBreak/>
              <w:t xml:space="preserve">did not have a Valid Reason for not being able to meet their requirement and was advised that they were still required to attend, the Provider </w:t>
            </w:r>
            <w:r w:rsidRPr="00B315F3">
              <w:rPr>
                <w:b/>
              </w:rPr>
              <w:t>must</w:t>
            </w:r>
            <w:r w:rsidRPr="00B315F3">
              <w:t xml:space="preserve"> still attempt to contact the </w:t>
            </w:r>
            <w:r w:rsidR="00FF3F4E">
              <w:rPr>
                <w:lang w:eastAsia="en-AU"/>
              </w:rPr>
              <w:t>Participant</w:t>
            </w:r>
            <w:r w:rsidRPr="00B315F3">
              <w:t xml:space="preserve"> on the same day that they miss that requirement and document this attempt in the Department’s IT Systems. This is to confirm that no other circumstances prevented the </w:t>
            </w:r>
            <w:r w:rsidR="00FF3F4E">
              <w:rPr>
                <w:lang w:eastAsia="en-AU"/>
              </w:rPr>
              <w:t>Participant</w:t>
            </w:r>
            <w:r w:rsidRPr="00B315F3">
              <w:t xml:space="preserve"> from attending. Unless other circumstances prevented the </w:t>
            </w:r>
            <w:r w:rsidR="00FF3F4E">
              <w:rPr>
                <w:lang w:eastAsia="en-AU"/>
              </w:rPr>
              <w:t>Participant</w:t>
            </w:r>
            <w:r w:rsidRPr="00B315F3">
              <w:t xml:space="preserve"> from attending, the </w:t>
            </w:r>
            <w:r w:rsidR="00FF3F4E">
              <w:rPr>
                <w:lang w:eastAsia="en-AU"/>
              </w:rPr>
              <w:t>Participant</w:t>
            </w:r>
            <w:r w:rsidRPr="00B315F3">
              <w:t xml:space="preserve"> does not have a Valid Reason for non-compliance.</w:t>
            </w:r>
          </w:p>
        </w:tc>
      </w:tr>
      <w:tr w:rsidR="00C77310" w:rsidRPr="00B315F3" w:rsidTr="00E06EDE">
        <w:tc>
          <w:tcPr>
            <w:tcW w:w="2943" w:type="dxa"/>
          </w:tcPr>
          <w:p w:rsidR="00C77310" w:rsidRPr="006214DA" w:rsidRDefault="00550378" w:rsidP="006214DA">
            <w:pPr>
              <w:rPr>
                <w:b/>
              </w:rPr>
            </w:pPr>
            <w:r w:rsidRPr="006214DA">
              <w:rPr>
                <w:b/>
                <w:lang w:eastAsia="en-AU"/>
              </w:rPr>
              <w:lastRenderedPageBreak/>
              <w:t>Participant</w:t>
            </w:r>
            <w:r w:rsidR="003F0A00" w:rsidRPr="006214DA">
              <w:rPr>
                <w:b/>
              </w:rPr>
              <w:t xml:space="preserve"> does not give prior notice of inability to meet a Mutual Obligation Requirement—do they have a Reasonable Excuse?</w:t>
            </w:r>
          </w:p>
        </w:tc>
        <w:tc>
          <w:tcPr>
            <w:tcW w:w="7938" w:type="dxa"/>
          </w:tcPr>
          <w:p w:rsidR="003F0A00" w:rsidRPr="00B315F3" w:rsidRDefault="003F0A00" w:rsidP="003F0A00">
            <w:r w:rsidRPr="00B315F3">
              <w:t xml:space="preserve">Where a </w:t>
            </w:r>
            <w:r w:rsidR="00550378">
              <w:rPr>
                <w:lang w:eastAsia="en-AU"/>
              </w:rPr>
              <w:t>Participant</w:t>
            </w:r>
            <w:r w:rsidRPr="00B315F3">
              <w:t xml:space="preserve"> fails to comply with a requirement then, on the same Business Day on which the Provider becomes aware of the non-compliance, the Provider </w:t>
            </w:r>
            <w:r w:rsidRPr="00B315F3">
              <w:rPr>
                <w:b/>
              </w:rPr>
              <w:t>must</w:t>
            </w:r>
            <w:r w:rsidRPr="00B315F3">
              <w:t xml:space="preserve"> confirm that no prior contact was made by the </w:t>
            </w:r>
            <w:r w:rsidR="00550378">
              <w:rPr>
                <w:lang w:eastAsia="en-AU"/>
              </w:rPr>
              <w:t>Participant</w:t>
            </w:r>
            <w:r w:rsidRPr="00B315F3">
              <w:t xml:space="preserve"> to demonstrate that they had a Valid Reason for not complying. Providers need to be confident that no prior contact has been made—for example, by checking with reception staff or listening to answering machine messages, depending on internal work practices.</w:t>
            </w:r>
          </w:p>
          <w:p w:rsidR="003F0A00" w:rsidRPr="00B315F3" w:rsidRDefault="003F0A00" w:rsidP="003F0A00">
            <w:r w:rsidRPr="00B315F3">
              <w:t xml:space="preserve">Where there is no evidence that the </w:t>
            </w:r>
            <w:r w:rsidR="00550378">
              <w:rPr>
                <w:lang w:eastAsia="en-AU"/>
              </w:rPr>
              <w:t>Participant</w:t>
            </w:r>
            <w:r w:rsidRPr="00B315F3">
              <w:t xml:space="preserve"> made prior contact and gave a Valid Reason, the Provider </w:t>
            </w:r>
            <w:r w:rsidRPr="00B315F3">
              <w:rPr>
                <w:b/>
              </w:rPr>
              <w:t>must</w:t>
            </w:r>
            <w:r w:rsidRPr="00B315F3">
              <w:t xml:space="preserve"> attempt to contact the </w:t>
            </w:r>
            <w:r w:rsidR="00550378">
              <w:rPr>
                <w:lang w:eastAsia="en-AU"/>
              </w:rPr>
              <w:t>Participant</w:t>
            </w:r>
            <w:r w:rsidRPr="00B315F3">
              <w:t xml:space="preserve"> once on the day of becoming aware of the non-compliance to discuss</w:t>
            </w:r>
          </w:p>
          <w:p w:rsidR="003F0A00" w:rsidRPr="00B315F3" w:rsidRDefault="002B56C5" w:rsidP="003F0A00">
            <w:pPr>
              <w:pStyle w:val="ListParagraph"/>
              <w:numPr>
                <w:ilvl w:val="0"/>
                <w:numId w:val="24"/>
              </w:numPr>
            </w:pPr>
            <w:r>
              <w:t>w</w:t>
            </w:r>
            <w:r w:rsidR="003F0A00" w:rsidRPr="00B315F3">
              <w:t xml:space="preserve">hy the </w:t>
            </w:r>
            <w:r w:rsidR="00550378">
              <w:rPr>
                <w:lang w:eastAsia="en-AU"/>
              </w:rPr>
              <w:t>Participant</w:t>
            </w:r>
            <w:r w:rsidR="003F0A00" w:rsidRPr="00B315F3">
              <w:t xml:space="preserve"> failed to comply with their requirement, and whe</w:t>
            </w:r>
            <w:r w:rsidR="00D74040">
              <w:t>ther</w:t>
            </w:r>
            <w:r w:rsidR="003F0A00" w:rsidRPr="00B315F3">
              <w:t xml:space="preserve"> this is reasonable</w:t>
            </w:r>
          </w:p>
          <w:p w:rsidR="003F0A00" w:rsidRPr="00B315F3" w:rsidRDefault="003F0A00" w:rsidP="003F0A00">
            <w:pPr>
              <w:pStyle w:val="ListParagraph"/>
              <w:numPr>
                <w:ilvl w:val="0"/>
                <w:numId w:val="24"/>
              </w:numPr>
            </w:pPr>
            <w:proofErr w:type="gramStart"/>
            <w:r w:rsidRPr="00B315F3">
              <w:t>why</w:t>
            </w:r>
            <w:proofErr w:type="gramEnd"/>
            <w:r w:rsidRPr="00B315F3">
              <w:t xml:space="preserve"> the </w:t>
            </w:r>
            <w:r w:rsidR="00550378">
              <w:rPr>
                <w:lang w:eastAsia="en-AU"/>
              </w:rPr>
              <w:t>Participant</w:t>
            </w:r>
            <w:r w:rsidRPr="00B315F3">
              <w:t xml:space="preserve"> did not make contact beforehand.</w:t>
            </w:r>
          </w:p>
          <w:p w:rsidR="003F0A00" w:rsidRPr="00B315F3" w:rsidRDefault="003F0A00" w:rsidP="003F0A00">
            <w:r w:rsidRPr="00B315F3">
              <w:t xml:space="preserve">Note: The attempt to contact the </w:t>
            </w:r>
            <w:r w:rsidR="00550378">
              <w:rPr>
                <w:lang w:eastAsia="en-AU"/>
              </w:rPr>
              <w:t>Participant</w:t>
            </w:r>
            <w:r w:rsidRPr="00B315F3">
              <w:t xml:space="preserve"> can only be made by phone or email, because the decision on the next steps (that is, whether the compliance framework </w:t>
            </w:r>
            <w:r w:rsidRPr="00B315F3">
              <w:rPr>
                <w:b/>
              </w:rPr>
              <w:t>should</w:t>
            </w:r>
            <w:r w:rsidRPr="00B315F3">
              <w:t xml:space="preserve"> be utilised) </w:t>
            </w:r>
            <w:r w:rsidRPr="00B315F3">
              <w:rPr>
                <w:b/>
              </w:rPr>
              <w:t>must</w:t>
            </w:r>
            <w:r w:rsidRPr="00B315F3">
              <w:t xml:space="preserve"> be made on the same Business Day.</w:t>
            </w:r>
          </w:p>
          <w:p w:rsidR="003F0A00" w:rsidRPr="00B315F3" w:rsidRDefault="003F0A00" w:rsidP="003F0A00">
            <w:r w:rsidRPr="00B315F3">
              <w:t xml:space="preserve">Based on the discussion with the </w:t>
            </w:r>
            <w:r w:rsidR="00DC7677">
              <w:rPr>
                <w:lang w:eastAsia="en-AU"/>
              </w:rPr>
              <w:t>Participant</w:t>
            </w:r>
            <w:r w:rsidRPr="00B315F3">
              <w:t xml:space="preserve">, the Provider </w:t>
            </w:r>
            <w:r w:rsidRPr="00B315F3">
              <w:rPr>
                <w:b/>
              </w:rPr>
              <w:t>must</w:t>
            </w:r>
            <w:r w:rsidRPr="00B315F3">
              <w:t xml:space="preserve"> assess whether the </w:t>
            </w:r>
            <w:r w:rsidR="00DC7677">
              <w:rPr>
                <w:lang w:eastAsia="en-AU"/>
              </w:rPr>
              <w:t>Participant</w:t>
            </w:r>
            <w:r w:rsidRPr="00B315F3">
              <w:t xml:space="preserve"> had a Reasonable Excuse for failing to comply with the requirement.</w:t>
            </w:r>
          </w:p>
          <w:p w:rsidR="003F0A00" w:rsidRPr="00B315F3" w:rsidRDefault="003F0A00" w:rsidP="003F0A00">
            <w:r w:rsidRPr="00B315F3">
              <w:t>A ‘Reasonable Excuse’ is an excuse that would seem reasonable to a member of the public. Given that each situation is different, Providers need to consider what is reasonable in the specific context of the non-compliance.</w:t>
            </w:r>
          </w:p>
          <w:p w:rsidR="003F0A00" w:rsidRPr="00B315F3" w:rsidRDefault="003F0A00" w:rsidP="003F0A00">
            <w:r w:rsidRPr="00B315F3">
              <w:t>Ther</w:t>
            </w:r>
            <w:r w:rsidR="002B56C5">
              <w:t xml:space="preserve">e are two stages in assessing </w:t>
            </w:r>
            <w:r w:rsidRPr="00B315F3">
              <w:t xml:space="preserve">whether the </w:t>
            </w:r>
            <w:r w:rsidR="00DC7677">
              <w:rPr>
                <w:lang w:eastAsia="en-AU"/>
              </w:rPr>
              <w:t>Participant</w:t>
            </w:r>
            <w:r w:rsidRPr="00B315F3">
              <w:t xml:space="preserve"> has a Reasonable Excuse for failing to comply with the requirement:</w:t>
            </w:r>
          </w:p>
          <w:p w:rsidR="003F0A00" w:rsidRPr="00B315F3" w:rsidRDefault="003F0A00" w:rsidP="003F0A00">
            <w:r w:rsidRPr="00B315F3">
              <w:t xml:space="preserve">Providers </w:t>
            </w:r>
            <w:r w:rsidRPr="00B315F3">
              <w:rPr>
                <w:b/>
              </w:rPr>
              <w:t>must</w:t>
            </w:r>
            <w:r w:rsidRPr="00B315F3">
              <w:t xml:space="preserve"> consider why the </w:t>
            </w:r>
            <w:r w:rsidR="00DC7677">
              <w:rPr>
                <w:lang w:eastAsia="en-AU"/>
              </w:rPr>
              <w:t>Participant</w:t>
            </w:r>
            <w:r w:rsidRPr="00B315F3">
              <w:t xml:space="preserve"> did not comply. If the </w:t>
            </w:r>
            <w:r w:rsidR="00DC7677">
              <w:rPr>
                <w:lang w:eastAsia="en-AU"/>
              </w:rPr>
              <w:t>Participant</w:t>
            </w:r>
            <w:r w:rsidRPr="00B315F3">
              <w:t xml:space="preserve"> provides an acceptable reason, the Provider </w:t>
            </w:r>
            <w:r w:rsidRPr="00B315F3">
              <w:rPr>
                <w:b/>
              </w:rPr>
              <w:t>must</w:t>
            </w:r>
            <w:r w:rsidRPr="00B315F3">
              <w:t xml:space="preserve"> th</w:t>
            </w:r>
            <w:r w:rsidR="002B56C5">
              <w:t xml:space="preserve">en consider why the </w:t>
            </w:r>
            <w:r w:rsidR="00DC7677">
              <w:rPr>
                <w:lang w:eastAsia="en-AU"/>
              </w:rPr>
              <w:t>Participant</w:t>
            </w:r>
            <w:r w:rsidRPr="00B315F3">
              <w:t xml:space="preserve"> did not give prior notice.</w:t>
            </w:r>
          </w:p>
          <w:p w:rsidR="003F0A00" w:rsidRPr="00B315F3" w:rsidRDefault="003F0A00" w:rsidP="003F0A00">
            <w:r w:rsidRPr="00B315F3">
              <w:t xml:space="preserve">Where a </w:t>
            </w:r>
            <w:r w:rsidR="00DC7677">
              <w:rPr>
                <w:lang w:eastAsia="en-AU"/>
              </w:rPr>
              <w:t>Participant</w:t>
            </w:r>
            <w:r w:rsidRPr="00B315F3">
              <w:t xml:space="preserve"> does not give prior notice of their inability to attend and it would be reasonable to have expected them to do so, they do not have a Reasonable Excuse.</w:t>
            </w:r>
          </w:p>
          <w:p w:rsidR="00C77310" w:rsidRPr="00B315F3" w:rsidRDefault="003F0A00" w:rsidP="003F0A00">
            <w:r w:rsidRPr="00B315F3">
              <w:t xml:space="preserve">In some instances, prior notice will not be relevant for Providers to consider—for example; inappropriate behaviour or declining suitable paid employment. </w:t>
            </w:r>
          </w:p>
        </w:tc>
      </w:tr>
      <w:tr w:rsidR="00C77310" w:rsidRPr="00B315F3" w:rsidTr="00E06EDE">
        <w:tc>
          <w:tcPr>
            <w:tcW w:w="2943" w:type="dxa"/>
          </w:tcPr>
          <w:p w:rsidR="00C77310" w:rsidRPr="006214DA" w:rsidRDefault="000B62BB" w:rsidP="006214DA">
            <w:pPr>
              <w:rPr>
                <w:b/>
              </w:rPr>
            </w:pPr>
            <w:r w:rsidRPr="006214DA">
              <w:rPr>
                <w:b/>
              </w:rPr>
              <w:t>Recording compliance with Mutual Obligation Requirements</w:t>
            </w:r>
          </w:p>
        </w:tc>
        <w:tc>
          <w:tcPr>
            <w:tcW w:w="7938" w:type="dxa"/>
          </w:tcPr>
          <w:p w:rsidR="003F0A00" w:rsidRPr="00B315F3" w:rsidRDefault="003F0A00" w:rsidP="003F0A00">
            <w:r w:rsidRPr="00B315F3">
              <w:t xml:space="preserve">Providers </w:t>
            </w:r>
            <w:r w:rsidRPr="00B315F3">
              <w:rPr>
                <w:b/>
              </w:rPr>
              <w:t>must</w:t>
            </w:r>
            <w:r w:rsidRPr="00B315F3">
              <w:t xml:space="preserve"> record the </w:t>
            </w:r>
            <w:r w:rsidR="00142E7D">
              <w:rPr>
                <w:lang w:eastAsia="en-AU"/>
              </w:rPr>
              <w:t>Participant</w:t>
            </w:r>
            <w:r w:rsidR="00142E7D">
              <w:t>’s</w:t>
            </w:r>
            <w:r w:rsidRPr="00B315F3">
              <w:t xml:space="preserve"> compliance with their Mutual Obligation Requirements in the Department’s IT Systems, spe</w:t>
            </w:r>
            <w:r w:rsidR="002B56C5">
              <w:t>cifically for Appointments and a</w:t>
            </w:r>
            <w:r w:rsidRPr="00B315F3">
              <w:t>ctivities.</w:t>
            </w:r>
          </w:p>
          <w:p w:rsidR="003F0A00" w:rsidRPr="00B315F3" w:rsidRDefault="003F0A00" w:rsidP="003F0A00">
            <w:r w:rsidRPr="00B315F3">
              <w:t xml:space="preserve">For Appointments, Providers </w:t>
            </w:r>
            <w:r w:rsidRPr="00B315F3">
              <w:rPr>
                <w:b/>
              </w:rPr>
              <w:t xml:space="preserve">must </w:t>
            </w:r>
            <w:r w:rsidRPr="00B315F3">
              <w:t>record the compliance status by close of business on the day of the Appointment.</w:t>
            </w:r>
          </w:p>
          <w:p w:rsidR="003F0A00" w:rsidRPr="00B315F3" w:rsidRDefault="002B56C5" w:rsidP="003F0A00">
            <w:r>
              <w:t>For a</w:t>
            </w:r>
            <w:r w:rsidR="003F0A00" w:rsidRPr="00B315F3">
              <w:t xml:space="preserve">ctivities that are being hosted by a third-party organisation, Providers </w:t>
            </w:r>
            <w:r w:rsidR="003F0A00" w:rsidRPr="00B315F3">
              <w:rPr>
                <w:b/>
              </w:rPr>
              <w:t xml:space="preserve">must </w:t>
            </w:r>
            <w:r w:rsidR="003F0A00" w:rsidRPr="00B315F3">
              <w:t>ensure that the supervisor notifies them of any non-attendance or non-compliance as soon as is practicable, but by no later than at the en</w:t>
            </w:r>
            <w:r w:rsidR="005B08EB">
              <w:t>d of the relevant working week.</w:t>
            </w:r>
          </w:p>
          <w:p w:rsidR="003F0A00" w:rsidRPr="00B315F3" w:rsidRDefault="003F0A00" w:rsidP="003F0A00">
            <w:r w:rsidRPr="00B315F3">
              <w:lastRenderedPageBreak/>
              <w:t>The compliance status options that are available to Providers in the Department’s IT Systems are:</w:t>
            </w:r>
          </w:p>
          <w:p w:rsidR="003F0A00" w:rsidRPr="00B315F3" w:rsidRDefault="003F0A00" w:rsidP="003F0A00">
            <w:pPr>
              <w:pStyle w:val="ListParagraph"/>
              <w:numPr>
                <w:ilvl w:val="0"/>
                <w:numId w:val="31"/>
              </w:numPr>
            </w:pPr>
            <w:r w:rsidRPr="00B315F3">
              <w:rPr>
                <w:b/>
              </w:rPr>
              <w:t xml:space="preserve">Rescheduled </w:t>
            </w:r>
            <w:r w:rsidRPr="00B315F3">
              <w:rPr>
                <w:rFonts w:cs="Vrinda"/>
                <w:b/>
              </w:rPr>
              <w:t>(RESC)</w:t>
            </w:r>
            <w:r w:rsidRPr="00B315F3">
              <w:t xml:space="preserve">—The Provider thinks that the </w:t>
            </w:r>
            <w:r w:rsidR="00142E7D">
              <w:rPr>
                <w:lang w:eastAsia="en-AU"/>
              </w:rPr>
              <w:t>Participant</w:t>
            </w:r>
            <w:r w:rsidRPr="00B315F3">
              <w:t xml:space="preserve"> has a Valid Reason for not complying (before the requirement start time) and the Provider decides to reschedule the requirement</w:t>
            </w:r>
          </w:p>
          <w:p w:rsidR="003F0A00" w:rsidRPr="00B315F3" w:rsidRDefault="003F0A00" w:rsidP="003F0A00">
            <w:pPr>
              <w:pStyle w:val="ListParagraph"/>
              <w:numPr>
                <w:ilvl w:val="0"/>
                <w:numId w:val="31"/>
              </w:numPr>
            </w:pPr>
            <w:r w:rsidRPr="00B315F3">
              <w:rPr>
                <w:b/>
              </w:rPr>
              <w:t xml:space="preserve">Attended </w:t>
            </w:r>
            <w:r w:rsidRPr="00B315F3">
              <w:rPr>
                <w:rFonts w:ascii="Vrinda" w:hAnsi="Vrinda" w:cs="Vrinda"/>
                <w:b/>
              </w:rPr>
              <w:t>(ATT)</w:t>
            </w:r>
            <w:r w:rsidRPr="00B315F3">
              <w:rPr>
                <w:b/>
              </w:rPr>
              <w:t>—</w:t>
            </w:r>
            <w:r w:rsidRPr="00B315F3">
              <w:t xml:space="preserve">The </w:t>
            </w:r>
            <w:r w:rsidR="00142E7D">
              <w:rPr>
                <w:lang w:eastAsia="en-AU"/>
              </w:rPr>
              <w:t>Participant</w:t>
            </w:r>
            <w:r w:rsidRPr="00B315F3">
              <w:t xml:space="preserve"> attended or participated in the requirement where they have arrived on time and at the correct location; behaved appropriately; treated staff and others with respect; and participated for t</w:t>
            </w:r>
            <w:r w:rsidR="00885655" w:rsidRPr="00B315F3">
              <w:t>he duration of the requirement</w:t>
            </w:r>
          </w:p>
          <w:p w:rsidR="003F0A00" w:rsidRPr="00B315F3" w:rsidRDefault="003F0A00" w:rsidP="003F0A00">
            <w:pPr>
              <w:pStyle w:val="ListParagraph"/>
              <w:numPr>
                <w:ilvl w:val="0"/>
                <w:numId w:val="31"/>
              </w:numPr>
            </w:pPr>
            <w:r w:rsidRPr="00B315F3">
              <w:rPr>
                <w:b/>
              </w:rPr>
              <w:t xml:space="preserve">Did Not Attend Valid </w:t>
            </w:r>
            <w:r w:rsidRPr="00B315F3">
              <w:rPr>
                <w:rFonts w:ascii="Vrinda" w:hAnsi="Vrinda" w:cs="Vrinda"/>
                <w:b/>
              </w:rPr>
              <w:t>(DNAV)</w:t>
            </w:r>
            <w:r w:rsidRPr="00B315F3">
              <w:t xml:space="preserve">—The </w:t>
            </w:r>
            <w:r w:rsidR="00142E7D">
              <w:rPr>
                <w:lang w:eastAsia="en-AU"/>
              </w:rPr>
              <w:t>Participant</w:t>
            </w:r>
            <w:r w:rsidRPr="00B315F3">
              <w:t xml:space="preserve"> did not attend or participate in the requirement; however, the Provider thinks that the </w:t>
            </w:r>
            <w:r w:rsidR="00142E7D">
              <w:rPr>
                <w:lang w:eastAsia="en-AU"/>
              </w:rPr>
              <w:t>Participant</w:t>
            </w:r>
            <w:r w:rsidRPr="00B315F3">
              <w:t xml:space="preserve"> had a Reasonable Excuse</w:t>
            </w:r>
          </w:p>
          <w:p w:rsidR="003F0A00" w:rsidRPr="00B315F3" w:rsidRDefault="003F0A00" w:rsidP="003F0A00">
            <w:pPr>
              <w:pStyle w:val="ListParagraph"/>
              <w:numPr>
                <w:ilvl w:val="0"/>
                <w:numId w:val="31"/>
              </w:numPr>
            </w:pPr>
            <w:r w:rsidRPr="00B315F3">
              <w:rPr>
                <w:b/>
              </w:rPr>
              <w:t>Did Not Attend Invalid (DNAI)</w:t>
            </w:r>
            <w:r w:rsidRPr="00B315F3">
              <w:t xml:space="preserve">—The </w:t>
            </w:r>
            <w:r w:rsidR="00142E7D">
              <w:rPr>
                <w:lang w:eastAsia="en-AU"/>
              </w:rPr>
              <w:t>Participant</w:t>
            </w:r>
            <w:r w:rsidRPr="00B315F3">
              <w:t xml:space="preserve"> did not attend or participate in the requirement and the Provider thinks that the </w:t>
            </w:r>
            <w:r w:rsidR="00142E7D">
              <w:rPr>
                <w:lang w:eastAsia="en-AU"/>
              </w:rPr>
              <w:t>Participant</w:t>
            </w:r>
            <w:r w:rsidRPr="00B315F3">
              <w:t xml:space="preserve"> did not have a Reasonable Excuse, or contact could not be made and the Provider will be using the compliance framework</w:t>
            </w:r>
          </w:p>
          <w:p w:rsidR="003F0A00" w:rsidRPr="00B315F3" w:rsidRDefault="003F0A00" w:rsidP="003F0A00">
            <w:pPr>
              <w:pStyle w:val="ListParagraph"/>
              <w:numPr>
                <w:ilvl w:val="0"/>
                <w:numId w:val="31"/>
              </w:numPr>
            </w:pPr>
            <w:r w:rsidRPr="00B315F3">
              <w:rPr>
                <w:b/>
              </w:rPr>
              <w:t>Did Not Attend Discretion (DNAD)</w:t>
            </w:r>
            <w:r w:rsidRPr="00B315F3">
              <w:t xml:space="preserve">—The </w:t>
            </w:r>
            <w:r w:rsidR="00142E7D">
              <w:rPr>
                <w:lang w:eastAsia="en-AU"/>
              </w:rPr>
              <w:t>Participant</w:t>
            </w:r>
            <w:r w:rsidRPr="00B315F3">
              <w:t xml:space="preserve"> did not attend or participate in the requirement and the Provider thinks that the </w:t>
            </w:r>
            <w:r w:rsidR="00142E7D">
              <w:rPr>
                <w:lang w:eastAsia="en-AU"/>
              </w:rPr>
              <w:t>Participant</w:t>
            </w:r>
            <w:r w:rsidRPr="00B315F3">
              <w:t xml:space="preserve"> did not have a Reasonable Excuse or contact could not be made, and the Provider has decided not to report the non-compliance to DHS because it is not the best strategy to re-engage the </w:t>
            </w:r>
            <w:r w:rsidR="00142E7D">
              <w:rPr>
                <w:lang w:eastAsia="en-AU"/>
              </w:rPr>
              <w:t>Participant</w:t>
            </w:r>
            <w:r w:rsidRPr="00B315F3">
              <w:t xml:space="preserve"> at that point in time</w:t>
            </w:r>
          </w:p>
          <w:p w:rsidR="003F0A00" w:rsidRPr="00B315F3" w:rsidRDefault="003F0A00" w:rsidP="003F0A00">
            <w:pPr>
              <w:pStyle w:val="ListParagraph"/>
              <w:numPr>
                <w:ilvl w:val="0"/>
                <w:numId w:val="31"/>
              </w:numPr>
            </w:pPr>
            <w:r w:rsidRPr="00B315F3">
              <w:rPr>
                <w:b/>
              </w:rPr>
              <w:t xml:space="preserve">Did Not Enter into or sign a Job Plan </w:t>
            </w:r>
            <w:r w:rsidRPr="00B315F3">
              <w:rPr>
                <w:rFonts w:ascii="Vrinda" w:hAnsi="Vrinda" w:cs="Vrinda"/>
                <w:b/>
              </w:rPr>
              <w:t>(</w:t>
            </w:r>
            <w:r w:rsidRPr="00B315F3">
              <w:rPr>
                <w:b/>
              </w:rPr>
              <w:t>DNEP</w:t>
            </w:r>
            <w:r w:rsidRPr="00B315F3">
              <w:rPr>
                <w:rFonts w:ascii="Vrinda" w:hAnsi="Vrinda" w:cs="Vrinda"/>
                <w:b/>
              </w:rPr>
              <w:t>)</w:t>
            </w:r>
            <w:r w:rsidRPr="00B315F3">
              <w:t xml:space="preserve">—The </w:t>
            </w:r>
            <w:r w:rsidR="00142E7D">
              <w:rPr>
                <w:lang w:eastAsia="en-AU"/>
              </w:rPr>
              <w:t>Participant</w:t>
            </w:r>
            <w:r w:rsidRPr="00B315F3">
              <w:t xml:space="preserve"> attended or participated in their requirement but did not agree to a Job Plan or sign an updated Job Plan either in person or online through the Australian JobSearch website</w:t>
            </w:r>
            <w:r w:rsidR="00885655" w:rsidRPr="00B315F3">
              <w:t>.</w:t>
            </w:r>
          </w:p>
          <w:p w:rsidR="003F0A00" w:rsidRPr="00B315F3" w:rsidRDefault="003F0A00" w:rsidP="003F0A00">
            <w:r w:rsidRPr="00B315F3">
              <w:rPr>
                <w:b/>
              </w:rPr>
              <w:t>Job Search</w:t>
            </w:r>
          </w:p>
          <w:p w:rsidR="003F0A00" w:rsidRPr="00B315F3" w:rsidRDefault="003F0A00" w:rsidP="003F0A00">
            <w:pPr>
              <w:pStyle w:val="ListParagraph"/>
              <w:numPr>
                <w:ilvl w:val="0"/>
                <w:numId w:val="30"/>
              </w:numPr>
              <w:rPr>
                <w:b/>
              </w:rPr>
            </w:pPr>
            <w:r w:rsidRPr="00B315F3">
              <w:rPr>
                <w:b/>
              </w:rPr>
              <w:t>Satisfactory</w:t>
            </w:r>
            <w:r w:rsidRPr="00B315F3">
              <w:t xml:space="preserve">—The Provider assesses that the </w:t>
            </w:r>
            <w:r w:rsidR="00142E7D">
              <w:rPr>
                <w:lang w:eastAsia="en-AU"/>
              </w:rPr>
              <w:t>Participant</w:t>
            </w:r>
            <w:r w:rsidRPr="00B315F3">
              <w:t xml:space="preserve"> has met their Job Search Requirement for the Job Search Period</w:t>
            </w:r>
          </w:p>
          <w:p w:rsidR="003F0A00" w:rsidRPr="00B315F3" w:rsidRDefault="003F0A00" w:rsidP="003F0A00">
            <w:pPr>
              <w:pStyle w:val="ListParagraph"/>
              <w:numPr>
                <w:ilvl w:val="0"/>
                <w:numId w:val="30"/>
              </w:numPr>
              <w:rPr>
                <w:b/>
              </w:rPr>
            </w:pPr>
            <w:r w:rsidRPr="00B315F3">
              <w:rPr>
                <w:b/>
              </w:rPr>
              <w:t>Unsatisfactory</w:t>
            </w:r>
            <w:r w:rsidRPr="00B315F3">
              <w:t xml:space="preserve">—The Provider assesses that the </w:t>
            </w:r>
            <w:r w:rsidR="00142E7D">
              <w:rPr>
                <w:lang w:eastAsia="en-AU"/>
              </w:rPr>
              <w:t>Participant</w:t>
            </w:r>
            <w:r w:rsidR="00142E7D">
              <w:t>’s</w:t>
            </w:r>
            <w:r w:rsidRPr="00B315F3">
              <w:t xml:space="preserve"> Job Search efforts for the Job Search Period are unsatisfactory to meet the requirements in their Job Plan and they will use the job seeker compliance framework</w:t>
            </w:r>
          </w:p>
          <w:p w:rsidR="00C77310" w:rsidRPr="00B315F3" w:rsidRDefault="003F0A00" w:rsidP="00142E7D">
            <w:pPr>
              <w:pStyle w:val="ListParagraph"/>
              <w:numPr>
                <w:ilvl w:val="0"/>
                <w:numId w:val="30"/>
              </w:numPr>
            </w:pPr>
            <w:r w:rsidRPr="00B315F3">
              <w:rPr>
                <w:b/>
              </w:rPr>
              <w:t>Unsatisfactory–Discretion</w:t>
            </w:r>
            <w:r w:rsidRPr="00B315F3">
              <w:t xml:space="preserve">—The Provider assesses that the </w:t>
            </w:r>
            <w:r w:rsidR="00142E7D">
              <w:rPr>
                <w:lang w:eastAsia="en-AU"/>
              </w:rPr>
              <w:t>Participant</w:t>
            </w:r>
            <w:r w:rsidR="00142E7D">
              <w:t>’s</w:t>
            </w:r>
            <w:r w:rsidRPr="00B315F3">
              <w:t xml:space="preserve"> Job Search efforts are unsatisfactory, but the Provider thinks that using the job seeker compliance framework is not the best way to help the </w:t>
            </w:r>
            <w:r w:rsidR="00142E7D">
              <w:rPr>
                <w:lang w:eastAsia="en-AU"/>
              </w:rPr>
              <w:t>Participant</w:t>
            </w:r>
            <w:r w:rsidRPr="00B315F3">
              <w:t xml:space="preserve"> to improve their Job Search efforts at that time.</w:t>
            </w:r>
          </w:p>
        </w:tc>
      </w:tr>
      <w:tr w:rsidR="000B62BB" w:rsidRPr="00B315F3" w:rsidTr="00E06EDE">
        <w:tc>
          <w:tcPr>
            <w:tcW w:w="2943" w:type="dxa"/>
          </w:tcPr>
          <w:p w:rsidR="000B62BB" w:rsidRPr="006214DA" w:rsidRDefault="000B62BB" w:rsidP="006214DA">
            <w:pPr>
              <w:rPr>
                <w:b/>
              </w:rPr>
            </w:pPr>
            <w:r w:rsidRPr="006214DA">
              <w:rPr>
                <w:b/>
              </w:rPr>
              <w:lastRenderedPageBreak/>
              <w:t>Determining the most appropriate action following non-attendance or other forms of non-compliance</w:t>
            </w:r>
          </w:p>
        </w:tc>
        <w:tc>
          <w:tcPr>
            <w:tcW w:w="7938" w:type="dxa"/>
          </w:tcPr>
          <w:p w:rsidR="003F0A00" w:rsidRPr="00B315F3" w:rsidRDefault="003F0A00" w:rsidP="003F0A00">
            <w:pPr>
              <w:rPr>
                <w:lang w:eastAsia="en-AU"/>
              </w:rPr>
            </w:pPr>
            <w:r w:rsidRPr="00B315F3">
              <w:rPr>
                <w:lang w:eastAsia="en-AU"/>
              </w:rPr>
              <w:t xml:space="preserve">Following </w:t>
            </w:r>
            <w:r w:rsidR="00B26331">
              <w:rPr>
                <w:lang w:eastAsia="en-AU"/>
              </w:rPr>
              <w:t>Participant</w:t>
            </w:r>
            <w:r w:rsidRPr="00B315F3">
              <w:rPr>
                <w:lang w:eastAsia="en-AU"/>
              </w:rPr>
              <w:t xml:space="preserve"> non-attendance or other non-compliance, a Provider </w:t>
            </w:r>
            <w:r w:rsidRPr="00B315F3">
              <w:rPr>
                <w:b/>
                <w:lang w:eastAsia="en-AU"/>
              </w:rPr>
              <w:t>must</w:t>
            </w:r>
            <w:r w:rsidRPr="00B315F3">
              <w:rPr>
                <w:lang w:eastAsia="en-AU"/>
              </w:rPr>
              <w:t xml:space="preserve"> consider whether to use the job seeker compliance framework in relation to the event. This decision informs the compliance status that is recorded in the Department’s IT Systems for the requirement.</w:t>
            </w:r>
          </w:p>
          <w:p w:rsidR="003F0A00" w:rsidRPr="00B315F3" w:rsidRDefault="003F0A00" w:rsidP="003F0A00">
            <w:pPr>
              <w:rPr>
                <w:lang w:eastAsia="en-AU"/>
              </w:rPr>
            </w:pPr>
            <w:r w:rsidRPr="00B315F3">
              <w:rPr>
                <w:lang w:eastAsia="en-AU"/>
              </w:rPr>
              <w:t xml:space="preserve">To assist in determining if using the job seeker compliance framework is appropriate, in addition to considering the </w:t>
            </w:r>
            <w:r w:rsidR="00B26331">
              <w:rPr>
                <w:lang w:eastAsia="en-AU"/>
              </w:rPr>
              <w:t>Participant’s</w:t>
            </w:r>
            <w:r w:rsidRPr="00B315F3">
              <w:rPr>
                <w:lang w:eastAsia="en-AU"/>
              </w:rPr>
              <w:t xml:space="preserve"> explanation for non-attendance/non-compliance, Providers need to also consider the </w:t>
            </w:r>
            <w:r w:rsidR="00B26331">
              <w:rPr>
                <w:lang w:eastAsia="en-AU"/>
              </w:rPr>
              <w:t>Participant’s</w:t>
            </w:r>
            <w:r w:rsidRPr="00B315F3">
              <w:rPr>
                <w:lang w:eastAsia="en-AU"/>
              </w:rPr>
              <w:t>:</w:t>
            </w:r>
          </w:p>
          <w:p w:rsidR="003F0A00" w:rsidRPr="00B315F3" w:rsidRDefault="003F0A00" w:rsidP="003F0A00">
            <w:pPr>
              <w:pStyle w:val="ListParagraph"/>
              <w:numPr>
                <w:ilvl w:val="0"/>
                <w:numId w:val="34"/>
              </w:numPr>
              <w:rPr>
                <w:lang w:eastAsia="en-AU"/>
              </w:rPr>
            </w:pPr>
            <w:r w:rsidRPr="00B315F3">
              <w:rPr>
                <w:lang w:eastAsia="en-AU"/>
              </w:rPr>
              <w:t>personal circumstances</w:t>
            </w:r>
          </w:p>
          <w:p w:rsidR="003F0A00" w:rsidRPr="00B315F3" w:rsidRDefault="003F0A00" w:rsidP="003F0A00">
            <w:pPr>
              <w:pStyle w:val="ListParagraph"/>
              <w:numPr>
                <w:ilvl w:val="0"/>
                <w:numId w:val="34"/>
              </w:numPr>
              <w:rPr>
                <w:lang w:eastAsia="en-AU"/>
              </w:rPr>
            </w:pPr>
            <w:r w:rsidRPr="00B315F3">
              <w:rPr>
                <w:lang w:eastAsia="en-AU"/>
              </w:rPr>
              <w:t>system-recorded vulnerability indicators (if any)</w:t>
            </w:r>
          </w:p>
          <w:p w:rsidR="003F0A00" w:rsidRPr="00B315F3" w:rsidRDefault="003F0A00" w:rsidP="003F0A00">
            <w:pPr>
              <w:pStyle w:val="ListParagraph"/>
              <w:numPr>
                <w:ilvl w:val="0"/>
                <w:numId w:val="34"/>
              </w:numPr>
              <w:rPr>
                <w:lang w:eastAsia="en-AU"/>
              </w:rPr>
            </w:pPr>
            <w:r w:rsidRPr="00B315F3">
              <w:rPr>
                <w:lang w:eastAsia="en-AU"/>
              </w:rPr>
              <w:lastRenderedPageBreak/>
              <w:t>recent compliance history</w:t>
            </w:r>
            <w:r w:rsidR="002D11F5" w:rsidRPr="00B315F3">
              <w:rPr>
                <w:lang w:eastAsia="en-AU"/>
              </w:rPr>
              <w:t xml:space="preserve"> </w:t>
            </w:r>
            <w:r w:rsidRPr="00B315F3">
              <w:rPr>
                <w:lang w:eastAsia="en-AU"/>
              </w:rPr>
              <w:t>and</w:t>
            </w:r>
          </w:p>
          <w:p w:rsidR="003F0A00" w:rsidRPr="00B315F3" w:rsidRDefault="003F0A00" w:rsidP="003F0A00">
            <w:pPr>
              <w:pStyle w:val="ListParagraph"/>
              <w:numPr>
                <w:ilvl w:val="0"/>
                <w:numId w:val="34"/>
              </w:numPr>
              <w:rPr>
                <w:lang w:eastAsia="en-AU"/>
              </w:rPr>
            </w:pPr>
            <w:proofErr w:type="gramStart"/>
            <w:r w:rsidRPr="00B315F3">
              <w:rPr>
                <w:lang w:eastAsia="en-AU"/>
              </w:rPr>
              <w:t>any</w:t>
            </w:r>
            <w:proofErr w:type="gramEnd"/>
            <w:r w:rsidRPr="00B315F3">
              <w:rPr>
                <w:lang w:eastAsia="en-AU"/>
              </w:rPr>
              <w:t xml:space="preserve"> other information they believe is relevant.</w:t>
            </w:r>
          </w:p>
          <w:p w:rsidR="003F0A00" w:rsidRPr="00B315F3" w:rsidRDefault="003F0A00" w:rsidP="003F0A00">
            <w:pPr>
              <w:rPr>
                <w:lang w:eastAsia="en-AU"/>
              </w:rPr>
            </w:pPr>
            <w:r w:rsidRPr="00B315F3">
              <w:rPr>
                <w:lang w:eastAsia="en-AU"/>
              </w:rPr>
              <w:t xml:space="preserve">If the Provider does decide to use the job seeker compliance framework, they </w:t>
            </w:r>
            <w:r w:rsidRPr="00B315F3">
              <w:rPr>
                <w:b/>
                <w:lang w:eastAsia="en-AU"/>
              </w:rPr>
              <w:t>must</w:t>
            </w:r>
            <w:r w:rsidRPr="00B315F3">
              <w:rPr>
                <w:lang w:eastAsia="en-AU"/>
              </w:rPr>
              <w:t xml:space="preserve"> report the incident to DHS on the same business day that they make this decision. Providers will only have a short timeframe from the non-compliance event to make this decision. The timeframes are:</w:t>
            </w:r>
          </w:p>
          <w:p w:rsidR="003F0A00" w:rsidRPr="00B315F3" w:rsidRDefault="003F0A00" w:rsidP="003F0A00">
            <w:pPr>
              <w:pStyle w:val="ListParagraph"/>
              <w:numPr>
                <w:ilvl w:val="0"/>
                <w:numId w:val="33"/>
              </w:numPr>
              <w:rPr>
                <w:lang w:eastAsia="en-AU"/>
              </w:rPr>
            </w:pPr>
            <w:r w:rsidRPr="00B315F3">
              <w:rPr>
                <w:lang w:eastAsia="en-AU"/>
              </w:rPr>
              <w:t>for non-attendance at a Provider Appointment—the same Business Day as the missed Appointment</w:t>
            </w:r>
          </w:p>
          <w:p w:rsidR="003F0A00" w:rsidRPr="00B315F3" w:rsidRDefault="002B56C5" w:rsidP="003F0A00">
            <w:pPr>
              <w:pStyle w:val="ListParagraph"/>
              <w:numPr>
                <w:ilvl w:val="0"/>
                <w:numId w:val="33"/>
              </w:numPr>
              <w:rPr>
                <w:lang w:eastAsia="en-AU"/>
              </w:rPr>
            </w:pPr>
            <w:r>
              <w:rPr>
                <w:lang w:eastAsia="en-AU"/>
              </w:rPr>
              <w:t>for non-attendance at an a</w:t>
            </w:r>
            <w:r w:rsidR="003F0A00" w:rsidRPr="00B315F3">
              <w:rPr>
                <w:lang w:eastAsia="en-AU"/>
              </w:rPr>
              <w:t>ctivity or job interview—within 10 Business Days of the event</w:t>
            </w:r>
          </w:p>
          <w:p w:rsidR="003F0A00" w:rsidRPr="00B315F3" w:rsidRDefault="003F0A00" w:rsidP="003F0A00">
            <w:pPr>
              <w:pStyle w:val="ListParagraph"/>
              <w:numPr>
                <w:ilvl w:val="0"/>
                <w:numId w:val="33"/>
              </w:numPr>
              <w:rPr>
                <w:lang w:eastAsia="en-AU"/>
              </w:rPr>
            </w:pPr>
            <w:proofErr w:type="gramStart"/>
            <w:r w:rsidRPr="00B315F3">
              <w:rPr>
                <w:lang w:eastAsia="en-AU"/>
              </w:rPr>
              <w:t>for</w:t>
            </w:r>
            <w:proofErr w:type="gramEnd"/>
            <w:r w:rsidRPr="00B315F3">
              <w:rPr>
                <w:lang w:eastAsia="en-AU"/>
              </w:rPr>
              <w:t xml:space="preserve"> unsatisfactory Job Search Requirement—within 10 Business Days of the Job Search Period end date.</w:t>
            </w:r>
          </w:p>
          <w:p w:rsidR="003F0A00" w:rsidRPr="00B315F3" w:rsidRDefault="003F0A00" w:rsidP="003F0A00">
            <w:pPr>
              <w:rPr>
                <w:lang w:eastAsia="en-AU"/>
              </w:rPr>
            </w:pPr>
            <w:r w:rsidRPr="00B315F3">
              <w:rPr>
                <w:lang w:eastAsia="en-AU"/>
              </w:rPr>
              <w:t xml:space="preserve">If, after considering all relevant factors, the Provider believes that reporting the incident to DHS is </w:t>
            </w:r>
            <w:r w:rsidRPr="00B315F3">
              <w:rPr>
                <w:b/>
                <w:lang w:eastAsia="en-AU"/>
              </w:rPr>
              <w:t>not</w:t>
            </w:r>
            <w:r w:rsidRPr="00B315F3">
              <w:rPr>
                <w:lang w:eastAsia="en-AU"/>
              </w:rPr>
              <w:t xml:space="preserve"> the most appropriate re-engagement strategy to secure the </w:t>
            </w:r>
            <w:r w:rsidR="00B26331">
              <w:rPr>
                <w:lang w:eastAsia="en-AU"/>
              </w:rPr>
              <w:t>Participant’s</w:t>
            </w:r>
            <w:r w:rsidRPr="00B315F3">
              <w:rPr>
                <w:lang w:eastAsia="en-AU"/>
              </w:rPr>
              <w:t xml:space="preserve"> ongoing participation, they </w:t>
            </w:r>
            <w:r w:rsidRPr="00B315F3">
              <w:rPr>
                <w:b/>
                <w:lang w:eastAsia="en-AU"/>
              </w:rPr>
              <w:t>should</w:t>
            </w:r>
            <w:r w:rsidRPr="00B315F3">
              <w:rPr>
                <w:lang w:eastAsia="en-AU"/>
              </w:rPr>
              <w:t xml:space="preserve"> record this decision in the Department’s IT System</w:t>
            </w:r>
            <w:r w:rsidR="00682103" w:rsidRPr="00B315F3">
              <w:rPr>
                <w:lang w:eastAsia="en-AU"/>
              </w:rPr>
              <w:t>s and:</w:t>
            </w:r>
          </w:p>
          <w:p w:rsidR="003F0A00" w:rsidRPr="00B315F3" w:rsidRDefault="003F0A00" w:rsidP="003F0A00">
            <w:pPr>
              <w:pStyle w:val="ListParagraph"/>
              <w:numPr>
                <w:ilvl w:val="0"/>
                <w:numId w:val="32"/>
              </w:numPr>
              <w:rPr>
                <w:lang w:eastAsia="en-AU"/>
              </w:rPr>
            </w:pPr>
            <w:r w:rsidRPr="00B315F3">
              <w:rPr>
                <w:lang w:eastAsia="en-AU"/>
              </w:rPr>
              <w:t>for</w:t>
            </w:r>
            <w:r w:rsidRPr="00B315F3">
              <w:rPr>
                <w:i/>
                <w:lang w:eastAsia="en-AU"/>
              </w:rPr>
              <w:t xml:space="preserve"> Appointments</w:t>
            </w:r>
            <w:r w:rsidRPr="00B315F3">
              <w:rPr>
                <w:lang w:eastAsia="en-AU"/>
              </w:rPr>
              <w:t xml:space="preserve">—where the Appointment is not a Re-engagement Appointment, ensure the </w:t>
            </w:r>
            <w:r w:rsidR="00B26331">
              <w:rPr>
                <w:lang w:eastAsia="en-AU"/>
              </w:rPr>
              <w:t>Participant</w:t>
            </w:r>
            <w:r w:rsidRPr="00B315F3">
              <w:rPr>
                <w:lang w:eastAsia="en-AU"/>
              </w:rPr>
              <w:t xml:space="preserve"> complies at the next available opportunity</w:t>
            </w:r>
          </w:p>
          <w:p w:rsidR="003F0A00" w:rsidRPr="00B315F3" w:rsidRDefault="003F0A00" w:rsidP="003F0A00">
            <w:pPr>
              <w:pStyle w:val="ListParagraph"/>
              <w:numPr>
                <w:ilvl w:val="0"/>
                <w:numId w:val="32"/>
              </w:numPr>
              <w:rPr>
                <w:lang w:eastAsia="en-AU"/>
              </w:rPr>
            </w:pPr>
            <w:r w:rsidRPr="00B315F3">
              <w:rPr>
                <w:lang w:eastAsia="en-AU"/>
              </w:rPr>
              <w:t xml:space="preserve">for </w:t>
            </w:r>
            <w:r w:rsidR="002B56C5">
              <w:rPr>
                <w:i/>
                <w:lang w:eastAsia="en-AU"/>
              </w:rPr>
              <w:t>a</w:t>
            </w:r>
            <w:r w:rsidRPr="00B315F3">
              <w:rPr>
                <w:i/>
                <w:lang w:eastAsia="en-AU"/>
              </w:rPr>
              <w:t>ctivities</w:t>
            </w:r>
            <w:r w:rsidRPr="00B315F3">
              <w:rPr>
                <w:lang w:eastAsia="en-AU"/>
              </w:rPr>
              <w:t xml:space="preserve">—consider if the </w:t>
            </w:r>
            <w:r w:rsidR="00B26331">
              <w:rPr>
                <w:lang w:eastAsia="en-AU"/>
              </w:rPr>
              <w:t>Participant</w:t>
            </w:r>
            <w:r w:rsidRPr="00B315F3">
              <w:rPr>
                <w:lang w:eastAsia="en-AU"/>
              </w:rPr>
              <w:t xml:space="preserve"> </w:t>
            </w:r>
            <w:r w:rsidRPr="00B315F3">
              <w:rPr>
                <w:b/>
                <w:lang w:eastAsia="en-AU"/>
              </w:rPr>
              <w:t>should</w:t>
            </w:r>
            <w:r w:rsidRPr="00B315F3">
              <w:rPr>
                <w:lang w:eastAsia="en-AU"/>
              </w:rPr>
              <w:t xml:space="preserve"> make up time in the activity or continue to participate on</w:t>
            </w:r>
            <w:r w:rsidR="002B56C5">
              <w:rPr>
                <w:lang w:eastAsia="en-AU"/>
              </w:rPr>
              <w:t xml:space="preserve"> the next scheduled day of the a</w:t>
            </w:r>
            <w:r w:rsidRPr="00B315F3">
              <w:rPr>
                <w:lang w:eastAsia="en-AU"/>
              </w:rPr>
              <w:t>ctivity</w:t>
            </w:r>
          </w:p>
          <w:p w:rsidR="000B62BB" w:rsidRPr="00B315F3" w:rsidRDefault="003F0A00" w:rsidP="003F0A00">
            <w:pPr>
              <w:pStyle w:val="ListParagraph"/>
              <w:numPr>
                <w:ilvl w:val="0"/>
                <w:numId w:val="32"/>
              </w:numPr>
            </w:pPr>
            <w:proofErr w:type="gramStart"/>
            <w:r w:rsidRPr="00B315F3">
              <w:t>for</w:t>
            </w:r>
            <w:proofErr w:type="gramEnd"/>
            <w:r w:rsidRPr="00B315F3">
              <w:t xml:space="preserve"> </w:t>
            </w:r>
            <w:r w:rsidRPr="00B315F3">
              <w:rPr>
                <w:i/>
              </w:rPr>
              <w:t>Job Search</w:t>
            </w:r>
            <w:r w:rsidRPr="00B315F3">
              <w:t>—record that discretion has been used, but closely monitor Job Search for the next month.</w:t>
            </w:r>
          </w:p>
        </w:tc>
      </w:tr>
      <w:tr w:rsidR="000B62BB" w:rsidRPr="00B315F3" w:rsidTr="00E06EDE">
        <w:tc>
          <w:tcPr>
            <w:tcW w:w="2943" w:type="dxa"/>
          </w:tcPr>
          <w:p w:rsidR="000B62BB" w:rsidRPr="006214DA" w:rsidRDefault="00682103" w:rsidP="006214DA">
            <w:pPr>
              <w:rPr>
                <w:b/>
              </w:rPr>
            </w:pPr>
            <w:r w:rsidRPr="006214DA">
              <w:rPr>
                <w:b/>
              </w:rPr>
              <w:lastRenderedPageBreak/>
              <w:t xml:space="preserve">Using the job seeker compliance framework for </w:t>
            </w:r>
            <w:r w:rsidR="003622B3" w:rsidRPr="006214DA">
              <w:rPr>
                <w:b/>
                <w:lang w:eastAsia="en-AU"/>
              </w:rPr>
              <w:t>Participant</w:t>
            </w:r>
            <w:r w:rsidR="003622B3" w:rsidRPr="006214DA">
              <w:rPr>
                <w:b/>
              </w:rPr>
              <w:t>s</w:t>
            </w:r>
            <w:r w:rsidRPr="006214DA">
              <w:rPr>
                <w:b/>
              </w:rPr>
              <w:t xml:space="preserve"> with Mutual Obligation Requirements</w:t>
            </w:r>
          </w:p>
        </w:tc>
        <w:tc>
          <w:tcPr>
            <w:tcW w:w="7938" w:type="dxa"/>
          </w:tcPr>
          <w:p w:rsidR="00682103" w:rsidRPr="00B315F3" w:rsidRDefault="00682103" w:rsidP="00682103">
            <w:pPr>
              <w:rPr>
                <w:lang w:eastAsia="en-AU"/>
              </w:rPr>
            </w:pPr>
            <w:r w:rsidRPr="00B315F3">
              <w:rPr>
                <w:lang w:eastAsia="en-AU"/>
              </w:rPr>
              <w:t xml:space="preserve">When reporting non-compliance, Providers </w:t>
            </w:r>
            <w:r w:rsidRPr="00B315F3">
              <w:rPr>
                <w:b/>
                <w:lang w:eastAsia="en-AU"/>
              </w:rPr>
              <w:t>must</w:t>
            </w:r>
            <w:r w:rsidRPr="00B315F3">
              <w:rPr>
                <w:lang w:eastAsia="en-AU"/>
              </w:rPr>
              <w:t xml:space="preserve"> include information relevant to the incident in the report. The following are the types of reports to be submitted for various kinds of non-compliance and the potential consequences of each.  </w:t>
            </w:r>
          </w:p>
          <w:p w:rsidR="00682103" w:rsidRPr="00B315F3" w:rsidRDefault="00682103" w:rsidP="00682103">
            <w:pPr>
              <w:rPr>
                <w:rFonts w:cs="Calibri"/>
                <w:b/>
                <w:bCs/>
                <w:lang w:eastAsia="en-AU"/>
              </w:rPr>
            </w:pPr>
            <w:r w:rsidRPr="00B315F3">
              <w:rPr>
                <w:rFonts w:cs="Calibri"/>
                <w:b/>
                <w:bCs/>
                <w:lang w:eastAsia="en-AU"/>
              </w:rPr>
              <w:t xml:space="preserve">Failure to attend a Provider Appointment </w:t>
            </w:r>
          </w:p>
          <w:p w:rsidR="00682103" w:rsidRPr="00B315F3" w:rsidRDefault="00682103" w:rsidP="00682103">
            <w:pPr>
              <w:pStyle w:val="ListParagraph"/>
              <w:numPr>
                <w:ilvl w:val="0"/>
                <w:numId w:val="35"/>
              </w:numPr>
              <w:rPr>
                <w:rFonts w:cs="Calibri"/>
                <w:bCs/>
                <w:color w:val="000000"/>
                <w:lang w:eastAsia="en-AU"/>
              </w:rPr>
            </w:pPr>
            <w:r w:rsidRPr="00B315F3">
              <w:rPr>
                <w:rFonts w:cs="Calibri"/>
                <w:b/>
                <w:bCs/>
                <w:color w:val="000000"/>
                <w:lang w:eastAsia="en-AU"/>
              </w:rPr>
              <w:t>Non-Attendance Report (NAR)</w:t>
            </w:r>
            <w:r w:rsidRPr="00B315F3">
              <w:rPr>
                <w:rFonts w:cs="Calibri"/>
                <w:bCs/>
                <w:color w:val="000000"/>
                <w:lang w:eastAsia="en-AU"/>
              </w:rPr>
              <w:t xml:space="preserve">—Providers submit this report through the Department’s IT Systems so that a </w:t>
            </w:r>
            <w:r w:rsidR="003622B3" w:rsidRPr="003622B3">
              <w:rPr>
                <w:rFonts w:cs="Calibri"/>
                <w:bCs/>
                <w:color w:val="000000"/>
                <w:lang w:eastAsia="en-AU"/>
              </w:rPr>
              <w:t>Participant</w:t>
            </w:r>
            <w:r w:rsidR="003622B3">
              <w:rPr>
                <w:rFonts w:cs="Calibri"/>
                <w:bCs/>
                <w:color w:val="000000"/>
                <w:lang w:eastAsia="en-AU"/>
              </w:rPr>
              <w:t>’s</w:t>
            </w:r>
            <w:r w:rsidRPr="00B315F3">
              <w:rPr>
                <w:rFonts w:cs="Calibri"/>
                <w:bCs/>
                <w:color w:val="000000"/>
                <w:lang w:eastAsia="en-AU"/>
              </w:rPr>
              <w:t xml:space="preserve"> income support payment is suspended until they attend their next Appointment </w:t>
            </w:r>
          </w:p>
          <w:p w:rsidR="00682103" w:rsidRPr="00B315F3" w:rsidRDefault="00682103" w:rsidP="00682103">
            <w:pPr>
              <w:pStyle w:val="ListParagraph"/>
              <w:numPr>
                <w:ilvl w:val="0"/>
                <w:numId w:val="35"/>
              </w:numPr>
              <w:rPr>
                <w:rFonts w:cs="Calibri"/>
                <w:bCs/>
                <w:color w:val="000000"/>
                <w:lang w:eastAsia="en-AU"/>
              </w:rPr>
            </w:pPr>
            <w:r w:rsidRPr="00B315F3">
              <w:rPr>
                <w:rFonts w:cs="Calibri"/>
                <w:b/>
                <w:bCs/>
                <w:color w:val="000000"/>
                <w:lang w:eastAsia="en-AU"/>
              </w:rPr>
              <w:t>Provider Appointment Report (PAR)</w:t>
            </w:r>
            <w:r w:rsidRPr="00B315F3">
              <w:rPr>
                <w:rFonts w:cs="Calibri"/>
                <w:bCs/>
                <w:color w:val="000000"/>
                <w:lang w:eastAsia="en-AU"/>
              </w:rPr>
              <w:t xml:space="preserve">—Providers submit this report when they want to recommend to DHS that a financial penalty </w:t>
            </w:r>
            <w:r w:rsidRPr="00B315F3">
              <w:rPr>
                <w:rFonts w:cs="Calibri"/>
                <w:b/>
                <w:bCs/>
                <w:color w:val="000000"/>
                <w:lang w:eastAsia="en-AU"/>
              </w:rPr>
              <w:t>should</w:t>
            </w:r>
            <w:r w:rsidRPr="00B315F3">
              <w:rPr>
                <w:rFonts w:cs="Calibri"/>
                <w:bCs/>
                <w:color w:val="000000"/>
                <w:lang w:eastAsia="en-AU"/>
              </w:rPr>
              <w:t xml:space="preserve"> be applied in relation to the </w:t>
            </w:r>
            <w:r w:rsidR="003622B3" w:rsidRPr="003622B3">
              <w:rPr>
                <w:rFonts w:cs="Calibri"/>
                <w:bCs/>
                <w:color w:val="000000"/>
                <w:lang w:eastAsia="en-AU"/>
              </w:rPr>
              <w:t>Participant</w:t>
            </w:r>
            <w:r w:rsidR="003622B3">
              <w:rPr>
                <w:rFonts w:cs="Calibri"/>
                <w:bCs/>
                <w:color w:val="000000"/>
                <w:lang w:eastAsia="en-AU"/>
              </w:rPr>
              <w:t>’s</w:t>
            </w:r>
            <w:r w:rsidRPr="00B315F3">
              <w:rPr>
                <w:rFonts w:cs="Calibri"/>
                <w:bCs/>
                <w:color w:val="000000"/>
                <w:lang w:eastAsia="en-AU"/>
              </w:rPr>
              <w:t xml:space="preserve"> non-attendance and suspend a </w:t>
            </w:r>
            <w:r w:rsidR="003622B3" w:rsidRPr="003622B3">
              <w:rPr>
                <w:rFonts w:cs="Calibri"/>
                <w:bCs/>
                <w:color w:val="000000"/>
                <w:lang w:eastAsia="en-AU"/>
              </w:rPr>
              <w:t>Participant</w:t>
            </w:r>
            <w:r w:rsidR="003622B3">
              <w:rPr>
                <w:rFonts w:cs="Calibri"/>
                <w:bCs/>
                <w:color w:val="000000"/>
                <w:lang w:eastAsia="en-AU"/>
              </w:rPr>
              <w:t>’s</w:t>
            </w:r>
            <w:r w:rsidRPr="00B315F3">
              <w:rPr>
                <w:rFonts w:cs="Calibri"/>
                <w:bCs/>
                <w:color w:val="000000"/>
                <w:lang w:eastAsia="en-AU"/>
              </w:rPr>
              <w:t xml:space="preserve"> income support payment until they attend their next Appointment. A PAR can only be submitted after contact has taken place between the Provider and </w:t>
            </w:r>
            <w:r w:rsidR="003622B3" w:rsidRPr="003622B3">
              <w:rPr>
                <w:rFonts w:cs="Calibri"/>
                <w:bCs/>
                <w:color w:val="000000"/>
                <w:lang w:eastAsia="en-AU"/>
              </w:rPr>
              <w:t>Participant</w:t>
            </w:r>
            <w:r w:rsidRPr="00B315F3">
              <w:rPr>
                <w:rFonts w:cs="Calibri"/>
                <w:bCs/>
                <w:color w:val="000000"/>
                <w:lang w:eastAsia="en-AU"/>
              </w:rPr>
              <w:t xml:space="preserve"> to confirm Reasonable Excuse does not exist.</w:t>
            </w:r>
          </w:p>
          <w:p w:rsidR="00682103" w:rsidRPr="00B315F3" w:rsidRDefault="00682103" w:rsidP="00682103">
            <w:pPr>
              <w:rPr>
                <w:rFonts w:cs="Calibri"/>
                <w:bCs/>
                <w:color w:val="000000"/>
                <w:lang w:eastAsia="en-AU"/>
              </w:rPr>
            </w:pPr>
            <w:r w:rsidRPr="00B315F3">
              <w:rPr>
                <w:rFonts w:cs="Calibri"/>
                <w:bCs/>
                <w:color w:val="000000"/>
                <w:lang w:eastAsia="en-AU"/>
              </w:rPr>
              <w:t xml:space="preserve">Where DHS decides that a penalty </w:t>
            </w:r>
            <w:r w:rsidRPr="00B315F3">
              <w:rPr>
                <w:rFonts w:cs="Calibri"/>
                <w:b/>
                <w:bCs/>
                <w:color w:val="000000"/>
                <w:lang w:eastAsia="en-AU"/>
              </w:rPr>
              <w:t>should</w:t>
            </w:r>
            <w:r w:rsidRPr="00B315F3">
              <w:rPr>
                <w:rFonts w:cs="Calibri"/>
                <w:bCs/>
                <w:color w:val="000000"/>
                <w:lang w:eastAsia="en-AU"/>
              </w:rPr>
              <w:t xml:space="preserve"> be applied, the </w:t>
            </w:r>
            <w:r w:rsidR="003622B3" w:rsidRPr="003622B3">
              <w:rPr>
                <w:rFonts w:cs="Calibri"/>
                <w:bCs/>
                <w:color w:val="000000"/>
                <w:lang w:eastAsia="en-AU"/>
              </w:rPr>
              <w:t>Participant</w:t>
            </w:r>
            <w:r w:rsidRPr="00B315F3">
              <w:rPr>
                <w:rFonts w:cs="Calibri"/>
                <w:bCs/>
                <w:color w:val="000000"/>
                <w:lang w:eastAsia="en-AU"/>
              </w:rPr>
              <w:t xml:space="preserve"> will lose a day’s income support payment for each Business Day from the date they were notified of the payment suspension until they do attend a Re-engagement Appointment</w:t>
            </w:r>
            <w:r w:rsidR="00885655" w:rsidRPr="00B315F3">
              <w:rPr>
                <w:rFonts w:cs="Calibri"/>
                <w:bCs/>
                <w:color w:val="000000"/>
                <w:lang w:eastAsia="en-AU"/>
              </w:rPr>
              <w:t>.</w:t>
            </w:r>
          </w:p>
          <w:p w:rsidR="00682103" w:rsidRPr="00B315F3" w:rsidRDefault="00682103" w:rsidP="00682103">
            <w:pPr>
              <w:rPr>
                <w:rFonts w:cs="Calibri"/>
                <w:b/>
                <w:bCs/>
                <w:lang w:eastAsia="en-AU"/>
              </w:rPr>
            </w:pPr>
            <w:r w:rsidRPr="00B315F3">
              <w:rPr>
                <w:rFonts w:cs="Calibri"/>
                <w:b/>
                <w:bCs/>
                <w:lang w:eastAsia="en-AU"/>
              </w:rPr>
              <w:t>Connection Failure Participation Reports (PRs)</w:t>
            </w:r>
          </w:p>
          <w:p w:rsidR="00682103" w:rsidRPr="00B315F3" w:rsidRDefault="00682103" w:rsidP="00682103">
            <w:pPr>
              <w:pStyle w:val="ListParagraph"/>
              <w:numPr>
                <w:ilvl w:val="0"/>
                <w:numId w:val="36"/>
              </w:numPr>
              <w:rPr>
                <w:rFonts w:cs="Calibri"/>
                <w:iCs/>
                <w:lang w:eastAsia="en-AU"/>
              </w:rPr>
            </w:pPr>
            <w:r w:rsidRPr="00B315F3">
              <w:rPr>
                <w:rFonts w:cs="Calibri"/>
                <w:b/>
                <w:bCs/>
                <w:color w:val="000000"/>
                <w:lang w:eastAsia="en-AU"/>
              </w:rPr>
              <w:t xml:space="preserve">Failure to attend Appointment (with an organisation other than the Provider) </w:t>
            </w:r>
            <w:r w:rsidRPr="00B315F3">
              <w:rPr>
                <w:rFonts w:cs="Calibri"/>
                <w:b/>
                <w:bCs/>
                <w:lang w:eastAsia="en-AU"/>
              </w:rPr>
              <w:t>without a</w:t>
            </w:r>
            <w:r w:rsidRPr="00B315F3">
              <w:rPr>
                <w:rFonts w:cs="Calibri"/>
                <w:b/>
                <w:iCs/>
                <w:lang w:eastAsia="en-AU"/>
              </w:rPr>
              <w:t xml:space="preserve"> Valid Reason or Reasonable Excuse (CFAO PR)</w:t>
            </w:r>
            <w:r w:rsidRPr="00B315F3">
              <w:rPr>
                <w:rFonts w:cs="Calibri"/>
                <w:iCs/>
                <w:lang w:eastAsia="en-AU"/>
              </w:rPr>
              <w:t>—</w:t>
            </w:r>
            <w:r w:rsidRPr="00B315F3">
              <w:rPr>
                <w:rFonts w:cs="Calibri"/>
                <w:iCs/>
                <w:color w:val="000000"/>
                <w:lang w:eastAsia="en-AU"/>
              </w:rPr>
              <w:t>When this report is submitted, DHS</w:t>
            </w:r>
            <w:r w:rsidRPr="00B315F3">
              <w:rPr>
                <w:rFonts w:cs="Calibri"/>
                <w:iCs/>
                <w:lang w:eastAsia="en-AU"/>
              </w:rPr>
              <w:t xml:space="preserve"> will suspend the </w:t>
            </w:r>
            <w:r w:rsidR="003622B3" w:rsidRPr="003622B3">
              <w:rPr>
                <w:rFonts w:cs="Calibri"/>
                <w:iCs/>
                <w:lang w:eastAsia="en-AU"/>
              </w:rPr>
              <w:t>Participant</w:t>
            </w:r>
            <w:r w:rsidR="003622B3">
              <w:rPr>
                <w:rFonts w:cs="Calibri"/>
                <w:iCs/>
                <w:lang w:eastAsia="en-AU"/>
              </w:rPr>
              <w:t>’s</w:t>
            </w:r>
            <w:r w:rsidRPr="00B315F3">
              <w:rPr>
                <w:rFonts w:cs="Calibri"/>
                <w:iCs/>
                <w:lang w:eastAsia="en-AU"/>
              </w:rPr>
              <w:t xml:space="preserve"> income support payment and set a Reconnection</w:t>
            </w:r>
            <w:r w:rsidRPr="00B315F3">
              <w:rPr>
                <w:rFonts w:cs="Calibri"/>
                <w:b/>
                <w:iCs/>
                <w:lang w:eastAsia="en-AU"/>
              </w:rPr>
              <w:t xml:space="preserve"> </w:t>
            </w:r>
            <w:r w:rsidRPr="00B315F3">
              <w:rPr>
                <w:rFonts w:cs="Calibri"/>
                <w:iCs/>
                <w:lang w:eastAsia="en-AU"/>
              </w:rPr>
              <w:t xml:space="preserve">Requirement in the </w:t>
            </w:r>
            <w:r w:rsidRPr="00B315F3">
              <w:rPr>
                <w:rFonts w:cs="Calibri"/>
                <w:iCs/>
                <w:lang w:eastAsia="en-AU"/>
              </w:rPr>
              <w:lastRenderedPageBreak/>
              <w:t xml:space="preserve">Department’s IT Systems (through booking a re-engagement Appointment with their Provider). Agreement to attend this Appointment will lift the payment suspension. If the subsequent Appointment is not attended, this may lead to a financial penalty of one day’s income support payment for every day the </w:t>
            </w:r>
            <w:r w:rsidR="003622B3" w:rsidRPr="003622B3">
              <w:rPr>
                <w:rFonts w:cs="Calibri"/>
                <w:iCs/>
                <w:lang w:eastAsia="en-AU"/>
              </w:rPr>
              <w:t>Participant</w:t>
            </w:r>
            <w:r w:rsidRPr="00B315F3">
              <w:rPr>
                <w:rFonts w:cs="Calibri"/>
                <w:iCs/>
                <w:lang w:eastAsia="en-AU"/>
              </w:rPr>
              <w:t xml:space="preserve"> doe</w:t>
            </w:r>
            <w:r w:rsidR="00885655" w:rsidRPr="00B315F3">
              <w:rPr>
                <w:rFonts w:cs="Calibri"/>
                <w:iCs/>
                <w:lang w:eastAsia="en-AU"/>
              </w:rPr>
              <w:t>s not attend</w:t>
            </w:r>
          </w:p>
          <w:p w:rsidR="00682103" w:rsidRPr="00B315F3" w:rsidRDefault="00682103" w:rsidP="00682103">
            <w:pPr>
              <w:pStyle w:val="ListParagraph"/>
              <w:numPr>
                <w:ilvl w:val="0"/>
                <w:numId w:val="36"/>
              </w:numPr>
              <w:rPr>
                <w:rFonts w:cs="Calibri"/>
                <w:bCs/>
                <w:color w:val="000000"/>
                <w:lang w:eastAsia="en-AU"/>
              </w:rPr>
            </w:pPr>
            <w:r w:rsidRPr="00B315F3">
              <w:rPr>
                <w:rFonts w:cs="Calibri"/>
                <w:b/>
                <w:bCs/>
                <w:color w:val="000000"/>
                <w:lang w:eastAsia="en-AU"/>
              </w:rPr>
              <w:t>Failure to enter into or vary a Job Plan (CFEP PR)</w:t>
            </w:r>
            <w:r w:rsidRPr="00B315F3">
              <w:rPr>
                <w:rFonts w:cs="Calibri"/>
                <w:bCs/>
                <w:color w:val="000000"/>
                <w:lang w:eastAsia="en-AU"/>
              </w:rPr>
              <w:t xml:space="preserve">—This is submitted when the </w:t>
            </w:r>
            <w:r w:rsidR="003622B3" w:rsidRPr="003622B3">
              <w:rPr>
                <w:rFonts w:cs="Calibri"/>
                <w:bCs/>
                <w:color w:val="000000"/>
                <w:lang w:eastAsia="en-AU"/>
              </w:rPr>
              <w:t>Participant</w:t>
            </w:r>
            <w:r w:rsidRPr="00B315F3">
              <w:rPr>
                <w:rFonts w:cs="Calibri"/>
                <w:bCs/>
                <w:color w:val="000000"/>
                <w:lang w:eastAsia="en-AU"/>
              </w:rPr>
              <w:t xml:space="preserve"> attended their Appointment but did not enter into a Job Plan or did not agree to their Job Plan on the Australian JobSearch website in the required timeframe. DHS will investigate the incident with the </w:t>
            </w:r>
            <w:r w:rsidR="00F42E23" w:rsidRPr="00F42E23">
              <w:rPr>
                <w:rFonts w:cs="Calibri"/>
                <w:bCs/>
                <w:color w:val="000000"/>
                <w:lang w:eastAsia="en-AU"/>
              </w:rPr>
              <w:t>Participant</w:t>
            </w:r>
            <w:r w:rsidRPr="00B315F3">
              <w:rPr>
                <w:rFonts w:cs="Calibri"/>
                <w:bCs/>
                <w:color w:val="000000"/>
                <w:lang w:eastAsia="en-AU"/>
              </w:rPr>
              <w:t xml:space="preserve"> and will book another Appointment with their Provider for them to sign the Job Plan. If the first failure is applied by DHS and the </w:t>
            </w:r>
            <w:r w:rsidR="00F42E23" w:rsidRPr="00F42E23">
              <w:rPr>
                <w:rFonts w:cs="Calibri"/>
                <w:bCs/>
                <w:color w:val="000000"/>
                <w:lang w:eastAsia="en-AU"/>
              </w:rPr>
              <w:t>Participant</w:t>
            </w:r>
            <w:r w:rsidRPr="00B315F3">
              <w:rPr>
                <w:rFonts w:cs="Calibri"/>
                <w:bCs/>
                <w:color w:val="000000"/>
                <w:lang w:eastAsia="en-AU"/>
              </w:rPr>
              <w:t xml:space="preserve"> again refuses to enter into/vary their Job Plan, an ongoing failure to meet a condition of their payment may exist. If DHS confirms this, the </w:t>
            </w:r>
            <w:r w:rsidR="00F42E23" w:rsidRPr="00F42E23">
              <w:rPr>
                <w:rFonts w:cs="Calibri"/>
                <w:bCs/>
                <w:color w:val="000000"/>
                <w:lang w:eastAsia="en-AU"/>
              </w:rPr>
              <w:t>Participant</w:t>
            </w:r>
            <w:r w:rsidR="00F42E23">
              <w:rPr>
                <w:rFonts w:cs="Calibri"/>
                <w:bCs/>
                <w:color w:val="000000"/>
                <w:lang w:eastAsia="en-AU"/>
              </w:rPr>
              <w:t>’s</w:t>
            </w:r>
            <w:r w:rsidRPr="00B315F3">
              <w:rPr>
                <w:rFonts w:cs="Calibri"/>
                <w:bCs/>
                <w:color w:val="000000"/>
                <w:lang w:eastAsia="en-AU"/>
              </w:rPr>
              <w:t xml:space="preserve"> payment may be cancelled from </w:t>
            </w:r>
            <w:r w:rsidR="00885655" w:rsidRPr="00B315F3">
              <w:rPr>
                <w:rFonts w:cs="Calibri"/>
                <w:bCs/>
                <w:color w:val="000000"/>
                <w:lang w:eastAsia="en-AU"/>
              </w:rPr>
              <w:t>the date of the second refusal</w:t>
            </w:r>
          </w:p>
          <w:p w:rsidR="00682103" w:rsidRPr="00B315F3" w:rsidRDefault="00682103" w:rsidP="00682103">
            <w:pPr>
              <w:pStyle w:val="ListParagraph"/>
              <w:numPr>
                <w:ilvl w:val="0"/>
                <w:numId w:val="36"/>
              </w:numPr>
              <w:rPr>
                <w:rFonts w:cs="Calibri"/>
                <w:bCs/>
                <w:color w:val="000000"/>
                <w:lang w:eastAsia="en-AU"/>
              </w:rPr>
            </w:pPr>
            <w:r w:rsidRPr="00B315F3">
              <w:rPr>
                <w:b/>
                <w:lang w:eastAsia="en-AU"/>
              </w:rPr>
              <w:t>Failure to meet Job Search Requirements (CFJR PR)</w:t>
            </w:r>
            <w:r w:rsidRPr="00B315F3">
              <w:rPr>
                <w:rFonts w:cs="Calibri"/>
                <w:bCs/>
                <w:color w:val="000000"/>
                <w:lang w:eastAsia="en-AU"/>
              </w:rPr>
              <w:t xml:space="preserve">—Providers submit this report when they have assessed and recorded that the </w:t>
            </w:r>
            <w:r w:rsidR="00F42E23" w:rsidRPr="00F42E23">
              <w:rPr>
                <w:rFonts w:cs="Calibri"/>
                <w:bCs/>
                <w:color w:val="000000"/>
                <w:lang w:eastAsia="en-AU"/>
              </w:rPr>
              <w:t>Participant</w:t>
            </w:r>
            <w:r w:rsidR="00F42E23">
              <w:rPr>
                <w:rFonts w:cs="Calibri"/>
                <w:bCs/>
                <w:color w:val="000000"/>
                <w:lang w:eastAsia="en-AU"/>
              </w:rPr>
              <w:t>’s</w:t>
            </w:r>
            <w:r w:rsidRPr="00B315F3">
              <w:rPr>
                <w:rFonts w:cs="Calibri"/>
                <w:bCs/>
                <w:color w:val="000000"/>
                <w:lang w:eastAsia="en-AU"/>
              </w:rPr>
              <w:t xml:space="preserve"> Job Search efforts are unsatisfactory for the Job Search Period. DHS will investigate the PR and if applied, the </w:t>
            </w:r>
            <w:r w:rsidR="00F42E23" w:rsidRPr="00F42E23">
              <w:rPr>
                <w:rFonts w:cs="Calibri"/>
                <w:bCs/>
                <w:color w:val="000000"/>
                <w:lang w:eastAsia="en-AU"/>
              </w:rPr>
              <w:t>Participant</w:t>
            </w:r>
            <w:r w:rsidRPr="00B315F3">
              <w:rPr>
                <w:rFonts w:cs="Calibri"/>
                <w:bCs/>
                <w:color w:val="000000"/>
                <w:lang w:eastAsia="en-AU"/>
              </w:rPr>
              <w:t xml:space="preserve"> may need to complete a Job Seeker Diary for up to 12 weeks and then return that to DHS</w:t>
            </w:r>
            <w:r w:rsidR="00885655" w:rsidRPr="00B315F3">
              <w:rPr>
                <w:rFonts w:cs="Calibri"/>
                <w:bCs/>
                <w:color w:val="000000"/>
                <w:lang w:eastAsia="en-AU"/>
              </w:rPr>
              <w:t>.</w:t>
            </w:r>
          </w:p>
          <w:p w:rsidR="00682103" w:rsidRPr="00B315F3" w:rsidRDefault="00682103" w:rsidP="00682103">
            <w:pPr>
              <w:rPr>
                <w:rFonts w:cs="Calibri"/>
                <w:b/>
                <w:bCs/>
                <w:lang w:eastAsia="en-AU"/>
              </w:rPr>
            </w:pPr>
            <w:r w:rsidRPr="00B315F3">
              <w:rPr>
                <w:rFonts w:cs="Calibri"/>
                <w:b/>
                <w:bCs/>
                <w:lang w:eastAsia="en-AU"/>
              </w:rPr>
              <w:t>No Show, No Pay (NSNP) PRs</w:t>
            </w:r>
          </w:p>
          <w:p w:rsidR="00682103" w:rsidRPr="00B315F3" w:rsidRDefault="00682103" w:rsidP="00682103">
            <w:pPr>
              <w:pStyle w:val="ListParagraph"/>
              <w:numPr>
                <w:ilvl w:val="0"/>
                <w:numId w:val="37"/>
              </w:numPr>
              <w:rPr>
                <w:rFonts w:cs="Calibri"/>
                <w:b/>
                <w:bCs/>
                <w:lang w:eastAsia="en-AU"/>
              </w:rPr>
            </w:pPr>
            <w:r w:rsidRPr="00B315F3">
              <w:rPr>
                <w:rFonts w:cs="Calibri"/>
                <w:b/>
                <w:bCs/>
                <w:lang w:eastAsia="en-AU"/>
              </w:rPr>
              <w:t>Fail</w:t>
            </w:r>
            <w:r w:rsidR="002B56C5">
              <w:rPr>
                <w:rFonts w:cs="Calibri"/>
                <w:b/>
                <w:bCs/>
                <w:lang w:eastAsia="en-AU"/>
              </w:rPr>
              <w:t>ure to attend an a</w:t>
            </w:r>
            <w:r w:rsidRPr="00B315F3">
              <w:rPr>
                <w:rFonts w:cs="Calibri"/>
                <w:b/>
                <w:bCs/>
                <w:lang w:eastAsia="en-AU"/>
              </w:rPr>
              <w:t>ctivity recorded in the Job Plan without a Valid Reason or Reasonable Excuse (NFAA PR)</w:t>
            </w:r>
            <w:r w:rsidRPr="00B315F3">
              <w:rPr>
                <w:rFonts w:cs="Calibri"/>
                <w:bCs/>
                <w:lang w:eastAsia="en-AU"/>
              </w:rPr>
              <w:t xml:space="preserve">—Providers can also indicate in the PR that the </w:t>
            </w:r>
            <w:r w:rsidR="0095597E" w:rsidRPr="0095597E">
              <w:rPr>
                <w:rFonts w:cs="Calibri"/>
                <w:bCs/>
                <w:lang w:eastAsia="en-AU"/>
              </w:rPr>
              <w:t>Participant</w:t>
            </w:r>
            <w:r w:rsidRPr="00B315F3">
              <w:rPr>
                <w:rFonts w:cs="Calibri"/>
                <w:bCs/>
                <w:lang w:eastAsia="en-AU"/>
              </w:rPr>
              <w:t xml:space="preserve"> has disengaged from their activity. When this is done, DHS will suspend the </w:t>
            </w:r>
            <w:r w:rsidR="0095597E" w:rsidRPr="0095597E">
              <w:rPr>
                <w:rFonts w:cs="Calibri"/>
                <w:bCs/>
                <w:lang w:eastAsia="en-AU"/>
              </w:rPr>
              <w:t>Participant</w:t>
            </w:r>
            <w:r w:rsidR="0095597E">
              <w:rPr>
                <w:rFonts w:cs="Calibri"/>
                <w:bCs/>
                <w:lang w:eastAsia="en-AU"/>
              </w:rPr>
              <w:t>’s</w:t>
            </w:r>
            <w:r w:rsidRPr="00B315F3">
              <w:rPr>
                <w:rFonts w:cs="Calibri"/>
                <w:bCs/>
                <w:lang w:eastAsia="en-AU"/>
              </w:rPr>
              <w:t xml:space="preserve"> income support payment until the </w:t>
            </w:r>
            <w:r w:rsidR="0095597E" w:rsidRPr="0095597E">
              <w:rPr>
                <w:rFonts w:cs="Calibri"/>
                <w:bCs/>
                <w:lang w:eastAsia="en-AU"/>
              </w:rPr>
              <w:t>Participant</w:t>
            </w:r>
            <w:r w:rsidRPr="00B315F3">
              <w:rPr>
                <w:rFonts w:cs="Calibri"/>
                <w:bCs/>
                <w:lang w:eastAsia="en-AU"/>
              </w:rPr>
              <w:t xml:space="preserve"> agrees to attend a re</w:t>
            </w:r>
            <w:r w:rsidRPr="00B315F3">
              <w:rPr>
                <w:rFonts w:cs="Calibri"/>
                <w:bCs/>
                <w:lang w:eastAsia="en-AU"/>
              </w:rPr>
              <w:noBreakHyphen/>
              <w:t>engagement Appointment and set a Reconnection</w:t>
            </w:r>
            <w:r w:rsidRPr="00B315F3">
              <w:rPr>
                <w:rFonts w:cs="Calibri"/>
                <w:b/>
                <w:bCs/>
                <w:lang w:eastAsia="en-AU"/>
              </w:rPr>
              <w:t xml:space="preserve"> </w:t>
            </w:r>
            <w:r w:rsidRPr="00B315F3">
              <w:rPr>
                <w:rFonts w:cs="Calibri"/>
                <w:bCs/>
                <w:lang w:eastAsia="en-AU"/>
              </w:rPr>
              <w:t xml:space="preserve">Requirement through booking this Appointment. Where the </w:t>
            </w:r>
            <w:r w:rsidR="0095597E" w:rsidRPr="0095597E">
              <w:rPr>
                <w:rFonts w:cs="Calibri"/>
                <w:bCs/>
                <w:lang w:eastAsia="en-AU"/>
              </w:rPr>
              <w:t>Participant</w:t>
            </w:r>
            <w:r w:rsidRPr="00B315F3">
              <w:rPr>
                <w:rFonts w:cs="Calibri"/>
                <w:bCs/>
                <w:lang w:eastAsia="en-AU"/>
              </w:rPr>
              <w:t xml:space="preserve"> fails to meet this Reconnection Require</w:t>
            </w:r>
            <w:r w:rsidR="002B56C5">
              <w:rPr>
                <w:rFonts w:cs="Calibri"/>
                <w:bCs/>
                <w:lang w:eastAsia="en-AU"/>
              </w:rPr>
              <w:t xml:space="preserve">ment, the </w:t>
            </w:r>
            <w:r w:rsidR="0095597E" w:rsidRPr="0095597E">
              <w:rPr>
                <w:rFonts w:cs="Calibri"/>
                <w:bCs/>
                <w:lang w:eastAsia="en-AU"/>
              </w:rPr>
              <w:t>Participant</w:t>
            </w:r>
            <w:r w:rsidR="002B56C5">
              <w:rPr>
                <w:rFonts w:cs="Calibri"/>
                <w:bCs/>
                <w:lang w:eastAsia="en-AU"/>
              </w:rPr>
              <w:t xml:space="preserve"> may lose</w:t>
            </w:r>
            <w:r w:rsidRPr="00B315F3">
              <w:rPr>
                <w:rFonts w:cs="Calibri"/>
                <w:bCs/>
                <w:lang w:eastAsia="en-AU"/>
              </w:rPr>
              <w:t xml:space="preserve"> a Busines</w:t>
            </w:r>
            <w:r w:rsidR="002B56C5">
              <w:rPr>
                <w:rFonts w:cs="Calibri"/>
                <w:bCs/>
                <w:lang w:eastAsia="en-AU"/>
              </w:rPr>
              <w:t>s Day’s income support payment</w:t>
            </w:r>
            <w:r w:rsidRPr="00B315F3">
              <w:rPr>
                <w:rFonts w:cs="Calibri"/>
                <w:bCs/>
                <w:lang w:eastAsia="en-AU"/>
              </w:rPr>
              <w:t xml:space="preserve"> (</w:t>
            </w:r>
            <w:r w:rsidR="002B56C5">
              <w:rPr>
                <w:rFonts w:cs="Calibri"/>
                <w:bCs/>
                <w:lang w:eastAsia="en-AU"/>
              </w:rPr>
              <w:t>i.e.</w:t>
            </w:r>
            <w:r w:rsidRPr="00B315F3">
              <w:rPr>
                <w:rFonts w:cs="Calibri"/>
                <w:bCs/>
                <w:lang w:eastAsia="en-AU"/>
              </w:rPr>
              <w:t xml:space="preserve">one-tenth of the </w:t>
            </w:r>
            <w:r w:rsidR="0095597E" w:rsidRPr="0095597E">
              <w:rPr>
                <w:rFonts w:cs="Calibri"/>
                <w:bCs/>
                <w:lang w:eastAsia="en-AU"/>
              </w:rPr>
              <w:t>Participant</w:t>
            </w:r>
            <w:r w:rsidR="0095597E">
              <w:rPr>
                <w:rFonts w:cs="Calibri"/>
                <w:bCs/>
                <w:lang w:eastAsia="en-AU"/>
              </w:rPr>
              <w:t>’s</w:t>
            </w:r>
            <w:r w:rsidRPr="00B315F3">
              <w:rPr>
                <w:rFonts w:cs="Calibri"/>
                <w:bCs/>
                <w:lang w:eastAsia="en-AU"/>
              </w:rPr>
              <w:t xml:space="preserve"> fortnightly income support payment) for every day until they do attend their Appointment</w:t>
            </w:r>
          </w:p>
          <w:p w:rsidR="00682103" w:rsidRPr="00B315F3" w:rsidRDefault="00682103" w:rsidP="00682103">
            <w:pPr>
              <w:pStyle w:val="ListParagraph"/>
              <w:numPr>
                <w:ilvl w:val="0"/>
                <w:numId w:val="37"/>
              </w:numPr>
              <w:rPr>
                <w:rFonts w:cs="Arial"/>
                <w:b/>
                <w:lang w:eastAsia="en-AU"/>
              </w:rPr>
            </w:pPr>
            <w:r w:rsidRPr="00B315F3">
              <w:rPr>
                <w:rFonts w:cs="Calibri"/>
                <w:b/>
                <w:bCs/>
                <w:lang w:eastAsia="en-AU"/>
              </w:rPr>
              <w:t>Failure</w:t>
            </w:r>
            <w:r w:rsidR="002B56C5">
              <w:rPr>
                <w:rFonts w:cs="Calibri"/>
                <w:b/>
                <w:bCs/>
                <w:lang w:eastAsia="en-AU"/>
              </w:rPr>
              <w:t xml:space="preserve"> to behave appropriately in an a</w:t>
            </w:r>
            <w:r w:rsidRPr="00B315F3">
              <w:rPr>
                <w:rFonts w:cs="Calibri"/>
                <w:b/>
                <w:bCs/>
                <w:lang w:eastAsia="en-AU"/>
              </w:rPr>
              <w:t xml:space="preserve">ctivity recorded </w:t>
            </w:r>
            <w:r w:rsidRPr="00B315F3">
              <w:rPr>
                <w:rFonts w:cs="Calibri"/>
                <w:b/>
                <w:lang w:eastAsia="en-AU"/>
              </w:rPr>
              <w:t>in their Job Plan (NFBA PR)</w:t>
            </w:r>
          </w:p>
          <w:p w:rsidR="00682103" w:rsidRPr="00B315F3" w:rsidRDefault="00682103" w:rsidP="00682103">
            <w:pPr>
              <w:pStyle w:val="ListParagraph"/>
              <w:numPr>
                <w:ilvl w:val="0"/>
                <w:numId w:val="37"/>
              </w:numPr>
              <w:rPr>
                <w:rFonts w:cs="Calibri"/>
                <w:b/>
                <w:bCs/>
                <w:lang w:eastAsia="en-AU"/>
              </w:rPr>
            </w:pPr>
            <w:r w:rsidRPr="00B315F3">
              <w:rPr>
                <w:rFonts w:cs="Calibri"/>
                <w:b/>
                <w:bCs/>
                <w:lang w:eastAsia="en-AU"/>
              </w:rPr>
              <w:t>Failure to attend a job interview without a Valid Reason or Reasonable Excuse (NFJI PR)</w:t>
            </w:r>
          </w:p>
          <w:p w:rsidR="00682103" w:rsidRPr="00B315F3" w:rsidRDefault="00682103" w:rsidP="00682103">
            <w:pPr>
              <w:pStyle w:val="ListParagraph"/>
              <w:numPr>
                <w:ilvl w:val="0"/>
                <w:numId w:val="37"/>
              </w:numPr>
              <w:rPr>
                <w:rFonts w:cs="Calibri"/>
                <w:b/>
                <w:bCs/>
                <w:lang w:eastAsia="en-AU"/>
              </w:rPr>
            </w:pPr>
            <w:r w:rsidRPr="00B315F3">
              <w:rPr>
                <w:rFonts w:cs="Calibri"/>
                <w:b/>
                <w:bCs/>
                <w:lang w:eastAsia="en-AU"/>
              </w:rPr>
              <w:t>Failure to behave appropriately at a job interview (NFIJ PR).</w:t>
            </w:r>
          </w:p>
          <w:p w:rsidR="00682103" w:rsidRPr="00B315F3" w:rsidRDefault="00682103" w:rsidP="00682103">
            <w:pPr>
              <w:rPr>
                <w:lang w:eastAsia="en-AU"/>
              </w:rPr>
            </w:pPr>
            <w:r w:rsidRPr="00B315F3">
              <w:rPr>
                <w:lang w:eastAsia="en-AU"/>
              </w:rPr>
              <w:t xml:space="preserve">Where any </w:t>
            </w:r>
            <w:r w:rsidRPr="00B315F3">
              <w:rPr>
                <w:b/>
                <w:lang w:eastAsia="en-AU"/>
              </w:rPr>
              <w:t>No Show No Pay Failure</w:t>
            </w:r>
            <w:r w:rsidRPr="00B315F3">
              <w:rPr>
                <w:lang w:eastAsia="en-AU"/>
              </w:rPr>
              <w:t xml:space="preserve"> is applied, the </w:t>
            </w:r>
            <w:r w:rsidR="0095597E">
              <w:rPr>
                <w:lang w:eastAsia="en-AU"/>
              </w:rPr>
              <w:t>Participant</w:t>
            </w:r>
            <w:r w:rsidRPr="00B315F3">
              <w:rPr>
                <w:lang w:eastAsia="en-AU"/>
              </w:rPr>
              <w:t xml:space="preserve"> will lose a Business Day’s</w:t>
            </w:r>
            <w:r w:rsidR="002B56C5">
              <w:rPr>
                <w:lang w:eastAsia="en-AU"/>
              </w:rPr>
              <w:t xml:space="preserve"> income support </w:t>
            </w:r>
            <w:r w:rsidRPr="00B315F3">
              <w:rPr>
                <w:lang w:eastAsia="en-AU"/>
              </w:rPr>
              <w:t>pay</w:t>
            </w:r>
            <w:r w:rsidR="002B56C5">
              <w:rPr>
                <w:lang w:eastAsia="en-AU"/>
              </w:rPr>
              <w:t>ment</w:t>
            </w:r>
            <w:r w:rsidR="00885655" w:rsidRPr="00B315F3">
              <w:rPr>
                <w:lang w:eastAsia="en-AU"/>
              </w:rPr>
              <w:t xml:space="preserve"> for each day.</w:t>
            </w:r>
          </w:p>
          <w:p w:rsidR="00682103" w:rsidRPr="00B315F3" w:rsidRDefault="00682103" w:rsidP="00682103">
            <w:pPr>
              <w:rPr>
                <w:rFonts w:cs="Calibri"/>
                <w:b/>
                <w:bCs/>
                <w:lang w:eastAsia="en-AU"/>
              </w:rPr>
            </w:pPr>
            <w:r w:rsidRPr="00B315F3">
              <w:rPr>
                <w:rFonts w:cs="Calibri"/>
                <w:b/>
                <w:bCs/>
                <w:lang w:eastAsia="en-AU"/>
              </w:rPr>
              <w:t>Serious Failure PRs</w:t>
            </w:r>
          </w:p>
          <w:p w:rsidR="00682103" w:rsidRPr="00B315F3" w:rsidRDefault="00682103" w:rsidP="00682103">
            <w:pPr>
              <w:pStyle w:val="ListParagraph"/>
              <w:numPr>
                <w:ilvl w:val="0"/>
                <w:numId w:val="38"/>
              </w:numPr>
              <w:rPr>
                <w:rFonts w:cs="Calibri"/>
                <w:bCs/>
                <w:lang w:eastAsia="en-AU"/>
              </w:rPr>
            </w:pPr>
            <w:r w:rsidRPr="00B315F3">
              <w:rPr>
                <w:rFonts w:cs="Calibri"/>
                <w:b/>
                <w:bCs/>
                <w:lang w:eastAsia="en-AU"/>
              </w:rPr>
              <w:t>Failure to accept a suitable job without a Valid Reason or Reasonable Excuse (SFAJ PR)</w:t>
            </w:r>
          </w:p>
          <w:p w:rsidR="00682103" w:rsidRPr="00B315F3" w:rsidRDefault="00682103" w:rsidP="00682103">
            <w:pPr>
              <w:pStyle w:val="ListParagraph"/>
              <w:numPr>
                <w:ilvl w:val="0"/>
                <w:numId w:val="38"/>
              </w:numPr>
              <w:rPr>
                <w:rFonts w:cs="Calibri"/>
                <w:bCs/>
                <w:lang w:eastAsia="en-AU"/>
              </w:rPr>
            </w:pPr>
            <w:r w:rsidRPr="00B315F3">
              <w:rPr>
                <w:rFonts w:cs="Calibri"/>
                <w:b/>
                <w:bCs/>
                <w:lang w:eastAsia="en-AU"/>
              </w:rPr>
              <w:t>Failure to commence a suitable job without a Valid Reason or Reasonable Excuse (SFCJ PR).</w:t>
            </w:r>
          </w:p>
          <w:p w:rsidR="00682103" w:rsidRPr="00B315F3" w:rsidRDefault="00682103" w:rsidP="00682103">
            <w:pPr>
              <w:rPr>
                <w:lang w:eastAsia="en-AU"/>
              </w:rPr>
            </w:pPr>
            <w:r w:rsidRPr="00B315F3">
              <w:rPr>
                <w:lang w:eastAsia="en-AU"/>
              </w:rPr>
              <w:t xml:space="preserve">Following the submission of a Serious Failure PR, DHS may apply an eight-week non-payment penalty during which the </w:t>
            </w:r>
            <w:r w:rsidR="00CA393D">
              <w:rPr>
                <w:lang w:eastAsia="en-AU"/>
              </w:rPr>
              <w:t>Participant</w:t>
            </w:r>
            <w:r w:rsidRPr="00B315F3">
              <w:rPr>
                <w:lang w:eastAsia="en-AU"/>
              </w:rPr>
              <w:t xml:space="preserve"> will not receive their </w:t>
            </w:r>
            <w:r w:rsidRPr="00B315F3">
              <w:rPr>
                <w:lang w:eastAsia="en-AU"/>
              </w:rPr>
              <w:lastRenderedPageBreak/>
              <w:t xml:space="preserve">income support payment. This penalty can be waived by the </w:t>
            </w:r>
            <w:r w:rsidR="00CA393D">
              <w:rPr>
                <w:lang w:eastAsia="en-AU"/>
              </w:rPr>
              <w:t>Participant</w:t>
            </w:r>
            <w:r w:rsidRPr="00B315F3">
              <w:rPr>
                <w:lang w:eastAsia="en-AU"/>
              </w:rPr>
              <w:t xml:space="preserve"> agreeing to undertake a Compliance Activity for eight weeks. See the </w:t>
            </w:r>
            <w:r w:rsidRPr="00CA393D">
              <w:rPr>
                <w:i/>
                <w:lang w:eastAsia="en-AU"/>
              </w:rPr>
              <w:t xml:space="preserve">Comprehensive Compliance Assessments and Compliance Activities Guideline </w:t>
            </w:r>
            <w:r w:rsidRPr="00B315F3">
              <w:rPr>
                <w:lang w:eastAsia="en-AU"/>
              </w:rPr>
              <w:t>for more information.</w:t>
            </w:r>
          </w:p>
          <w:p w:rsidR="00682103" w:rsidRPr="00B315F3" w:rsidRDefault="00682103" w:rsidP="00682103">
            <w:pPr>
              <w:rPr>
                <w:rFonts w:cs="Calibri"/>
                <w:b/>
                <w:bCs/>
                <w:szCs w:val="20"/>
                <w:lang w:eastAsia="en-AU"/>
              </w:rPr>
            </w:pPr>
            <w:r w:rsidRPr="00B315F3">
              <w:rPr>
                <w:rFonts w:cs="Calibri"/>
                <w:b/>
                <w:bCs/>
                <w:szCs w:val="20"/>
                <w:lang w:eastAsia="en-AU"/>
              </w:rPr>
              <w:t>Unemployment Non-Payment Period (UNPP) PRs</w:t>
            </w:r>
          </w:p>
          <w:p w:rsidR="00682103" w:rsidRPr="00B315F3" w:rsidRDefault="00682103" w:rsidP="00682103">
            <w:pPr>
              <w:pStyle w:val="ListParagraph"/>
              <w:numPr>
                <w:ilvl w:val="0"/>
                <w:numId w:val="39"/>
              </w:numPr>
              <w:rPr>
                <w:rFonts w:cs="Calibri"/>
                <w:bCs/>
                <w:lang w:eastAsia="en-AU"/>
              </w:rPr>
            </w:pPr>
            <w:r w:rsidRPr="00B315F3">
              <w:rPr>
                <w:rFonts w:cs="Calibri"/>
                <w:b/>
                <w:bCs/>
                <w:lang w:eastAsia="en-AU"/>
              </w:rPr>
              <w:t>Voluntarily leaving a suitable job without a valid reason (UEVJ PR)</w:t>
            </w:r>
          </w:p>
          <w:p w:rsidR="00682103" w:rsidRPr="00B315F3" w:rsidRDefault="00682103" w:rsidP="00682103">
            <w:pPr>
              <w:pStyle w:val="ListParagraph"/>
              <w:numPr>
                <w:ilvl w:val="0"/>
                <w:numId w:val="39"/>
              </w:numPr>
              <w:rPr>
                <w:rFonts w:cs="Calibri"/>
                <w:b/>
                <w:bCs/>
                <w:lang w:eastAsia="en-AU"/>
              </w:rPr>
            </w:pPr>
            <w:r w:rsidRPr="00B315F3">
              <w:rPr>
                <w:rFonts w:cs="Calibri"/>
                <w:b/>
                <w:bCs/>
                <w:lang w:eastAsia="en-AU"/>
              </w:rPr>
              <w:t>Dismissed for misconduct from suitable job (UEDJ PR).</w:t>
            </w:r>
          </w:p>
          <w:p w:rsidR="00682103" w:rsidRPr="00B315F3" w:rsidRDefault="00CA393D" w:rsidP="00682103">
            <w:pPr>
              <w:rPr>
                <w:lang w:eastAsia="en-AU"/>
              </w:rPr>
            </w:pPr>
            <w:r>
              <w:rPr>
                <w:lang w:eastAsia="en-AU"/>
              </w:rPr>
              <w:t>Participants</w:t>
            </w:r>
            <w:r w:rsidR="00682103" w:rsidRPr="00B315F3">
              <w:rPr>
                <w:lang w:eastAsia="en-AU"/>
              </w:rPr>
              <w:t xml:space="preserve"> who incur a UNPP</w:t>
            </w:r>
            <w:r w:rsidR="00682103" w:rsidRPr="00B315F3" w:rsidDel="002D6129">
              <w:rPr>
                <w:lang w:eastAsia="en-AU"/>
              </w:rPr>
              <w:t xml:space="preserve"> </w:t>
            </w:r>
            <w:r w:rsidR="00682103" w:rsidRPr="00B315F3">
              <w:rPr>
                <w:lang w:eastAsia="en-AU"/>
              </w:rPr>
              <w:t xml:space="preserve">will be ineligible to receive income support payments for eight weeks (for new applicants) or will have their income support payment stopped for eight weeks (existing </w:t>
            </w:r>
            <w:r>
              <w:rPr>
                <w:lang w:eastAsia="en-AU"/>
              </w:rPr>
              <w:t>Participants</w:t>
            </w:r>
            <w:r w:rsidR="00682103" w:rsidRPr="00B315F3">
              <w:rPr>
                <w:lang w:eastAsia="en-AU"/>
              </w:rPr>
              <w:t>).</w:t>
            </w:r>
          </w:p>
          <w:p w:rsidR="00682103" w:rsidRPr="00B315F3" w:rsidRDefault="00682103" w:rsidP="00682103">
            <w:pPr>
              <w:rPr>
                <w:lang w:eastAsia="en-AU"/>
              </w:rPr>
            </w:pPr>
            <w:r w:rsidRPr="00B315F3">
              <w:rPr>
                <w:lang w:eastAsia="en-AU"/>
              </w:rPr>
              <w:t>A 12-week UNPP</w:t>
            </w:r>
            <w:r w:rsidRPr="00B315F3" w:rsidDel="002D6129">
              <w:rPr>
                <w:lang w:eastAsia="en-AU"/>
              </w:rPr>
              <w:t xml:space="preserve"> </w:t>
            </w:r>
            <w:r w:rsidRPr="00B315F3">
              <w:rPr>
                <w:lang w:eastAsia="en-AU"/>
              </w:rPr>
              <w:t xml:space="preserve">may apply to </w:t>
            </w:r>
            <w:r w:rsidR="00CA393D">
              <w:rPr>
                <w:lang w:eastAsia="en-AU"/>
              </w:rPr>
              <w:t>Participants</w:t>
            </w:r>
            <w:r w:rsidRPr="00B315F3">
              <w:rPr>
                <w:lang w:eastAsia="en-AU"/>
              </w:rPr>
              <w:t xml:space="preserve"> who have received assistance to relocate under the Relocation Assistance to Take Up a Job programme but the </w:t>
            </w:r>
            <w:r w:rsidR="00CA393D">
              <w:rPr>
                <w:lang w:eastAsia="en-AU"/>
              </w:rPr>
              <w:t>Participant</w:t>
            </w:r>
            <w:r w:rsidRPr="00B315F3">
              <w:rPr>
                <w:lang w:eastAsia="en-AU"/>
              </w:rPr>
              <w:t xml:space="preserve"> does not commence in that job, </w:t>
            </w:r>
            <w:r w:rsidRPr="005D3A2B">
              <w:rPr>
                <w:lang w:eastAsia="en-AU"/>
              </w:rPr>
              <w:t xml:space="preserve">voluntarily leaves without a Reasonable Excuse or is dismissed from the job due to misconduct. See the </w:t>
            </w:r>
            <w:r w:rsidRPr="00CA393D">
              <w:rPr>
                <w:i/>
                <w:lang w:eastAsia="en-AU"/>
              </w:rPr>
              <w:t>Relocation Assistance to Take Up a Job Guideline</w:t>
            </w:r>
            <w:r w:rsidRPr="005D3A2B">
              <w:rPr>
                <w:lang w:eastAsia="en-AU"/>
              </w:rPr>
              <w:t xml:space="preserve"> for more information.</w:t>
            </w:r>
          </w:p>
          <w:p w:rsidR="002D11F5" w:rsidRPr="00B315F3" w:rsidRDefault="00682103" w:rsidP="00682103">
            <w:pPr>
              <w:rPr>
                <w:lang w:eastAsia="en-AU"/>
              </w:rPr>
            </w:pPr>
            <w:r w:rsidRPr="00B315F3">
              <w:rPr>
                <w:lang w:eastAsia="en-AU"/>
              </w:rPr>
              <w:t>Providers can see DHS decisions following investigations on the Compliance Histor</w:t>
            </w:r>
            <w:r w:rsidR="00D33B1B">
              <w:rPr>
                <w:lang w:eastAsia="en-AU"/>
              </w:rPr>
              <w:t>y page</w:t>
            </w:r>
            <w:r w:rsidRPr="00B315F3">
              <w:rPr>
                <w:lang w:eastAsia="en-AU"/>
              </w:rPr>
              <w:t xml:space="preserve"> in the Department’s IT systems.</w:t>
            </w:r>
          </w:p>
        </w:tc>
      </w:tr>
      <w:tr w:rsidR="000B62BB" w:rsidRPr="00B315F3" w:rsidTr="00E06EDE">
        <w:tc>
          <w:tcPr>
            <w:tcW w:w="2943" w:type="dxa"/>
          </w:tcPr>
          <w:p w:rsidR="00682103" w:rsidRPr="006214DA" w:rsidRDefault="00682103" w:rsidP="006214DA">
            <w:pPr>
              <w:rPr>
                <w:b/>
                <w:lang w:eastAsia="en-AU"/>
              </w:rPr>
            </w:pPr>
            <w:r w:rsidRPr="006214DA">
              <w:rPr>
                <w:b/>
                <w:lang w:eastAsia="en-AU"/>
              </w:rPr>
              <w:lastRenderedPageBreak/>
              <w:t xml:space="preserve">Compliance arrangements for Disability Support Pension Recipients (Compulsory Requirements) </w:t>
            </w:r>
          </w:p>
          <w:p w:rsidR="000B62BB" w:rsidRPr="00B315F3" w:rsidRDefault="000B62BB" w:rsidP="00B2611B">
            <w:pPr>
              <w:pStyle w:val="Heading2"/>
              <w:keepNext w:val="0"/>
              <w:keepLines w:val="0"/>
              <w:outlineLvl w:val="1"/>
            </w:pPr>
          </w:p>
        </w:tc>
        <w:tc>
          <w:tcPr>
            <w:tcW w:w="7938" w:type="dxa"/>
          </w:tcPr>
          <w:p w:rsidR="00682103" w:rsidRPr="00B315F3" w:rsidRDefault="00682103" w:rsidP="00682103">
            <w:pPr>
              <w:rPr>
                <w:b/>
              </w:rPr>
            </w:pPr>
            <w:r w:rsidRPr="00B315F3">
              <w:rPr>
                <w:b/>
              </w:rPr>
              <w:t>Disability Support Pension Recipients (Compulsory Requirements)</w:t>
            </w:r>
          </w:p>
          <w:p w:rsidR="00682103" w:rsidRDefault="00682103" w:rsidP="00682103">
            <w:r w:rsidRPr="00B315F3">
              <w:t xml:space="preserve">Providers </w:t>
            </w:r>
            <w:r w:rsidRPr="00B315F3">
              <w:rPr>
                <w:b/>
              </w:rPr>
              <w:t>must</w:t>
            </w:r>
            <w:r w:rsidRPr="00B315F3">
              <w:t xml:space="preserve"> monitor </w:t>
            </w:r>
            <w:r w:rsidR="00D33B1B">
              <w:t>attendance at Appointments and a</w:t>
            </w:r>
            <w:r w:rsidRPr="00B315F3">
              <w:t xml:space="preserve">ctivities and requirement to enter into a current Job Plan. Where the Disability Support Pension Recipient (Compulsory Requirements) fails to meet their compulsory requirements and the Provider considers that compliance is necessary, the Provider </w:t>
            </w:r>
            <w:r w:rsidRPr="00B315F3">
              <w:rPr>
                <w:b/>
              </w:rPr>
              <w:t>must</w:t>
            </w:r>
            <w:r w:rsidRPr="00B315F3">
              <w:t xml:space="preserve"> record this in the Department’s IT Systems and take any relevant action to report the non</w:t>
            </w:r>
            <w:r w:rsidR="000D3EEC">
              <w:t>-</w:t>
            </w:r>
            <w:r w:rsidRPr="00B315F3">
              <w:t>compliance to DHS.</w:t>
            </w:r>
          </w:p>
          <w:p w:rsidR="00D74040" w:rsidRPr="00D74040" w:rsidRDefault="00D74040" w:rsidP="00682103">
            <w:pPr>
              <w:rPr>
                <w:i/>
              </w:rPr>
            </w:pPr>
            <w:r>
              <w:t xml:space="preserve">For more information, please refer to the </w:t>
            </w:r>
            <w:r>
              <w:rPr>
                <w:i/>
              </w:rPr>
              <w:t>Disability Support Pension Recipients U</w:t>
            </w:r>
            <w:r w:rsidR="00893DCA">
              <w:rPr>
                <w:i/>
              </w:rPr>
              <w:t>n</w:t>
            </w:r>
            <w:r>
              <w:rPr>
                <w:i/>
              </w:rPr>
              <w:t>der 35 Guidelines.</w:t>
            </w:r>
          </w:p>
          <w:p w:rsidR="000B62BB" w:rsidRPr="00B315F3" w:rsidRDefault="000B62BB" w:rsidP="00682103"/>
        </w:tc>
      </w:tr>
      <w:tr w:rsidR="000B62BB" w:rsidRPr="00B315F3" w:rsidTr="00E06EDE">
        <w:tc>
          <w:tcPr>
            <w:tcW w:w="2943" w:type="dxa"/>
          </w:tcPr>
          <w:p w:rsidR="000B62BB" w:rsidRPr="006214DA" w:rsidRDefault="000B62BB" w:rsidP="006214DA">
            <w:pPr>
              <w:rPr>
                <w:b/>
              </w:rPr>
            </w:pPr>
            <w:r w:rsidRPr="006214DA">
              <w:rPr>
                <w:b/>
              </w:rPr>
              <w:t xml:space="preserve">Re-engaging the </w:t>
            </w:r>
            <w:r w:rsidR="00CA393D" w:rsidRPr="006214DA">
              <w:rPr>
                <w:b/>
                <w:lang w:eastAsia="en-AU"/>
              </w:rPr>
              <w:t>Participant</w:t>
            </w:r>
            <w:r w:rsidRPr="006214DA">
              <w:rPr>
                <w:b/>
              </w:rPr>
              <w:t xml:space="preserve"> and applying penalties</w:t>
            </w:r>
          </w:p>
        </w:tc>
        <w:tc>
          <w:tcPr>
            <w:tcW w:w="7938" w:type="dxa"/>
          </w:tcPr>
          <w:p w:rsidR="00682103" w:rsidRPr="00B315F3" w:rsidRDefault="00682103" w:rsidP="00682103">
            <w:pPr>
              <w:rPr>
                <w:lang w:eastAsia="en-AU"/>
              </w:rPr>
            </w:pPr>
            <w:r w:rsidRPr="00B315F3">
              <w:rPr>
                <w:lang w:eastAsia="en-AU"/>
              </w:rPr>
              <w:t xml:space="preserve">After submission of either a NAR or PAR and following successful contact taking place with the </w:t>
            </w:r>
            <w:r w:rsidR="00C34995">
              <w:rPr>
                <w:lang w:eastAsia="en-AU"/>
              </w:rPr>
              <w:t>Participant</w:t>
            </w:r>
            <w:r w:rsidRPr="00B315F3">
              <w:rPr>
                <w:lang w:eastAsia="en-AU"/>
              </w:rPr>
              <w:t xml:space="preserve">, Providers are responsible for re-engaging </w:t>
            </w:r>
            <w:r w:rsidR="00C34995">
              <w:rPr>
                <w:lang w:eastAsia="en-AU"/>
              </w:rPr>
              <w:t>Participants</w:t>
            </w:r>
            <w:r w:rsidRPr="00B315F3">
              <w:rPr>
                <w:lang w:eastAsia="en-AU"/>
              </w:rPr>
              <w:t xml:space="preserve"> by booking Appointments that </w:t>
            </w:r>
            <w:r w:rsidRPr="00B315F3">
              <w:rPr>
                <w:b/>
                <w:lang w:eastAsia="en-AU"/>
              </w:rPr>
              <w:t>must</w:t>
            </w:r>
            <w:r w:rsidRPr="00B315F3">
              <w:rPr>
                <w:lang w:eastAsia="en-AU"/>
              </w:rPr>
              <w:t xml:space="preserve"> be scheduled to occur within the next two Business Days of contact occurring with the </w:t>
            </w:r>
            <w:r w:rsidR="00C34995">
              <w:rPr>
                <w:lang w:eastAsia="en-AU"/>
              </w:rPr>
              <w:t>Participant</w:t>
            </w:r>
            <w:r w:rsidRPr="00B315F3">
              <w:rPr>
                <w:lang w:eastAsia="en-AU"/>
              </w:rPr>
              <w:t>.</w:t>
            </w:r>
          </w:p>
          <w:p w:rsidR="00682103" w:rsidRPr="00B315F3" w:rsidRDefault="00682103" w:rsidP="00682103">
            <w:pPr>
              <w:rPr>
                <w:lang w:eastAsia="en-AU"/>
              </w:rPr>
            </w:pPr>
            <w:r w:rsidRPr="00B315F3">
              <w:rPr>
                <w:lang w:eastAsia="en-AU"/>
              </w:rPr>
              <w:t xml:space="preserve">For all PRs and PARs submitted, DHS will investigate the incident to determine if a failure occurred, which includes whether Reasonable Excuse existed and whether a participation failure </w:t>
            </w:r>
            <w:r w:rsidRPr="00B315F3">
              <w:rPr>
                <w:b/>
                <w:lang w:eastAsia="en-AU"/>
              </w:rPr>
              <w:t>should</w:t>
            </w:r>
            <w:r w:rsidRPr="00B315F3">
              <w:rPr>
                <w:lang w:eastAsia="en-AU"/>
              </w:rPr>
              <w:t xml:space="preserve"> apply and why. DHS will inform the </w:t>
            </w:r>
            <w:r w:rsidR="00C34995">
              <w:rPr>
                <w:lang w:eastAsia="en-AU"/>
              </w:rPr>
              <w:t>Participant</w:t>
            </w:r>
            <w:r w:rsidRPr="00B315F3">
              <w:rPr>
                <w:lang w:eastAsia="en-AU"/>
              </w:rPr>
              <w:t xml:space="preserve"> of any penalties applied. </w:t>
            </w:r>
          </w:p>
          <w:p w:rsidR="000B62BB" w:rsidRPr="00B315F3" w:rsidRDefault="00682103" w:rsidP="00C34995">
            <w:pPr>
              <w:rPr>
                <w:b/>
              </w:rPr>
            </w:pPr>
            <w:r w:rsidRPr="00B315F3">
              <w:rPr>
                <w:lang w:eastAsia="en-AU"/>
              </w:rPr>
              <w:t xml:space="preserve">Providers </w:t>
            </w:r>
            <w:r w:rsidRPr="00B315F3">
              <w:rPr>
                <w:b/>
                <w:lang w:eastAsia="en-AU"/>
              </w:rPr>
              <w:t>must</w:t>
            </w:r>
            <w:r w:rsidRPr="00B315F3">
              <w:rPr>
                <w:lang w:eastAsia="en-AU"/>
              </w:rPr>
              <w:t xml:space="preserve"> have timeslot capacity at all times in the Department’s IT Systems to ensure that DHS can book an Appointment for a </w:t>
            </w:r>
            <w:r w:rsidR="00C34995">
              <w:rPr>
                <w:lang w:eastAsia="en-AU"/>
              </w:rPr>
              <w:t>Participant</w:t>
            </w:r>
            <w:r w:rsidRPr="00B315F3">
              <w:rPr>
                <w:lang w:eastAsia="en-AU"/>
              </w:rPr>
              <w:t xml:space="preserve"> within the next two Business Days.</w:t>
            </w:r>
          </w:p>
        </w:tc>
      </w:tr>
      <w:tr w:rsidR="000B62BB" w:rsidRPr="00B315F3" w:rsidTr="00E06EDE">
        <w:tc>
          <w:tcPr>
            <w:tcW w:w="2943" w:type="dxa"/>
          </w:tcPr>
          <w:p w:rsidR="000B62BB" w:rsidRPr="006214DA" w:rsidRDefault="000B62BB" w:rsidP="006214DA">
            <w:pPr>
              <w:rPr>
                <w:b/>
              </w:rPr>
            </w:pPr>
            <w:r w:rsidRPr="006214DA">
              <w:rPr>
                <w:b/>
              </w:rPr>
              <w:t>Providing evidence to tribunals</w:t>
            </w:r>
          </w:p>
        </w:tc>
        <w:tc>
          <w:tcPr>
            <w:tcW w:w="7938" w:type="dxa"/>
          </w:tcPr>
          <w:p w:rsidR="000B62BB" w:rsidRPr="00B315F3" w:rsidRDefault="00682103" w:rsidP="00C34995">
            <w:r w:rsidRPr="00B315F3">
              <w:t xml:space="preserve">Providers may at times be asked to give evidence to the Social Security Appeals Tribunal or the Administrative Appeals Tribunal where a person is appealing a decision made by DHS in relation to their income support payment. For example, if a </w:t>
            </w:r>
            <w:r w:rsidR="00C34995">
              <w:rPr>
                <w:lang w:eastAsia="en-AU"/>
              </w:rPr>
              <w:t>Participant</w:t>
            </w:r>
            <w:r w:rsidRPr="00B315F3">
              <w:t xml:space="preserve"> has their income support payment suspended or reduced or a financial penalty has been applied because of a participation failure, the </w:t>
            </w:r>
            <w:r w:rsidR="00C34995">
              <w:rPr>
                <w:lang w:eastAsia="en-AU"/>
              </w:rPr>
              <w:t>Participant</w:t>
            </w:r>
            <w:r w:rsidRPr="00B315F3">
              <w:t xml:space="preserve"> may choose to appeal this decision. When this occurs, a tribunal may wish to discuss the details of any non-compliance reported to DHS with the recipient’s Provider to assist the tribunal in reaching a decision that considers all the elements of the appeal. Providers </w:t>
            </w:r>
            <w:r w:rsidRPr="00B315F3">
              <w:rPr>
                <w:b/>
              </w:rPr>
              <w:t>must</w:t>
            </w:r>
            <w:r w:rsidRPr="00B315F3">
              <w:t xml:space="preserve"> provide all possible assistance to the Commonwealth on the appeals process.</w:t>
            </w:r>
          </w:p>
        </w:tc>
      </w:tr>
      <w:tr w:rsidR="000B62BB" w:rsidRPr="00B315F3" w:rsidTr="00E06EDE">
        <w:tc>
          <w:tcPr>
            <w:tcW w:w="2943" w:type="dxa"/>
          </w:tcPr>
          <w:p w:rsidR="000B62BB" w:rsidRPr="006214DA" w:rsidRDefault="000B62BB" w:rsidP="006214DA">
            <w:pPr>
              <w:rPr>
                <w:b/>
              </w:rPr>
            </w:pPr>
            <w:r w:rsidRPr="006214DA">
              <w:rPr>
                <w:b/>
              </w:rPr>
              <w:lastRenderedPageBreak/>
              <w:t xml:space="preserve">Contacting DHS to discuss </w:t>
            </w:r>
            <w:r w:rsidR="00BD4D71" w:rsidRPr="006214DA">
              <w:rPr>
                <w:b/>
                <w:lang w:eastAsia="en-AU"/>
              </w:rPr>
              <w:t>Participant</w:t>
            </w:r>
            <w:r w:rsidRPr="006214DA">
              <w:rPr>
                <w:b/>
              </w:rPr>
              <w:t xml:space="preserve"> servicing</w:t>
            </w:r>
            <w:r w:rsidR="009350B7" w:rsidRPr="006214DA">
              <w:rPr>
                <w:b/>
              </w:rPr>
              <w:t xml:space="preserve"> and circumstances</w:t>
            </w:r>
          </w:p>
        </w:tc>
        <w:tc>
          <w:tcPr>
            <w:tcW w:w="7938" w:type="dxa"/>
          </w:tcPr>
          <w:p w:rsidR="009350B7" w:rsidRDefault="00682103" w:rsidP="00BD4D71">
            <w:r w:rsidRPr="00B315F3">
              <w:t xml:space="preserve">Providers can email the DHS Participation Solutions Team (PST) or Local Services Centre about specific </w:t>
            </w:r>
            <w:r w:rsidR="00C34995">
              <w:rPr>
                <w:lang w:eastAsia="en-AU"/>
              </w:rPr>
              <w:t>Participant</w:t>
            </w:r>
            <w:r w:rsidR="00C34995">
              <w:t>s</w:t>
            </w:r>
            <w:r w:rsidRPr="00B315F3">
              <w:t xml:space="preserve"> in relation to compliance actions and confirmation of other information that may impact on the servicing of the </w:t>
            </w:r>
            <w:r w:rsidR="00BD4D71">
              <w:rPr>
                <w:lang w:eastAsia="en-AU"/>
              </w:rPr>
              <w:t>Participant</w:t>
            </w:r>
            <w:r w:rsidRPr="00B315F3">
              <w:t xml:space="preserve">. </w:t>
            </w:r>
          </w:p>
          <w:p w:rsidR="009350B7" w:rsidRDefault="009350B7" w:rsidP="009350B7">
            <w:pPr>
              <w:spacing w:after="360"/>
            </w:pPr>
            <w:proofErr w:type="gramStart"/>
            <w:r w:rsidRPr="009350B7">
              <w:t xml:space="preserve">When </w:t>
            </w:r>
            <w:r w:rsidR="00C24879">
              <w:t xml:space="preserve"> JSCI</w:t>
            </w:r>
            <w:proofErr w:type="gramEnd"/>
            <w:r w:rsidR="00C24879">
              <w:t xml:space="preserve"> </w:t>
            </w:r>
            <w:r w:rsidR="00546259">
              <w:t xml:space="preserve">or </w:t>
            </w:r>
            <w:r w:rsidR="00546259" w:rsidRPr="009350B7">
              <w:t>ESAt</w:t>
            </w:r>
            <w:r w:rsidR="00350D52">
              <w:t xml:space="preserve"> </w:t>
            </w:r>
            <w:r w:rsidRPr="009350B7">
              <w:t xml:space="preserve">for a </w:t>
            </w:r>
            <w:r w:rsidR="00546259">
              <w:t xml:space="preserve">Participant </w:t>
            </w:r>
            <w:r w:rsidR="00546259" w:rsidRPr="009350B7">
              <w:t>identifies</w:t>
            </w:r>
            <w:r w:rsidRPr="009350B7">
              <w:t xml:space="preserve"> a potential vulnerability that they would like DHS to investigate further, Providers may also contact the PST. This vulnerability may be a diagnosed condition or documented personal circumstance that currently impacts the </w:t>
            </w:r>
            <w:r w:rsidR="00350D52">
              <w:t>Participant</w:t>
            </w:r>
            <w:r w:rsidRPr="009350B7">
              <w:t xml:space="preserve">’s day to day life and may be temporary, ongoing or episodic. Providers will need to fax the Request for Vulnerability Indicator Review form (Attachment C) to DHS who will review the </w:t>
            </w:r>
            <w:r w:rsidR="00350D52">
              <w:t>Participant’s</w:t>
            </w:r>
            <w:r w:rsidRPr="009350B7">
              <w:t xml:space="preserve"> record and if evidence suggests that the vulnerability could significantly impact the </w:t>
            </w:r>
            <w:r w:rsidR="00350D52">
              <w:t>Participant’s</w:t>
            </w:r>
            <w:r w:rsidRPr="009350B7">
              <w:t xml:space="preserve"> ability to comply with their Mutual Obligation Requirements, </w:t>
            </w:r>
            <w:r w:rsidR="00350D52">
              <w:t xml:space="preserve">DHS </w:t>
            </w:r>
            <w:r w:rsidRPr="009350B7">
              <w:t xml:space="preserve"> may record a vulnerability indicator in the Department’s IT Systems.</w:t>
            </w:r>
            <w:r>
              <w:t xml:space="preserve"> </w:t>
            </w:r>
          </w:p>
          <w:p w:rsidR="000B62BB" w:rsidRPr="00B315F3" w:rsidRDefault="00682103" w:rsidP="00BD4D71">
            <w:r w:rsidRPr="00B315F3">
              <w:t>For more details on how and when to contact</w:t>
            </w:r>
            <w:r w:rsidR="00B66980" w:rsidRPr="00B315F3">
              <w:t xml:space="preserve"> DHS, see </w:t>
            </w:r>
            <w:r w:rsidR="00B66980" w:rsidRPr="001F1D70">
              <w:rPr>
                <w:u w:val="single"/>
              </w:rPr>
              <w:t>Attachment A</w:t>
            </w:r>
            <w:r w:rsidR="00B66980" w:rsidRPr="00B315F3">
              <w:t xml:space="preserve"> to this G</w:t>
            </w:r>
            <w:r w:rsidRPr="00B315F3">
              <w:t>uideline.</w:t>
            </w:r>
          </w:p>
        </w:tc>
      </w:tr>
    </w:tbl>
    <w:p w:rsidR="00B542CF" w:rsidRPr="00B315F3" w:rsidRDefault="00A77FD3" w:rsidP="00B542CF">
      <w:r w:rsidRPr="00B315F3">
        <w:br w:type="page"/>
      </w:r>
    </w:p>
    <w:p w:rsidR="00682103" w:rsidRPr="00B315F3" w:rsidRDefault="00B542CF" w:rsidP="00682103">
      <w:pPr>
        <w:pStyle w:val="Heading1"/>
        <w:jc w:val="right"/>
      </w:pPr>
      <w:bookmarkStart w:id="1" w:name="_Attachment_A"/>
      <w:bookmarkEnd w:id="1"/>
      <w:r w:rsidRPr="00B315F3">
        <w:lastRenderedPageBreak/>
        <w:t>Attachment</w:t>
      </w:r>
      <w:r w:rsidR="00682103" w:rsidRPr="00B315F3">
        <w:t xml:space="preserve"> A</w:t>
      </w:r>
    </w:p>
    <w:p w:rsidR="000B62BB" w:rsidRPr="00B315F3" w:rsidRDefault="000B62BB" w:rsidP="00682103">
      <w:pPr>
        <w:pStyle w:val="Heading1"/>
      </w:pPr>
      <w:r w:rsidRPr="00B315F3">
        <w:t xml:space="preserve">How and when to contact </w:t>
      </w:r>
      <w:r w:rsidR="00D33B1B">
        <w:t xml:space="preserve">the Department of </w:t>
      </w:r>
      <w:r w:rsidRPr="00B315F3">
        <w:t>Human Services</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54"/>
        <w:gridCol w:w="7626"/>
      </w:tblGrid>
      <w:tr w:rsidR="00682103" w:rsidRPr="00B315F3" w:rsidTr="00730B99">
        <w:trPr>
          <w:tblHeader/>
        </w:trPr>
        <w:tc>
          <w:tcPr>
            <w:tcW w:w="2701" w:type="dxa"/>
            <w:shd w:val="clear" w:color="auto" w:fill="auto"/>
          </w:tcPr>
          <w:p w:rsidR="00682103" w:rsidRPr="00B315F3" w:rsidRDefault="00682103" w:rsidP="00730B99">
            <w:pPr>
              <w:autoSpaceDE w:val="0"/>
              <w:autoSpaceDN w:val="0"/>
              <w:adjustRightInd w:val="0"/>
              <w:rPr>
                <w:rFonts w:ascii="Calibri" w:eastAsia="Times New Roman" w:hAnsi="Calibri" w:cs="Calibri"/>
                <w:color w:val="000000"/>
                <w:szCs w:val="24"/>
                <w:lang w:eastAsia="en-AU"/>
              </w:rPr>
            </w:pPr>
            <w:r w:rsidRPr="00B315F3">
              <w:rPr>
                <w:rFonts w:ascii="Calibri" w:eastAsia="Times New Roman" w:hAnsi="Calibri" w:cs="Calibri"/>
                <w:b/>
                <w:bCs/>
                <w:color w:val="000000"/>
                <w:lang w:eastAsia="en-AU"/>
              </w:rPr>
              <w:t xml:space="preserve">Process </w:t>
            </w:r>
          </w:p>
        </w:tc>
        <w:tc>
          <w:tcPr>
            <w:tcW w:w="7797" w:type="dxa"/>
            <w:shd w:val="clear" w:color="auto" w:fill="auto"/>
          </w:tcPr>
          <w:p w:rsidR="00682103" w:rsidRPr="00B315F3" w:rsidRDefault="00682103" w:rsidP="00730B99">
            <w:pPr>
              <w:autoSpaceDE w:val="0"/>
              <w:autoSpaceDN w:val="0"/>
              <w:adjustRightInd w:val="0"/>
              <w:rPr>
                <w:rFonts w:ascii="Calibri" w:eastAsia="Times New Roman" w:hAnsi="Calibri" w:cs="Calibri"/>
                <w:color w:val="000000"/>
                <w:szCs w:val="24"/>
                <w:lang w:eastAsia="en-AU"/>
              </w:rPr>
            </w:pPr>
            <w:r w:rsidRPr="00B315F3">
              <w:rPr>
                <w:rFonts w:ascii="Calibri" w:eastAsia="Times New Roman" w:hAnsi="Calibri" w:cs="Calibri"/>
                <w:b/>
                <w:bCs/>
                <w:color w:val="000000"/>
                <w:lang w:eastAsia="en-AU"/>
              </w:rPr>
              <w:t>Details</w:t>
            </w:r>
          </w:p>
        </w:tc>
      </w:tr>
      <w:tr w:rsidR="00682103" w:rsidRPr="00B315F3" w:rsidTr="00730B99">
        <w:trPr>
          <w:trHeight w:val="597"/>
        </w:trPr>
        <w:tc>
          <w:tcPr>
            <w:tcW w:w="2701" w:type="dxa"/>
          </w:tcPr>
          <w:p w:rsidR="00682103" w:rsidRPr="006214DA" w:rsidRDefault="00682103" w:rsidP="006214DA">
            <w:pPr>
              <w:rPr>
                <w:b/>
              </w:rPr>
            </w:pPr>
            <w:r w:rsidRPr="006214DA">
              <w:rPr>
                <w:b/>
              </w:rPr>
              <w:t xml:space="preserve">Arrangements for Providers to contact DHS Participation Solutions Team (PST) </w:t>
            </w:r>
          </w:p>
        </w:tc>
        <w:tc>
          <w:tcPr>
            <w:tcW w:w="7797" w:type="dxa"/>
          </w:tcPr>
          <w:p w:rsidR="00682103" w:rsidRPr="00B315F3" w:rsidRDefault="00682103" w:rsidP="00730B99">
            <w:pPr>
              <w:rPr>
                <w:lang w:eastAsia="en-AU"/>
              </w:rPr>
            </w:pPr>
            <w:r w:rsidRPr="00B315F3">
              <w:rPr>
                <w:lang w:eastAsia="en-AU"/>
              </w:rPr>
              <w:t xml:space="preserve">Providers </w:t>
            </w:r>
            <w:r w:rsidRPr="00B315F3">
              <w:rPr>
                <w:b/>
                <w:lang w:eastAsia="en-AU"/>
              </w:rPr>
              <w:t>should</w:t>
            </w:r>
            <w:r w:rsidRPr="00B315F3">
              <w:rPr>
                <w:lang w:eastAsia="en-AU"/>
              </w:rPr>
              <w:t xml:space="preserve"> use </w:t>
            </w:r>
            <w:r w:rsidRPr="001F1D70">
              <w:rPr>
                <w:u w:val="single"/>
                <w:lang w:eastAsia="en-AU"/>
              </w:rPr>
              <w:t>Attachment B</w:t>
            </w:r>
            <w:r w:rsidRPr="00B315F3">
              <w:rPr>
                <w:lang w:eastAsia="en-AU"/>
              </w:rPr>
              <w:t xml:space="preserve">: </w:t>
            </w:r>
            <w:r w:rsidR="00D33B1B">
              <w:rPr>
                <w:lang w:eastAsia="en-AU"/>
              </w:rPr>
              <w:t xml:space="preserve">Template for </w:t>
            </w:r>
            <w:r w:rsidR="005B08EB">
              <w:rPr>
                <w:lang w:eastAsia="en-AU"/>
              </w:rPr>
              <w:t>e</w:t>
            </w:r>
            <w:r w:rsidR="00D33B1B">
              <w:rPr>
                <w:lang w:eastAsia="en-AU"/>
              </w:rPr>
              <w:t xml:space="preserve">mployment </w:t>
            </w:r>
            <w:r w:rsidR="005B08EB">
              <w:rPr>
                <w:lang w:eastAsia="en-AU"/>
              </w:rPr>
              <w:t>p</w:t>
            </w:r>
            <w:r w:rsidR="00D33B1B">
              <w:rPr>
                <w:lang w:eastAsia="en-AU"/>
              </w:rPr>
              <w:t>rovider</w:t>
            </w:r>
            <w:r w:rsidRPr="00B315F3">
              <w:rPr>
                <w:lang w:eastAsia="en-AU"/>
              </w:rPr>
              <w:t xml:space="preserve"> </w:t>
            </w:r>
            <w:r w:rsidR="00D33B1B">
              <w:rPr>
                <w:lang w:eastAsia="en-AU"/>
              </w:rPr>
              <w:t>Queries to the Department of Human Services Participation Solutions Team (DHS PST)</w:t>
            </w:r>
            <w:r w:rsidRPr="00B315F3">
              <w:rPr>
                <w:i/>
                <w:lang w:eastAsia="en-AU"/>
              </w:rPr>
              <w:t xml:space="preserve"> </w:t>
            </w:r>
            <w:r w:rsidRPr="00B315F3">
              <w:rPr>
                <w:lang w:eastAsia="en-AU"/>
              </w:rPr>
              <w:t xml:space="preserve">and email their query to the DHS PST at </w:t>
            </w:r>
            <w:hyperlink r:id="rId19" w:history="1">
              <w:r w:rsidRPr="00B315F3">
                <w:rPr>
                  <w:color w:val="0000FF"/>
                  <w:u w:val="single"/>
                  <w:lang w:eastAsia="en-AU"/>
                </w:rPr>
                <w:t>PST.ENQUIRY@humanservices.gov.au</w:t>
              </w:r>
            </w:hyperlink>
            <w:r w:rsidRPr="00B315F3">
              <w:rPr>
                <w:lang w:eastAsia="en-AU"/>
              </w:rPr>
              <w:t xml:space="preserve">. Queries </w:t>
            </w:r>
            <w:r w:rsidRPr="00B315F3">
              <w:rPr>
                <w:b/>
                <w:lang w:eastAsia="en-AU"/>
              </w:rPr>
              <w:t>should</w:t>
            </w:r>
            <w:r w:rsidRPr="00B315F3">
              <w:rPr>
                <w:lang w:eastAsia="en-AU"/>
              </w:rPr>
              <w:t xml:space="preserve"> be confined to matters that relate to compliance actions or confirmation on: </w:t>
            </w:r>
          </w:p>
          <w:p w:rsidR="00682103" w:rsidRPr="00B315F3" w:rsidRDefault="00682103" w:rsidP="00730B99">
            <w:pPr>
              <w:pStyle w:val="ListParagraph"/>
              <w:numPr>
                <w:ilvl w:val="0"/>
                <w:numId w:val="40"/>
              </w:numPr>
              <w:rPr>
                <w:lang w:eastAsia="en-AU"/>
              </w:rPr>
            </w:pPr>
            <w:r w:rsidRPr="00B315F3">
              <w:rPr>
                <w:lang w:eastAsia="en-AU"/>
              </w:rPr>
              <w:t>exemptions from Mutual Obligation Requirements</w:t>
            </w:r>
          </w:p>
          <w:p w:rsidR="00682103" w:rsidRPr="00B315F3" w:rsidRDefault="00D33B1B" w:rsidP="00730B99">
            <w:pPr>
              <w:pStyle w:val="ListParagraph"/>
              <w:numPr>
                <w:ilvl w:val="0"/>
                <w:numId w:val="40"/>
              </w:numPr>
              <w:rPr>
                <w:lang w:eastAsia="en-AU"/>
              </w:rPr>
            </w:pPr>
            <w:r>
              <w:rPr>
                <w:lang w:eastAsia="en-AU"/>
              </w:rPr>
              <w:t>the status of an approved a</w:t>
            </w:r>
            <w:r w:rsidR="00682103" w:rsidRPr="00B315F3">
              <w:rPr>
                <w:lang w:eastAsia="en-AU"/>
              </w:rPr>
              <w:t>ctivity</w:t>
            </w:r>
          </w:p>
          <w:p w:rsidR="00682103" w:rsidRPr="00B315F3" w:rsidRDefault="00682103" w:rsidP="00730B99">
            <w:pPr>
              <w:pStyle w:val="ListParagraph"/>
              <w:numPr>
                <w:ilvl w:val="0"/>
                <w:numId w:val="40"/>
              </w:numPr>
              <w:rPr>
                <w:lang w:eastAsia="en-AU"/>
              </w:rPr>
            </w:pPr>
            <w:r w:rsidRPr="00B315F3">
              <w:rPr>
                <w:lang w:eastAsia="en-AU"/>
              </w:rPr>
              <w:t xml:space="preserve">the </w:t>
            </w:r>
            <w:r w:rsidR="00BD4D71">
              <w:rPr>
                <w:lang w:eastAsia="en-AU"/>
              </w:rPr>
              <w:t>Participant’s</w:t>
            </w:r>
            <w:r w:rsidRPr="00B315F3">
              <w:rPr>
                <w:lang w:eastAsia="en-AU"/>
              </w:rPr>
              <w:t xml:space="preserve"> Mutual Obligation Requirements</w:t>
            </w:r>
          </w:p>
          <w:p w:rsidR="00682103" w:rsidRPr="00B315F3" w:rsidRDefault="00682103" w:rsidP="00730B99">
            <w:pPr>
              <w:pStyle w:val="ListParagraph"/>
              <w:numPr>
                <w:ilvl w:val="0"/>
                <w:numId w:val="40"/>
              </w:numPr>
              <w:rPr>
                <w:lang w:eastAsia="en-AU"/>
              </w:rPr>
            </w:pPr>
            <w:proofErr w:type="gramStart"/>
            <w:r w:rsidRPr="00B315F3">
              <w:rPr>
                <w:lang w:eastAsia="en-AU"/>
              </w:rPr>
              <w:t>other</w:t>
            </w:r>
            <w:proofErr w:type="gramEnd"/>
            <w:r w:rsidRPr="00B315F3">
              <w:rPr>
                <w:lang w:eastAsia="en-AU"/>
              </w:rPr>
              <w:t xml:space="preserve"> matters that impact directly on servicing the </w:t>
            </w:r>
            <w:r w:rsidR="001F1D70">
              <w:rPr>
                <w:lang w:eastAsia="en-AU"/>
              </w:rPr>
              <w:t>Participant</w:t>
            </w:r>
            <w:r w:rsidRPr="00B315F3">
              <w:rPr>
                <w:lang w:eastAsia="en-AU"/>
              </w:rPr>
              <w:t>.</w:t>
            </w:r>
          </w:p>
          <w:p w:rsidR="00682103" w:rsidRPr="00B315F3" w:rsidRDefault="00682103" w:rsidP="00730B99">
            <w:pPr>
              <w:rPr>
                <w:lang w:eastAsia="en-AU"/>
              </w:rPr>
            </w:pPr>
            <w:r w:rsidRPr="00B315F3">
              <w:rPr>
                <w:lang w:eastAsia="en-AU"/>
              </w:rPr>
              <w:t>The DHS PST will provide a response where appropriate. Where the query does not relate to DHS PST or participation services, an email response will be sent requesting Providers contact the correct area of DHS.</w:t>
            </w:r>
          </w:p>
          <w:p w:rsidR="00682103" w:rsidRPr="00B315F3" w:rsidRDefault="00682103" w:rsidP="00730B99">
            <w:pPr>
              <w:rPr>
                <w:lang w:eastAsia="en-AU"/>
              </w:rPr>
            </w:pPr>
            <w:r w:rsidRPr="00B315F3">
              <w:rPr>
                <w:lang w:eastAsia="en-AU"/>
              </w:rPr>
              <w:t>Any emails containing identifying customer information—such as names, address or date of birth—will be securely destroyed and no response will be provided by the DHS PST.</w:t>
            </w:r>
          </w:p>
          <w:p w:rsidR="00730B99" w:rsidRDefault="00682103" w:rsidP="00730B99">
            <w:pPr>
              <w:rPr>
                <w:highlight w:val="yellow"/>
                <w:lang w:eastAsia="en-AU"/>
              </w:rPr>
            </w:pPr>
            <w:r w:rsidRPr="00B315F3">
              <w:rPr>
                <w:lang w:eastAsia="en-AU"/>
              </w:rPr>
              <w:t>Providers can contact their local DHS shopfront to discuss issues such as large local redundancies, representations at local meetings and presentations to local communities.</w:t>
            </w:r>
            <w:r w:rsidR="00730B99" w:rsidRPr="009A4796">
              <w:rPr>
                <w:highlight w:val="yellow"/>
                <w:lang w:eastAsia="en-AU"/>
              </w:rPr>
              <w:t xml:space="preserve"> </w:t>
            </w:r>
          </w:p>
          <w:p w:rsidR="008D4476" w:rsidRPr="00B315F3" w:rsidRDefault="00730B99" w:rsidP="00350D52">
            <w:pPr>
              <w:rPr>
                <w:lang w:eastAsia="en-AU"/>
              </w:rPr>
            </w:pPr>
            <w:r w:rsidRPr="00730B99">
              <w:rPr>
                <w:lang w:eastAsia="en-AU"/>
              </w:rPr>
              <w:t xml:space="preserve">Providers </w:t>
            </w:r>
            <w:r w:rsidRPr="00730B99">
              <w:t xml:space="preserve">requesting DHS to review a </w:t>
            </w:r>
            <w:r w:rsidR="00350D52">
              <w:t>Participant’s</w:t>
            </w:r>
            <w:r w:rsidRPr="00730B99">
              <w:t xml:space="preserve"> record and consider whether a Vulnerability Indicator </w:t>
            </w:r>
            <w:r w:rsidRPr="00730B99">
              <w:rPr>
                <w:b/>
              </w:rPr>
              <w:t>should</w:t>
            </w:r>
            <w:r w:rsidRPr="00730B99">
              <w:t xml:space="preserve"> be applied</w:t>
            </w:r>
            <w:r w:rsidRPr="00730B99">
              <w:rPr>
                <w:b/>
                <w:lang w:eastAsia="en-AU"/>
              </w:rPr>
              <w:t xml:space="preserve"> should</w:t>
            </w:r>
            <w:r w:rsidRPr="00730B99">
              <w:rPr>
                <w:lang w:eastAsia="en-AU"/>
              </w:rPr>
              <w:t xml:space="preserve"> use Attachment C: </w:t>
            </w:r>
            <w:r w:rsidRPr="00730B99">
              <w:t xml:space="preserve">Request for Vulnerability Indicator Review </w:t>
            </w:r>
            <w:r w:rsidRPr="00730B99">
              <w:rPr>
                <w:lang w:eastAsia="en-AU"/>
              </w:rPr>
              <w:t xml:space="preserve">and fax the request form to </w:t>
            </w:r>
            <w:r w:rsidRPr="00730B99">
              <w:t xml:space="preserve">1300 786 102. Feedback on the decision will not be available; however Providers can review the </w:t>
            </w:r>
            <w:r w:rsidR="00546259">
              <w:t xml:space="preserve">Participant’s </w:t>
            </w:r>
            <w:r w:rsidR="00546259" w:rsidRPr="00730B99">
              <w:t>record</w:t>
            </w:r>
            <w:r w:rsidRPr="00730B99">
              <w:t xml:space="preserve"> to identify if a Vulnerability Indicator has been applied and the type of vulnerability.</w:t>
            </w:r>
          </w:p>
        </w:tc>
      </w:tr>
      <w:tr w:rsidR="00682103" w:rsidRPr="00B315F3" w:rsidTr="00730B99">
        <w:trPr>
          <w:trHeight w:val="917"/>
        </w:trPr>
        <w:tc>
          <w:tcPr>
            <w:tcW w:w="2701" w:type="dxa"/>
          </w:tcPr>
          <w:p w:rsidR="00682103" w:rsidRPr="006214DA" w:rsidRDefault="00682103" w:rsidP="006214DA">
            <w:pPr>
              <w:rPr>
                <w:b/>
              </w:rPr>
            </w:pPr>
            <w:r w:rsidRPr="006214DA">
              <w:rPr>
                <w:b/>
              </w:rPr>
              <w:t xml:space="preserve">Arrangements for </w:t>
            </w:r>
            <w:r w:rsidR="00BD595B" w:rsidRPr="006214DA">
              <w:rPr>
                <w:b/>
                <w:lang w:eastAsia="en-AU"/>
              </w:rPr>
              <w:t>Participant</w:t>
            </w:r>
            <w:r w:rsidR="00BD595B" w:rsidRPr="006214DA">
              <w:rPr>
                <w:b/>
              </w:rPr>
              <w:t>s</w:t>
            </w:r>
            <w:r w:rsidRPr="006214DA">
              <w:rPr>
                <w:b/>
              </w:rPr>
              <w:t xml:space="preserve"> to contact DHS PST</w:t>
            </w:r>
          </w:p>
        </w:tc>
        <w:tc>
          <w:tcPr>
            <w:tcW w:w="7797" w:type="dxa"/>
          </w:tcPr>
          <w:p w:rsidR="00682103" w:rsidRPr="00B315F3" w:rsidRDefault="00BD595B" w:rsidP="00730B99">
            <w:pPr>
              <w:rPr>
                <w:lang w:eastAsia="en-AU"/>
              </w:rPr>
            </w:pPr>
            <w:r>
              <w:rPr>
                <w:lang w:eastAsia="en-AU"/>
              </w:rPr>
              <w:t>Participants</w:t>
            </w:r>
            <w:r w:rsidR="00682103" w:rsidRPr="00B315F3">
              <w:rPr>
                <w:lang w:eastAsia="en-AU"/>
              </w:rPr>
              <w:t xml:space="preserve"> can phone DHS general enquiries on 132 850. Providers can act as an advocate for the </w:t>
            </w:r>
            <w:r>
              <w:rPr>
                <w:lang w:eastAsia="en-AU"/>
              </w:rPr>
              <w:t>Participant</w:t>
            </w:r>
            <w:r w:rsidR="00682103" w:rsidRPr="00B315F3">
              <w:rPr>
                <w:lang w:eastAsia="en-AU"/>
              </w:rPr>
              <w:t xml:space="preserve"> by calling this number while the </w:t>
            </w:r>
            <w:r>
              <w:rPr>
                <w:lang w:eastAsia="en-AU"/>
              </w:rPr>
              <w:t>Participant</w:t>
            </w:r>
            <w:r w:rsidR="00682103" w:rsidRPr="00B315F3">
              <w:rPr>
                <w:lang w:eastAsia="en-AU"/>
              </w:rPr>
              <w:t xml:space="preserve"> is with them.</w:t>
            </w:r>
          </w:p>
        </w:tc>
      </w:tr>
      <w:tr w:rsidR="00682103" w:rsidRPr="00B315F3" w:rsidTr="00730B99">
        <w:trPr>
          <w:trHeight w:val="1487"/>
        </w:trPr>
        <w:tc>
          <w:tcPr>
            <w:tcW w:w="2701" w:type="dxa"/>
          </w:tcPr>
          <w:p w:rsidR="00682103" w:rsidRPr="006214DA" w:rsidRDefault="00682103" w:rsidP="006214DA">
            <w:pPr>
              <w:rPr>
                <w:b/>
              </w:rPr>
            </w:pPr>
            <w:r w:rsidRPr="006214DA">
              <w:rPr>
                <w:b/>
              </w:rPr>
              <w:t>Urgent queries for the DHS PST</w:t>
            </w:r>
          </w:p>
        </w:tc>
        <w:tc>
          <w:tcPr>
            <w:tcW w:w="7797" w:type="dxa"/>
          </w:tcPr>
          <w:p w:rsidR="00682103" w:rsidRPr="00B315F3" w:rsidRDefault="00682103" w:rsidP="00730B99">
            <w:pPr>
              <w:rPr>
                <w:lang w:eastAsia="en-AU"/>
              </w:rPr>
            </w:pPr>
            <w:r w:rsidRPr="00B315F3">
              <w:rPr>
                <w:lang w:eastAsia="en-AU"/>
              </w:rPr>
              <w:t xml:space="preserve">Where the </w:t>
            </w:r>
            <w:r w:rsidR="00BD595B">
              <w:rPr>
                <w:lang w:eastAsia="en-AU"/>
              </w:rPr>
              <w:t>Participant</w:t>
            </w:r>
            <w:r w:rsidRPr="00B315F3">
              <w:rPr>
                <w:lang w:eastAsia="en-AU"/>
              </w:rPr>
              <w:t xml:space="preserve"> is present with the Provider and urgent action is required by DHS to allow the continued regular servicing of the </w:t>
            </w:r>
            <w:r w:rsidR="00BD595B">
              <w:rPr>
                <w:lang w:eastAsia="en-AU"/>
              </w:rPr>
              <w:t>Participant</w:t>
            </w:r>
            <w:r w:rsidRPr="00B315F3">
              <w:rPr>
                <w:lang w:eastAsia="en-AU"/>
              </w:rPr>
              <w:t xml:space="preserve">, the Provider can call the PST on 1300 306 325. </w:t>
            </w:r>
          </w:p>
          <w:p w:rsidR="00682103" w:rsidRPr="00B315F3" w:rsidRDefault="00682103" w:rsidP="00730B99">
            <w:pPr>
              <w:rPr>
                <w:lang w:eastAsia="en-AU"/>
              </w:rPr>
            </w:pPr>
            <w:r w:rsidRPr="00B315F3">
              <w:rPr>
                <w:lang w:eastAsia="en-AU"/>
              </w:rPr>
              <w:t>This would include circumstances where there is a DHS-initiated suspension of income support (other than due to a NAR having been submitted) or for confirmation of exemption applications (for example, medical certificate lodged).</w:t>
            </w:r>
          </w:p>
          <w:p w:rsidR="00682103" w:rsidRPr="00B315F3" w:rsidRDefault="00682103" w:rsidP="00730B99">
            <w:pPr>
              <w:rPr>
                <w:lang w:eastAsia="en-AU"/>
              </w:rPr>
            </w:pPr>
            <w:r w:rsidRPr="00B315F3">
              <w:rPr>
                <w:lang w:eastAsia="en-AU"/>
              </w:rPr>
              <w:t xml:space="preserve">Non-urgent queries </w:t>
            </w:r>
            <w:r w:rsidRPr="00B315F3">
              <w:rPr>
                <w:b/>
                <w:lang w:eastAsia="en-AU"/>
              </w:rPr>
              <w:t>should</w:t>
            </w:r>
            <w:r w:rsidRPr="00B315F3">
              <w:rPr>
                <w:lang w:eastAsia="en-AU"/>
              </w:rPr>
              <w:t xml:space="preserve"> be submitted by email using </w:t>
            </w:r>
            <w:r w:rsidRPr="00BD595B">
              <w:rPr>
                <w:u w:val="single"/>
                <w:lang w:eastAsia="en-AU"/>
              </w:rPr>
              <w:t>Attachment B</w:t>
            </w:r>
            <w:r w:rsidRPr="00B315F3">
              <w:rPr>
                <w:lang w:eastAsia="en-AU"/>
              </w:rPr>
              <w:t xml:space="preserve">: </w:t>
            </w:r>
            <w:r w:rsidR="00D33B1B">
              <w:rPr>
                <w:lang w:eastAsia="en-AU"/>
              </w:rPr>
              <w:t xml:space="preserve">Template for </w:t>
            </w:r>
            <w:r w:rsidR="00D33B1B" w:rsidRPr="00682103">
              <w:rPr>
                <w:lang w:eastAsia="en-AU"/>
              </w:rPr>
              <w:t xml:space="preserve">Employment Provider </w:t>
            </w:r>
            <w:r w:rsidR="00D33B1B">
              <w:rPr>
                <w:lang w:eastAsia="en-AU"/>
              </w:rPr>
              <w:t>Queries to the Department of Human Services Participation Solutions Team (DHS PST</w:t>
            </w:r>
            <w:r w:rsidR="00AC3305">
              <w:rPr>
                <w:lang w:eastAsia="en-AU"/>
              </w:rPr>
              <w:t>)</w:t>
            </w:r>
          </w:p>
        </w:tc>
      </w:tr>
      <w:tr w:rsidR="00682103" w:rsidRPr="00B315F3" w:rsidTr="00730B99">
        <w:trPr>
          <w:trHeight w:val="455"/>
        </w:trPr>
        <w:tc>
          <w:tcPr>
            <w:tcW w:w="2701" w:type="dxa"/>
          </w:tcPr>
          <w:p w:rsidR="00682103" w:rsidRPr="006214DA" w:rsidRDefault="00682103" w:rsidP="006214DA">
            <w:pPr>
              <w:rPr>
                <w:b/>
              </w:rPr>
            </w:pPr>
            <w:r w:rsidRPr="006214DA">
              <w:rPr>
                <w:b/>
              </w:rPr>
              <w:t>Other enquiries</w:t>
            </w:r>
          </w:p>
        </w:tc>
        <w:tc>
          <w:tcPr>
            <w:tcW w:w="7797" w:type="dxa"/>
          </w:tcPr>
          <w:p w:rsidR="00682103" w:rsidRPr="00B315F3" w:rsidRDefault="00682103" w:rsidP="00730B99">
            <w:pPr>
              <w:rPr>
                <w:lang w:eastAsia="en-AU"/>
              </w:rPr>
            </w:pPr>
            <w:r w:rsidRPr="00B315F3">
              <w:rPr>
                <w:lang w:eastAsia="en-AU"/>
              </w:rPr>
              <w:t xml:space="preserve">Providers </w:t>
            </w:r>
            <w:r w:rsidRPr="00B315F3">
              <w:rPr>
                <w:b/>
                <w:lang w:eastAsia="en-AU"/>
              </w:rPr>
              <w:t>should</w:t>
            </w:r>
            <w:r w:rsidR="002D11F5" w:rsidRPr="00B315F3">
              <w:rPr>
                <w:lang w:eastAsia="en-AU"/>
              </w:rPr>
              <w:t xml:space="preserve"> refer to the relevant G</w:t>
            </w:r>
            <w:r w:rsidRPr="00B315F3">
              <w:rPr>
                <w:lang w:eastAsia="en-AU"/>
              </w:rPr>
              <w:t xml:space="preserve">uidelines or </w:t>
            </w:r>
            <w:r w:rsidR="00541833" w:rsidRPr="00BD595B">
              <w:rPr>
                <w:lang w:eastAsia="en-AU"/>
              </w:rPr>
              <w:t>Learning Centre websit</w:t>
            </w:r>
            <w:r w:rsidR="00611071" w:rsidRPr="00BD595B">
              <w:rPr>
                <w:lang w:eastAsia="en-AU"/>
              </w:rPr>
              <w:t>e</w:t>
            </w:r>
            <w:r w:rsidRPr="00B315F3">
              <w:rPr>
                <w:lang w:eastAsia="en-AU"/>
              </w:rPr>
              <w:t xml:space="preserve"> in the first instance.</w:t>
            </w:r>
          </w:p>
          <w:p w:rsidR="00682103" w:rsidRPr="00B315F3" w:rsidRDefault="00682103" w:rsidP="00730B99">
            <w:pPr>
              <w:rPr>
                <w:lang w:eastAsia="en-AU"/>
              </w:rPr>
            </w:pPr>
            <w:r w:rsidRPr="00B315F3">
              <w:rPr>
                <w:lang w:eastAsia="en-AU"/>
              </w:rPr>
              <w:t xml:space="preserve">Questions relating to issues experienced with the Department’s IT Systems </w:t>
            </w:r>
            <w:r w:rsidRPr="00B315F3">
              <w:rPr>
                <w:b/>
                <w:lang w:eastAsia="en-AU"/>
              </w:rPr>
              <w:t>should</w:t>
            </w:r>
            <w:r w:rsidRPr="00B315F3">
              <w:rPr>
                <w:lang w:eastAsia="en-AU"/>
              </w:rPr>
              <w:t xml:space="preserve"> be explored first through the EA Knowledge Base. If the issues cannot be resolved, the Provider </w:t>
            </w:r>
            <w:r w:rsidRPr="00B315F3">
              <w:rPr>
                <w:b/>
                <w:lang w:eastAsia="en-AU"/>
              </w:rPr>
              <w:t>should</w:t>
            </w:r>
            <w:r w:rsidRPr="00B315F3">
              <w:rPr>
                <w:lang w:eastAsia="en-AU"/>
              </w:rPr>
              <w:t xml:space="preserve"> contact the Employment Systems Help Desk on 1300 305 520.</w:t>
            </w:r>
          </w:p>
        </w:tc>
      </w:tr>
    </w:tbl>
    <w:p w:rsidR="001D446D" w:rsidRPr="00B315F3" w:rsidRDefault="001D446D" w:rsidP="00682103">
      <w:pPr>
        <w:pStyle w:val="Heading1"/>
        <w:jc w:val="right"/>
      </w:pPr>
      <w:bookmarkStart w:id="2" w:name="_Attachment_B"/>
      <w:bookmarkEnd w:id="2"/>
      <w:r w:rsidRPr="00B315F3">
        <w:lastRenderedPageBreak/>
        <w:t xml:space="preserve">Attachment </w:t>
      </w:r>
      <w:r w:rsidR="00682103" w:rsidRPr="00B315F3">
        <w:t>B</w:t>
      </w:r>
    </w:p>
    <w:p w:rsidR="001D446D" w:rsidRDefault="00BD595B" w:rsidP="00B02786">
      <w:pPr>
        <w:keepNext/>
        <w:widowControl w:val="0"/>
        <w:jc w:val="center"/>
        <w:rPr>
          <w:sz w:val="35"/>
          <w:szCs w:val="35"/>
        </w:rPr>
      </w:pPr>
      <w:r>
        <w:rPr>
          <w:b/>
          <w:noProof/>
          <w:sz w:val="20"/>
          <w:lang w:eastAsia="en-AU"/>
        </w:rPr>
        <w:drawing>
          <wp:inline distT="0" distB="0" distL="0" distR="0" wp14:anchorId="574CBCC3" wp14:editId="35F27A8E">
            <wp:extent cx="3600450" cy="733425"/>
            <wp:effectExtent l="0" t="0" r="0" b="9525"/>
            <wp:docPr id="3" name="Picture 3"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rsidR="00BD595B" w:rsidRPr="00B315F3" w:rsidRDefault="00BD595B" w:rsidP="00B02786">
      <w:pPr>
        <w:keepNext/>
        <w:widowControl w:val="0"/>
        <w:jc w:val="center"/>
        <w:rPr>
          <w:sz w:val="35"/>
          <w:szCs w:val="35"/>
        </w:rPr>
      </w:pPr>
    </w:p>
    <w:p w:rsidR="00682103" w:rsidRPr="00B315F3" w:rsidRDefault="00682103" w:rsidP="00682103">
      <w:pPr>
        <w:pStyle w:val="Heading1"/>
        <w:jc w:val="center"/>
      </w:pPr>
      <w:r w:rsidRPr="00B315F3">
        <w:t xml:space="preserve">Template for </w:t>
      </w:r>
      <w:r w:rsidR="005B08EB">
        <w:t>e</w:t>
      </w:r>
      <w:r w:rsidRPr="00B315F3">
        <w:t xml:space="preserve">mployment </w:t>
      </w:r>
      <w:r w:rsidR="005B08EB">
        <w:t>p</w:t>
      </w:r>
      <w:r w:rsidRPr="00B315F3">
        <w:t xml:space="preserve">rovider </w:t>
      </w:r>
      <w:r w:rsidR="005B08EB">
        <w:t>q</w:t>
      </w:r>
      <w:r w:rsidRPr="00B315F3">
        <w:t>ueries to the</w:t>
      </w:r>
    </w:p>
    <w:p w:rsidR="00682103" w:rsidRPr="00B315F3" w:rsidRDefault="00682103" w:rsidP="00682103">
      <w:pPr>
        <w:pStyle w:val="Heading1"/>
        <w:jc w:val="center"/>
      </w:pPr>
      <w:r w:rsidRPr="00B315F3">
        <w:t>Department of Human Services Participation Solutions Team (DHS PST)</w:t>
      </w:r>
    </w:p>
    <w:p w:rsidR="00682103" w:rsidRPr="00B315F3" w:rsidRDefault="00682103" w:rsidP="00682103">
      <w:pPr>
        <w:pStyle w:val="Heading2"/>
      </w:pPr>
      <w:r w:rsidRPr="00B315F3">
        <w:t xml:space="preserve">Email when complete to: </w:t>
      </w:r>
      <w:hyperlink r:id="rId21" w:history="1">
        <w:r w:rsidRPr="00B315F3">
          <w:t>PST.ENQUIRY@humanservices.gov.au</w:t>
        </w:r>
      </w:hyperlink>
      <w:r w:rsidRPr="00B315F3">
        <w:t>.</w:t>
      </w:r>
    </w:p>
    <w:p w:rsidR="001D446D" w:rsidRPr="00B315F3" w:rsidRDefault="001D446D" w:rsidP="00753E58">
      <w:pPr>
        <w:pStyle w:val="NoSpacing"/>
      </w:pPr>
    </w:p>
    <w:p w:rsidR="001D446D" w:rsidRPr="00B315F3" w:rsidRDefault="005B08EB" w:rsidP="00B02786">
      <w:pPr>
        <w:keepNext/>
        <w:widowControl w:val="0"/>
        <w:tabs>
          <w:tab w:val="left" w:pos="4395"/>
          <w:tab w:val="left" w:pos="7055"/>
        </w:tabs>
        <w:spacing w:before="60" w:after="20"/>
        <w:ind w:left="108" w:hanging="108"/>
      </w:pPr>
      <w:r>
        <w:rPr>
          <w:rStyle w:val="Heading3Char"/>
        </w:rPr>
        <w:t>DES</w:t>
      </w:r>
      <w:r w:rsidR="001D446D" w:rsidRPr="00B315F3">
        <w:rPr>
          <w:rStyle w:val="Heading3Char"/>
        </w:rPr>
        <w:t xml:space="preserve"> Provider</w:t>
      </w:r>
      <w:r w:rsidR="001D446D" w:rsidRPr="00B315F3">
        <w:tab/>
      </w:r>
      <w:r w:rsidRPr="005B08EB">
        <w:rPr>
          <w:rStyle w:val="Heading3Char"/>
        </w:rPr>
        <w:t>DES</w:t>
      </w:r>
      <w:r>
        <w:t xml:space="preserve"> </w:t>
      </w:r>
      <w:r w:rsidR="001D446D" w:rsidRPr="00B315F3">
        <w:rPr>
          <w:rStyle w:val="Heading3Char"/>
        </w:rPr>
        <w:t>Provider contact name</w:t>
      </w:r>
    </w:p>
    <w:tbl>
      <w:tblPr>
        <w:tblW w:w="0" w:type="auto"/>
        <w:tblInd w:w="108" w:type="dxa"/>
        <w:tblLayout w:type="fixed"/>
        <w:tblCellMar>
          <w:left w:w="107" w:type="dxa"/>
          <w:right w:w="107" w:type="dxa"/>
        </w:tblCellMar>
        <w:tblLook w:val="0000" w:firstRow="0" w:lastRow="0" w:firstColumn="0" w:lastColumn="0" w:noHBand="0" w:noVBand="0"/>
      </w:tblPr>
      <w:tblGrid>
        <w:gridCol w:w="3968"/>
        <w:gridCol w:w="284"/>
        <w:gridCol w:w="4252"/>
      </w:tblGrid>
      <w:tr w:rsidR="001D446D" w:rsidRPr="00B315F3" w:rsidTr="00550378">
        <w:trPr>
          <w:trHeight w:val="397"/>
        </w:trPr>
        <w:tc>
          <w:tcPr>
            <w:tcW w:w="3968" w:type="dxa"/>
            <w:tcBorders>
              <w:top w:val="single" w:sz="6" w:space="0" w:color="auto"/>
              <w:left w:val="single" w:sz="6" w:space="0" w:color="auto"/>
              <w:bottom w:val="single" w:sz="6" w:space="0" w:color="auto"/>
              <w:right w:val="single" w:sz="6" w:space="0" w:color="auto"/>
            </w:tcBorders>
          </w:tcPr>
          <w:p w:rsidR="001D446D" w:rsidRPr="00B315F3" w:rsidRDefault="001D446D" w:rsidP="00B02786">
            <w:pPr>
              <w:keepNext/>
              <w:widowControl w:val="0"/>
              <w:tabs>
                <w:tab w:val="left" w:pos="426"/>
              </w:tabs>
              <w:spacing w:before="60" w:after="60"/>
              <w:rPr>
                <w:rFonts w:ascii="Times New Roman" w:hAnsi="Times New Roman"/>
              </w:rPr>
            </w:pPr>
          </w:p>
        </w:tc>
        <w:tc>
          <w:tcPr>
            <w:tcW w:w="284" w:type="dxa"/>
            <w:tcBorders>
              <w:left w:val="nil"/>
            </w:tcBorders>
          </w:tcPr>
          <w:p w:rsidR="001D446D" w:rsidRPr="00B315F3" w:rsidRDefault="001D446D" w:rsidP="00B02786">
            <w:pPr>
              <w:keepNext/>
              <w:widowControl w:val="0"/>
              <w:tabs>
                <w:tab w:val="left" w:pos="426"/>
              </w:tabs>
            </w:pPr>
          </w:p>
        </w:tc>
        <w:tc>
          <w:tcPr>
            <w:tcW w:w="4252" w:type="dxa"/>
            <w:tcBorders>
              <w:top w:val="single" w:sz="6" w:space="0" w:color="auto"/>
              <w:left w:val="single" w:sz="6" w:space="0" w:color="auto"/>
              <w:bottom w:val="single" w:sz="6" w:space="0" w:color="auto"/>
              <w:right w:val="single" w:sz="6" w:space="0" w:color="auto"/>
            </w:tcBorders>
          </w:tcPr>
          <w:p w:rsidR="001D446D" w:rsidRPr="00B315F3" w:rsidRDefault="001D446D" w:rsidP="00B02786">
            <w:pPr>
              <w:keepNext/>
              <w:widowControl w:val="0"/>
              <w:tabs>
                <w:tab w:val="left" w:pos="426"/>
              </w:tabs>
              <w:rPr>
                <w:rFonts w:ascii="Times New Roman" w:hAnsi="Times New Roman"/>
              </w:rPr>
            </w:pPr>
          </w:p>
        </w:tc>
      </w:tr>
    </w:tbl>
    <w:p w:rsidR="001D446D" w:rsidRPr="00B315F3" w:rsidRDefault="001D446D" w:rsidP="00B02786">
      <w:pPr>
        <w:keepNext/>
        <w:widowControl w:val="0"/>
        <w:tabs>
          <w:tab w:val="left" w:pos="4395"/>
        </w:tabs>
        <w:spacing w:before="40" w:after="20"/>
        <w:rPr>
          <w:b/>
        </w:rPr>
      </w:pPr>
      <w:r w:rsidRPr="00B315F3">
        <w:rPr>
          <w:rStyle w:val="Heading3Char"/>
        </w:rPr>
        <w:t>Site</w:t>
      </w:r>
      <w:r w:rsidRPr="00B315F3">
        <w:tab/>
      </w:r>
      <w:proofErr w:type="spellStart"/>
      <w:r w:rsidRPr="00B315F3">
        <w:rPr>
          <w:rStyle w:val="Heading3Char"/>
        </w:rPr>
        <w:t>Site</w:t>
      </w:r>
      <w:proofErr w:type="spellEnd"/>
      <w:r w:rsidRPr="00B315F3">
        <w:rPr>
          <w:rStyle w:val="Heading3Char"/>
        </w:rPr>
        <w:t xml:space="preserve"> code</w:t>
      </w:r>
    </w:p>
    <w:tbl>
      <w:tblPr>
        <w:tblW w:w="0" w:type="auto"/>
        <w:tblInd w:w="108" w:type="dxa"/>
        <w:tblLayout w:type="fixed"/>
        <w:tblCellMar>
          <w:left w:w="107" w:type="dxa"/>
          <w:right w:w="107" w:type="dxa"/>
        </w:tblCellMar>
        <w:tblLook w:val="0000" w:firstRow="0" w:lastRow="0" w:firstColumn="0" w:lastColumn="0" w:noHBand="0" w:noVBand="0"/>
      </w:tblPr>
      <w:tblGrid>
        <w:gridCol w:w="3968"/>
        <w:gridCol w:w="284"/>
        <w:gridCol w:w="4252"/>
      </w:tblGrid>
      <w:tr w:rsidR="001D446D" w:rsidRPr="00B315F3" w:rsidTr="00550378">
        <w:trPr>
          <w:trHeight w:val="397"/>
        </w:trPr>
        <w:tc>
          <w:tcPr>
            <w:tcW w:w="3968" w:type="dxa"/>
            <w:tcBorders>
              <w:top w:val="single" w:sz="6" w:space="0" w:color="auto"/>
              <w:left w:val="single" w:sz="6" w:space="0" w:color="auto"/>
              <w:bottom w:val="single" w:sz="6" w:space="0" w:color="auto"/>
              <w:right w:val="single" w:sz="6" w:space="0" w:color="auto"/>
            </w:tcBorders>
          </w:tcPr>
          <w:p w:rsidR="001D446D" w:rsidRPr="00B315F3" w:rsidRDefault="001D446D" w:rsidP="00B02786">
            <w:pPr>
              <w:keepNext/>
              <w:widowControl w:val="0"/>
              <w:tabs>
                <w:tab w:val="left" w:pos="426"/>
              </w:tabs>
              <w:spacing w:before="60" w:after="60"/>
              <w:rPr>
                <w:rFonts w:ascii="Times New Roman" w:hAnsi="Times New Roman"/>
              </w:rPr>
            </w:pPr>
          </w:p>
        </w:tc>
        <w:tc>
          <w:tcPr>
            <w:tcW w:w="284" w:type="dxa"/>
            <w:tcBorders>
              <w:left w:val="single" w:sz="6" w:space="0" w:color="auto"/>
              <w:right w:val="single" w:sz="6" w:space="0" w:color="auto"/>
            </w:tcBorders>
          </w:tcPr>
          <w:p w:rsidR="001D446D" w:rsidRPr="00B315F3" w:rsidRDefault="001D446D" w:rsidP="00B02786">
            <w:pPr>
              <w:keepNext/>
              <w:widowControl w:val="0"/>
              <w:tabs>
                <w:tab w:val="left" w:pos="426"/>
              </w:tabs>
              <w:spacing w:before="60" w:after="60"/>
              <w:rPr>
                <w:rFonts w:ascii="Times New Roman" w:hAnsi="Times New Roman"/>
              </w:rPr>
            </w:pPr>
          </w:p>
        </w:tc>
        <w:tc>
          <w:tcPr>
            <w:tcW w:w="4252" w:type="dxa"/>
            <w:tcBorders>
              <w:top w:val="single" w:sz="6" w:space="0" w:color="auto"/>
              <w:left w:val="single" w:sz="6" w:space="0" w:color="auto"/>
              <w:bottom w:val="single" w:sz="6" w:space="0" w:color="auto"/>
              <w:right w:val="single" w:sz="6" w:space="0" w:color="auto"/>
            </w:tcBorders>
          </w:tcPr>
          <w:p w:rsidR="001D446D" w:rsidRPr="00B315F3" w:rsidRDefault="001D446D" w:rsidP="00B02786">
            <w:pPr>
              <w:keepNext/>
              <w:widowControl w:val="0"/>
              <w:tabs>
                <w:tab w:val="left" w:pos="426"/>
              </w:tabs>
              <w:spacing w:before="60" w:after="60"/>
              <w:rPr>
                <w:rFonts w:ascii="Times New Roman" w:hAnsi="Times New Roman"/>
              </w:rPr>
            </w:pPr>
          </w:p>
        </w:tc>
      </w:tr>
    </w:tbl>
    <w:p w:rsidR="001D446D" w:rsidRPr="00115297" w:rsidRDefault="001D446D" w:rsidP="00115297">
      <w:pPr>
        <w:rPr>
          <w:b/>
        </w:rPr>
      </w:pPr>
      <w:r w:rsidRPr="00115297">
        <w:rPr>
          <w:b/>
        </w:rPr>
        <w:t>Job Seeker ID</w:t>
      </w:r>
      <w:r w:rsidRPr="00115297">
        <w:rPr>
          <w:b/>
        </w:rPr>
        <w:tab/>
      </w:r>
    </w:p>
    <w:tbl>
      <w:tblPr>
        <w:tblpPr w:leftFromText="180" w:rightFromText="180" w:vertAnchor="text" w:tblpX="10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35"/>
      </w:tblGrid>
      <w:tr w:rsidR="001D446D" w:rsidRPr="00B315F3" w:rsidTr="00550378">
        <w:trPr>
          <w:trHeight w:val="397"/>
        </w:trPr>
        <w:tc>
          <w:tcPr>
            <w:tcW w:w="3935" w:type="dxa"/>
          </w:tcPr>
          <w:p w:rsidR="001D446D" w:rsidRPr="00B315F3" w:rsidRDefault="001D446D" w:rsidP="00B02786">
            <w:pPr>
              <w:keepNext/>
              <w:widowControl w:val="0"/>
              <w:tabs>
                <w:tab w:val="left" w:pos="426"/>
              </w:tabs>
              <w:spacing w:before="60" w:after="60"/>
              <w:rPr>
                <w:rFonts w:ascii="Times New Roman" w:hAnsi="Times New Roman"/>
              </w:rPr>
            </w:pPr>
          </w:p>
        </w:tc>
      </w:tr>
    </w:tbl>
    <w:p w:rsidR="00EB502B" w:rsidRPr="00B315F3" w:rsidRDefault="001D446D" w:rsidP="00B02786">
      <w:pPr>
        <w:keepNext/>
        <w:widowControl w:val="0"/>
        <w:spacing w:before="240" w:after="240"/>
      </w:pPr>
      <w:r w:rsidRPr="00B315F3">
        <w:br w:type="textWrapping" w:clear="all"/>
        <w:t>Topic (</w:t>
      </w:r>
      <w:r w:rsidRPr="00B315F3">
        <w:rPr>
          <w:i/>
          <w:sz w:val="20"/>
          <w:szCs w:val="20"/>
        </w:rPr>
        <w:t>Please indicate with an X</w:t>
      </w:r>
      <w:r w:rsidRPr="00B315F3">
        <w:t>)</w:t>
      </w:r>
    </w:p>
    <w:p w:rsidR="00EB502B" w:rsidRPr="00B315F3" w:rsidRDefault="00EB502B" w:rsidP="00EB502B">
      <w:r w:rsidRPr="00B315F3">
        <w:t xml:space="preserve">Note: The topic selected below </w:t>
      </w:r>
      <w:r w:rsidRPr="00B315F3">
        <w:rPr>
          <w:b/>
        </w:rPr>
        <w:t>should</w:t>
      </w:r>
      <w:r w:rsidRPr="00B315F3">
        <w:t xml:space="preserve"> be included in the subject heading of the email sent to the PST. </w:t>
      </w:r>
      <w:r w:rsidRPr="00B315F3">
        <w:rPr>
          <w:u w:val="single"/>
        </w:rPr>
        <w:t>Do not</w:t>
      </w:r>
      <w:r w:rsidRPr="00B315F3">
        <w:t xml:space="preserve"> include any of the </w:t>
      </w:r>
      <w:r w:rsidR="00BD595B">
        <w:rPr>
          <w:lang w:eastAsia="en-AU"/>
        </w:rPr>
        <w:t>Participant</w:t>
      </w:r>
      <w:r w:rsidR="00BD595B">
        <w:t>’s</w:t>
      </w:r>
      <w:r w:rsidRPr="00B315F3">
        <w:t xml:space="preserve"> personal details in the email or this template—only the JSID.</w:t>
      </w:r>
    </w:p>
    <w:tbl>
      <w:tblPr>
        <w:tblW w:w="10647" w:type="dxa"/>
        <w:tblInd w:w="93" w:type="dxa"/>
        <w:tblLook w:val="04A0" w:firstRow="1" w:lastRow="0" w:firstColumn="1" w:lastColumn="0" w:noHBand="0" w:noVBand="1"/>
      </w:tblPr>
      <w:tblGrid>
        <w:gridCol w:w="271"/>
        <w:gridCol w:w="4876"/>
        <w:gridCol w:w="271"/>
        <w:gridCol w:w="5239"/>
      </w:tblGrid>
      <w:tr w:rsidR="001D446D" w:rsidRPr="00B315F3" w:rsidTr="00550378">
        <w:trPr>
          <w:trHeight w:val="199"/>
        </w:trPr>
        <w:tc>
          <w:tcPr>
            <w:tcW w:w="266" w:type="dxa"/>
            <w:shd w:val="clear" w:color="auto" w:fill="auto"/>
            <w:noWrap/>
            <w:vAlign w:val="bottom"/>
          </w:tcPr>
          <w:p w:rsidR="001D446D" w:rsidRPr="00B315F3" w:rsidRDefault="001D446D" w:rsidP="00B02786">
            <w:pPr>
              <w:keepNext/>
              <w:widowControl w:val="0"/>
              <w:rPr>
                <w:rFonts w:cs="Calibri"/>
                <w:color w:val="000000"/>
              </w:rPr>
            </w:pPr>
          </w:p>
        </w:tc>
        <w:tc>
          <w:tcPr>
            <w:tcW w:w="4876" w:type="dxa"/>
            <w:shd w:val="clear" w:color="auto" w:fill="auto"/>
            <w:noWrap/>
            <w:vAlign w:val="bottom"/>
          </w:tcPr>
          <w:p w:rsidR="001D446D" w:rsidRPr="00B315F3" w:rsidRDefault="001D446D" w:rsidP="00EB502B">
            <w:pPr>
              <w:pStyle w:val="Heading3"/>
              <w:rPr>
                <w:rFonts w:cs="Calibri"/>
                <w:color w:val="000000"/>
                <w:sz w:val="20"/>
                <w:szCs w:val="20"/>
              </w:rPr>
            </w:pPr>
            <w:r w:rsidRPr="00B315F3">
              <w:rPr>
                <w:rFonts w:cs="Calibri"/>
                <w:color w:val="000000"/>
              </w:rPr>
              <w:t xml:space="preserve"> </w:t>
            </w:r>
            <w:r w:rsidRPr="00B315F3">
              <w:t>Compliance</w:t>
            </w:r>
          </w:p>
        </w:tc>
        <w:tc>
          <w:tcPr>
            <w:tcW w:w="266" w:type="dxa"/>
            <w:shd w:val="clear" w:color="auto" w:fill="auto"/>
            <w:noWrap/>
            <w:vAlign w:val="bottom"/>
          </w:tcPr>
          <w:p w:rsidR="001D446D" w:rsidRPr="00B315F3" w:rsidRDefault="001D446D" w:rsidP="00B02786">
            <w:pPr>
              <w:keepNext/>
              <w:widowControl w:val="0"/>
              <w:rPr>
                <w:rFonts w:cs="Calibri"/>
                <w:color w:val="000000"/>
              </w:rPr>
            </w:pPr>
          </w:p>
        </w:tc>
        <w:tc>
          <w:tcPr>
            <w:tcW w:w="5239" w:type="dxa"/>
            <w:shd w:val="clear" w:color="auto" w:fill="auto"/>
            <w:noWrap/>
            <w:vAlign w:val="bottom"/>
          </w:tcPr>
          <w:p w:rsidR="001D446D" w:rsidRPr="00B315F3" w:rsidRDefault="001D446D" w:rsidP="00EB502B">
            <w:pPr>
              <w:pStyle w:val="Heading3"/>
              <w:rPr>
                <w:rFonts w:cs="Calibri"/>
                <w:color w:val="000000"/>
                <w:sz w:val="20"/>
                <w:szCs w:val="20"/>
              </w:rPr>
            </w:pPr>
            <w:r w:rsidRPr="00B315F3">
              <w:rPr>
                <w:rFonts w:cs="Calibri"/>
                <w:color w:val="000000"/>
              </w:rPr>
              <w:t xml:space="preserve"> </w:t>
            </w:r>
            <w:r w:rsidRPr="00B315F3">
              <w:t>Other</w:t>
            </w:r>
          </w:p>
        </w:tc>
      </w:tr>
      <w:tr w:rsidR="001D446D" w:rsidRPr="00B315F3" w:rsidTr="00550378">
        <w:trPr>
          <w:trHeight w:val="283"/>
        </w:trPr>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46D" w:rsidRPr="00B315F3" w:rsidRDefault="001D446D" w:rsidP="00B02786">
            <w:pPr>
              <w:keepNext/>
              <w:widowControl w:val="0"/>
              <w:rPr>
                <w:rFonts w:cs="Calibri"/>
                <w:color w:val="000000"/>
              </w:rPr>
            </w:pPr>
            <w:r w:rsidRPr="00B315F3">
              <w:rPr>
                <w:rFonts w:cs="Calibri"/>
                <w:color w:val="000000"/>
              </w:rPr>
              <w:t> </w:t>
            </w:r>
          </w:p>
        </w:tc>
        <w:tc>
          <w:tcPr>
            <w:tcW w:w="4876" w:type="dxa"/>
            <w:tcBorders>
              <w:left w:val="nil"/>
              <w:bottom w:val="nil"/>
              <w:right w:val="nil"/>
            </w:tcBorders>
            <w:shd w:val="clear" w:color="auto" w:fill="auto"/>
            <w:noWrap/>
            <w:vAlign w:val="bottom"/>
            <w:hideMark/>
          </w:tcPr>
          <w:p w:rsidR="001D446D" w:rsidRPr="00B315F3" w:rsidRDefault="001D446D" w:rsidP="00B02786">
            <w:pPr>
              <w:keepNext/>
              <w:widowControl w:val="0"/>
              <w:rPr>
                <w:rFonts w:cs="Calibri"/>
                <w:color w:val="000000"/>
              </w:rPr>
            </w:pPr>
            <w:r w:rsidRPr="00B315F3">
              <w:rPr>
                <w:rFonts w:cs="Calibri"/>
                <w:color w:val="000000"/>
              </w:rPr>
              <w:t xml:space="preserve"> Withdrawal of Participation Report</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46D" w:rsidRPr="00B315F3" w:rsidRDefault="001D446D" w:rsidP="00B02786">
            <w:pPr>
              <w:keepNext/>
              <w:widowControl w:val="0"/>
              <w:rPr>
                <w:rFonts w:cs="Calibri"/>
                <w:color w:val="000000"/>
              </w:rPr>
            </w:pPr>
            <w:r w:rsidRPr="00B315F3">
              <w:rPr>
                <w:rFonts w:cs="Calibri"/>
                <w:color w:val="000000"/>
              </w:rPr>
              <w:t> </w:t>
            </w:r>
          </w:p>
        </w:tc>
        <w:tc>
          <w:tcPr>
            <w:tcW w:w="5239" w:type="dxa"/>
            <w:tcBorders>
              <w:left w:val="nil"/>
              <w:bottom w:val="nil"/>
              <w:right w:val="nil"/>
            </w:tcBorders>
            <w:shd w:val="clear" w:color="auto" w:fill="auto"/>
            <w:noWrap/>
            <w:vAlign w:val="bottom"/>
            <w:hideMark/>
          </w:tcPr>
          <w:p w:rsidR="001D446D" w:rsidRPr="00B315F3" w:rsidRDefault="001D446D" w:rsidP="00B02786">
            <w:pPr>
              <w:keepNext/>
              <w:widowControl w:val="0"/>
              <w:rPr>
                <w:rFonts w:cs="Calibri"/>
                <w:color w:val="000000"/>
              </w:rPr>
            </w:pPr>
            <w:r w:rsidRPr="00B315F3">
              <w:rPr>
                <w:rFonts w:cs="Calibri"/>
                <w:color w:val="000000"/>
              </w:rPr>
              <w:t xml:space="preserve"> Exemption from Activity Test Requirements</w:t>
            </w:r>
          </w:p>
        </w:tc>
      </w:tr>
      <w:tr w:rsidR="001D446D" w:rsidRPr="00B315F3" w:rsidTr="00550378">
        <w:trPr>
          <w:trHeight w:val="283"/>
        </w:trPr>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46D" w:rsidRPr="00B315F3" w:rsidRDefault="001D446D" w:rsidP="00B02786">
            <w:pPr>
              <w:keepNext/>
              <w:widowControl w:val="0"/>
              <w:rPr>
                <w:rFonts w:cs="Calibri"/>
                <w:color w:val="000000"/>
              </w:rPr>
            </w:pPr>
            <w:r w:rsidRPr="00B315F3">
              <w:rPr>
                <w:rFonts w:cs="Calibri"/>
                <w:color w:val="000000"/>
              </w:rPr>
              <w:t> </w:t>
            </w:r>
          </w:p>
        </w:tc>
        <w:tc>
          <w:tcPr>
            <w:tcW w:w="4876" w:type="dxa"/>
            <w:tcBorders>
              <w:top w:val="nil"/>
              <w:left w:val="nil"/>
              <w:bottom w:val="nil"/>
              <w:right w:val="nil"/>
            </w:tcBorders>
            <w:shd w:val="clear" w:color="auto" w:fill="auto"/>
            <w:noWrap/>
            <w:vAlign w:val="bottom"/>
            <w:hideMark/>
          </w:tcPr>
          <w:p w:rsidR="001D446D" w:rsidRPr="00B315F3" w:rsidRDefault="001D446D" w:rsidP="00B02786">
            <w:pPr>
              <w:keepNext/>
              <w:widowControl w:val="0"/>
              <w:rPr>
                <w:rFonts w:cs="Calibri"/>
                <w:color w:val="000000"/>
              </w:rPr>
            </w:pPr>
            <w:r w:rsidRPr="00B315F3">
              <w:rPr>
                <w:rFonts w:cs="Calibri"/>
                <w:color w:val="000000"/>
              </w:rPr>
              <w:t xml:space="preserve"> Feedback about decision on compliance</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46D" w:rsidRPr="00B315F3" w:rsidRDefault="001D446D" w:rsidP="00B02786">
            <w:pPr>
              <w:keepNext/>
              <w:widowControl w:val="0"/>
              <w:rPr>
                <w:rFonts w:cs="Calibri"/>
                <w:color w:val="000000"/>
              </w:rPr>
            </w:pPr>
            <w:r w:rsidRPr="00B315F3">
              <w:rPr>
                <w:rFonts w:cs="Calibri"/>
                <w:color w:val="000000"/>
              </w:rPr>
              <w:t> </w:t>
            </w:r>
          </w:p>
        </w:tc>
        <w:tc>
          <w:tcPr>
            <w:tcW w:w="5239" w:type="dxa"/>
            <w:tcBorders>
              <w:top w:val="nil"/>
              <w:left w:val="nil"/>
              <w:bottom w:val="nil"/>
              <w:right w:val="nil"/>
            </w:tcBorders>
            <w:shd w:val="clear" w:color="auto" w:fill="auto"/>
            <w:noWrap/>
            <w:vAlign w:val="bottom"/>
            <w:hideMark/>
          </w:tcPr>
          <w:p w:rsidR="001D446D" w:rsidRPr="00B315F3" w:rsidRDefault="001D446D" w:rsidP="00B02786">
            <w:pPr>
              <w:keepNext/>
              <w:widowControl w:val="0"/>
              <w:rPr>
                <w:rFonts w:cs="Calibri"/>
                <w:color w:val="000000"/>
              </w:rPr>
            </w:pPr>
            <w:r w:rsidRPr="00B315F3">
              <w:rPr>
                <w:rFonts w:cs="Calibri"/>
                <w:color w:val="000000"/>
              </w:rPr>
              <w:t xml:space="preserve"> Activity—current/finalised</w:t>
            </w:r>
          </w:p>
        </w:tc>
      </w:tr>
      <w:tr w:rsidR="001D446D" w:rsidRPr="00B315F3" w:rsidTr="00550378">
        <w:trPr>
          <w:trHeight w:val="283"/>
        </w:trPr>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46D" w:rsidRPr="00B315F3" w:rsidRDefault="001D446D" w:rsidP="00B02786">
            <w:pPr>
              <w:keepNext/>
              <w:widowControl w:val="0"/>
              <w:rPr>
                <w:rFonts w:cs="Calibri"/>
                <w:color w:val="000000"/>
              </w:rPr>
            </w:pPr>
            <w:r w:rsidRPr="00B315F3">
              <w:rPr>
                <w:rFonts w:cs="Calibri"/>
                <w:color w:val="000000"/>
              </w:rPr>
              <w:t> </w:t>
            </w:r>
          </w:p>
        </w:tc>
        <w:tc>
          <w:tcPr>
            <w:tcW w:w="4876" w:type="dxa"/>
            <w:tcBorders>
              <w:top w:val="nil"/>
              <w:left w:val="nil"/>
              <w:bottom w:val="nil"/>
              <w:right w:val="nil"/>
            </w:tcBorders>
            <w:shd w:val="clear" w:color="auto" w:fill="auto"/>
            <w:noWrap/>
            <w:vAlign w:val="bottom"/>
            <w:hideMark/>
          </w:tcPr>
          <w:p w:rsidR="001D446D" w:rsidRPr="00B315F3" w:rsidRDefault="001D446D" w:rsidP="00B02786">
            <w:pPr>
              <w:keepNext/>
              <w:widowControl w:val="0"/>
              <w:rPr>
                <w:rFonts w:cs="Calibri"/>
                <w:color w:val="000000"/>
              </w:rPr>
            </w:pPr>
            <w:r w:rsidRPr="00B315F3">
              <w:rPr>
                <w:rFonts w:cs="Calibri"/>
                <w:color w:val="000000"/>
              </w:rPr>
              <w:t xml:space="preserve"> Provider Interventions recommended in a CCA</w:t>
            </w: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46D" w:rsidRPr="00B315F3" w:rsidRDefault="001D446D" w:rsidP="00B02786">
            <w:pPr>
              <w:keepNext/>
              <w:widowControl w:val="0"/>
              <w:rPr>
                <w:rFonts w:cs="Calibri"/>
                <w:color w:val="000000"/>
              </w:rPr>
            </w:pPr>
            <w:r w:rsidRPr="00B315F3">
              <w:rPr>
                <w:rFonts w:cs="Calibri"/>
                <w:color w:val="000000"/>
              </w:rPr>
              <w:t> </w:t>
            </w:r>
          </w:p>
        </w:tc>
        <w:tc>
          <w:tcPr>
            <w:tcW w:w="5239" w:type="dxa"/>
            <w:tcBorders>
              <w:top w:val="nil"/>
              <w:left w:val="nil"/>
              <w:bottom w:val="nil"/>
              <w:right w:val="nil"/>
            </w:tcBorders>
            <w:shd w:val="clear" w:color="auto" w:fill="auto"/>
            <w:noWrap/>
            <w:vAlign w:val="bottom"/>
            <w:hideMark/>
          </w:tcPr>
          <w:p w:rsidR="001D446D" w:rsidRPr="00B315F3" w:rsidRDefault="001D446D" w:rsidP="00B02786">
            <w:pPr>
              <w:keepNext/>
              <w:widowControl w:val="0"/>
              <w:rPr>
                <w:rFonts w:cs="Calibri"/>
                <w:color w:val="000000"/>
              </w:rPr>
            </w:pPr>
            <w:r w:rsidRPr="00B315F3">
              <w:rPr>
                <w:rFonts w:cs="Calibri"/>
                <w:color w:val="000000"/>
              </w:rPr>
              <w:t xml:space="preserve"> Mutual Obligation Requirements</w:t>
            </w:r>
          </w:p>
        </w:tc>
      </w:tr>
      <w:tr w:rsidR="001D446D" w:rsidRPr="00B315F3" w:rsidTr="00550378">
        <w:trPr>
          <w:trHeight w:val="283"/>
        </w:trPr>
        <w:tc>
          <w:tcPr>
            <w:tcW w:w="266" w:type="dxa"/>
            <w:tcBorders>
              <w:top w:val="nil"/>
              <w:left w:val="nil"/>
              <w:bottom w:val="nil"/>
              <w:right w:val="nil"/>
            </w:tcBorders>
            <w:shd w:val="clear" w:color="auto" w:fill="auto"/>
            <w:noWrap/>
            <w:vAlign w:val="bottom"/>
            <w:hideMark/>
          </w:tcPr>
          <w:p w:rsidR="001D446D" w:rsidRPr="00B315F3" w:rsidRDefault="001D446D" w:rsidP="00B02786">
            <w:pPr>
              <w:keepNext/>
              <w:widowControl w:val="0"/>
              <w:rPr>
                <w:rFonts w:cs="Calibri"/>
                <w:color w:val="000000"/>
              </w:rPr>
            </w:pPr>
          </w:p>
        </w:tc>
        <w:tc>
          <w:tcPr>
            <w:tcW w:w="4876" w:type="dxa"/>
            <w:tcBorders>
              <w:top w:val="nil"/>
              <w:left w:val="nil"/>
              <w:bottom w:val="nil"/>
              <w:right w:val="nil"/>
            </w:tcBorders>
            <w:shd w:val="clear" w:color="auto" w:fill="auto"/>
            <w:noWrap/>
            <w:vAlign w:val="bottom"/>
            <w:hideMark/>
          </w:tcPr>
          <w:p w:rsidR="001D446D" w:rsidRPr="00B315F3" w:rsidRDefault="001D446D" w:rsidP="00B02786">
            <w:pPr>
              <w:keepNext/>
              <w:widowControl w:val="0"/>
              <w:rPr>
                <w:rFonts w:cs="Calibri"/>
                <w:color w:val="000000"/>
              </w:rPr>
            </w:pPr>
          </w:p>
        </w:tc>
        <w:tc>
          <w:tcPr>
            <w:tcW w:w="2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446D" w:rsidRPr="00B315F3" w:rsidRDefault="001D446D" w:rsidP="00B02786">
            <w:pPr>
              <w:keepNext/>
              <w:widowControl w:val="0"/>
              <w:rPr>
                <w:rFonts w:cs="Calibri"/>
                <w:color w:val="000000"/>
              </w:rPr>
            </w:pPr>
            <w:r w:rsidRPr="00B315F3">
              <w:rPr>
                <w:rFonts w:cs="Calibri"/>
                <w:color w:val="000000"/>
              </w:rPr>
              <w:t> </w:t>
            </w:r>
          </w:p>
        </w:tc>
        <w:tc>
          <w:tcPr>
            <w:tcW w:w="5239" w:type="dxa"/>
            <w:tcBorders>
              <w:top w:val="nil"/>
              <w:left w:val="nil"/>
              <w:bottom w:val="nil"/>
              <w:right w:val="nil"/>
            </w:tcBorders>
            <w:shd w:val="clear" w:color="auto" w:fill="auto"/>
            <w:noWrap/>
            <w:vAlign w:val="bottom"/>
            <w:hideMark/>
          </w:tcPr>
          <w:p w:rsidR="001D446D" w:rsidRPr="00B315F3" w:rsidRDefault="001D446D" w:rsidP="00B02786">
            <w:pPr>
              <w:keepNext/>
              <w:widowControl w:val="0"/>
              <w:rPr>
                <w:rFonts w:cs="Calibri"/>
                <w:color w:val="000000"/>
              </w:rPr>
            </w:pPr>
            <w:r w:rsidRPr="00B315F3">
              <w:rPr>
                <w:rFonts w:cs="Calibri"/>
                <w:color w:val="000000"/>
              </w:rPr>
              <w:t xml:space="preserve"> Other (specify below)</w:t>
            </w:r>
          </w:p>
        </w:tc>
      </w:tr>
    </w:tbl>
    <w:p w:rsidR="001D446D" w:rsidRPr="00115297" w:rsidRDefault="001D446D" w:rsidP="00115297">
      <w:pPr>
        <w:rPr>
          <w:b/>
        </w:rPr>
      </w:pPr>
      <w:r w:rsidRPr="00115297">
        <w:rPr>
          <w:b/>
        </w:rPr>
        <w:t>Other</w:t>
      </w:r>
    </w:p>
    <w:tbl>
      <w:tblPr>
        <w:tblW w:w="4887" w:type="pct"/>
        <w:tblCellMar>
          <w:left w:w="107" w:type="dxa"/>
          <w:right w:w="107" w:type="dxa"/>
        </w:tblCellMar>
        <w:tblLook w:val="0000" w:firstRow="0" w:lastRow="0" w:firstColumn="0" w:lastColumn="0" w:noHBand="0" w:noVBand="0"/>
      </w:tblPr>
      <w:tblGrid>
        <w:gridCol w:w="10046"/>
      </w:tblGrid>
      <w:tr w:rsidR="00EB502B" w:rsidRPr="00B315F3" w:rsidTr="00550378">
        <w:trPr>
          <w:trHeight w:hRule="exact" w:val="397"/>
        </w:trPr>
        <w:tc>
          <w:tcPr>
            <w:tcW w:w="5000" w:type="pct"/>
            <w:tcBorders>
              <w:top w:val="single" w:sz="4" w:space="0" w:color="auto"/>
              <w:left w:val="single" w:sz="4" w:space="0" w:color="auto"/>
              <w:bottom w:val="single" w:sz="4" w:space="0" w:color="auto"/>
              <w:right w:val="single" w:sz="4" w:space="0" w:color="auto"/>
            </w:tcBorders>
          </w:tcPr>
          <w:p w:rsidR="00EB502B" w:rsidRPr="00B315F3" w:rsidRDefault="00EB502B" w:rsidP="00EB502B">
            <w:pPr>
              <w:tabs>
                <w:tab w:val="left" w:pos="426"/>
              </w:tabs>
              <w:spacing w:before="60" w:after="60"/>
              <w:rPr>
                <w:rFonts w:ascii="Times New Roman" w:eastAsia="Times New Roman" w:hAnsi="Times New Roman" w:cs="Times New Roman"/>
                <w:szCs w:val="24"/>
                <w:lang w:eastAsia="en-AU"/>
              </w:rPr>
            </w:pPr>
          </w:p>
        </w:tc>
      </w:tr>
    </w:tbl>
    <w:p w:rsidR="00EB502B" w:rsidRPr="00B315F3" w:rsidRDefault="00EB502B" w:rsidP="00EB502B">
      <w:pPr>
        <w:spacing w:before="40" w:after="20"/>
        <w:rPr>
          <w:rFonts w:ascii="Calibri" w:eastAsia="Times New Roman" w:hAnsi="Calibri" w:cs="Times New Roman"/>
          <w:b/>
          <w:szCs w:val="24"/>
          <w:lang w:eastAsia="en-AU"/>
        </w:rPr>
      </w:pPr>
    </w:p>
    <w:tbl>
      <w:tblPr>
        <w:tblpPr w:leftFromText="180" w:rightFromText="180" w:vertAnchor="text" w:horzAnchor="page" w:tblpX="9151" w:tblpY="-13"/>
        <w:tblW w:w="0" w:type="auto"/>
        <w:shd w:val="clear" w:color="auto" w:fill="FFFFFF" w:themeFill="background1"/>
        <w:tblLayout w:type="fixed"/>
        <w:tblCellMar>
          <w:left w:w="0" w:type="dxa"/>
          <w:right w:w="0" w:type="dxa"/>
        </w:tblCellMar>
        <w:tblLook w:val="0000" w:firstRow="0" w:lastRow="0" w:firstColumn="0" w:lastColumn="0" w:noHBand="0" w:noVBand="0"/>
      </w:tblPr>
      <w:tblGrid>
        <w:gridCol w:w="298"/>
      </w:tblGrid>
      <w:tr w:rsidR="00EB502B" w:rsidRPr="00B315F3" w:rsidTr="00550378">
        <w:trPr>
          <w:trHeight w:hRule="exact" w:val="339"/>
        </w:trPr>
        <w:tc>
          <w:tcPr>
            <w:tcW w:w="298" w:type="dxa"/>
            <w:tcBorders>
              <w:top w:val="single" w:sz="6" w:space="0" w:color="auto"/>
              <w:left w:val="single" w:sz="6" w:space="0" w:color="auto"/>
              <w:bottom w:val="single" w:sz="4" w:space="0" w:color="auto"/>
              <w:right w:val="single" w:sz="6" w:space="0" w:color="auto"/>
            </w:tcBorders>
            <w:shd w:val="clear" w:color="auto" w:fill="FFFFFF" w:themeFill="background1"/>
          </w:tcPr>
          <w:p w:rsidR="00EB502B" w:rsidRPr="00B315F3" w:rsidRDefault="00EB502B" w:rsidP="00EB502B">
            <w:pPr>
              <w:jc w:val="center"/>
              <w:rPr>
                <w:rFonts w:ascii="Calibri" w:eastAsia="Times New Roman" w:hAnsi="Calibri" w:cs="Times New Roman"/>
                <w:sz w:val="28"/>
                <w:szCs w:val="24"/>
                <w:lang w:eastAsia="en-AU"/>
              </w:rPr>
            </w:pPr>
          </w:p>
        </w:tc>
      </w:tr>
    </w:tbl>
    <w:p w:rsidR="00EB502B" w:rsidRPr="00B315F3" w:rsidRDefault="00EB502B" w:rsidP="00EB502B">
      <w:pPr>
        <w:rPr>
          <w:rFonts w:ascii="Calibri" w:eastAsia="Times New Roman" w:hAnsi="Calibri" w:cs="Times New Roman"/>
          <w:lang w:eastAsia="en-AU"/>
        </w:rPr>
      </w:pPr>
      <w:r w:rsidRPr="00B315F3">
        <w:rPr>
          <w:rFonts w:ascii="Calibri" w:eastAsia="Times New Roman" w:hAnsi="Calibri" w:cs="Times New Roman"/>
          <w:lang w:eastAsia="en-AU"/>
        </w:rPr>
        <w:t>Did you check Provider Portal and/or Knowledgebase before lodging query?</w:t>
      </w:r>
      <w:r w:rsidRPr="00B315F3">
        <w:rPr>
          <w:rFonts w:ascii="Calibri" w:eastAsia="Times New Roman" w:hAnsi="Calibri" w:cs="Times New Roman"/>
          <w:lang w:eastAsia="en-AU"/>
        </w:rPr>
        <w:tab/>
        <w:t xml:space="preserve">Yes </w:t>
      </w:r>
    </w:p>
    <w:tbl>
      <w:tblPr>
        <w:tblpPr w:leftFromText="180" w:rightFromText="180" w:vertAnchor="text" w:horzAnchor="page" w:tblpX="9151" w:tblpY="-13"/>
        <w:tblW w:w="0" w:type="auto"/>
        <w:shd w:val="clear" w:color="auto" w:fill="FFFFFF" w:themeFill="background1"/>
        <w:tblLayout w:type="fixed"/>
        <w:tblCellMar>
          <w:left w:w="0" w:type="dxa"/>
          <w:right w:w="0" w:type="dxa"/>
        </w:tblCellMar>
        <w:tblLook w:val="0000" w:firstRow="0" w:lastRow="0" w:firstColumn="0" w:lastColumn="0" w:noHBand="0" w:noVBand="0"/>
      </w:tblPr>
      <w:tblGrid>
        <w:gridCol w:w="298"/>
      </w:tblGrid>
      <w:tr w:rsidR="00EB502B" w:rsidRPr="00B315F3" w:rsidTr="00550378">
        <w:trPr>
          <w:trHeight w:hRule="exact" w:val="289"/>
        </w:trPr>
        <w:tc>
          <w:tcPr>
            <w:tcW w:w="298" w:type="dxa"/>
            <w:tcBorders>
              <w:top w:val="single" w:sz="6" w:space="0" w:color="auto"/>
              <w:left w:val="single" w:sz="6" w:space="0" w:color="auto"/>
              <w:bottom w:val="single" w:sz="4" w:space="0" w:color="auto"/>
              <w:right w:val="single" w:sz="6" w:space="0" w:color="auto"/>
            </w:tcBorders>
            <w:shd w:val="clear" w:color="auto" w:fill="FFFFFF" w:themeFill="background1"/>
          </w:tcPr>
          <w:p w:rsidR="00EB502B" w:rsidRPr="00B315F3" w:rsidRDefault="00EB502B" w:rsidP="00EB502B">
            <w:pPr>
              <w:jc w:val="center"/>
              <w:rPr>
                <w:rFonts w:ascii="Calibri" w:eastAsia="Times New Roman" w:hAnsi="Calibri" w:cs="Times New Roman"/>
                <w:lang w:eastAsia="en-AU"/>
              </w:rPr>
            </w:pPr>
          </w:p>
        </w:tc>
      </w:tr>
    </w:tbl>
    <w:p w:rsidR="00EB502B" w:rsidRPr="00B315F3" w:rsidRDefault="00EB502B" w:rsidP="00EB502B">
      <w:pPr>
        <w:ind w:left="7230"/>
        <w:rPr>
          <w:rFonts w:ascii="Calibri" w:eastAsia="Times New Roman" w:hAnsi="Calibri" w:cs="Times New Roman"/>
          <w:lang w:eastAsia="en-AU"/>
        </w:rPr>
      </w:pPr>
      <w:r w:rsidRPr="00B315F3">
        <w:rPr>
          <w:rFonts w:ascii="Calibri" w:eastAsia="Times New Roman" w:hAnsi="Calibri" w:cs="Times New Roman"/>
          <w:lang w:eastAsia="en-AU"/>
        </w:rPr>
        <w:t>No</w:t>
      </w:r>
    </w:p>
    <w:p w:rsidR="00115297" w:rsidRDefault="00115297" w:rsidP="00115297">
      <w:pPr>
        <w:rPr>
          <w:b/>
        </w:rPr>
      </w:pPr>
    </w:p>
    <w:p w:rsidR="00115297" w:rsidRDefault="00115297">
      <w:pPr>
        <w:spacing w:after="200" w:line="276" w:lineRule="auto"/>
        <w:rPr>
          <w:b/>
        </w:rPr>
      </w:pPr>
      <w:r>
        <w:rPr>
          <w:b/>
        </w:rPr>
        <w:br w:type="page"/>
      </w:r>
    </w:p>
    <w:p w:rsidR="001D446D" w:rsidRPr="00115297" w:rsidRDefault="001D446D" w:rsidP="00115297">
      <w:pPr>
        <w:rPr>
          <w:b/>
          <w:i/>
        </w:rPr>
      </w:pPr>
      <w:r w:rsidRPr="00115297">
        <w:rPr>
          <w:b/>
        </w:rPr>
        <w:lastRenderedPageBreak/>
        <w:t xml:space="preserve">Question </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0046"/>
      </w:tblGrid>
      <w:tr w:rsidR="001D446D" w:rsidRPr="00B315F3" w:rsidTr="00550378">
        <w:trPr>
          <w:trHeight w:hRule="exact" w:val="1928"/>
        </w:trPr>
        <w:tc>
          <w:tcPr>
            <w:tcW w:w="5000" w:type="pct"/>
          </w:tcPr>
          <w:p w:rsidR="001D446D" w:rsidRPr="00B315F3" w:rsidRDefault="001D446D" w:rsidP="00B02786">
            <w:pPr>
              <w:keepNext/>
              <w:widowControl w:val="0"/>
              <w:tabs>
                <w:tab w:val="left" w:pos="426"/>
              </w:tabs>
              <w:spacing w:before="60" w:after="60"/>
              <w:rPr>
                <w:rFonts w:ascii="Times New Roman" w:hAnsi="Times New Roman"/>
              </w:rPr>
            </w:pPr>
          </w:p>
        </w:tc>
      </w:tr>
    </w:tbl>
    <w:p w:rsidR="001D446D" w:rsidRPr="00B315F3" w:rsidRDefault="001D446D" w:rsidP="00B02786">
      <w:pPr>
        <w:keepNext/>
        <w:widowControl w:val="0"/>
      </w:pPr>
    </w:p>
    <w:p w:rsidR="001D446D" w:rsidRPr="00115297" w:rsidRDefault="001D446D" w:rsidP="00115297">
      <w:pPr>
        <w:rPr>
          <w:b/>
        </w:rPr>
      </w:pPr>
      <w:r w:rsidRPr="00115297">
        <w:rPr>
          <w:b/>
        </w:rPr>
        <w:t xml:space="preserve">What do you need this information </w:t>
      </w:r>
      <w:proofErr w:type="gramStart"/>
      <w:r w:rsidRPr="00115297">
        <w:rPr>
          <w:b/>
        </w:rPr>
        <w:t>for:</w:t>
      </w:r>
      <w:proofErr w:type="gramEnd"/>
    </w:p>
    <w:p w:rsidR="001D446D" w:rsidRPr="00B315F3" w:rsidRDefault="001D446D" w:rsidP="00B02786">
      <w:pPr>
        <w:keepNext/>
        <w:widowControl w:val="0"/>
      </w:pPr>
      <w:r w:rsidRPr="00B315F3">
        <w:t>(</w:t>
      </w:r>
      <w:r w:rsidRPr="00B315F3">
        <w:rPr>
          <w:i/>
        </w:rPr>
        <w:t>Please indicate with an X</w:t>
      </w:r>
      <w:r w:rsidRPr="00B315F3">
        <w:t>)</w:t>
      </w:r>
    </w:p>
    <w:tbl>
      <w:tblPr>
        <w:tblW w:w="10632" w:type="dxa"/>
        <w:tblInd w:w="8" w:type="dxa"/>
        <w:tblLayout w:type="fixed"/>
        <w:tblCellMar>
          <w:left w:w="0" w:type="dxa"/>
          <w:right w:w="0" w:type="dxa"/>
        </w:tblCellMar>
        <w:tblLook w:val="0000" w:firstRow="0" w:lastRow="0" w:firstColumn="0" w:lastColumn="0" w:noHBand="0" w:noVBand="0"/>
      </w:tblPr>
      <w:tblGrid>
        <w:gridCol w:w="296"/>
        <w:gridCol w:w="5374"/>
        <w:gridCol w:w="284"/>
        <w:gridCol w:w="4678"/>
      </w:tblGrid>
      <w:tr w:rsidR="001D446D" w:rsidRPr="00B315F3" w:rsidTr="0053363F">
        <w:trPr>
          <w:trHeight w:hRule="exact" w:val="534"/>
        </w:trPr>
        <w:tc>
          <w:tcPr>
            <w:tcW w:w="296" w:type="dxa"/>
            <w:tcBorders>
              <w:top w:val="single" w:sz="6" w:space="0" w:color="auto"/>
              <w:left w:val="single" w:sz="6" w:space="0" w:color="auto"/>
              <w:bottom w:val="single" w:sz="6" w:space="0" w:color="auto"/>
              <w:right w:val="single" w:sz="6" w:space="0" w:color="auto"/>
            </w:tcBorders>
          </w:tcPr>
          <w:p w:rsidR="001D446D" w:rsidRPr="00B315F3" w:rsidRDefault="001D446D" w:rsidP="00B02786">
            <w:pPr>
              <w:keepNext/>
              <w:widowControl w:val="0"/>
              <w:jc w:val="center"/>
            </w:pPr>
          </w:p>
        </w:tc>
        <w:tc>
          <w:tcPr>
            <w:tcW w:w="5374" w:type="dxa"/>
            <w:tcBorders>
              <w:left w:val="nil"/>
            </w:tcBorders>
          </w:tcPr>
          <w:p w:rsidR="001D446D" w:rsidRPr="00B315F3" w:rsidRDefault="001D446D" w:rsidP="00B02786">
            <w:pPr>
              <w:keepNext/>
              <w:widowControl w:val="0"/>
              <w:ind w:firstLine="238"/>
            </w:pPr>
            <w:r w:rsidRPr="00B315F3">
              <w:t>Updating Job Plan</w:t>
            </w:r>
          </w:p>
        </w:tc>
        <w:tc>
          <w:tcPr>
            <w:tcW w:w="284" w:type="dxa"/>
            <w:tcBorders>
              <w:top w:val="single" w:sz="6" w:space="0" w:color="auto"/>
              <w:left w:val="single" w:sz="6" w:space="0" w:color="auto"/>
              <w:bottom w:val="single" w:sz="6" w:space="0" w:color="auto"/>
              <w:right w:val="single" w:sz="6" w:space="0" w:color="auto"/>
            </w:tcBorders>
          </w:tcPr>
          <w:p w:rsidR="001D446D" w:rsidRPr="00B315F3" w:rsidRDefault="001D446D" w:rsidP="00B02786">
            <w:pPr>
              <w:keepNext/>
              <w:widowControl w:val="0"/>
              <w:jc w:val="center"/>
            </w:pPr>
          </w:p>
        </w:tc>
        <w:tc>
          <w:tcPr>
            <w:tcW w:w="4678" w:type="dxa"/>
            <w:tcBorders>
              <w:left w:val="nil"/>
            </w:tcBorders>
          </w:tcPr>
          <w:p w:rsidR="001D446D" w:rsidRPr="00B315F3" w:rsidRDefault="001D446D" w:rsidP="00BD595B">
            <w:pPr>
              <w:keepNext/>
              <w:widowControl w:val="0"/>
              <w:ind w:firstLine="202"/>
            </w:pPr>
            <w:r w:rsidRPr="00B315F3">
              <w:t xml:space="preserve">To refer </w:t>
            </w:r>
            <w:r w:rsidR="00BD595B">
              <w:rPr>
                <w:lang w:eastAsia="en-AU"/>
              </w:rPr>
              <w:t>Participant</w:t>
            </w:r>
            <w:r w:rsidRPr="00B315F3">
              <w:t xml:space="preserve"> to employment</w:t>
            </w:r>
          </w:p>
        </w:tc>
      </w:tr>
      <w:tr w:rsidR="001D446D" w:rsidRPr="00B315F3" w:rsidTr="0053363F">
        <w:trPr>
          <w:trHeight w:hRule="exact" w:val="556"/>
        </w:trPr>
        <w:tc>
          <w:tcPr>
            <w:tcW w:w="296" w:type="dxa"/>
            <w:tcBorders>
              <w:top w:val="single" w:sz="6" w:space="0" w:color="auto"/>
              <w:left w:val="single" w:sz="6" w:space="0" w:color="auto"/>
              <w:bottom w:val="single" w:sz="6" w:space="0" w:color="auto"/>
              <w:right w:val="single" w:sz="6" w:space="0" w:color="auto"/>
            </w:tcBorders>
          </w:tcPr>
          <w:p w:rsidR="001D446D" w:rsidRPr="00B315F3" w:rsidRDefault="001D446D" w:rsidP="00B02786">
            <w:pPr>
              <w:keepNext/>
              <w:widowControl w:val="0"/>
              <w:jc w:val="center"/>
            </w:pPr>
          </w:p>
        </w:tc>
        <w:tc>
          <w:tcPr>
            <w:tcW w:w="5374" w:type="dxa"/>
            <w:tcBorders>
              <w:left w:val="nil"/>
            </w:tcBorders>
          </w:tcPr>
          <w:p w:rsidR="001D446D" w:rsidRPr="00B315F3" w:rsidRDefault="001D446D" w:rsidP="00B02786">
            <w:pPr>
              <w:keepNext/>
              <w:widowControl w:val="0"/>
              <w:ind w:firstLine="238"/>
            </w:pPr>
            <w:r w:rsidRPr="00B315F3">
              <w:t>Referral to new service/Activity</w:t>
            </w:r>
          </w:p>
        </w:tc>
        <w:tc>
          <w:tcPr>
            <w:tcW w:w="284" w:type="dxa"/>
            <w:tcBorders>
              <w:top w:val="single" w:sz="6" w:space="0" w:color="auto"/>
              <w:left w:val="single" w:sz="6" w:space="0" w:color="auto"/>
              <w:bottom w:val="single" w:sz="6" w:space="0" w:color="auto"/>
              <w:right w:val="single" w:sz="6" w:space="0" w:color="auto"/>
            </w:tcBorders>
          </w:tcPr>
          <w:p w:rsidR="001D446D" w:rsidRPr="00B315F3" w:rsidRDefault="001D446D" w:rsidP="00B02786">
            <w:pPr>
              <w:keepNext/>
              <w:widowControl w:val="0"/>
              <w:jc w:val="center"/>
            </w:pPr>
          </w:p>
        </w:tc>
        <w:tc>
          <w:tcPr>
            <w:tcW w:w="4678" w:type="dxa"/>
            <w:tcBorders>
              <w:left w:val="nil"/>
            </w:tcBorders>
          </w:tcPr>
          <w:p w:rsidR="001D446D" w:rsidRPr="00B315F3" w:rsidRDefault="001D446D" w:rsidP="00B02786">
            <w:pPr>
              <w:keepNext/>
              <w:widowControl w:val="0"/>
              <w:ind w:firstLine="202"/>
            </w:pPr>
            <w:r w:rsidRPr="00B315F3">
              <w:t>To complete/finalise compliance action</w:t>
            </w:r>
          </w:p>
        </w:tc>
      </w:tr>
      <w:tr w:rsidR="001D446D" w:rsidRPr="00B315F3" w:rsidTr="0053363F">
        <w:trPr>
          <w:trHeight w:hRule="exact" w:val="578"/>
        </w:trPr>
        <w:tc>
          <w:tcPr>
            <w:tcW w:w="296" w:type="dxa"/>
            <w:tcBorders>
              <w:top w:val="single" w:sz="6" w:space="0" w:color="auto"/>
              <w:left w:val="single" w:sz="6" w:space="0" w:color="auto"/>
              <w:bottom w:val="single" w:sz="6" w:space="0" w:color="auto"/>
              <w:right w:val="single" w:sz="6" w:space="0" w:color="auto"/>
            </w:tcBorders>
          </w:tcPr>
          <w:p w:rsidR="001D446D" w:rsidRPr="00B315F3" w:rsidRDefault="001D446D" w:rsidP="00B02786">
            <w:pPr>
              <w:keepNext/>
              <w:widowControl w:val="0"/>
              <w:jc w:val="center"/>
            </w:pPr>
          </w:p>
        </w:tc>
        <w:tc>
          <w:tcPr>
            <w:tcW w:w="5374" w:type="dxa"/>
            <w:tcBorders>
              <w:left w:val="nil"/>
            </w:tcBorders>
          </w:tcPr>
          <w:p w:rsidR="001D446D" w:rsidRPr="00B315F3" w:rsidRDefault="001D446D" w:rsidP="00BD595B">
            <w:pPr>
              <w:keepNext/>
              <w:widowControl w:val="0"/>
              <w:ind w:firstLine="238"/>
            </w:pPr>
            <w:r w:rsidRPr="00B315F3">
              <w:t xml:space="preserve">To determine if compulsory or voluntary </w:t>
            </w:r>
            <w:r w:rsidR="00BD595B">
              <w:rPr>
                <w:lang w:eastAsia="en-AU"/>
              </w:rPr>
              <w:t>Participant</w:t>
            </w:r>
          </w:p>
        </w:tc>
        <w:tc>
          <w:tcPr>
            <w:tcW w:w="284" w:type="dxa"/>
          </w:tcPr>
          <w:p w:rsidR="001D446D" w:rsidRPr="00B315F3" w:rsidRDefault="001D446D" w:rsidP="00B02786">
            <w:pPr>
              <w:keepNext/>
              <w:widowControl w:val="0"/>
              <w:jc w:val="center"/>
            </w:pPr>
          </w:p>
        </w:tc>
        <w:tc>
          <w:tcPr>
            <w:tcW w:w="4678" w:type="dxa"/>
          </w:tcPr>
          <w:p w:rsidR="001D446D" w:rsidRPr="00B315F3" w:rsidRDefault="001D446D" w:rsidP="00B02786">
            <w:pPr>
              <w:keepNext/>
              <w:widowControl w:val="0"/>
              <w:ind w:firstLine="202"/>
            </w:pPr>
          </w:p>
        </w:tc>
      </w:tr>
    </w:tbl>
    <w:p w:rsidR="00115297" w:rsidRDefault="00115297" w:rsidP="00115297">
      <w:pPr>
        <w:rPr>
          <w:b/>
        </w:rPr>
      </w:pPr>
    </w:p>
    <w:p w:rsidR="001D446D" w:rsidRPr="00115297" w:rsidRDefault="001D446D" w:rsidP="00115297">
      <w:pPr>
        <w:rPr>
          <w:b/>
        </w:rPr>
      </w:pPr>
      <w:r w:rsidRPr="00115297">
        <w:rPr>
          <w:b/>
        </w:rPr>
        <w:t>Other</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0046"/>
      </w:tblGrid>
      <w:tr w:rsidR="001D446D" w:rsidRPr="00613366" w:rsidTr="00550378">
        <w:trPr>
          <w:trHeight w:hRule="exact" w:val="397"/>
        </w:trPr>
        <w:tc>
          <w:tcPr>
            <w:tcW w:w="5000" w:type="pct"/>
          </w:tcPr>
          <w:p w:rsidR="001D446D" w:rsidRPr="00613366" w:rsidRDefault="001D446D" w:rsidP="00B02786">
            <w:pPr>
              <w:keepNext/>
              <w:widowControl w:val="0"/>
              <w:tabs>
                <w:tab w:val="left" w:pos="426"/>
              </w:tabs>
              <w:spacing w:before="60" w:after="60"/>
              <w:rPr>
                <w:rFonts w:ascii="Times New Roman" w:hAnsi="Times New Roman"/>
              </w:rPr>
            </w:pPr>
          </w:p>
        </w:tc>
      </w:tr>
    </w:tbl>
    <w:p w:rsidR="00717BC3" w:rsidRDefault="00717BC3" w:rsidP="00141BE9">
      <w:r>
        <w:br w:type="page"/>
      </w:r>
    </w:p>
    <w:p w:rsidR="00717BC3" w:rsidRPr="00717BC3" w:rsidRDefault="00717BC3" w:rsidP="00717BC3">
      <w:pPr>
        <w:pStyle w:val="Heading1"/>
        <w:jc w:val="right"/>
      </w:pPr>
      <w:r w:rsidRPr="00717BC3">
        <w:lastRenderedPageBreak/>
        <w:t>Attachment C</w:t>
      </w:r>
    </w:p>
    <w:p w:rsidR="00717BC3" w:rsidRPr="00717BC3" w:rsidRDefault="00717BC3" w:rsidP="00717BC3">
      <w:pPr>
        <w:jc w:val="center"/>
      </w:pPr>
      <w:r w:rsidRPr="00717BC3">
        <w:rPr>
          <w:b/>
          <w:noProof/>
          <w:sz w:val="20"/>
          <w:lang w:eastAsia="en-AU"/>
        </w:rPr>
        <w:drawing>
          <wp:inline distT="0" distB="0" distL="0" distR="0" wp14:anchorId="09229D4A" wp14:editId="0FF8E0B3">
            <wp:extent cx="3600450" cy="733425"/>
            <wp:effectExtent l="0" t="0" r="0" b="9525"/>
            <wp:docPr id="2" name="Picture 2"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rsidR="00717BC3" w:rsidRPr="00717BC3" w:rsidRDefault="00717BC3" w:rsidP="00717BC3">
      <w:pPr>
        <w:rPr>
          <w:b/>
          <w:sz w:val="28"/>
          <w:szCs w:val="28"/>
        </w:rPr>
      </w:pPr>
      <w:r w:rsidRPr="00717BC3">
        <w:rPr>
          <w:b/>
          <w:sz w:val="28"/>
          <w:szCs w:val="28"/>
        </w:rPr>
        <w:t>Facsimile:  when complete fax to DHS PST on 1300 786 102</w:t>
      </w:r>
    </w:p>
    <w:p w:rsidR="00717BC3" w:rsidRPr="00717BC3" w:rsidRDefault="00717BC3" w:rsidP="00717BC3">
      <w:pPr>
        <w:pStyle w:val="Heading1"/>
        <w:jc w:val="center"/>
      </w:pPr>
      <w:r w:rsidRPr="00717BC3">
        <w:rPr>
          <w:sz w:val="32"/>
        </w:rPr>
        <w:t>Request for Vulnerability Indicator Review</w:t>
      </w:r>
      <w:r w:rsidRPr="00717BC3">
        <w:t xml:space="preserve"> </w:t>
      </w:r>
    </w:p>
    <w:p w:rsidR="00717BC3" w:rsidRPr="00717BC3" w:rsidRDefault="00717BC3" w:rsidP="00717BC3">
      <w:pPr>
        <w:pBdr>
          <w:top w:val="single" w:sz="4" w:space="1" w:color="auto"/>
          <w:left w:val="single" w:sz="4" w:space="4" w:color="auto"/>
          <w:bottom w:val="single" w:sz="4" w:space="1" w:color="auto"/>
          <w:right w:val="single" w:sz="4" w:space="4" w:color="auto"/>
        </w:pBdr>
        <w:spacing w:before="360"/>
      </w:pPr>
      <w:r w:rsidRPr="00717BC3">
        <w:rPr>
          <w:rStyle w:val="Strong"/>
        </w:rPr>
        <w:t>To</w:t>
      </w:r>
      <w:r w:rsidRPr="00717BC3">
        <w:t>: Department of Human Services Participation Solutions Team</w:t>
      </w:r>
    </w:p>
    <w:p w:rsidR="00717BC3" w:rsidRPr="00717BC3" w:rsidRDefault="00717BC3" w:rsidP="00717BC3">
      <w:pPr>
        <w:pBdr>
          <w:top w:val="single" w:sz="4" w:space="1" w:color="auto"/>
          <w:left w:val="single" w:sz="4" w:space="4" w:color="auto"/>
          <w:bottom w:val="single" w:sz="4" w:space="1" w:color="auto"/>
          <w:right w:val="single" w:sz="4" w:space="4" w:color="auto"/>
          <w:between w:val="single" w:sz="4" w:space="1" w:color="auto"/>
          <w:bar w:val="single" w:sz="4" w:color="auto"/>
        </w:pBdr>
      </w:pPr>
      <w:r w:rsidRPr="00717BC3">
        <w:rPr>
          <w:rStyle w:val="Strong"/>
        </w:rPr>
        <w:t>Area</w:t>
      </w:r>
      <w:r w:rsidRPr="00717BC3">
        <w:t>:</w:t>
      </w:r>
    </w:p>
    <w:p w:rsidR="00717BC3" w:rsidRPr="00717BC3" w:rsidRDefault="00717BC3" w:rsidP="00717BC3">
      <w:pPr>
        <w:pBdr>
          <w:top w:val="single" w:sz="4" w:space="1" w:color="auto"/>
          <w:left w:val="single" w:sz="4" w:space="4" w:color="auto"/>
          <w:bottom w:val="single" w:sz="4" w:space="1" w:color="auto"/>
          <w:right w:val="single" w:sz="4" w:space="4" w:color="auto"/>
          <w:between w:val="single" w:sz="4" w:space="1" w:color="auto"/>
          <w:bar w:val="single" w:sz="4" w:color="auto"/>
        </w:pBdr>
      </w:pPr>
      <w:r w:rsidRPr="00717BC3">
        <w:rPr>
          <w:rStyle w:val="Strong"/>
        </w:rPr>
        <w:t>Fax Number</w:t>
      </w:r>
      <w:r w:rsidRPr="00717BC3">
        <w:t>:</w:t>
      </w:r>
      <w:r w:rsidRPr="00717BC3">
        <w:tab/>
      </w:r>
    </w:p>
    <w:p w:rsidR="00717BC3" w:rsidRPr="00717BC3" w:rsidRDefault="00717BC3" w:rsidP="00717BC3">
      <w:pPr>
        <w:pBdr>
          <w:top w:val="single" w:sz="4" w:space="1" w:color="auto"/>
          <w:left w:val="single" w:sz="4" w:space="4" w:color="auto"/>
          <w:bottom w:val="single" w:sz="4" w:space="1" w:color="auto"/>
          <w:right w:val="single" w:sz="4" w:space="4" w:color="auto"/>
          <w:between w:val="single" w:sz="4" w:space="1" w:color="auto"/>
          <w:bar w:val="single" w:sz="4" w:color="auto"/>
        </w:pBdr>
      </w:pPr>
      <w:r w:rsidRPr="00717BC3">
        <w:rPr>
          <w:rStyle w:val="Strong"/>
        </w:rPr>
        <w:t>Phone Number</w:t>
      </w:r>
      <w:r w:rsidRPr="00717BC3">
        <w:t>:</w:t>
      </w:r>
    </w:p>
    <w:p w:rsidR="00717BC3" w:rsidRPr="00717BC3" w:rsidRDefault="00717BC3" w:rsidP="00717BC3">
      <w:pPr>
        <w:pBdr>
          <w:top w:val="single" w:sz="4" w:space="1" w:color="auto"/>
          <w:left w:val="single" w:sz="4" w:space="4" w:color="auto"/>
          <w:bottom w:val="single" w:sz="4" w:space="1" w:color="auto"/>
          <w:right w:val="single" w:sz="4" w:space="4" w:color="auto"/>
          <w:between w:val="single" w:sz="4" w:space="1" w:color="auto"/>
          <w:bar w:val="single" w:sz="4" w:color="auto"/>
        </w:pBdr>
      </w:pPr>
      <w:r w:rsidRPr="00717BC3">
        <w:rPr>
          <w:rStyle w:val="Strong"/>
        </w:rPr>
        <w:t>From</w:t>
      </w:r>
      <w:r w:rsidRPr="00717BC3">
        <w:t>: (contact name)</w:t>
      </w:r>
      <w:r w:rsidRPr="00717BC3">
        <w:tab/>
      </w:r>
    </w:p>
    <w:p w:rsidR="00717BC3" w:rsidRPr="00717BC3" w:rsidRDefault="00717BC3" w:rsidP="00717BC3">
      <w:pPr>
        <w:pBdr>
          <w:top w:val="single" w:sz="4" w:space="1" w:color="auto"/>
          <w:left w:val="single" w:sz="4" w:space="4" w:color="auto"/>
          <w:bottom w:val="single" w:sz="4" w:space="1" w:color="auto"/>
          <w:right w:val="single" w:sz="4" w:space="4" w:color="auto"/>
          <w:between w:val="single" w:sz="4" w:space="1" w:color="auto"/>
          <w:bar w:val="single" w:sz="4" w:color="auto"/>
        </w:pBdr>
      </w:pPr>
      <w:r w:rsidRPr="00717BC3">
        <w:rPr>
          <w:rStyle w:val="Strong"/>
        </w:rPr>
        <w:t>Organisation</w:t>
      </w:r>
      <w:r w:rsidRPr="00717BC3">
        <w:t>:</w:t>
      </w:r>
    </w:p>
    <w:p w:rsidR="00717BC3" w:rsidRPr="00717BC3" w:rsidRDefault="00717BC3" w:rsidP="00717BC3">
      <w:pPr>
        <w:pBdr>
          <w:top w:val="single" w:sz="4" w:space="1" w:color="auto"/>
          <w:left w:val="single" w:sz="4" w:space="4" w:color="auto"/>
          <w:bottom w:val="single" w:sz="4" w:space="1" w:color="auto"/>
          <w:right w:val="single" w:sz="4" w:space="4" w:color="auto"/>
          <w:between w:val="single" w:sz="4" w:space="1" w:color="auto"/>
          <w:bar w:val="single" w:sz="4" w:color="auto"/>
        </w:pBdr>
      </w:pPr>
      <w:r w:rsidRPr="00717BC3">
        <w:rPr>
          <w:rStyle w:val="Strong"/>
        </w:rPr>
        <w:t>Fax Number</w:t>
      </w:r>
      <w:r w:rsidRPr="00717BC3">
        <w:t>:</w:t>
      </w:r>
    </w:p>
    <w:p w:rsidR="00717BC3" w:rsidRPr="00717BC3" w:rsidRDefault="00717BC3" w:rsidP="00717BC3">
      <w:pPr>
        <w:pBdr>
          <w:top w:val="single" w:sz="4" w:space="1" w:color="auto"/>
          <w:left w:val="single" w:sz="4" w:space="4" w:color="auto"/>
          <w:bottom w:val="single" w:sz="4" w:space="1" w:color="auto"/>
          <w:right w:val="single" w:sz="4" w:space="4" w:color="auto"/>
          <w:between w:val="single" w:sz="4" w:space="1" w:color="auto"/>
          <w:bar w:val="single" w:sz="4" w:color="auto"/>
        </w:pBdr>
      </w:pPr>
      <w:r w:rsidRPr="00717BC3">
        <w:rPr>
          <w:rStyle w:val="Strong"/>
        </w:rPr>
        <w:t>Phone Number</w:t>
      </w:r>
      <w:r w:rsidRPr="00717BC3">
        <w:t>:</w:t>
      </w:r>
    </w:p>
    <w:p w:rsidR="00717BC3" w:rsidRPr="00717BC3" w:rsidRDefault="00717BC3" w:rsidP="00717BC3">
      <w:pPr>
        <w:pBdr>
          <w:top w:val="single" w:sz="4" w:space="1" w:color="auto"/>
          <w:left w:val="single" w:sz="4" w:space="4" w:color="auto"/>
          <w:bottom w:val="single" w:sz="4" w:space="1" w:color="auto"/>
          <w:right w:val="single" w:sz="4" w:space="4" w:color="auto"/>
          <w:between w:val="single" w:sz="4" w:space="1" w:color="auto"/>
          <w:bar w:val="single" w:sz="4" w:color="auto"/>
        </w:pBdr>
      </w:pPr>
      <w:r w:rsidRPr="00717BC3">
        <w:rPr>
          <w:rStyle w:val="Strong"/>
        </w:rPr>
        <w:t>Date</w:t>
      </w:r>
      <w:r w:rsidRPr="00717BC3">
        <w:t>:</w:t>
      </w:r>
    </w:p>
    <w:p w:rsidR="00717BC3" w:rsidRPr="00717BC3" w:rsidRDefault="00717BC3" w:rsidP="00717BC3">
      <w:pPr>
        <w:pBdr>
          <w:top w:val="single" w:sz="4" w:space="1" w:color="auto"/>
          <w:left w:val="single" w:sz="4" w:space="4" w:color="auto"/>
          <w:bottom w:val="single" w:sz="4" w:space="1" w:color="auto"/>
          <w:right w:val="single" w:sz="4" w:space="4" w:color="auto"/>
          <w:between w:val="single" w:sz="4" w:space="1" w:color="auto"/>
          <w:bar w:val="single" w:sz="4" w:color="auto"/>
        </w:pBdr>
      </w:pPr>
      <w:r w:rsidRPr="00717BC3">
        <w:rPr>
          <w:rStyle w:val="Strong"/>
        </w:rPr>
        <w:t>No. pages</w:t>
      </w:r>
      <w:r w:rsidRPr="00717BC3">
        <w:t>: (Including this one)</w:t>
      </w:r>
    </w:p>
    <w:p w:rsidR="00717BC3" w:rsidRPr="00717BC3" w:rsidRDefault="00717BC3" w:rsidP="00717BC3">
      <w:pPr>
        <w:spacing w:before="360" w:after="240"/>
        <w:rPr>
          <w:rStyle w:val="Strong"/>
        </w:rPr>
      </w:pPr>
      <w:r w:rsidRPr="00717BC3">
        <w:rPr>
          <w:rStyle w:val="Strong"/>
        </w:rPr>
        <w:t>Message</w:t>
      </w:r>
    </w:p>
    <w:p w:rsidR="00717BC3" w:rsidRPr="00717BC3" w:rsidRDefault="00717BC3" w:rsidP="00717BC3">
      <w:bookmarkStart w:id="3" w:name="bkStart"/>
      <w:bookmarkEnd w:id="3"/>
      <w:r w:rsidRPr="00717BC3">
        <w:t>Please review the need for a Vulnerability Indicator to be placed on the record of Job seeker/</w:t>
      </w:r>
      <w:r w:rsidR="00350D52">
        <w:t>P</w:t>
      </w:r>
      <w:r w:rsidRPr="00717BC3">
        <w:t xml:space="preserve">articipant ID: </w:t>
      </w:r>
    </w:p>
    <w:p w:rsidR="00717BC3" w:rsidRPr="00717BC3" w:rsidRDefault="00717BC3" w:rsidP="00717BC3">
      <w:pPr>
        <w:spacing w:before="480" w:after="240"/>
      </w:pPr>
      <w:r w:rsidRPr="00717BC3">
        <w:t>PLEASE TICK one or more of the following.</w:t>
      </w:r>
    </w:p>
    <w:p w:rsidR="00717BC3" w:rsidRPr="00717BC3" w:rsidRDefault="00717BC3" w:rsidP="00717BC3">
      <w:pPr>
        <w:numPr>
          <w:ilvl w:val="0"/>
          <w:numId w:val="43"/>
        </w:numPr>
        <w:spacing w:after="60"/>
        <w:ind w:left="714" w:hanging="357"/>
      </w:pPr>
      <w:r w:rsidRPr="00717BC3">
        <w:rPr>
          <w:rFonts w:ascii="Arial" w:hAnsi="Arial" w:cs="Arial"/>
          <w:sz w:val="28"/>
          <w:szCs w:val="28"/>
        </w:rPr>
        <w:t>⁯</w:t>
      </w:r>
      <w:r w:rsidRPr="00717BC3">
        <w:t xml:space="preserve">There is a current Participation Report in </w:t>
      </w:r>
      <w:r w:rsidR="00350D52">
        <w:t xml:space="preserve">the Department’s </w:t>
      </w:r>
      <w:r w:rsidRPr="00717BC3">
        <w:t xml:space="preserve"> IT Systems relevant to this request</w:t>
      </w:r>
    </w:p>
    <w:p w:rsidR="00717BC3" w:rsidRPr="00717BC3" w:rsidRDefault="00717BC3" w:rsidP="00717BC3">
      <w:pPr>
        <w:numPr>
          <w:ilvl w:val="0"/>
          <w:numId w:val="43"/>
        </w:numPr>
        <w:spacing w:after="60"/>
        <w:ind w:left="714" w:hanging="357"/>
      </w:pPr>
      <w:r w:rsidRPr="00717BC3">
        <w:rPr>
          <w:rFonts w:ascii="Arial" w:hAnsi="Arial" w:cs="Arial"/>
          <w:sz w:val="28"/>
          <w:szCs w:val="28"/>
        </w:rPr>
        <w:t>⁯</w:t>
      </w:r>
      <w:r w:rsidRPr="00717BC3">
        <w:t xml:space="preserve">There is an ESAt report in the system to support a review of this </w:t>
      </w:r>
      <w:r w:rsidR="00350D52">
        <w:t xml:space="preserve">Participant’s </w:t>
      </w:r>
      <w:r w:rsidRPr="00717BC3">
        <w:t xml:space="preserve"> vulnerability</w:t>
      </w:r>
    </w:p>
    <w:p w:rsidR="00717BC3" w:rsidRPr="00717BC3" w:rsidRDefault="00717BC3" w:rsidP="00717BC3">
      <w:pPr>
        <w:numPr>
          <w:ilvl w:val="0"/>
          <w:numId w:val="43"/>
        </w:numPr>
        <w:spacing w:after="60"/>
        <w:ind w:left="714" w:hanging="357"/>
      </w:pPr>
      <w:r w:rsidRPr="00717BC3">
        <w:t xml:space="preserve">There is other evidence in the system (such as a medical certificate) to support a review of this </w:t>
      </w:r>
      <w:r w:rsidR="00350D52">
        <w:t>Participant’</w:t>
      </w:r>
      <w:r w:rsidRPr="00717BC3">
        <w:t>s vulnerability</w:t>
      </w:r>
    </w:p>
    <w:p w:rsidR="00717BC3" w:rsidRPr="00717BC3" w:rsidRDefault="00717BC3" w:rsidP="00717BC3">
      <w:pPr>
        <w:numPr>
          <w:ilvl w:val="0"/>
          <w:numId w:val="43"/>
        </w:numPr>
        <w:spacing w:after="60"/>
        <w:ind w:left="714" w:hanging="357"/>
      </w:pPr>
      <w:r w:rsidRPr="00717BC3">
        <w:rPr>
          <w:rFonts w:ascii="Arial" w:hAnsi="Arial" w:cs="Arial"/>
          <w:sz w:val="28"/>
          <w:szCs w:val="28"/>
        </w:rPr>
        <w:t>⁯</w:t>
      </w:r>
      <w:r w:rsidRPr="00717BC3">
        <w:t xml:space="preserve">I have updated the </w:t>
      </w:r>
      <w:r w:rsidR="00350D52">
        <w:t xml:space="preserve">Participant’s </w:t>
      </w:r>
      <w:r w:rsidRPr="00717BC3">
        <w:t xml:space="preserve"> JSCI and there is evidence to support a review of vulnerability</w:t>
      </w:r>
    </w:p>
    <w:p w:rsidR="00717BC3" w:rsidRPr="00717BC3" w:rsidRDefault="00717BC3" w:rsidP="00717BC3">
      <w:pPr>
        <w:numPr>
          <w:ilvl w:val="0"/>
          <w:numId w:val="43"/>
        </w:numPr>
        <w:spacing w:after="60"/>
        <w:ind w:left="714" w:hanging="357"/>
      </w:pPr>
      <w:r w:rsidRPr="00717BC3">
        <w:rPr>
          <w:rFonts w:ascii="Arial" w:hAnsi="Arial" w:cs="Arial"/>
          <w:sz w:val="28"/>
          <w:szCs w:val="28"/>
        </w:rPr>
        <w:t>⁯</w:t>
      </w:r>
      <w:r w:rsidRPr="00717BC3">
        <w:t xml:space="preserve">I am unable to update the </w:t>
      </w:r>
      <w:r w:rsidR="00350D52">
        <w:t xml:space="preserve">Participant’s </w:t>
      </w:r>
      <w:r w:rsidRPr="00717BC3">
        <w:t xml:space="preserve"> JSCI and there is evidence to support a review of vulnerability</w:t>
      </w:r>
    </w:p>
    <w:p w:rsidR="00717BC3" w:rsidRPr="00717BC3" w:rsidRDefault="00717BC3" w:rsidP="00717BC3">
      <w:pPr>
        <w:numPr>
          <w:ilvl w:val="0"/>
          <w:numId w:val="43"/>
        </w:numPr>
        <w:spacing w:after="60"/>
        <w:ind w:left="714" w:hanging="357"/>
      </w:pPr>
      <w:r w:rsidRPr="00717BC3">
        <w:rPr>
          <w:rFonts w:ascii="Arial" w:hAnsi="Arial" w:cs="Arial"/>
          <w:sz w:val="28"/>
          <w:szCs w:val="28"/>
        </w:rPr>
        <w:t>⁯</w:t>
      </w:r>
      <w:r w:rsidRPr="00717BC3">
        <w:t>I attach evidence to support this request; OR</w:t>
      </w:r>
    </w:p>
    <w:p w:rsidR="00717BC3" w:rsidRPr="00717BC3" w:rsidRDefault="00717BC3" w:rsidP="00717BC3">
      <w:pPr>
        <w:numPr>
          <w:ilvl w:val="0"/>
          <w:numId w:val="43"/>
        </w:numPr>
        <w:contextualSpacing/>
      </w:pPr>
      <w:r w:rsidRPr="00717BC3">
        <w:t xml:space="preserve">I have asked the </w:t>
      </w:r>
      <w:r w:rsidR="00546259">
        <w:t xml:space="preserve">Participant </w:t>
      </w:r>
      <w:r w:rsidR="00546259" w:rsidRPr="00717BC3">
        <w:t>to</w:t>
      </w:r>
      <w:r w:rsidRPr="00717BC3">
        <w:t xml:space="preserve"> provide evidence information to DHS.</w:t>
      </w:r>
    </w:p>
    <w:p w:rsidR="00717BC3" w:rsidRPr="00717BC3" w:rsidRDefault="00717BC3" w:rsidP="00717BC3">
      <w:pPr>
        <w:spacing w:before="240"/>
      </w:pPr>
      <w:r w:rsidRPr="00717BC3">
        <w:rPr>
          <w:rStyle w:val="Strong"/>
        </w:rPr>
        <w:t xml:space="preserve">Please note: </w:t>
      </w:r>
      <w:r w:rsidRPr="00717BC3">
        <w:t>Feedback on the decision will not be available but Providers can check if a Vulnerability Indicator has been applied by looking at the Vulnerabilities on the job seeker’s record.</w:t>
      </w:r>
    </w:p>
    <w:p w:rsidR="00717BC3" w:rsidRPr="00717BC3" w:rsidRDefault="00717BC3" w:rsidP="00717BC3">
      <w:pPr>
        <w:spacing w:before="240"/>
        <w:rPr>
          <w:color w:val="000000"/>
        </w:rPr>
      </w:pPr>
      <w:r w:rsidRPr="00717BC3">
        <w:rPr>
          <w:color w:val="000000"/>
        </w:rPr>
        <w:t>………………………………………………….</w:t>
      </w:r>
    </w:p>
    <w:p w:rsidR="00C77310" w:rsidRPr="00C77310" w:rsidRDefault="00717BC3" w:rsidP="00717BC3">
      <w:pPr>
        <w:spacing w:before="240"/>
      </w:pPr>
      <w:r w:rsidRPr="00717BC3">
        <w:rPr>
          <w:color w:val="000000"/>
        </w:rPr>
        <w:t>(</w:t>
      </w:r>
      <w:proofErr w:type="gramStart"/>
      <w:r w:rsidRPr="00717BC3">
        <w:rPr>
          <w:color w:val="000000"/>
        </w:rPr>
        <w:t>signature</w:t>
      </w:r>
      <w:proofErr w:type="gramEnd"/>
      <w:r w:rsidRPr="00717BC3">
        <w:rPr>
          <w:color w:val="000000"/>
        </w:rPr>
        <w:t>)</w:t>
      </w:r>
    </w:p>
    <w:sectPr w:rsidR="00C77310" w:rsidRPr="00C77310" w:rsidSect="00DF0E89">
      <w:pgSz w:w="11906" w:h="16838"/>
      <w:pgMar w:top="709" w:right="991" w:bottom="851" w:left="85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68E" w:rsidRDefault="009C668E" w:rsidP="00141BE9">
      <w:r>
        <w:separator/>
      </w:r>
    </w:p>
  </w:endnote>
  <w:endnote w:type="continuationSeparator" w:id="0">
    <w:p w:rsidR="009C668E" w:rsidRDefault="009C668E" w:rsidP="0014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544564"/>
      <w:docPartObj>
        <w:docPartGallery w:val="Page Numbers (Bottom of Page)"/>
        <w:docPartUnique/>
      </w:docPartObj>
    </w:sdtPr>
    <w:sdtEndPr>
      <w:rPr>
        <w:noProof/>
      </w:rPr>
    </w:sdtEndPr>
    <w:sdtContent>
      <w:p w:rsidR="00584F91" w:rsidRDefault="00584F91" w:rsidP="00025923">
        <w:pPr>
          <w:pStyle w:val="Footer"/>
        </w:pPr>
        <w:r>
          <w:t>Job Seeker</w:t>
        </w:r>
        <w:r w:rsidR="00550378">
          <w:t xml:space="preserve"> Compliance Framework Guideline </w:t>
        </w:r>
        <w:r w:rsidR="00550378">
          <w:tab/>
        </w:r>
      </w:p>
      <w:p w:rsidR="00550378" w:rsidRDefault="00550378" w:rsidP="00584F91">
        <w:pPr>
          <w:pStyle w:val="Footer"/>
          <w:jc w:val="right"/>
        </w:pPr>
        <w:r>
          <w:t>Effective Date: 1</w:t>
        </w:r>
        <w:r w:rsidR="000348DF">
          <w:t>3</w:t>
        </w:r>
        <w:r>
          <w:t xml:space="preserve"> </w:t>
        </w:r>
        <w:r w:rsidR="000348DF">
          <w:t>August</w:t>
        </w:r>
        <w:r>
          <w:t xml:space="preserve"> 2015</w:t>
        </w:r>
      </w:p>
      <w:p w:rsidR="00550378" w:rsidRDefault="00550378">
        <w:pPr>
          <w:pStyle w:val="Footer"/>
        </w:pPr>
        <w:r>
          <w:t>TRIM ID:</w:t>
        </w:r>
        <w:r w:rsidR="00584F91">
          <w:t xml:space="preserve"> D15/</w:t>
        </w:r>
        <w:r w:rsidR="00DD5816">
          <w:t>460041</w:t>
        </w:r>
        <w:r>
          <w:tab/>
        </w:r>
        <w:r>
          <w:tab/>
        </w:r>
        <w:r>
          <w:fldChar w:fldCharType="begin"/>
        </w:r>
        <w:r>
          <w:instrText xml:space="preserve"> PAGE   \* MERGEFORMAT </w:instrText>
        </w:r>
        <w:r>
          <w:fldChar w:fldCharType="separate"/>
        </w:r>
        <w:r w:rsidR="00753E58">
          <w:rPr>
            <w:noProof/>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68E" w:rsidRDefault="009C668E" w:rsidP="00141BE9">
      <w:r>
        <w:separator/>
      </w:r>
    </w:p>
  </w:footnote>
  <w:footnote w:type="continuationSeparator" w:id="0">
    <w:p w:rsidR="009C668E" w:rsidRDefault="009C668E" w:rsidP="00141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576D"/>
    <w:multiLevelType w:val="hybridMultilevel"/>
    <w:tmpl w:val="5238C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F3B57"/>
    <w:multiLevelType w:val="hybridMultilevel"/>
    <w:tmpl w:val="565EC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FB1929"/>
    <w:multiLevelType w:val="hybridMultilevel"/>
    <w:tmpl w:val="F74A9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6354A4"/>
    <w:multiLevelType w:val="hybridMultilevel"/>
    <w:tmpl w:val="D5FCD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E94285"/>
    <w:multiLevelType w:val="hybridMultilevel"/>
    <w:tmpl w:val="52EEFA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6E11E4"/>
    <w:multiLevelType w:val="multilevel"/>
    <w:tmpl w:val="1C02EB18"/>
    <w:styleLink w:val="BulletLis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D45988"/>
    <w:multiLevelType w:val="hybridMultilevel"/>
    <w:tmpl w:val="218C5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1E6FF6"/>
    <w:multiLevelType w:val="hybridMultilevel"/>
    <w:tmpl w:val="03006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22A17E9"/>
    <w:multiLevelType w:val="hybridMultilevel"/>
    <w:tmpl w:val="A8AEC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2976143"/>
    <w:multiLevelType w:val="hybridMultilevel"/>
    <w:tmpl w:val="10F854AC"/>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0">
    <w:nsid w:val="131711F1"/>
    <w:multiLevelType w:val="hybridMultilevel"/>
    <w:tmpl w:val="0A22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07724D"/>
    <w:multiLevelType w:val="multilevel"/>
    <w:tmpl w:val="4FF289A8"/>
    <w:lvl w:ilvl="0">
      <w:start w:val="1"/>
      <w:numFmt w:val="bullet"/>
      <w:lvlText w:val=""/>
      <w:lvlJc w:val="left"/>
      <w:pPr>
        <w:tabs>
          <w:tab w:val="num" w:pos="720"/>
        </w:tabs>
        <w:ind w:left="720" w:hanging="360"/>
      </w:pPr>
      <w:rPr>
        <w:rFonts w:ascii="Symbol" w:hAnsi="Symbol" w:hint="default"/>
        <w:sz w:val="22"/>
      </w:rPr>
    </w:lvl>
    <w:lvl w:ilvl="1">
      <w:start w:val="1"/>
      <w:numFmt w:val="bullet"/>
      <w:pStyle w:val="ListBullet2"/>
      <w:lvlText w:val=""/>
      <w:lvlJc w:val="left"/>
      <w:pPr>
        <w:tabs>
          <w:tab w:val="num" w:pos="1440"/>
        </w:tabs>
        <w:ind w:left="1440" w:hanging="360"/>
      </w:pPr>
      <w:rPr>
        <w:rFonts w:ascii="Symbol" w:hAnsi="Symbol" w:hint="default"/>
      </w:rPr>
    </w:lvl>
    <w:lvl w:ilvl="2">
      <w:start w:val="1"/>
      <w:numFmt w:val="bullet"/>
      <w:pStyle w:val="ListBullet3"/>
      <w:lvlText w:val="o"/>
      <w:lvlJc w:val="left"/>
      <w:pPr>
        <w:tabs>
          <w:tab w:val="num" w:pos="2160"/>
        </w:tabs>
        <w:ind w:left="2160" w:hanging="360"/>
      </w:pPr>
      <w:rPr>
        <w:rFonts w:ascii="Courier New" w:hAnsi="Courier New" w:hint="default"/>
        <w:color w:val="auto"/>
      </w:rPr>
    </w:lvl>
    <w:lvl w:ilvl="3">
      <w:start w:val="1"/>
      <w:numFmt w:val="lowerLetter"/>
      <w:lvlText w:val="%4)"/>
      <w:lvlJc w:val="left"/>
      <w:pPr>
        <w:tabs>
          <w:tab w:val="num" w:pos="2880"/>
        </w:tabs>
        <w:ind w:left="2880" w:hanging="360"/>
      </w:pPr>
      <w:rPr>
        <w:rFonts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5355870"/>
    <w:multiLevelType w:val="hybridMultilevel"/>
    <w:tmpl w:val="949C9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2D6390"/>
    <w:multiLevelType w:val="hybridMultilevel"/>
    <w:tmpl w:val="BD7A8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86060C2"/>
    <w:multiLevelType w:val="hybridMultilevel"/>
    <w:tmpl w:val="4900D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A735D34"/>
    <w:multiLevelType w:val="hybridMultilevel"/>
    <w:tmpl w:val="8AFA0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A95083F"/>
    <w:multiLevelType w:val="hybridMultilevel"/>
    <w:tmpl w:val="F9AA8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D243451"/>
    <w:multiLevelType w:val="hybridMultilevel"/>
    <w:tmpl w:val="C88AF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E9324B8"/>
    <w:multiLevelType w:val="hybridMultilevel"/>
    <w:tmpl w:val="C638E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3C73C95"/>
    <w:multiLevelType w:val="hybridMultilevel"/>
    <w:tmpl w:val="D4184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3D430AA"/>
    <w:multiLevelType w:val="hybridMultilevel"/>
    <w:tmpl w:val="471C82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684507"/>
    <w:multiLevelType w:val="hybridMultilevel"/>
    <w:tmpl w:val="C9C66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A0A6C50"/>
    <w:multiLevelType w:val="hybridMultilevel"/>
    <w:tmpl w:val="04941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A5D7E6A"/>
    <w:multiLevelType w:val="hybridMultilevel"/>
    <w:tmpl w:val="6FBAACD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4">
    <w:nsid w:val="2C6679C0"/>
    <w:multiLevelType w:val="hybridMultilevel"/>
    <w:tmpl w:val="21702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DA723EC"/>
    <w:multiLevelType w:val="hybridMultilevel"/>
    <w:tmpl w:val="90EE6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014228A"/>
    <w:multiLevelType w:val="hybridMultilevel"/>
    <w:tmpl w:val="36F2535A"/>
    <w:lvl w:ilvl="0" w:tplc="90DCF0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49F776C"/>
    <w:multiLevelType w:val="hybridMultilevel"/>
    <w:tmpl w:val="9CF605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6A05321"/>
    <w:multiLevelType w:val="hybridMultilevel"/>
    <w:tmpl w:val="B664D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19A7964"/>
    <w:multiLevelType w:val="hybridMultilevel"/>
    <w:tmpl w:val="A9E06910"/>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7C816F7"/>
    <w:multiLevelType w:val="hybridMultilevel"/>
    <w:tmpl w:val="7CFC3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8552C54"/>
    <w:multiLevelType w:val="hybridMultilevel"/>
    <w:tmpl w:val="0D805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CE77E41"/>
    <w:multiLevelType w:val="hybridMultilevel"/>
    <w:tmpl w:val="C6BE2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D945EAB"/>
    <w:multiLevelType w:val="hybridMultilevel"/>
    <w:tmpl w:val="2E46A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7FC2441"/>
    <w:multiLevelType w:val="hybridMultilevel"/>
    <w:tmpl w:val="6C1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AB343C"/>
    <w:multiLevelType w:val="hybridMultilevel"/>
    <w:tmpl w:val="3DB81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D7220AA"/>
    <w:multiLevelType w:val="hybridMultilevel"/>
    <w:tmpl w:val="B33A4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273241C"/>
    <w:multiLevelType w:val="hybridMultilevel"/>
    <w:tmpl w:val="F606F3F2"/>
    <w:lvl w:ilvl="0" w:tplc="9490DC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A161AB4"/>
    <w:multiLevelType w:val="hybridMultilevel"/>
    <w:tmpl w:val="3CE6C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30307D5"/>
    <w:multiLevelType w:val="hybridMultilevel"/>
    <w:tmpl w:val="42064A94"/>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1">
    <w:nsid w:val="7CD00FFE"/>
    <w:multiLevelType w:val="hybridMultilevel"/>
    <w:tmpl w:val="CAB8A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FE37BCC"/>
    <w:multiLevelType w:val="hybridMultilevel"/>
    <w:tmpl w:val="DDB62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15"/>
  </w:num>
  <w:num w:numId="4">
    <w:abstractNumId w:val="40"/>
  </w:num>
  <w:num w:numId="5">
    <w:abstractNumId w:val="11"/>
  </w:num>
  <w:num w:numId="6">
    <w:abstractNumId w:val="12"/>
  </w:num>
  <w:num w:numId="7">
    <w:abstractNumId w:val="35"/>
  </w:num>
  <w:num w:numId="8">
    <w:abstractNumId w:val="23"/>
  </w:num>
  <w:num w:numId="9">
    <w:abstractNumId w:val="26"/>
  </w:num>
  <w:num w:numId="10">
    <w:abstractNumId w:val="9"/>
  </w:num>
  <w:num w:numId="11">
    <w:abstractNumId w:val="17"/>
  </w:num>
  <w:num w:numId="12">
    <w:abstractNumId w:val="20"/>
  </w:num>
  <w:num w:numId="13">
    <w:abstractNumId w:val="19"/>
  </w:num>
  <w:num w:numId="14">
    <w:abstractNumId w:val="2"/>
  </w:num>
  <w:num w:numId="15">
    <w:abstractNumId w:val="22"/>
  </w:num>
  <w:num w:numId="16">
    <w:abstractNumId w:val="13"/>
  </w:num>
  <w:num w:numId="17">
    <w:abstractNumId w:val="8"/>
  </w:num>
  <w:num w:numId="18">
    <w:abstractNumId w:val="37"/>
  </w:num>
  <w:num w:numId="19">
    <w:abstractNumId w:val="29"/>
  </w:num>
  <w:num w:numId="20">
    <w:abstractNumId w:val="31"/>
  </w:num>
  <w:num w:numId="21">
    <w:abstractNumId w:val="0"/>
  </w:num>
  <w:num w:numId="22">
    <w:abstractNumId w:val="27"/>
  </w:num>
  <w:num w:numId="23">
    <w:abstractNumId w:val="18"/>
  </w:num>
  <w:num w:numId="24">
    <w:abstractNumId w:val="14"/>
  </w:num>
  <w:num w:numId="25">
    <w:abstractNumId w:val="7"/>
  </w:num>
  <w:num w:numId="26">
    <w:abstractNumId w:val="21"/>
  </w:num>
  <w:num w:numId="27">
    <w:abstractNumId w:val="4"/>
  </w:num>
  <w:num w:numId="28">
    <w:abstractNumId w:val="5"/>
  </w:num>
  <w:num w:numId="29">
    <w:abstractNumId w:val="34"/>
  </w:num>
  <w:num w:numId="30">
    <w:abstractNumId w:val="25"/>
  </w:num>
  <w:num w:numId="31">
    <w:abstractNumId w:val="3"/>
  </w:num>
  <w:num w:numId="32">
    <w:abstractNumId w:val="36"/>
  </w:num>
  <w:num w:numId="33">
    <w:abstractNumId w:val="28"/>
  </w:num>
  <w:num w:numId="34">
    <w:abstractNumId w:val="10"/>
  </w:num>
  <w:num w:numId="35">
    <w:abstractNumId w:val="39"/>
  </w:num>
  <w:num w:numId="36">
    <w:abstractNumId w:val="42"/>
  </w:num>
  <w:num w:numId="37">
    <w:abstractNumId w:val="1"/>
  </w:num>
  <w:num w:numId="38">
    <w:abstractNumId w:val="16"/>
  </w:num>
  <w:num w:numId="39">
    <w:abstractNumId w:val="6"/>
  </w:num>
  <w:num w:numId="40">
    <w:abstractNumId w:val="30"/>
  </w:num>
  <w:num w:numId="41">
    <w:abstractNumId w:val="33"/>
  </w:num>
  <w:num w:numId="42">
    <w:abstractNumId w:val="24"/>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9"/>
    <w:rsid w:val="00002D7B"/>
    <w:rsid w:val="000153A5"/>
    <w:rsid w:val="00025923"/>
    <w:rsid w:val="000348DF"/>
    <w:rsid w:val="00086D7D"/>
    <w:rsid w:val="000B42BC"/>
    <w:rsid w:val="000B4DBD"/>
    <w:rsid w:val="000B62BB"/>
    <w:rsid w:val="000C7349"/>
    <w:rsid w:val="000D3EEC"/>
    <w:rsid w:val="00115297"/>
    <w:rsid w:val="001204B7"/>
    <w:rsid w:val="00141BE9"/>
    <w:rsid w:val="00142E7D"/>
    <w:rsid w:val="00147E68"/>
    <w:rsid w:val="00154B02"/>
    <w:rsid w:val="00163D4E"/>
    <w:rsid w:val="00163F0B"/>
    <w:rsid w:val="00166B0C"/>
    <w:rsid w:val="001711F1"/>
    <w:rsid w:val="00186A27"/>
    <w:rsid w:val="001C7D13"/>
    <w:rsid w:val="001D0B14"/>
    <w:rsid w:val="001D446D"/>
    <w:rsid w:val="001F1D70"/>
    <w:rsid w:val="0020287B"/>
    <w:rsid w:val="00235076"/>
    <w:rsid w:val="00245EB6"/>
    <w:rsid w:val="0025759C"/>
    <w:rsid w:val="002B56C5"/>
    <w:rsid w:val="002D11F5"/>
    <w:rsid w:val="002E6E85"/>
    <w:rsid w:val="00350D52"/>
    <w:rsid w:val="003531B3"/>
    <w:rsid w:val="003622B3"/>
    <w:rsid w:val="00362980"/>
    <w:rsid w:val="00375C0D"/>
    <w:rsid w:val="003811DF"/>
    <w:rsid w:val="003929A6"/>
    <w:rsid w:val="003B78B1"/>
    <w:rsid w:val="003C2292"/>
    <w:rsid w:val="003F0A00"/>
    <w:rsid w:val="004051A9"/>
    <w:rsid w:val="004117D8"/>
    <w:rsid w:val="0042020E"/>
    <w:rsid w:val="004300B2"/>
    <w:rsid w:val="004366F7"/>
    <w:rsid w:val="004A37B6"/>
    <w:rsid w:val="004A45A6"/>
    <w:rsid w:val="004B596A"/>
    <w:rsid w:val="004D5EA4"/>
    <w:rsid w:val="004E195F"/>
    <w:rsid w:val="004F5EF5"/>
    <w:rsid w:val="00525408"/>
    <w:rsid w:val="00527F1B"/>
    <w:rsid w:val="0053363F"/>
    <w:rsid w:val="00541833"/>
    <w:rsid w:val="00545341"/>
    <w:rsid w:val="00546259"/>
    <w:rsid w:val="00550378"/>
    <w:rsid w:val="0058213B"/>
    <w:rsid w:val="00584208"/>
    <w:rsid w:val="00584F91"/>
    <w:rsid w:val="005932DB"/>
    <w:rsid w:val="005A0288"/>
    <w:rsid w:val="005B08EB"/>
    <w:rsid w:val="005D3A2B"/>
    <w:rsid w:val="00610016"/>
    <w:rsid w:val="00611071"/>
    <w:rsid w:val="006214DA"/>
    <w:rsid w:val="0062685A"/>
    <w:rsid w:val="00635F35"/>
    <w:rsid w:val="00682103"/>
    <w:rsid w:val="00690DFD"/>
    <w:rsid w:val="006F5BE3"/>
    <w:rsid w:val="00704D11"/>
    <w:rsid w:val="00717BC3"/>
    <w:rsid w:val="00724F8A"/>
    <w:rsid w:val="00730B99"/>
    <w:rsid w:val="007535DE"/>
    <w:rsid w:val="00753E58"/>
    <w:rsid w:val="00762A9E"/>
    <w:rsid w:val="00777B4D"/>
    <w:rsid w:val="00795049"/>
    <w:rsid w:val="007B0C79"/>
    <w:rsid w:val="007F640D"/>
    <w:rsid w:val="0082052E"/>
    <w:rsid w:val="0082742F"/>
    <w:rsid w:val="00832EC2"/>
    <w:rsid w:val="008501CF"/>
    <w:rsid w:val="00863DE3"/>
    <w:rsid w:val="0088393D"/>
    <w:rsid w:val="00885655"/>
    <w:rsid w:val="00893DCA"/>
    <w:rsid w:val="008D4422"/>
    <w:rsid w:val="008D4476"/>
    <w:rsid w:val="008E32BE"/>
    <w:rsid w:val="008E7594"/>
    <w:rsid w:val="00925F0A"/>
    <w:rsid w:val="009350B7"/>
    <w:rsid w:val="0095597E"/>
    <w:rsid w:val="009654DE"/>
    <w:rsid w:val="0098372E"/>
    <w:rsid w:val="00994C1A"/>
    <w:rsid w:val="009B179D"/>
    <w:rsid w:val="009B59FB"/>
    <w:rsid w:val="009C668E"/>
    <w:rsid w:val="00A0298E"/>
    <w:rsid w:val="00A062D4"/>
    <w:rsid w:val="00A14DC9"/>
    <w:rsid w:val="00A30270"/>
    <w:rsid w:val="00A70F74"/>
    <w:rsid w:val="00A7599A"/>
    <w:rsid w:val="00A77FD3"/>
    <w:rsid w:val="00AB6C99"/>
    <w:rsid w:val="00AB78F4"/>
    <w:rsid w:val="00AC3305"/>
    <w:rsid w:val="00AD17A0"/>
    <w:rsid w:val="00AE737C"/>
    <w:rsid w:val="00B0066D"/>
    <w:rsid w:val="00B02786"/>
    <w:rsid w:val="00B1718E"/>
    <w:rsid w:val="00B2611B"/>
    <w:rsid w:val="00B26331"/>
    <w:rsid w:val="00B315F3"/>
    <w:rsid w:val="00B5367C"/>
    <w:rsid w:val="00B542CF"/>
    <w:rsid w:val="00B64E94"/>
    <w:rsid w:val="00B66980"/>
    <w:rsid w:val="00B82CF3"/>
    <w:rsid w:val="00B93E2A"/>
    <w:rsid w:val="00B9525E"/>
    <w:rsid w:val="00BD4D71"/>
    <w:rsid w:val="00BD595B"/>
    <w:rsid w:val="00C001BD"/>
    <w:rsid w:val="00C07A2B"/>
    <w:rsid w:val="00C128D1"/>
    <w:rsid w:val="00C2063C"/>
    <w:rsid w:val="00C24879"/>
    <w:rsid w:val="00C251DC"/>
    <w:rsid w:val="00C34995"/>
    <w:rsid w:val="00C77310"/>
    <w:rsid w:val="00C84DB0"/>
    <w:rsid w:val="00C87722"/>
    <w:rsid w:val="00CA27FD"/>
    <w:rsid w:val="00CA38C5"/>
    <w:rsid w:val="00CA393D"/>
    <w:rsid w:val="00CA6D8B"/>
    <w:rsid w:val="00CC54F6"/>
    <w:rsid w:val="00CE5B53"/>
    <w:rsid w:val="00D00B56"/>
    <w:rsid w:val="00D33B1B"/>
    <w:rsid w:val="00D35970"/>
    <w:rsid w:val="00D51AA1"/>
    <w:rsid w:val="00D74040"/>
    <w:rsid w:val="00D741B9"/>
    <w:rsid w:val="00DC7677"/>
    <w:rsid w:val="00DD1CF5"/>
    <w:rsid w:val="00DD2BFF"/>
    <w:rsid w:val="00DD5816"/>
    <w:rsid w:val="00DF0E89"/>
    <w:rsid w:val="00E06EDE"/>
    <w:rsid w:val="00E076EF"/>
    <w:rsid w:val="00E15541"/>
    <w:rsid w:val="00E84498"/>
    <w:rsid w:val="00E873C1"/>
    <w:rsid w:val="00E904D9"/>
    <w:rsid w:val="00E906B7"/>
    <w:rsid w:val="00EB502B"/>
    <w:rsid w:val="00EF1EC4"/>
    <w:rsid w:val="00F02482"/>
    <w:rsid w:val="00F25C08"/>
    <w:rsid w:val="00F33563"/>
    <w:rsid w:val="00F42E23"/>
    <w:rsid w:val="00F55732"/>
    <w:rsid w:val="00FA0E50"/>
    <w:rsid w:val="00FC2F84"/>
    <w:rsid w:val="00FE33F3"/>
    <w:rsid w:val="00FE7F8A"/>
    <w:rsid w:val="00FF3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DA"/>
    <w:pPr>
      <w:spacing w:after="0" w:line="240" w:lineRule="auto"/>
    </w:pPr>
    <w:rPr>
      <w:color w:val="000000" w:themeColor="text1"/>
      <w:sz w:val="24"/>
    </w:rPr>
  </w:style>
  <w:style w:type="paragraph" w:styleId="Heading1">
    <w:name w:val="heading 1"/>
    <w:basedOn w:val="Normal"/>
    <w:next w:val="Normal"/>
    <w:link w:val="Heading1Char"/>
    <w:uiPriority w:val="9"/>
    <w:qFormat/>
    <w:rsid w:val="006214DA"/>
    <w:pPr>
      <w:keepNext/>
      <w:keepLines/>
      <w:outlineLvl w:val="0"/>
    </w:pPr>
    <w:rPr>
      <w:rFonts w:ascii="Calibri" w:eastAsiaTheme="majorEastAsia" w:hAnsi="Calibri" w:cstheme="majorBidi"/>
      <w:b/>
      <w:bCs/>
      <w:color w:val="4070AA"/>
      <w:sz w:val="36"/>
      <w:szCs w:val="28"/>
    </w:rPr>
  </w:style>
  <w:style w:type="paragraph" w:styleId="Heading2">
    <w:name w:val="heading 2"/>
    <w:basedOn w:val="Normal"/>
    <w:next w:val="Normal"/>
    <w:link w:val="Heading2Char"/>
    <w:uiPriority w:val="9"/>
    <w:unhideWhenUsed/>
    <w:qFormat/>
    <w:rsid w:val="006214DA"/>
    <w:pPr>
      <w:keepNext/>
      <w:keepLines/>
      <w:outlineLvl w:val="1"/>
    </w:pPr>
    <w:rPr>
      <w:rFonts w:ascii="Calibri" w:eastAsiaTheme="majorEastAsia" w:hAnsi="Calibri" w:cstheme="majorBidi"/>
      <w:b/>
      <w:bCs/>
      <w:color w:val="4070AA"/>
      <w:szCs w:val="26"/>
    </w:rPr>
  </w:style>
  <w:style w:type="paragraph" w:styleId="Heading3">
    <w:name w:val="heading 3"/>
    <w:basedOn w:val="Normal"/>
    <w:next w:val="Normal"/>
    <w:link w:val="Heading3Char"/>
    <w:uiPriority w:val="9"/>
    <w:unhideWhenUsed/>
    <w:qFormat/>
    <w:rsid w:val="00B66980"/>
    <w:pPr>
      <w:keepNext/>
      <w:keepLines/>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B542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14DA"/>
    <w:pPr>
      <w:contextualSpacing/>
    </w:pPr>
    <w:rPr>
      <w:rFonts w:ascii="Calibri" w:eastAsiaTheme="majorEastAsia" w:hAnsi="Calibri" w:cstheme="majorBidi"/>
      <w:b/>
      <w:color w:val="4070AA"/>
      <w:spacing w:val="5"/>
      <w:kern w:val="28"/>
      <w:sz w:val="52"/>
      <w:szCs w:val="52"/>
    </w:rPr>
  </w:style>
  <w:style w:type="character" w:customStyle="1" w:styleId="TitleChar">
    <w:name w:val="Title Char"/>
    <w:basedOn w:val="DefaultParagraphFont"/>
    <w:link w:val="Title"/>
    <w:uiPriority w:val="10"/>
    <w:rsid w:val="006214DA"/>
    <w:rPr>
      <w:rFonts w:ascii="Calibri" w:eastAsiaTheme="majorEastAsia" w:hAnsi="Calibri" w:cstheme="majorBidi"/>
      <w:b/>
      <w:color w:val="4070AA"/>
      <w:spacing w:val="5"/>
      <w:kern w:val="28"/>
      <w:sz w:val="52"/>
      <w:szCs w:val="52"/>
    </w:rPr>
  </w:style>
  <w:style w:type="character" w:customStyle="1" w:styleId="Heading1Char">
    <w:name w:val="Heading 1 Char"/>
    <w:basedOn w:val="DefaultParagraphFont"/>
    <w:link w:val="Heading1"/>
    <w:uiPriority w:val="9"/>
    <w:rsid w:val="006214DA"/>
    <w:rPr>
      <w:rFonts w:ascii="Calibri" w:eastAsiaTheme="majorEastAsia" w:hAnsi="Calibri" w:cstheme="majorBidi"/>
      <w:b/>
      <w:bCs/>
      <w:color w:val="4070AA"/>
      <w:sz w:val="36"/>
      <w:szCs w:val="28"/>
    </w:rPr>
  </w:style>
  <w:style w:type="table" w:styleId="TableGrid">
    <w:name w:val="Table Grid"/>
    <w:basedOn w:val="TableNormal"/>
    <w:rsid w:val="00C7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214DA"/>
    <w:rPr>
      <w:rFonts w:ascii="Calibri" w:eastAsiaTheme="majorEastAsia" w:hAnsi="Calibri" w:cstheme="majorBidi"/>
      <w:b/>
      <w:bCs/>
      <w:color w:val="4070AA"/>
      <w:sz w:val="24"/>
      <w:szCs w:val="26"/>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C77310"/>
    <w:pPr>
      <w:ind w:left="720"/>
      <w:contextualSpacing/>
    </w:pPr>
  </w:style>
  <w:style w:type="paragraph" w:styleId="Header">
    <w:name w:val="header"/>
    <w:basedOn w:val="Normal"/>
    <w:link w:val="HeaderChar"/>
    <w:uiPriority w:val="99"/>
    <w:unhideWhenUsed/>
    <w:rsid w:val="00141BE9"/>
    <w:pPr>
      <w:tabs>
        <w:tab w:val="center" w:pos="4513"/>
        <w:tab w:val="right" w:pos="9026"/>
      </w:tabs>
    </w:pPr>
  </w:style>
  <w:style w:type="character" w:customStyle="1" w:styleId="HeaderChar">
    <w:name w:val="Header Char"/>
    <w:basedOn w:val="DefaultParagraphFont"/>
    <w:link w:val="Header"/>
    <w:uiPriority w:val="99"/>
    <w:rsid w:val="00141BE9"/>
  </w:style>
  <w:style w:type="paragraph" w:styleId="Footer">
    <w:name w:val="footer"/>
    <w:basedOn w:val="Normal"/>
    <w:link w:val="FooterChar"/>
    <w:uiPriority w:val="99"/>
    <w:unhideWhenUsed/>
    <w:rsid w:val="00141BE9"/>
    <w:pPr>
      <w:tabs>
        <w:tab w:val="center" w:pos="4513"/>
        <w:tab w:val="right" w:pos="9026"/>
      </w:tabs>
    </w:pPr>
  </w:style>
  <w:style w:type="character" w:customStyle="1" w:styleId="FooterChar">
    <w:name w:val="Footer Char"/>
    <w:basedOn w:val="DefaultParagraphFont"/>
    <w:link w:val="Footer"/>
    <w:uiPriority w:val="99"/>
    <w:rsid w:val="00141BE9"/>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88393D"/>
  </w:style>
  <w:style w:type="character" w:customStyle="1" w:styleId="Heading3Char">
    <w:name w:val="Heading 3 Char"/>
    <w:basedOn w:val="DefaultParagraphFont"/>
    <w:link w:val="Heading3"/>
    <w:uiPriority w:val="9"/>
    <w:rsid w:val="00B66980"/>
    <w:rPr>
      <w:rFonts w:ascii="Calibri" w:eastAsiaTheme="majorEastAsia" w:hAnsi="Calibri" w:cstheme="majorBidi"/>
      <w:b/>
      <w:bCs/>
    </w:rPr>
  </w:style>
  <w:style w:type="paragraph" w:customStyle="1" w:styleId="Definitiontext">
    <w:name w:val="Definition 'text'"/>
    <w:basedOn w:val="Normal"/>
    <w:link w:val="DefinitiontextChar"/>
    <w:qFormat/>
    <w:rsid w:val="004A37B6"/>
    <w:pPr>
      <w:spacing w:before="60"/>
    </w:pPr>
    <w:rPr>
      <w:rFonts w:ascii="Calibri" w:eastAsia="Times New Roman" w:hAnsi="Calibri" w:cs="Times New Roman"/>
      <w:szCs w:val="20"/>
    </w:rPr>
  </w:style>
  <w:style w:type="character" w:customStyle="1" w:styleId="DefinitiontextChar">
    <w:name w:val="Definition 'text' Char"/>
    <w:basedOn w:val="DefaultParagraphFont"/>
    <w:link w:val="Definitiontext"/>
    <w:rsid w:val="004A37B6"/>
    <w:rPr>
      <w:rFonts w:ascii="Calibri" w:eastAsia="Times New Roman" w:hAnsi="Calibri" w:cs="Times New Roman"/>
      <w:szCs w:val="20"/>
    </w:rPr>
  </w:style>
  <w:style w:type="paragraph" w:styleId="ListBullet">
    <w:name w:val="List Bullet"/>
    <w:basedOn w:val="Normal"/>
    <w:rsid w:val="004A37B6"/>
    <w:pPr>
      <w:contextualSpacing/>
    </w:pPr>
    <w:rPr>
      <w:rFonts w:ascii="Calibri" w:eastAsia="Times New Roman" w:hAnsi="Calibri" w:cs="Times New Roman"/>
      <w:szCs w:val="24"/>
      <w:lang w:eastAsia="en-AU"/>
    </w:rPr>
  </w:style>
  <w:style w:type="paragraph" w:styleId="ListBullet2">
    <w:name w:val="List Bullet 2"/>
    <w:basedOn w:val="Normal"/>
    <w:rsid w:val="004A37B6"/>
    <w:pPr>
      <w:numPr>
        <w:ilvl w:val="1"/>
        <w:numId w:val="5"/>
      </w:numPr>
      <w:contextualSpacing/>
    </w:pPr>
    <w:rPr>
      <w:rFonts w:ascii="Calibri" w:eastAsia="Times New Roman" w:hAnsi="Calibri" w:cs="Times New Roman"/>
      <w:szCs w:val="24"/>
      <w:lang w:eastAsia="en-AU"/>
    </w:rPr>
  </w:style>
  <w:style w:type="paragraph" w:styleId="ListBullet3">
    <w:name w:val="List Bullet 3"/>
    <w:basedOn w:val="Normal"/>
    <w:rsid w:val="004A37B6"/>
    <w:pPr>
      <w:numPr>
        <w:ilvl w:val="2"/>
        <w:numId w:val="5"/>
      </w:numPr>
      <w:contextualSpacing/>
    </w:pPr>
    <w:rPr>
      <w:rFonts w:ascii="Calibri" w:eastAsia="Times New Roman" w:hAnsi="Calibri" w:cs="Times New Roman"/>
      <w:szCs w:val="24"/>
      <w:lang w:eastAsia="en-AU"/>
    </w:rPr>
  </w:style>
  <w:style w:type="paragraph" w:styleId="EndnoteText">
    <w:name w:val="endnote text"/>
    <w:basedOn w:val="Normal"/>
    <w:link w:val="EndnoteTextChar"/>
    <w:semiHidden/>
    <w:rsid w:val="004A37B6"/>
    <w:rPr>
      <w:rFonts w:ascii="Calibri" w:eastAsia="Times New Roman" w:hAnsi="Calibri" w:cs="Times New Roman"/>
      <w:sz w:val="20"/>
      <w:szCs w:val="20"/>
      <w:lang w:eastAsia="en-AU"/>
    </w:rPr>
  </w:style>
  <w:style w:type="character" w:customStyle="1" w:styleId="EndnoteTextChar">
    <w:name w:val="Endnote Text Char"/>
    <w:basedOn w:val="DefaultParagraphFont"/>
    <w:link w:val="EndnoteText"/>
    <w:semiHidden/>
    <w:rsid w:val="004A37B6"/>
    <w:rPr>
      <w:rFonts w:ascii="Calibri" w:eastAsia="Times New Roman" w:hAnsi="Calibri" w:cs="Times New Roman"/>
      <w:sz w:val="20"/>
      <w:szCs w:val="20"/>
      <w:lang w:eastAsia="en-AU"/>
    </w:rPr>
  </w:style>
  <w:style w:type="character" w:styleId="CommentReference">
    <w:name w:val="annotation reference"/>
    <w:basedOn w:val="DefaultParagraphFont"/>
    <w:uiPriority w:val="99"/>
    <w:rsid w:val="004A37B6"/>
    <w:rPr>
      <w:sz w:val="16"/>
      <w:szCs w:val="16"/>
    </w:rPr>
  </w:style>
  <w:style w:type="paragraph" w:customStyle="1" w:styleId="TableBlackHeading">
    <w:name w:val="Table Black Heading"/>
    <w:basedOn w:val="Normal"/>
    <w:link w:val="TableBlackHeadingChar"/>
    <w:qFormat/>
    <w:rsid w:val="004A37B6"/>
    <w:rPr>
      <w:rFonts w:ascii="Calibri" w:eastAsia="Times New Roman" w:hAnsi="Calibri" w:cs="Arial"/>
      <w:b/>
      <w:szCs w:val="28"/>
    </w:rPr>
  </w:style>
  <w:style w:type="character" w:customStyle="1" w:styleId="TableBlackHeadingChar">
    <w:name w:val="Table Black Heading Char"/>
    <w:basedOn w:val="DefaultParagraphFont"/>
    <w:link w:val="TableBlackHeading"/>
    <w:rsid w:val="004A37B6"/>
    <w:rPr>
      <w:rFonts w:ascii="Calibri" w:eastAsia="Times New Roman" w:hAnsi="Calibri" w:cs="Arial"/>
      <w:b/>
      <w:sz w:val="24"/>
      <w:szCs w:val="28"/>
    </w:rPr>
  </w:style>
  <w:style w:type="character" w:styleId="Emphasis">
    <w:name w:val="Emphasis"/>
    <w:basedOn w:val="DefaultParagraphFont"/>
    <w:qFormat/>
    <w:rsid w:val="004A37B6"/>
    <w:rPr>
      <w:i/>
      <w:iCs/>
    </w:rPr>
  </w:style>
  <w:style w:type="paragraph" w:customStyle="1" w:styleId="TableNumberedleftbold">
    <w:name w:val="Table Numbered left bold"/>
    <w:basedOn w:val="Normal"/>
    <w:qFormat/>
    <w:rsid w:val="000B62BB"/>
    <w:rPr>
      <w:rFonts w:ascii="Calibri" w:eastAsia="Times New Roman" w:hAnsi="Calibri" w:cs="Arial"/>
      <w:b/>
      <w:bCs/>
      <w:lang w:eastAsia="en-AU"/>
    </w:rPr>
  </w:style>
  <w:style w:type="paragraph" w:customStyle="1" w:styleId="NormalItalic">
    <w:name w:val="Normal Italic"/>
    <w:basedOn w:val="Normal"/>
    <w:link w:val="NormalItalicChar"/>
    <w:rsid w:val="000B62BB"/>
    <w:rPr>
      <w:rFonts w:ascii="Calibri" w:eastAsia="Times New Roman" w:hAnsi="Calibri" w:cs="Times New Roman"/>
      <w:i/>
      <w:szCs w:val="24"/>
      <w:lang w:eastAsia="en-AU"/>
    </w:rPr>
  </w:style>
  <w:style w:type="character" w:customStyle="1" w:styleId="NormalItalicChar">
    <w:name w:val="Normal Italic Char"/>
    <w:basedOn w:val="DefaultParagraphFont"/>
    <w:link w:val="NormalItalic"/>
    <w:rsid w:val="000B62BB"/>
    <w:rPr>
      <w:rFonts w:ascii="Calibri" w:eastAsia="Times New Roman" w:hAnsi="Calibri" w:cs="Times New Roman"/>
      <w:i/>
      <w:szCs w:val="24"/>
      <w:lang w:eastAsia="en-AU"/>
    </w:rPr>
  </w:style>
  <w:style w:type="paragraph" w:customStyle="1" w:styleId="TableText">
    <w:name w:val="Table Text"/>
    <w:basedOn w:val="Normal"/>
    <w:qFormat/>
    <w:rsid w:val="000B62BB"/>
    <w:pPr>
      <w:autoSpaceDE w:val="0"/>
      <w:autoSpaceDN w:val="0"/>
      <w:adjustRightInd w:val="0"/>
      <w:spacing w:before="60" w:after="60"/>
      <w:contextualSpacing/>
    </w:pPr>
    <w:rPr>
      <w:rFonts w:ascii="Calibri" w:eastAsia="Times New Roman" w:hAnsi="Calibri" w:cs="Arial"/>
      <w:sz w:val="20"/>
      <w:szCs w:val="24"/>
      <w:lang w:eastAsia="en-AU"/>
    </w:rPr>
  </w:style>
  <w:style w:type="character" w:styleId="Hyperlink">
    <w:name w:val="Hyperlink"/>
    <w:basedOn w:val="DefaultParagraphFont"/>
    <w:uiPriority w:val="99"/>
    <w:rsid w:val="001D446D"/>
    <w:rPr>
      <w:color w:val="0000FF"/>
      <w:u w:val="single"/>
    </w:rPr>
  </w:style>
  <w:style w:type="paragraph" w:styleId="BalloonText">
    <w:name w:val="Balloon Text"/>
    <w:basedOn w:val="Normal"/>
    <w:link w:val="BalloonTextChar"/>
    <w:uiPriority w:val="99"/>
    <w:semiHidden/>
    <w:unhideWhenUsed/>
    <w:rsid w:val="001D446D"/>
    <w:rPr>
      <w:rFonts w:ascii="Tahoma" w:hAnsi="Tahoma" w:cs="Tahoma"/>
      <w:sz w:val="16"/>
      <w:szCs w:val="16"/>
    </w:rPr>
  </w:style>
  <w:style w:type="character" w:customStyle="1" w:styleId="BalloonTextChar">
    <w:name w:val="Balloon Text Char"/>
    <w:basedOn w:val="DefaultParagraphFont"/>
    <w:link w:val="BalloonText"/>
    <w:uiPriority w:val="99"/>
    <w:semiHidden/>
    <w:rsid w:val="001D446D"/>
    <w:rPr>
      <w:rFonts w:ascii="Tahoma" w:hAnsi="Tahoma" w:cs="Tahoma"/>
      <w:sz w:val="16"/>
      <w:szCs w:val="16"/>
    </w:rPr>
  </w:style>
  <w:style w:type="character" w:customStyle="1" w:styleId="Heading4Char">
    <w:name w:val="Heading 4 Char"/>
    <w:basedOn w:val="DefaultParagraphFont"/>
    <w:link w:val="Heading4"/>
    <w:uiPriority w:val="9"/>
    <w:rsid w:val="00B542CF"/>
    <w:rPr>
      <w:rFonts w:asciiTheme="majorHAnsi" w:eastAsiaTheme="majorEastAsia" w:hAnsiTheme="majorHAnsi" w:cstheme="majorBidi"/>
      <w:b/>
      <w:bCs/>
      <w:i/>
      <w:iCs/>
      <w:color w:val="4F81BD" w:themeColor="accent1"/>
    </w:rPr>
  </w:style>
  <w:style w:type="paragraph" w:customStyle="1" w:styleId="TableTextCentred">
    <w:name w:val="Table Text Centred"/>
    <w:basedOn w:val="Normal"/>
    <w:rsid w:val="00F25C08"/>
    <w:pPr>
      <w:jc w:val="center"/>
    </w:pPr>
    <w:rPr>
      <w:rFonts w:ascii="Calibri" w:eastAsia="Times New Roman" w:hAnsi="Calibri" w:cs="Arial"/>
      <w:sz w:val="20"/>
      <w:szCs w:val="20"/>
      <w:lang w:eastAsia="en-AU"/>
    </w:rPr>
  </w:style>
  <w:style w:type="paragraph" w:customStyle="1" w:styleId="TableHeadingCentred">
    <w:name w:val="Table Heading Centred"/>
    <w:basedOn w:val="Normal"/>
    <w:rsid w:val="00F25C08"/>
    <w:pPr>
      <w:spacing w:before="60" w:after="60"/>
      <w:jc w:val="center"/>
    </w:pPr>
    <w:rPr>
      <w:rFonts w:ascii="Calibri" w:eastAsia="Times New Roman" w:hAnsi="Calibri" w:cs="Arial"/>
      <w:b/>
      <w:bCs/>
      <w:color w:val="FFFFFF"/>
      <w:szCs w:val="24"/>
      <w:lang w:eastAsia="en-AU"/>
    </w:rPr>
  </w:style>
  <w:style w:type="numbering" w:customStyle="1" w:styleId="BulletList">
    <w:name w:val="Bullet List"/>
    <w:basedOn w:val="NoList"/>
    <w:rsid w:val="003F0A00"/>
    <w:pPr>
      <w:numPr>
        <w:numId w:val="28"/>
      </w:numPr>
    </w:pPr>
  </w:style>
  <w:style w:type="paragraph" w:customStyle="1" w:styleId="BoxBulletList">
    <w:name w:val="Box Bullet List"/>
    <w:basedOn w:val="Normal"/>
    <w:rsid w:val="003F0A00"/>
    <w:pPr>
      <w:numPr>
        <w:numId w:val="29"/>
      </w:numPr>
    </w:pPr>
    <w:rPr>
      <w:rFonts w:ascii="Calibri" w:eastAsia="Times New Roman" w:hAnsi="Calibri" w:cs="Times New Roman"/>
      <w:color w:val="000000"/>
      <w:sz w:val="18"/>
      <w:szCs w:val="18"/>
      <w:lang w:eastAsia="en-AU"/>
    </w:rPr>
  </w:style>
  <w:style w:type="paragraph" w:styleId="CommentText">
    <w:name w:val="annotation text"/>
    <w:basedOn w:val="Normal"/>
    <w:link w:val="CommentTextChar"/>
    <w:uiPriority w:val="99"/>
    <w:rsid w:val="00682103"/>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uiPriority w:val="99"/>
    <w:rsid w:val="00682103"/>
    <w:rPr>
      <w:rFonts w:ascii="Calibri" w:eastAsia="Times New Roman" w:hAnsi="Calibri" w:cs="Times New Roman"/>
      <w:sz w:val="20"/>
      <w:szCs w:val="20"/>
      <w:lang w:eastAsia="en-AU"/>
    </w:rPr>
  </w:style>
  <w:style w:type="paragraph" w:customStyle="1" w:styleId="Disclaimer">
    <w:name w:val="Disclaimer"/>
    <w:basedOn w:val="Normal"/>
    <w:link w:val="DisclaimerChar"/>
    <w:rsid w:val="00CE5B53"/>
    <w:pPr>
      <w:spacing w:before="5040"/>
    </w:pPr>
    <w:rPr>
      <w:rFonts w:ascii="Calibri" w:eastAsia="Times New Roman" w:hAnsi="Calibri" w:cs="Times New Roman"/>
      <w:sz w:val="20"/>
      <w:szCs w:val="20"/>
      <w:lang w:eastAsia="en-AU"/>
    </w:rPr>
  </w:style>
  <w:style w:type="character" w:customStyle="1" w:styleId="DisclaimerChar">
    <w:name w:val="Disclaimer Char"/>
    <w:basedOn w:val="DefaultParagraphFont"/>
    <w:link w:val="Disclaimer"/>
    <w:rsid w:val="00CE5B5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E7594"/>
    <w:pPr>
      <w:spacing w:before="120" w:after="12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E7594"/>
    <w:rPr>
      <w:rFonts w:ascii="Calibri" w:eastAsia="Times New Roman" w:hAnsi="Calibri" w:cs="Times New Roman"/>
      <w:b/>
      <w:bCs/>
      <w:sz w:val="20"/>
      <w:szCs w:val="20"/>
      <w:lang w:eastAsia="en-AU"/>
    </w:rPr>
  </w:style>
  <w:style w:type="character" w:styleId="Strong">
    <w:name w:val="Strong"/>
    <w:qFormat/>
    <w:rsid w:val="00925F0A"/>
    <w:rPr>
      <w:b/>
      <w:bCs/>
    </w:rPr>
  </w:style>
  <w:style w:type="paragraph" w:styleId="NoSpacing">
    <w:name w:val="No Spacing"/>
    <w:uiPriority w:val="1"/>
    <w:qFormat/>
    <w:rsid w:val="00753E58"/>
    <w:pPr>
      <w:spacing w:after="0" w:line="240" w:lineRule="auto"/>
    </w:pPr>
    <w:rPr>
      <w:color w:val="000000" w:themeColor="tex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4DA"/>
    <w:pPr>
      <w:spacing w:after="0" w:line="240" w:lineRule="auto"/>
    </w:pPr>
    <w:rPr>
      <w:color w:val="000000" w:themeColor="text1"/>
      <w:sz w:val="24"/>
    </w:rPr>
  </w:style>
  <w:style w:type="paragraph" w:styleId="Heading1">
    <w:name w:val="heading 1"/>
    <w:basedOn w:val="Normal"/>
    <w:next w:val="Normal"/>
    <w:link w:val="Heading1Char"/>
    <w:uiPriority w:val="9"/>
    <w:qFormat/>
    <w:rsid w:val="006214DA"/>
    <w:pPr>
      <w:keepNext/>
      <w:keepLines/>
      <w:outlineLvl w:val="0"/>
    </w:pPr>
    <w:rPr>
      <w:rFonts w:ascii="Calibri" w:eastAsiaTheme="majorEastAsia" w:hAnsi="Calibri" w:cstheme="majorBidi"/>
      <w:b/>
      <w:bCs/>
      <w:color w:val="4070AA"/>
      <w:sz w:val="36"/>
      <w:szCs w:val="28"/>
    </w:rPr>
  </w:style>
  <w:style w:type="paragraph" w:styleId="Heading2">
    <w:name w:val="heading 2"/>
    <w:basedOn w:val="Normal"/>
    <w:next w:val="Normal"/>
    <w:link w:val="Heading2Char"/>
    <w:uiPriority w:val="9"/>
    <w:unhideWhenUsed/>
    <w:qFormat/>
    <w:rsid w:val="006214DA"/>
    <w:pPr>
      <w:keepNext/>
      <w:keepLines/>
      <w:outlineLvl w:val="1"/>
    </w:pPr>
    <w:rPr>
      <w:rFonts w:ascii="Calibri" w:eastAsiaTheme="majorEastAsia" w:hAnsi="Calibri" w:cstheme="majorBidi"/>
      <w:b/>
      <w:bCs/>
      <w:color w:val="4070AA"/>
      <w:szCs w:val="26"/>
    </w:rPr>
  </w:style>
  <w:style w:type="paragraph" w:styleId="Heading3">
    <w:name w:val="heading 3"/>
    <w:basedOn w:val="Normal"/>
    <w:next w:val="Normal"/>
    <w:link w:val="Heading3Char"/>
    <w:uiPriority w:val="9"/>
    <w:unhideWhenUsed/>
    <w:qFormat/>
    <w:rsid w:val="00B66980"/>
    <w:pPr>
      <w:keepNext/>
      <w:keepLines/>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B542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14DA"/>
    <w:pPr>
      <w:contextualSpacing/>
    </w:pPr>
    <w:rPr>
      <w:rFonts w:ascii="Calibri" w:eastAsiaTheme="majorEastAsia" w:hAnsi="Calibri" w:cstheme="majorBidi"/>
      <w:b/>
      <w:color w:val="4070AA"/>
      <w:spacing w:val="5"/>
      <w:kern w:val="28"/>
      <w:sz w:val="52"/>
      <w:szCs w:val="52"/>
    </w:rPr>
  </w:style>
  <w:style w:type="character" w:customStyle="1" w:styleId="TitleChar">
    <w:name w:val="Title Char"/>
    <w:basedOn w:val="DefaultParagraphFont"/>
    <w:link w:val="Title"/>
    <w:uiPriority w:val="10"/>
    <w:rsid w:val="006214DA"/>
    <w:rPr>
      <w:rFonts w:ascii="Calibri" w:eastAsiaTheme="majorEastAsia" w:hAnsi="Calibri" w:cstheme="majorBidi"/>
      <w:b/>
      <w:color w:val="4070AA"/>
      <w:spacing w:val="5"/>
      <w:kern w:val="28"/>
      <w:sz w:val="52"/>
      <w:szCs w:val="52"/>
    </w:rPr>
  </w:style>
  <w:style w:type="character" w:customStyle="1" w:styleId="Heading1Char">
    <w:name w:val="Heading 1 Char"/>
    <w:basedOn w:val="DefaultParagraphFont"/>
    <w:link w:val="Heading1"/>
    <w:uiPriority w:val="9"/>
    <w:rsid w:val="006214DA"/>
    <w:rPr>
      <w:rFonts w:ascii="Calibri" w:eastAsiaTheme="majorEastAsia" w:hAnsi="Calibri" w:cstheme="majorBidi"/>
      <w:b/>
      <w:bCs/>
      <w:color w:val="4070AA"/>
      <w:sz w:val="36"/>
      <w:szCs w:val="28"/>
    </w:rPr>
  </w:style>
  <w:style w:type="table" w:styleId="TableGrid">
    <w:name w:val="Table Grid"/>
    <w:basedOn w:val="TableNormal"/>
    <w:rsid w:val="00C7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214DA"/>
    <w:rPr>
      <w:rFonts w:ascii="Calibri" w:eastAsiaTheme="majorEastAsia" w:hAnsi="Calibri" w:cstheme="majorBidi"/>
      <w:b/>
      <w:bCs/>
      <w:color w:val="4070AA"/>
      <w:sz w:val="24"/>
      <w:szCs w:val="26"/>
    </w:rPr>
  </w:style>
  <w:style w:type="paragraph" w:styleId="ListParagraph">
    <w:name w:val="List Paragraph"/>
    <w:aliases w:val="Recommendation,Bullet Point,List Paragraph1,List Paragraph11,L,Bullet points,Content descriptions,Body Bullets 1,Bullet point,Main,CV text,Table text,F5 List Paragraph,Dot pt,List Paragraph111,Medium Grid 1 - Accent 21,Numbered Paragraph"/>
    <w:basedOn w:val="Normal"/>
    <w:link w:val="ListParagraphChar"/>
    <w:uiPriority w:val="34"/>
    <w:qFormat/>
    <w:rsid w:val="00C77310"/>
    <w:pPr>
      <w:ind w:left="720"/>
      <w:contextualSpacing/>
    </w:pPr>
  </w:style>
  <w:style w:type="paragraph" w:styleId="Header">
    <w:name w:val="header"/>
    <w:basedOn w:val="Normal"/>
    <w:link w:val="HeaderChar"/>
    <w:uiPriority w:val="99"/>
    <w:unhideWhenUsed/>
    <w:rsid w:val="00141BE9"/>
    <w:pPr>
      <w:tabs>
        <w:tab w:val="center" w:pos="4513"/>
        <w:tab w:val="right" w:pos="9026"/>
      </w:tabs>
    </w:pPr>
  </w:style>
  <w:style w:type="character" w:customStyle="1" w:styleId="HeaderChar">
    <w:name w:val="Header Char"/>
    <w:basedOn w:val="DefaultParagraphFont"/>
    <w:link w:val="Header"/>
    <w:uiPriority w:val="99"/>
    <w:rsid w:val="00141BE9"/>
  </w:style>
  <w:style w:type="paragraph" w:styleId="Footer">
    <w:name w:val="footer"/>
    <w:basedOn w:val="Normal"/>
    <w:link w:val="FooterChar"/>
    <w:uiPriority w:val="99"/>
    <w:unhideWhenUsed/>
    <w:rsid w:val="00141BE9"/>
    <w:pPr>
      <w:tabs>
        <w:tab w:val="center" w:pos="4513"/>
        <w:tab w:val="right" w:pos="9026"/>
      </w:tabs>
    </w:pPr>
  </w:style>
  <w:style w:type="character" w:customStyle="1" w:styleId="FooterChar">
    <w:name w:val="Footer Char"/>
    <w:basedOn w:val="DefaultParagraphFont"/>
    <w:link w:val="Footer"/>
    <w:uiPriority w:val="99"/>
    <w:rsid w:val="00141BE9"/>
  </w:style>
  <w:style w:type="character" w:customStyle="1" w:styleId="ListParagraphChar">
    <w:name w:val="List Paragraph Char"/>
    <w:aliases w:val="Recommendation Char,Bullet Point Char,List Paragraph1 Char,List Paragraph11 Char,L Char,Bullet points Char,Content descriptions Char,Body Bullets 1 Char,Bullet point Char,Main Char,CV text Char,Table text Char,F5 List Paragraph Char"/>
    <w:basedOn w:val="DefaultParagraphFont"/>
    <w:link w:val="ListParagraph"/>
    <w:uiPriority w:val="34"/>
    <w:locked/>
    <w:rsid w:val="0088393D"/>
  </w:style>
  <w:style w:type="character" w:customStyle="1" w:styleId="Heading3Char">
    <w:name w:val="Heading 3 Char"/>
    <w:basedOn w:val="DefaultParagraphFont"/>
    <w:link w:val="Heading3"/>
    <w:uiPriority w:val="9"/>
    <w:rsid w:val="00B66980"/>
    <w:rPr>
      <w:rFonts w:ascii="Calibri" w:eastAsiaTheme="majorEastAsia" w:hAnsi="Calibri" w:cstheme="majorBidi"/>
      <w:b/>
      <w:bCs/>
    </w:rPr>
  </w:style>
  <w:style w:type="paragraph" w:customStyle="1" w:styleId="Definitiontext">
    <w:name w:val="Definition 'text'"/>
    <w:basedOn w:val="Normal"/>
    <w:link w:val="DefinitiontextChar"/>
    <w:qFormat/>
    <w:rsid w:val="004A37B6"/>
    <w:pPr>
      <w:spacing w:before="60"/>
    </w:pPr>
    <w:rPr>
      <w:rFonts w:ascii="Calibri" w:eastAsia="Times New Roman" w:hAnsi="Calibri" w:cs="Times New Roman"/>
      <w:szCs w:val="20"/>
    </w:rPr>
  </w:style>
  <w:style w:type="character" w:customStyle="1" w:styleId="DefinitiontextChar">
    <w:name w:val="Definition 'text' Char"/>
    <w:basedOn w:val="DefaultParagraphFont"/>
    <w:link w:val="Definitiontext"/>
    <w:rsid w:val="004A37B6"/>
    <w:rPr>
      <w:rFonts w:ascii="Calibri" w:eastAsia="Times New Roman" w:hAnsi="Calibri" w:cs="Times New Roman"/>
      <w:szCs w:val="20"/>
    </w:rPr>
  </w:style>
  <w:style w:type="paragraph" w:styleId="ListBullet">
    <w:name w:val="List Bullet"/>
    <w:basedOn w:val="Normal"/>
    <w:rsid w:val="004A37B6"/>
    <w:pPr>
      <w:contextualSpacing/>
    </w:pPr>
    <w:rPr>
      <w:rFonts w:ascii="Calibri" w:eastAsia="Times New Roman" w:hAnsi="Calibri" w:cs="Times New Roman"/>
      <w:szCs w:val="24"/>
      <w:lang w:eastAsia="en-AU"/>
    </w:rPr>
  </w:style>
  <w:style w:type="paragraph" w:styleId="ListBullet2">
    <w:name w:val="List Bullet 2"/>
    <w:basedOn w:val="Normal"/>
    <w:rsid w:val="004A37B6"/>
    <w:pPr>
      <w:numPr>
        <w:ilvl w:val="1"/>
        <w:numId w:val="5"/>
      </w:numPr>
      <w:contextualSpacing/>
    </w:pPr>
    <w:rPr>
      <w:rFonts w:ascii="Calibri" w:eastAsia="Times New Roman" w:hAnsi="Calibri" w:cs="Times New Roman"/>
      <w:szCs w:val="24"/>
      <w:lang w:eastAsia="en-AU"/>
    </w:rPr>
  </w:style>
  <w:style w:type="paragraph" w:styleId="ListBullet3">
    <w:name w:val="List Bullet 3"/>
    <w:basedOn w:val="Normal"/>
    <w:rsid w:val="004A37B6"/>
    <w:pPr>
      <w:numPr>
        <w:ilvl w:val="2"/>
        <w:numId w:val="5"/>
      </w:numPr>
      <w:contextualSpacing/>
    </w:pPr>
    <w:rPr>
      <w:rFonts w:ascii="Calibri" w:eastAsia="Times New Roman" w:hAnsi="Calibri" w:cs="Times New Roman"/>
      <w:szCs w:val="24"/>
      <w:lang w:eastAsia="en-AU"/>
    </w:rPr>
  </w:style>
  <w:style w:type="paragraph" w:styleId="EndnoteText">
    <w:name w:val="endnote text"/>
    <w:basedOn w:val="Normal"/>
    <w:link w:val="EndnoteTextChar"/>
    <w:semiHidden/>
    <w:rsid w:val="004A37B6"/>
    <w:rPr>
      <w:rFonts w:ascii="Calibri" w:eastAsia="Times New Roman" w:hAnsi="Calibri" w:cs="Times New Roman"/>
      <w:sz w:val="20"/>
      <w:szCs w:val="20"/>
      <w:lang w:eastAsia="en-AU"/>
    </w:rPr>
  </w:style>
  <w:style w:type="character" w:customStyle="1" w:styleId="EndnoteTextChar">
    <w:name w:val="Endnote Text Char"/>
    <w:basedOn w:val="DefaultParagraphFont"/>
    <w:link w:val="EndnoteText"/>
    <w:semiHidden/>
    <w:rsid w:val="004A37B6"/>
    <w:rPr>
      <w:rFonts w:ascii="Calibri" w:eastAsia="Times New Roman" w:hAnsi="Calibri" w:cs="Times New Roman"/>
      <w:sz w:val="20"/>
      <w:szCs w:val="20"/>
      <w:lang w:eastAsia="en-AU"/>
    </w:rPr>
  </w:style>
  <w:style w:type="character" w:styleId="CommentReference">
    <w:name w:val="annotation reference"/>
    <w:basedOn w:val="DefaultParagraphFont"/>
    <w:uiPriority w:val="99"/>
    <w:rsid w:val="004A37B6"/>
    <w:rPr>
      <w:sz w:val="16"/>
      <w:szCs w:val="16"/>
    </w:rPr>
  </w:style>
  <w:style w:type="paragraph" w:customStyle="1" w:styleId="TableBlackHeading">
    <w:name w:val="Table Black Heading"/>
    <w:basedOn w:val="Normal"/>
    <w:link w:val="TableBlackHeadingChar"/>
    <w:qFormat/>
    <w:rsid w:val="004A37B6"/>
    <w:rPr>
      <w:rFonts w:ascii="Calibri" w:eastAsia="Times New Roman" w:hAnsi="Calibri" w:cs="Arial"/>
      <w:b/>
      <w:szCs w:val="28"/>
    </w:rPr>
  </w:style>
  <w:style w:type="character" w:customStyle="1" w:styleId="TableBlackHeadingChar">
    <w:name w:val="Table Black Heading Char"/>
    <w:basedOn w:val="DefaultParagraphFont"/>
    <w:link w:val="TableBlackHeading"/>
    <w:rsid w:val="004A37B6"/>
    <w:rPr>
      <w:rFonts w:ascii="Calibri" w:eastAsia="Times New Roman" w:hAnsi="Calibri" w:cs="Arial"/>
      <w:b/>
      <w:sz w:val="24"/>
      <w:szCs w:val="28"/>
    </w:rPr>
  </w:style>
  <w:style w:type="character" w:styleId="Emphasis">
    <w:name w:val="Emphasis"/>
    <w:basedOn w:val="DefaultParagraphFont"/>
    <w:qFormat/>
    <w:rsid w:val="004A37B6"/>
    <w:rPr>
      <w:i/>
      <w:iCs/>
    </w:rPr>
  </w:style>
  <w:style w:type="paragraph" w:customStyle="1" w:styleId="TableNumberedleftbold">
    <w:name w:val="Table Numbered left bold"/>
    <w:basedOn w:val="Normal"/>
    <w:qFormat/>
    <w:rsid w:val="000B62BB"/>
    <w:rPr>
      <w:rFonts w:ascii="Calibri" w:eastAsia="Times New Roman" w:hAnsi="Calibri" w:cs="Arial"/>
      <w:b/>
      <w:bCs/>
      <w:lang w:eastAsia="en-AU"/>
    </w:rPr>
  </w:style>
  <w:style w:type="paragraph" w:customStyle="1" w:styleId="NormalItalic">
    <w:name w:val="Normal Italic"/>
    <w:basedOn w:val="Normal"/>
    <w:link w:val="NormalItalicChar"/>
    <w:rsid w:val="000B62BB"/>
    <w:rPr>
      <w:rFonts w:ascii="Calibri" w:eastAsia="Times New Roman" w:hAnsi="Calibri" w:cs="Times New Roman"/>
      <w:i/>
      <w:szCs w:val="24"/>
      <w:lang w:eastAsia="en-AU"/>
    </w:rPr>
  </w:style>
  <w:style w:type="character" w:customStyle="1" w:styleId="NormalItalicChar">
    <w:name w:val="Normal Italic Char"/>
    <w:basedOn w:val="DefaultParagraphFont"/>
    <w:link w:val="NormalItalic"/>
    <w:rsid w:val="000B62BB"/>
    <w:rPr>
      <w:rFonts w:ascii="Calibri" w:eastAsia="Times New Roman" w:hAnsi="Calibri" w:cs="Times New Roman"/>
      <w:i/>
      <w:szCs w:val="24"/>
      <w:lang w:eastAsia="en-AU"/>
    </w:rPr>
  </w:style>
  <w:style w:type="paragraph" w:customStyle="1" w:styleId="TableText">
    <w:name w:val="Table Text"/>
    <w:basedOn w:val="Normal"/>
    <w:qFormat/>
    <w:rsid w:val="000B62BB"/>
    <w:pPr>
      <w:autoSpaceDE w:val="0"/>
      <w:autoSpaceDN w:val="0"/>
      <w:adjustRightInd w:val="0"/>
      <w:spacing w:before="60" w:after="60"/>
      <w:contextualSpacing/>
    </w:pPr>
    <w:rPr>
      <w:rFonts w:ascii="Calibri" w:eastAsia="Times New Roman" w:hAnsi="Calibri" w:cs="Arial"/>
      <w:sz w:val="20"/>
      <w:szCs w:val="24"/>
      <w:lang w:eastAsia="en-AU"/>
    </w:rPr>
  </w:style>
  <w:style w:type="character" w:styleId="Hyperlink">
    <w:name w:val="Hyperlink"/>
    <w:basedOn w:val="DefaultParagraphFont"/>
    <w:uiPriority w:val="99"/>
    <w:rsid w:val="001D446D"/>
    <w:rPr>
      <w:color w:val="0000FF"/>
      <w:u w:val="single"/>
    </w:rPr>
  </w:style>
  <w:style w:type="paragraph" w:styleId="BalloonText">
    <w:name w:val="Balloon Text"/>
    <w:basedOn w:val="Normal"/>
    <w:link w:val="BalloonTextChar"/>
    <w:uiPriority w:val="99"/>
    <w:semiHidden/>
    <w:unhideWhenUsed/>
    <w:rsid w:val="001D446D"/>
    <w:rPr>
      <w:rFonts w:ascii="Tahoma" w:hAnsi="Tahoma" w:cs="Tahoma"/>
      <w:sz w:val="16"/>
      <w:szCs w:val="16"/>
    </w:rPr>
  </w:style>
  <w:style w:type="character" w:customStyle="1" w:styleId="BalloonTextChar">
    <w:name w:val="Balloon Text Char"/>
    <w:basedOn w:val="DefaultParagraphFont"/>
    <w:link w:val="BalloonText"/>
    <w:uiPriority w:val="99"/>
    <w:semiHidden/>
    <w:rsid w:val="001D446D"/>
    <w:rPr>
      <w:rFonts w:ascii="Tahoma" w:hAnsi="Tahoma" w:cs="Tahoma"/>
      <w:sz w:val="16"/>
      <w:szCs w:val="16"/>
    </w:rPr>
  </w:style>
  <w:style w:type="character" w:customStyle="1" w:styleId="Heading4Char">
    <w:name w:val="Heading 4 Char"/>
    <w:basedOn w:val="DefaultParagraphFont"/>
    <w:link w:val="Heading4"/>
    <w:uiPriority w:val="9"/>
    <w:rsid w:val="00B542CF"/>
    <w:rPr>
      <w:rFonts w:asciiTheme="majorHAnsi" w:eastAsiaTheme="majorEastAsia" w:hAnsiTheme="majorHAnsi" w:cstheme="majorBidi"/>
      <w:b/>
      <w:bCs/>
      <w:i/>
      <w:iCs/>
      <w:color w:val="4F81BD" w:themeColor="accent1"/>
    </w:rPr>
  </w:style>
  <w:style w:type="paragraph" w:customStyle="1" w:styleId="TableTextCentred">
    <w:name w:val="Table Text Centred"/>
    <w:basedOn w:val="Normal"/>
    <w:rsid w:val="00F25C08"/>
    <w:pPr>
      <w:jc w:val="center"/>
    </w:pPr>
    <w:rPr>
      <w:rFonts w:ascii="Calibri" w:eastAsia="Times New Roman" w:hAnsi="Calibri" w:cs="Arial"/>
      <w:sz w:val="20"/>
      <w:szCs w:val="20"/>
      <w:lang w:eastAsia="en-AU"/>
    </w:rPr>
  </w:style>
  <w:style w:type="paragraph" w:customStyle="1" w:styleId="TableHeadingCentred">
    <w:name w:val="Table Heading Centred"/>
    <w:basedOn w:val="Normal"/>
    <w:rsid w:val="00F25C08"/>
    <w:pPr>
      <w:spacing w:before="60" w:after="60"/>
      <w:jc w:val="center"/>
    </w:pPr>
    <w:rPr>
      <w:rFonts w:ascii="Calibri" w:eastAsia="Times New Roman" w:hAnsi="Calibri" w:cs="Arial"/>
      <w:b/>
      <w:bCs/>
      <w:color w:val="FFFFFF"/>
      <w:szCs w:val="24"/>
      <w:lang w:eastAsia="en-AU"/>
    </w:rPr>
  </w:style>
  <w:style w:type="numbering" w:customStyle="1" w:styleId="BulletList">
    <w:name w:val="Bullet List"/>
    <w:basedOn w:val="NoList"/>
    <w:rsid w:val="003F0A00"/>
    <w:pPr>
      <w:numPr>
        <w:numId w:val="28"/>
      </w:numPr>
    </w:pPr>
  </w:style>
  <w:style w:type="paragraph" w:customStyle="1" w:styleId="BoxBulletList">
    <w:name w:val="Box Bullet List"/>
    <w:basedOn w:val="Normal"/>
    <w:rsid w:val="003F0A00"/>
    <w:pPr>
      <w:numPr>
        <w:numId w:val="29"/>
      </w:numPr>
    </w:pPr>
    <w:rPr>
      <w:rFonts w:ascii="Calibri" w:eastAsia="Times New Roman" w:hAnsi="Calibri" w:cs="Times New Roman"/>
      <w:color w:val="000000"/>
      <w:sz w:val="18"/>
      <w:szCs w:val="18"/>
      <w:lang w:eastAsia="en-AU"/>
    </w:rPr>
  </w:style>
  <w:style w:type="paragraph" w:styleId="CommentText">
    <w:name w:val="annotation text"/>
    <w:basedOn w:val="Normal"/>
    <w:link w:val="CommentTextChar"/>
    <w:uiPriority w:val="99"/>
    <w:rsid w:val="00682103"/>
    <w:rPr>
      <w:rFonts w:ascii="Calibri" w:eastAsia="Times New Roman" w:hAnsi="Calibri" w:cs="Times New Roman"/>
      <w:sz w:val="20"/>
      <w:szCs w:val="20"/>
      <w:lang w:eastAsia="en-AU"/>
    </w:rPr>
  </w:style>
  <w:style w:type="character" w:customStyle="1" w:styleId="CommentTextChar">
    <w:name w:val="Comment Text Char"/>
    <w:basedOn w:val="DefaultParagraphFont"/>
    <w:link w:val="CommentText"/>
    <w:uiPriority w:val="99"/>
    <w:rsid w:val="00682103"/>
    <w:rPr>
      <w:rFonts w:ascii="Calibri" w:eastAsia="Times New Roman" w:hAnsi="Calibri" w:cs="Times New Roman"/>
      <w:sz w:val="20"/>
      <w:szCs w:val="20"/>
      <w:lang w:eastAsia="en-AU"/>
    </w:rPr>
  </w:style>
  <w:style w:type="paragraph" w:customStyle="1" w:styleId="Disclaimer">
    <w:name w:val="Disclaimer"/>
    <w:basedOn w:val="Normal"/>
    <w:link w:val="DisclaimerChar"/>
    <w:rsid w:val="00CE5B53"/>
    <w:pPr>
      <w:spacing w:before="5040"/>
    </w:pPr>
    <w:rPr>
      <w:rFonts w:ascii="Calibri" w:eastAsia="Times New Roman" w:hAnsi="Calibri" w:cs="Times New Roman"/>
      <w:sz w:val="20"/>
      <w:szCs w:val="20"/>
      <w:lang w:eastAsia="en-AU"/>
    </w:rPr>
  </w:style>
  <w:style w:type="character" w:customStyle="1" w:styleId="DisclaimerChar">
    <w:name w:val="Disclaimer Char"/>
    <w:basedOn w:val="DefaultParagraphFont"/>
    <w:link w:val="Disclaimer"/>
    <w:rsid w:val="00CE5B53"/>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E7594"/>
    <w:pPr>
      <w:spacing w:before="120" w:after="12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E7594"/>
    <w:rPr>
      <w:rFonts w:ascii="Calibri" w:eastAsia="Times New Roman" w:hAnsi="Calibri" w:cs="Times New Roman"/>
      <w:b/>
      <w:bCs/>
      <w:sz w:val="20"/>
      <w:szCs w:val="20"/>
      <w:lang w:eastAsia="en-AU"/>
    </w:rPr>
  </w:style>
  <w:style w:type="character" w:styleId="Strong">
    <w:name w:val="Strong"/>
    <w:qFormat/>
    <w:rsid w:val="00925F0A"/>
    <w:rPr>
      <w:b/>
      <w:bCs/>
    </w:rPr>
  </w:style>
  <w:style w:type="paragraph" w:styleId="NoSpacing">
    <w:name w:val="No Spacing"/>
    <w:uiPriority w:val="1"/>
    <w:qFormat/>
    <w:rsid w:val="00753E58"/>
    <w:pPr>
      <w:spacing w:after="0" w:line="240" w:lineRule="auto"/>
    </w:pPr>
    <w:rPr>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C:\Users\CF0355\AppData\Local\Microsoft\Windows\Temporary%20Internet%20Files\Content.Outlook\BENES9N2\SecureSitePortal\Employment%20Services%202015\current\Comprehensive%20Compliance%20Assessments%20and%20Compliance%20Activiti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ST.ENQUIRY@humanservices.gov.au" TargetMode="Externa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guides.dss.gov.au/guide-social-security-law/3/1/13" TargetMode="External"/><Relationship Id="rId2" Type="http://schemas.openxmlformats.org/officeDocument/2006/relationships/customXml" Target="../customXml/item2.xml"/><Relationship Id="rId16" Type="http://schemas.openxmlformats.org/officeDocument/2006/relationships/hyperlink" Target="http://www.comlaw.gov.au/Details/C2015C00027"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omlaw.gov.au/Details/C2015C0002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ST.ENQUIRY@humanservice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CF0355\AppData\Local\Microsoft\Windows\Temporary%20Internet%20Files\Content.Outlook\BENES9N2\SecureSitePortal\Employment%20Services%202015\current\Activity%20Manag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CSSContentStatus xmlns="http://schemas.microsoft.com/sharepoint/v3">Current</ESCSSContentStatus>
    <ESCSSWebSiteGroup xmlns="http://schemas.microsoft.com/sharepoint/v3">;#DES;#</ESCSSWebSiteGroup>
    <ESCSSLabelC xmlns="http://schemas.microsoft.com/sharepoint/v3" xsi:nil="true"/>
    <ESCSSApprover xmlns="http://schemas.microsoft.com/sharepoint/v3">si0067@idcprod</ESCSSApprover>
    <ESCSSContentApprover xmlns="http://schemas.microsoft.com/sharepoint/v3">173;#CLARKE,Sonya</ESCSSContentApprover>
    <ESCSSReviewedOn xmlns="http://schemas.microsoft.com/sharepoint/v3" xsi:nil="true"/>
    <ESCSSDisplayVersionNumber xmlns="http://schemas.microsoft.com/sharepoint/v3" xsi:nil="true"/>
    <ESCSSLabelA xmlns="http://schemas.microsoft.com/sharepoint/v3" xsi:nil="true"/>
    <ESCSSResourceType xmlns="http://schemas.microsoft.com/sharepoint/v3">22;#Alt Version</ESCSSResourceType>
    <ESCSSTopic xmlns="http://schemas.microsoft.com/sharepoint/v3" xsi:nil="true"/>
    <ESCSSSubject xmlns="http://schemas.microsoft.com/sharepoint/v3" xsi:nil="true"/>
    <ESCSSBusinessOwnerContact xmlns="http://schemas.microsoft.com/sharepoint/v3">Job Seeker Participation Operations Team </ESCSSBusinessOwnerContact>
    <ESCSSEffectiveEndDate xmlns="http://schemas.microsoft.com/sharepoint/v3" xsi:nil="true"/>
    <ESCSSESC3Term xmlns="http://schemas.microsoft.com/sharepoint/v3" xsi:nil="true"/>
    <Comments xmlns="http://schemas.microsoft.com/sharepoint/v3">Job Seeker Compliance Framework </Comments>
    <ESCSSKeywords xmlns="http://schemas.microsoft.com/sharepoint/v3">Job Seeker Compliance Framework </ESCSSKeywords>
    <ESCSSEffectiveStartDate xmlns="http://schemas.microsoft.com/sharepoint/v3" xsi:nil="true"/>
    <ESCSSReviewedBy xmlns="http://schemas.microsoft.com/sharepoint/v3" xsi:nil="true"/>
    <ESCSSLabelD xmlns="http://schemas.microsoft.com/sharepoint/v3" xsi:nil="true"/>
    <ESCSSContractClause xmlns="http://schemas.microsoft.com/sharepoint/v3" xsi:nil="true"/>
    <ESCSSDocumentType xmlns="http://schemas.microsoft.com/sharepoint/v3" xsi:nil="true"/>
    <ESCSSContentAuthor xmlns="http://schemas.microsoft.com/sharepoint/v3">373;#HEMMING,KYM</ESCSSContentAuthor>
    <ESCSSLabelB xmlns="http://schemas.microsoft.com/sharepoint/v3">EM15/001027 </ESCSSLabelB>
    <ESCSSReviewDate xmlns="http://schemas.microsoft.com/sharepoint/v3" xsi:nil="true"/>
    <ESCSSSummaryOfUpdate xmlns="http://schemas.microsoft.com/sharepoint/v3" xsi:nil="true"/>
    <ESCSSIncludeInLatestUpdates xmlns="http://schemas.microsoft.com/sharepoint/v3">No</ESCSSIncludeInLatestUpdates>
    <ESCSSSite xmlns="http://schemas.microsoft.com/sharepoint/v3" xsi:nil="true"/>
    <ESCSSBranch xmlns="http://schemas.microsoft.com/sharepoint/v3">Employment Services 2015 Operations Branch </ESCSSBranch>
    <ESCSSIncludeInNewsletter xmlns="http://schemas.microsoft.com/sharepoint/v3">No</ESCSSIncludeInNewsletter>
    <ESCSSContractTyp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2009-9BD5-493C-BC72-95348179E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C838D-C3F2-4E12-826C-3C5EC5E59224}">
  <ds:schemaRefs>
    <ds:schemaRef ds:uri="http://schemas.microsoft.com/sharepoint/v3/contenttype/forms"/>
  </ds:schemaRefs>
</ds:datastoreItem>
</file>

<file path=customXml/itemProps3.xml><?xml version="1.0" encoding="utf-8"?>
<ds:datastoreItem xmlns:ds="http://schemas.openxmlformats.org/officeDocument/2006/customXml" ds:itemID="{147E7B30-0A27-4709-87DA-C365AE28BE30}">
  <ds:schemaRefs>
    <ds:schemaRef ds:uri="http://purl.org/dc/dcmitype/"/>
    <ds:schemaRef ds:uri="http://purl.org/dc/terms/"/>
    <ds:schemaRef ds:uri="http://schemas.microsoft.com/sharepoint/v3"/>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C63D9BB3-D93F-46D8-A83C-12E17BAFF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5679</Words>
  <Characters>32376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Job Seeker Compliance Framework</vt:lpstr>
    </vt:vector>
  </TitlesOfParts>
  <Company>Australian Government</Company>
  <LinksUpToDate>false</LinksUpToDate>
  <CharactersWithSpaces>37980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Seeker Compliance Framework</dc:title>
  <dc:creator>Sonya Clarke</dc:creator>
  <cp:lastModifiedBy>CLARK, Ian</cp:lastModifiedBy>
  <cp:revision>5</cp:revision>
  <dcterms:created xsi:type="dcterms:W3CDTF">2015-08-14T01:35:00Z</dcterms:created>
  <dcterms:modified xsi:type="dcterms:W3CDTF">2015-08-17T01:05:00Z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