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B51A77" w:rsidRPr="00B51A77" w:rsidRDefault="006A33D6" w:rsidP="00B51A77">
            <w:r>
              <w:rPr>
                <w:iCs/>
                <w:smallCaps/>
              </w:rPr>
              <w:t xml:space="preserve"> </w:t>
            </w:r>
            <w:r w:rsidR="00B51A77" w:rsidRPr="00B51A77">
              <w:t>This response addresses the second part of this question. Young people should be able to access income support in their own right when prior to 18 years they are living independently due to:</w:t>
            </w:r>
          </w:p>
          <w:p w:rsidR="00B51A77" w:rsidRPr="00B51A77" w:rsidRDefault="00B51A77" w:rsidP="00B51A77">
            <w:pPr>
              <w:numPr>
                <w:ilvl w:val="0"/>
                <w:numId w:val="29"/>
              </w:numPr>
              <w:contextualSpacing/>
            </w:pPr>
            <w:r w:rsidRPr="00B51A77">
              <w:t>A lack of support  by their parent/s carer or</w:t>
            </w:r>
          </w:p>
          <w:p w:rsidR="00B51A77" w:rsidRPr="00B51A77" w:rsidRDefault="00B51A77" w:rsidP="00B51A77">
            <w:pPr>
              <w:numPr>
                <w:ilvl w:val="0"/>
                <w:numId w:val="29"/>
              </w:numPr>
              <w:contextualSpacing/>
            </w:pPr>
            <w:r w:rsidRPr="00B51A77">
              <w:t>Circumstances where It is unsafe for the child to be receiving support from their parent/s carer, for example due to the risk or actuality of abuse</w:t>
            </w:r>
          </w:p>
          <w:p w:rsidR="00B51A77" w:rsidRPr="00B51A77" w:rsidRDefault="00B51A77" w:rsidP="00B51A77">
            <w:r w:rsidRPr="00B51A77">
              <w:t xml:space="preserve">Family conflict, abuse and neglect </w:t>
            </w:r>
            <w:proofErr w:type="gramStart"/>
            <w:r w:rsidRPr="00B51A77">
              <w:t>is</w:t>
            </w:r>
            <w:proofErr w:type="gramEnd"/>
            <w:r w:rsidRPr="00B51A77">
              <w:t xml:space="preserve"> a prevalent experience of children and young people. In 2013, Kids Helpline our national telephone and online counselling service responded to nearly 14,000 contacts from children and young people in relation to this issue. </w:t>
            </w:r>
            <w:bookmarkStart w:id="1" w:name="a1"/>
            <w:bookmarkEnd w:id="1"/>
            <w:r w:rsidRPr="00B51A77">
              <w:t>The most recent national figures from the Australian Institute of Health and Welfare indicate that in 2011-12, there were 252,962 notifications of suspected child abuse and neglect made to state and territory authorities (a rate of 34.0 notifications per 1,000 Australian children) across Australia which is an increase of 6.6% from the 237,273 reports made in 2010-2011.</w:t>
            </w:r>
          </w:p>
          <w:p w:rsidR="001C2BE7" w:rsidRPr="00B51A77" w:rsidRDefault="00B51A77" w:rsidP="00B51A77">
            <w:r w:rsidRPr="00B51A77">
              <w:t>Significant numbers of children and young people unfortunately require protection from their families. The State has the obligation to provide financial support in these cases where a child is living independently due to the above listed factors.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lastRenderedPageBreak/>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91833" w:rsidRDefault="00891833" w:rsidP="008C5A75">
      <w:pPr>
        <w:pStyle w:val="Heading2"/>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551D77" w:rsidRDefault="00551D77" w:rsidP="00551D77">
            <w:r>
              <w:t xml:space="preserve">BoysTown supports the principle of mutual obligation. As noted in the Interim Report there is evidence suggesting that this approach has led to a transition from welfare to work for some recipients of benefits. However in the application of this principle there needs to be recognition that mutual obligation strategies need to be evidence based and be focussed on strategies that enable benefit recipients to improve upon their current circumstances rather than be punitive in nature. </w:t>
            </w:r>
          </w:p>
          <w:p w:rsidR="00551D77" w:rsidRDefault="00551D77" w:rsidP="00551D77">
            <w:r>
              <w:t xml:space="preserve">An example to support this perspective is in relation to the proposed changes to the support arrangements for unemployed young people. It is our view that the non-payment of </w:t>
            </w:r>
            <w:proofErr w:type="spellStart"/>
            <w:r>
              <w:t>Newstart</w:t>
            </w:r>
            <w:proofErr w:type="spellEnd"/>
            <w:r>
              <w:t xml:space="preserve"> Allowance for the initial six months of unemployment post registration will most likely reduce a young person’s ability to acquire employment.</w:t>
            </w:r>
          </w:p>
          <w:p w:rsidR="00551D77" w:rsidRDefault="00551D77" w:rsidP="00551D77">
            <w:r>
              <w:t xml:space="preserve"> </w:t>
            </w:r>
            <w:proofErr w:type="spellStart"/>
            <w:r w:rsidRPr="00490581">
              <w:t>Newstart</w:t>
            </w:r>
            <w:proofErr w:type="spellEnd"/>
            <w:r w:rsidRPr="00490581">
              <w:t xml:space="preserve"> payments are provided to job seekers to promote their capability to seek and secure employment. Job seeking activity incurs expenses such as transportation costs. If the job seeker is left with no income support then the ability to secure employment will be significantly constrained. </w:t>
            </w:r>
          </w:p>
          <w:p w:rsidR="00551D77" w:rsidRDefault="00551D77" w:rsidP="00551D77">
            <w:r>
              <w:t xml:space="preserve">Furthermore, young people are particularly vulnerable to the impact of mental health issues. A non-payment period particularly for those young people with no other means of support will likely exacerbate their barriers to </w:t>
            </w:r>
            <w:proofErr w:type="gramStart"/>
            <w:r>
              <w:t>employment  by</w:t>
            </w:r>
            <w:proofErr w:type="gramEnd"/>
            <w:r>
              <w:t xml:space="preserve"> increasing their emotional distress.</w:t>
            </w:r>
          </w:p>
          <w:p w:rsidR="001C2BE7" w:rsidRPr="00551D77" w:rsidRDefault="00551D77" w:rsidP="00551D77">
            <w:r>
              <w:t xml:space="preserve">In this context the development of ‘enablers’ that promote youth employment such as access to Intensive Personal Support programs and Intermediate Labour Market programs, will be far more effective in assisting young people to engage with work than  punitive approaches.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lastRenderedPageBreak/>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772EFD" w:rsidRDefault="00772EFD" w:rsidP="00772EFD">
            <w:pPr>
              <w:rPr>
                <w:rFonts w:ascii="Verdana" w:hAnsi="Verdana"/>
                <w:sz w:val="20"/>
                <w:szCs w:val="20"/>
              </w:rPr>
            </w:pPr>
            <w:r w:rsidRPr="00772EFD">
              <w:rPr>
                <w:rFonts w:ascii="Verdana" w:hAnsi="Verdana"/>
                <w:sz w:val="20"/>
                <w:szCs w:val="20"/>
              </w:rPr>
              <w:t xml:space="preserve">There needs to be a national program that supports young people </w:t>
            </w:r>
            <w:r w:rsidR="00862D93">
              <w:rPr>
                <w:rFonts w:ascii="Verdana" w:hAnsi="Verdana"/>
                <w:sz w:val="20"/>
                <w:szCs w:val="20"/>
              </w:rPr>
              <w:t xml:space="preserve">aged from 15 to 18 </w:t>
            </w:r>
            <w:r w:rsidRPr="00772EFD">
              <w:rPr>
                <w:rFonts w:ascii="Verdana" w:hAnsi="Verdana"/>
                <w:sz w:val="20"/>
                <w:szCs w:val="20"/>
              </w:rPr>
              <w:t>to complete their senior education and/or that assists vulnerable students to develop transition pathways to employment, vocational training or further education.</w:t>
            </w:r>
          </w:p>
          <w:p w:rsidR="00F938C3" w:rsidRPr="00772EFD" w:rsidRDefault="00F938C3" w:rsidP="00772EFD">
            <w:pPr>
              <w:rPr>
                <w:rFonts w:ascii="Verdana" w:hAnsi="Verdana"/>
                <w:sz w:val="20"/>
                <w:szCs w:val="20"/>
              </w:rPr>
            </w:pPr>
          </w:p>
          <w:p w:rsidR="00B478E2" w:rsidRPr="009D5912" w:rsidRDefault="00772EFD" w:rsidP="00F938C3">
            <w:pPr>
              <w:rPr>
                <w:rFonts w:ascii="Verdana" w:hAnsi="Verdana"/>
                <w:sz w:val="20"/>
                <w:szCs w:val="20"/>
              </w:rPr>
            </w:pPr>
            <w:r w:rsidRPr="00772EFD">
              <w:rPr>
                <w:rFonts w:ascii="Verdana" w:hAnsi="Verdana"/>
                <w:sz w:val="20"/>
                <w:szCs w:val="20"/>
              </w:rPr>
              <w:t xml:space="preserve">In brief, this program would identify young people at high risk of disengaging from education through the application of risk based assessments that also </w:t>
            </w:r>
            <w:r w:rsidR="006B6D0F">
              <w:rPr>
                <w:rFonts w:ascii="Verdana" w:hAnsi="Verdana"/>
                <w:sz w:val="20"/>
                <w:szCs w:val="20"/>
              </w:rPr>
              <w:t>evaluated</w:t>
            </w:r>
            <w:r w:rsidR="006B6D0F" w:rsidRPr="00772EFD">
              <w:rPr>
                <w:rFonts w:ascii="Verdana" w:hAnsi="Verdana"/>
                <w:sz w:val="20"/>
                <w:szCs w:val="20"/>
              </w:rPr>
              <w:t xml:space="preserve"> </w:t>
            </w:r>
            <w:r w:rsidRPr="00772EFD">
              <w:rPr>
                <w:rFonts w:ascii="Verdana" w:hAnsi="Verdana"/>
                <w:sz w:val="20"/>
                <w:szCs w:val="20"/>
              </w:rPr>
              <w:t xml:space="preserve">the causes for disengagement.  Flexible pathways </w:t>
            </w:r>
            <w:r w:rsidR="006B6D0F">
              <w:rPr>
                <w:rFonts w:ascii="Verdana" w:hAnsi="Verdana"/>
                <w:sz w:val="20"/>
                <w:szCs w:val="20"/>
              </w:rPr>
              <w:t xml:space="preserve">based on the individual aspirations of the young person and the labour market needs of their community </w:t>
            </w:r>
            <w:r w:rsidRPr="00772EFD">
              <w:rPr>
                <w:rFonts w:ascii="Verdana" w:hAnsi="Verdana"/>
                <w:sz w:val="20"/>
                <w:szCs w:val="20"/>
              </w:rPr>
              <w:t xml:space="preserve">could then be developed that enabled youth to attain their Senior Certificates </w:t>
            </w:r>
            <w:r w:rsidR="00C5042A">
              <w:rPr>
                <w:rFonts w:ascii="Verdana" w:hAnsi="Verdana"/>
                <w:sz w:val="20"/>
                <w:szCs w:val="20"/>
              </w:rPr>
              <w:t xml:space="preserve">or Trade equivalent </w:t>
            </w:r>
            <w:r w:rsidRPr="00772EFD">
              <w:rPr>
                <w:rFonts w:ascii="Verdana" w:hAnsi="Verdana"/>
                <w:sz w:val="20"/>
                <w:szCs w:val="20"/>
              </w:rPr>
              <w:t>either in school or through other programs. In addition, the support available in these pathways would continue to assist young people while they attempted to make the transition to further education or employment in the open labour market</w:t>
            </w:r>
            <w:r w:rsidR="00C5042A">
              <w:rPr>
                <w:rFonts w:ascii="Verdana" w:hAnsi="Verdana"/>
                <w:sz w:val="20"/>
                <w:szCs w:val="20"/>
              </w:rPr>
              <w:t xml:space="preserve"> post school</w:t>
            </w:r>
            <w:r w:rsidRPr="00772EFD">
              <w:rPr>
                <w:rFonts w:ascii="Verdana" w:hAnsi="Verdana"/>
                <w:sz w:val="20"/>
                <w:szCs w:val="20"/>
              </w:rPr>
              <w:t xml:space="preserve">. Ideally, the student would be allowed to fully participate </w:t>
            </w:r>
            <w:r w:rsidR="00862D93">
              <w:rPr>
                <w:rFonts w:ascii="Verdana" w:hAnsi="Verdana"/>
                <w:sz w:val="20"/>
                <w:szCs w:val="20"/>
              </w:rPr>
              <w:t xml:space="preserve">and receive employment support through the </w:t>
            </w:r>
            <w:r w:rsidRPr="00772EFD">
              <w:rPr>
                <w:rFonts w:ascii="Verdana" w:hAnsi="Verdana"/>
                <w:sz w:val="20"/>
                <w:szCs w:val="20"/>
              </w:rPr>
              <w:t xml:space="preserve">Job Services program.  </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p w:rsidR="00770451" w:rsidRPr="00770451" w:rsidRDefault="00770451" w:rsidP="00770451"/>
    <w:p w:rsidR="00770451" w:rsidRDefault="00770451"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w:t>
      </w:r>
      <w:r w:rsidRPr="002551B7">
        <w:rPr>
          <w:rFonts w:ascii="Verdana" w:hAnsi="Verdana"/>
          <w:b w:val="0"/>
          <w:sz w:val="20"/>
          <w:szCs w:val="20"/>
          <w:lang w:eastAsia="en-US"/>
        </w:rPr>
        <w:tab/>
      </w:r>
      <w:r>
        <w:rPr>
          <w:rFonts w:ascii="Verdana" w:hAnsi="Verdana"/>
          <w:b w:val="0"/>
          <w:sz w:val="20"/>
          <w:szCs w:val="20"/>
          <w:lang w:eastAsia="en-US"/>
        </w:rPr>
        <w:t>What can be done to improve access to literacy, numeracy and job relevant training for young people at risk of unemployment?</w:t>
      </w:r>
    </w:p>
    <w:p w:rsidR="002551B7" w:rsidRPr="002551B7" w:rsidRDefault="00770451"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Pr>
          <w:rFonts w:ascii="Verdana" w:hAnsi="Verdana"/>
          <w:b w:val="0"/>
          <w:sz w:val="20"/>
          <w:szCs w:val="20"/>
          <w:lang w:eastAsia="en-US"/>
        </w:rPr>
        <w:t>B</w:t>
      </w:r>
      <w:r w:rsidR="002551B7" w:rsidRPr="002551B7">
        <w:rPr>
          <w:rFonts w:ascii="Verdana" w:hAnsi="Verdana"/>
          <w:b w:val="0"/>
          <w:sz w:val="20"/>
          <w:szCs w:val="20"/>
          <w:lang w:eastAsia="en-US"/>
        </w:rPr>
        <w:t>oysTown is an experienced provider of Literacy and Numeracy programs to highly disadvantaged youth. We have consistently evaluated these programs to improve the delivery of these programs. In summary effective literacy and numeracy programs for disadvantaged youth are more effective when:</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1.</w:t>
      </w:r>
      <w:r w:rsidRPr="002551B7">
        <w:rPr>
          <w:rFonts w:ascii="Verdana" w:hAnsi="Verdana"/>
          <w:b w:val="0"/>
          <w:sz w:val="20"/>
          <w:szCs w:val="20"/>
          <w:lang w:eastAsia="en-US"/>
        </w:rPr>
        <w:tab/>
        <w:t>The location of the program is in an environment familiar and comfortable to the young person such as at a youth service. The level of engagement by disadvantaged youth will be at lower levels if the program is offered in a TAFE setting or other similar formal sites</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2.</w:t>
      </w:r>
      <w:r w:rsidRPr="002551B7">
        <w:rPr>
          <w:rFonts w:ascii="Verdana" w:hAnsi="Verdana"/>
          <w:b w:val="0"/>
          <w:sz w:val="20"/>
          <w:szCs w:val="20"/>
          <w:lang w:eastAsia="en-US"/>
        </w:rPr>
        <w:tab/>
        <w:t xml:space="preserve">The requirements of accredited literacy and numeracy programs are challenging for young people and </w:t>
      </w:r>
      <w:proofErr w:type="gramStart"/>
      <w:r w:rsidRPr="002551B7">
        <w:rPr>
          <w:rFonts w:ascii="Verdana" w:hAnsi="Verdana"/>
          <w:b w:val="0"/>
          <w:sz w:val="20"/>
          <w:szCs w:val="20"/>
          <w:lang w:eastAsia="en-US"/>
        </w:rPr>
        <w:t>adds</w:t>
      </w:r>
      <w:proofErr w:type="gramEnd"/>
      <w:r w:rsidRPr="002551B7">
        <w:rPr>
          <w:rFonts w:ascii="Verdana" w:hAnsi="Verdana"/>
          <w:b w:val="0"/>
          <w:sz w:val="20"/>
          <w:szCs w:val="20"/>
          <w:lang w:eastAsia="en-US"/>
        </w:rPr>
        <w:t xml:space="preserve"> to the overall stress in their life. The provision of casework support is an enabling factor that supports these youth to complete their program</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3.</w:t>
      </w:r>
      <w:r w:rsidRPr="002551B7">
        <w:rPr>
          <w:rFonts w:ascii="Verdana" w:hAnsi="Verdana"/>
          <w:b w:val="0"/>
          <w:sz w:val="20"/>
          <w:szCs w:val="20"/>
          <w:lang w:eastAsia="en-US"/>
        </w:rPr>
        <w:tab/>
        <w:t>There are in place transitional pathways to further education or work on completion of the literacy and numeracy program</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w:t>
      </w:r>
      <w:r w:rsidRPr="002551B7">
        <w:rPr>
          <w:rFonts w:ascii="Verdana" w:hAnsi="Verdana"/>
          <w:b w:val="0"/>
          <w:sz w:val="20"/>
          <w:szCs w:val="20"/>
          <w:lang w:eastAsia="en-US"/>
        </w:rPr>
        <w:tab/>
        <w:t>How can early intervention and prevention programmes more effectively improve skills for young people?</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w:t>
      </w:r>
      <w:r w:rsidRPr="002551B7">
        <w:rPr>
          <w:rFonts w:ascii="Verdana" w:hAnsi="Verdana"/>
          <w:b w:val="0"/>
          <w:sz w:val="20"/>
          <w:szCs w:val="20"/>
          <w:lang w:eastAsia="en-US"/>
        </w:rPr>
        <w:tab/>
        <w:t xml:space="preserve">How can a focus on ‘earn or learn’ for young Australians </w:t>
      </w:r>
      <w:proofErr w:type="gramStart"/>
      <w:r w:rsidRPr="002551B7">
        <w:rPr>
          <w:rFonts w:ascii="Verdana" w:hAnsi="Verdana"/>
          <w:b w:val="0"/>
          <w:sz w:val="20"/>
          <w:szCs w:val="20"/>
          <w:lang w:eastAsia="en-US"/>
        </w:rPr>
        <w:t>be</w:t>
      </w:r>
      <w:proofErr w:type="gramEnd"/>
      <w:r w:rsidRPr="002551B7">
        <w:rPr>
          <w:rFonts w:ascii="Verdana" w:hAnsi="Verdana"/>
          <w:b w:val="0"/>
          <w:sz w:val="20"/>
          <w:szCs w:val="20"/>
          <w:lang w:eastAsia="en-US"/>
        </w:rPr>
        <w:t xml:space="preserve"> enhanced?</w:t>
      </w:r>
    </w:p>
    <w:p w:rsidR="00F938C3" w:rsidRPr="00666A3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 xml:space="preserve">Intermediate Labour Market (ILM) social enterprise programs are an important pathway to assist youth who are at risk of unemployment. BoysTown has experienced considerable success in delivering ILM social enterprise programs that enable at risk and disengaged young people to develop their vocational skills, address their barriers to learning and make the transition to employment in the open labour market, re-engage with education or move into further training such </w:t>
      </w:r>
      <w:r w:rsidRPr="00666A37">
        <w:rPr>
          <w:rFonts w:ascii="Verdana" w:hAnsi="Verdana"/>
          <w:sz w:val="20"/>
          <w:szCs w:val="20"/>
        </w:rPr>
        <w:lastRenderedPageBreak/>
        <w:t>as apprenticeships. These ILM social enterprises are employment programs aimed at marginalised groups to help them make the transition to employment and education outcomes. They are operated in the real work environments where participants earn a wage while gain work experience and improving their employability. Hence, these ILM social enterprise programs as distinct from the social enterprises defined in the McClure report as “a business that trades for a social purpose”.</w:t>
      </w:r>
    </w:p>
    <w:p w:rsidR="00F938C3" w:rsidRPr="00666A3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In these ILM social enterprise programs, participants improved their literacy and numeracy skills through experiential learning as part of the work tasks, for example, reading instructions, measuring the amount of timber needed for fencing and determining the amount of soil and mulch needed for a landscaping job. In a four-year Australian Research Council (ARC) linkage project by Griffith University and BoysTown, the survey data from 542 young people in BoysTown’s ILM social enterprise programs indicated statistically significant improvements in their functional literacy and numeracy skills from program entry to exit. Specifically, upon exiting their ILM social enterprise program:</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74.7% of young people indicated that they had effective functional literacy skills – 19.7% improvement, and</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51.4% indicated that they had effective functional numeracy skills – 21.5% improvement.</w:t>
      </w:r>
    </w:p>
    <w:p w:rsidR="00F938C3" w:rsidRPr="00666A3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Young people in the social enterprises experienced statistically significant improvements across a range of areas</w:t>
      </w:r>
      <w:r>
        <w:rPr>
          <w:rFonts w:ascii="Verdana" w:hAnsi="Verdana"/>
          <w:sz w:val="20"/>
          <w:szCs w:val="20"/>
        </w:rPr>
        <w:t>, including their confidence and motivation</w:t>
      </w:r>
      <w:r w:rsidRPr="00666A37">
        <w:rPr>
          <w:rFonts w:ascii="Verdana" w:hAnsi="Verdana"/>
          <w:sz w:val="20"/>
          <w:szCs w:val="20"/>
        </w:rPr>
        <w:t>. For example, upon completing their ILM social enterprise program:</w:t>
      </w:r>
    </w:p>
    <w:p w:rsidR="00F938C3"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70.3% had healthy levels of respect for themselves – 27.7% improvement,</w:t>
      </w:r>
    </w:p>
    <w:p w:rsidR="00F938C3"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72.0% had confidence in themselves – 37.3% improvement,</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82.0% were willing to learn new skills – 26.8% improvement,</w:t>
      </w:r>
      <w:r>
        <w:rPr>
          <w:rFonts w:ascii="Verdana" w:hAnsi="Verdana"/>
          <w:sz w:val="20"/>
          <w:szCs w:val="20"/>
        </w:rPr>
        <w:t xml:space="preserve"> and</w:t>
      </w:r>
    </w:p>
    <w:p w:rsidR="00F938C3"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67.1% were strongly motivated to reach their goals – 24.6% improvement.</w:t>
      </w:r>
    </w:p>
    <w:p w:rsidR="00F938C3" w:rsidRPr="001F0F1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The antisocial behaviour of people also improved. U</w:t>
      </w:r>
      <w:r w:rsidRPr="00666A37">
        <w:rPr>
          <w:rFonts w:ascii="Verdana" w:hAnsi="Verdana"/>
          <w:sz w:val="20"/>
          <w:szCs w:val="20"/>
        </w:rPr>
        <w:t>pon completing their ILM social enterprise program:</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73.9% had good anger management – 18.8% improvement,</w:t>
      </w:r>
      <w:r>
        <w:rPr>
          <w:rFonts w:ascii="Verdana" w:hAnsi="Verdana"/>
          <w:sz w:val="20"/>
          <w:szCs w:val="20"/>
        </w:rPr>
        <w:t xml:space="preserve"> and</w:t>
      </w:r>
    </w:p>
    <w:p w:rsidR="00F938C3"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75.0% were no longer misusing illicit drugs – 22.7% improvement</w:t>
      </w:r>
      <w:r>
        <w:rPr>
          <w:rFonts w:ascii="Verdana" w:hAnsi="Verdana"/>
          <w:sz w:val="20"/>
          <w:szCs w:val="20"/>
        </w:rPr>
        <w:t>.</w:t>
      </w:r>
    </w:p>
    <w:p w:rsidR="00F938C3" w:rsidRPr="001F0F1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Young people also improved in the way they related to other people in the workplace. U</w:t>
      </w:r>
      <w:r w:rsidRPr="00666A37">
        <w:rPr>
          <w:rFonts w:ascii="Verdana" w:hAnsi="Verdana"/>
          <w:sz w:val="20"/>
          <w:szCs w:val="20"/>
        </w:rPr>
        <w:t>pon completing their ILM social enterprise program:</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83.5% had effective communication skills – 16.5% improvement,</w:t>
      </w:r>
      <w:r>
        <w:rPr>
          <w:rFonts w:ascii="Verdana" w:hAnsi="Verdana"/>
          <w:sz w:val="20"/>
          <w:szCs w:val="20"/>
        </w:rPr>
        <w:t xml:space="preserve"> and</w:t>
      </w:r>
    </w:p>
    <w:p w:rsidR="00F938C3"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78.3% had developed good team</w:t>
      </w:r>
      <w:r>
        <w:rPr>
          <w:rFonts w:ascii="Verdana" w:hAnsi="Verdana"/>
          <w:sz w:val="20"/>
          <w:szCs w:val="20"/>
        </w:rPr>
        <w:t>work skills – 28.6% improvement.</w:t>
      </w:r>
    </w:p>
    <w:p w:rsidR="00F938C3" w:rsidRPr="001F0F17"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Finally, young people in the social enterprises had developed an outlook for the future. U</w:t>
      </w:r>
      <w:r w:rsidRPr="00666A37">
        <w:rPr>
          <w:rFonts w:ascii="Verdana" w:hAnsi="Verdana"/>
          <w:sz w:val="20"/>
          <w:szCs w:val="20"/>
        </w:rPr>
        <w:t>pon completing their ILM social enterprise program:</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85.2% were optimistic about their future – 21.8% improvement, and</w:t>
      </w:r>
    </w:p>
    <w:p w:rsidR="00F938C3" w:rsidRPr="00666A37" w:rsidRDefault="00F938C3"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85.2% had developed specific goals – 34.1% improvement.</w:t>
      </w:r>
    </w:p>
    <w:p w:rsidR="00F938C3"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In relation to success rate for transition into the workforce, 61.3% obtained full-time employment, re-engaged with education or continued on to further training. A further 11.9% of participants obtained part-time or casual employment. Of the BoysTown participants who gained full-time outcomes, 89% were still engaged in their outcomes after 13 weeks and 80.3% achieved sustainable outcomes of at least 26 weeks. The overall 73.2% positive employment and education outcome rate for participants in BoysTown’s employment programs appears to be higher than the benchmarks for similar target groups in the national Job Services Australia labour market assistance programs.</w:t>
      </w:r>
    </w:p>
    <w:p w:rsidR="00F938C3" w:rsidRDefault="00F938C3"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The findings of the ARC study indicate that ILM social enterprise programs are important for young people to develop their skills and achieve outcomes in employment and education. A focus on ‘earn </w:t>
      </w:r>
      <w:r>
        <w:rPr>
          <w:rFonts w:ascii="Verdana" w:hAnsi="Verdana"/>
          <w:sz w:val="20"/>
          <w:szCs w:val="20"/>
        </w:rPr>
        <w:lastRenderedPageBreak/>
        <w:t>and learn’ for young people can be enhanced by including ILM social enterprises as transition pathways for youth who have difficulty in engaging with learning in classroom settings.</w:t>
      </w:r>
    </w:p>
    <w:p w:rsidR="002551B7" w:rsidRP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 xml:space="preserve">A summary of the ARC study can be found on the BoysTown website at the following link: http://www.boystown.com.au/downloads/rep/BT-Reconnecting-Disaffected-Youth-Through-Successful-Transition-to-Work-Summary.pdf </w:t>
      </w:r>
    </w:p>
    <w:p w:rsidR="002551B7" w:rsidRDefault="002551B7" w:rsidP="00770451">
      <w:pPr>
        <w:pStyle w:val="Heading3"/>
        <w:pBdr>
          <w:top w:val="single" w:sz="4" w:space="1" w:color="auto"/>
          <w:left w:val="single" w:sz="4" w:space="4" w:color="auto"/>
          <w:bottom w:val="single" w:sz="4" w:space="1" w:color="auto"/>
          <w:right w:val="single" w:sz="4" w:space="4" w:color="auto"/>
        </w:pBdr>
        <w:rPr>
          <w:rFonts w:ascii="Verdana" w:hAnsi="Verdana"/>
          <w:b w:val="0"/>
          <w:sz w:val="20"/>
          <w:szCs w:val="20"/>
          <w:lang w:eastAsia="en-US"/>
        </w:rPr>
      </w:pPr>
      <w:r w:rsidRPr="002551B7">
        <w:rPr>
          <w:rFonts w:ascii="Verdana" w:hAnsi="Verdana"/>
          <w:b w:val="0"/>
          <w:sz w:val="20"/>
          <w:szCs w:val="20"/>
          <w:lang w:eastAsia="en-US"/>
        </w:rPr>
        <w:t xml:space="preserve">The full report of the ARC study can be found on the BoysTown website at the following link: http://www.boystown.com.au/downloads/rep/BT-Reconnecting-Disaffected-Youth-Through-Successful-Transition-to-Work-Report.pdf  </w:t>
      </w:r>
    </w:p>
    <w:p w:rsidR="00407F50" w:rsidRPr="00407F50" w:rsidRDefault="00407F50" w:rsidP="00770451">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407F50">
        <w:rPr>
          <w:rFonts w:ascii="Verdana" w:hAnsi="Verdana"/>
          <w:sz w:val="20"/>
          <w:szCs w:val="20"/>
          <w:lang w:val="en-US"/>
        </w:rPr>
        <w:t xml:space="preserve">An example of an ILM social enterprises program is BoysTown's graffiti removal enterprise which </w:t>
      </w:r>
      <w:r w:rsidR="00F938C3">
        <w:rPr>
          <w:rFonts w:ascii="Verdana" w:hAnsi="Verdana"/>
          <w:sz w:val="20"/>
          <w:szCs w:val="20"/>
          <w:lang w:val="en-US"/>
        </w:rPr>
        <w:t xml:space="preserve">is </w:t>
      </w:r>
      <w:r w:rsidRPr="00407F50">
        <w:rPr>
          <w:rFonts w:ascii="Verdana" w:hAnsi="Verdana"/>
          <w:sz w:val="20"/>
          <w:szCs w:val="20"/>
          <w:lang w:val="en-US"/>
        </w:rPr>
        <w:t xml:space="preserve">operated in </w:t>
      </w:r>
      <w:proofErr w:type="spellStart"/>
      <w:r w:rsidRPr="00407F50">
        <w:rPr>
          <w:rFonts w:ascii="Verdana" w:hAnsi="Verdana"/>
          <w:sz w:val="20"/>
          <w:szCs w:val="20"/>
          <w:lang w:val="en-US"/>
        </w:rPr>
        <w:t>Blacktown</w:t>
      </w:r>
      <w:proofErr w:type="spellEnd"/>
      <w:r w:rsidRPr="00407F50">
        <w:rPr>
          <w:rFonts w:ascii="Verdana" w:hAnsi="Verdana"/>
          <w:sz w:val="20"/>
          <w:szCs w:val="20"/>
          <w:lang w:val="en-US"/>
        </w:rPr>
        <w:t xml:space="preserve">, Western Sydney. This operated under a contract with Housing NSW, to remove graffiti from public housing areas. The enterprise employed young Aboriginal people living in social housing and provided these young people with paid work, employability and vocational skills training, coupled with on-the-job support from a qualified vocational trainer. They were supported by the provision of case management, literacy/numeracy training, </w:t>
      </w:r>
      <w:proofErr w:type="spellStart"/>
      <w:r w:rsidRPr="00407F50">
        <w:rPr>
          <w:rFonts w:ascii="Verdana" w:hAnsi="Verdana"/>
          <w:sz w:val="20"/>
          <w:szCs w:val="20"/>
          <w:lang w:val="en-US"/>
        </w:rPr>
        <w:t>counselling</w:t>
      </w:r>
      <w:proofErr w:type="spellEnd"/>
      <w:r w:rsidRPr="00407F50">
        <w:rPr>
          <w:rFonts w:ascii="Verdana" w:hAnsi="Verdana"/>
          <w:sz w:val="20"/>
          <w:szCs w:val="20"/>
          <w:lang w:val="en-US"/>
        </w:rPr>
        <w:t xml:space="preserve"> and personal development programs that focused on key issues currently impacting on the quality of their lives such as anger, drugs and alcohol and relationships.   </w:t>
      </w:r>
    </w:p>
    <w:p w:rsidR="00407F50" w:rsidRPr="00407F50" w:rsidRDefault="00407F50" w:rsidP="00770451">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407F50">
        <w:rPr>
          <w:rFonts w:ascii="Verdana" w:hAnsi="Verdana"/>
          <w:sz w:val="20"/>
          <w:szCs w:val="20"/>
          <w:lang w:val="en-US"/>
        </w:rPr>
        <w:t xml:space="preserve">Independent evaluation of this program reported that benefits to participants included: acquisition of work experience; improvements in personal, social, employability and vocational skills; decreases in mental health problems, alcohol and substance abuse and anti-social </w:t>
      </w:r>
      <w:proofErr w:type="spellStart"/>
      <w:r w:rsidRPr="00407F50">
        <w:rPr>
          <w:rFonts w:ascii="Verdana" w:hAnsi="Verdana"/>
          <w:sz w:val="20"/>
          <w:szCs w:val="20"/>
          <w:lang w:val="en-US"/>
        </w:rPr>
        <w:t>behaviour</w:t>
      </w:r>
      <w:proofErr w:type="spellEnd"/>
      <w:r w:rsidRPr="00407F50">
        <w:rPr>
          <w:rFonts w:ascii="Verdana" w:hAnsi="Verdana"/>
          <w:sz w:val="20"/>
          <w:szCs w:val="20"/>
          <w:lang w:val="en-US"/>
        </w:rPr>
        <w:t xml:space="preserve">; and acquisition of qualifications.  57% of the participants subsequently obtained sustainable employment, re-engaged with education or went onto further training.  Benefits to the local community included: visible improvements in facilities and amenities, and increased acceptance of previously </w:t>
      </w:r>
      <w:proofErr w:type="spellStart"/>
      <w:r w:rsidRPr="00407F50">
        <w:rPr>
          <w:rFonts w:ascii="Verdana" w:hAnsi="Verdana"/>
          <w:sz w:val="20"/>
          <w:szCs w:val="20"/>
          <w:lang w:val="en-US"/>
        </w:rPr>
        <w:t>marginalised</w:t>
      </w:r>
      <w:proofErr w:type="spellEnd"/>
      <w:r w:rsidRPr="00407F50">
        <w:rPr>
          <w:rFonts w:ascii="Verdana" w:hAnsi="Verdana"/>
          <w:sz w:val="20"/>
          <w:szCs w:val="20"/>
          <w:lang w:val="en-US"/>
        </w:rPr>
        <w:t xml:space="preserve"> people, who were subsequently seen as making positive contributions to society.  </w:t>
      </w:r>
    </w:p>
    <w:p w:rsidR="00407F50" w:rsidRPr="00407F50" w:rsidRDefault="00407F50" w:rsidP="00770451">
      <w:pPr>
        <w:pBdr>
          <w:top w:val="single" w:sz="4" w:space="1" w:color="auto"/>
          <w:left w:val="single" w:sz="4" w:space="4" w:color="auto"/>
          <w:bottom w:val="single" w:sz="4" w:space="1" w:color="auto"/>
          <w:right w:val="single" w:sz="4" w:space="4" w:color="auto"/>
        </w:pBdr>
        <w:rPr>
          <w:rFonts w:ascii="Verdana" w:hAnsi="Verdana"/>
          <w:sz w:val="20"/>
          <w:szCs w:val="20"/>
          <w:lang w:val="en-US"/>
        </w:rPr>
      </w:pPr>
      <w:r w:rsidRPr="00407F50">
        <w:rPr>
          <w:rFonts w:ascii="Verdana" w:hAnsi="Verdana"/>
          <w:sz w:val="20"/>
          <w:szCs w:val="20"/>
          <w:lang w:val="en-US"/>
        </w:rPr>
        <w:t xml:space="preserve">A cost -benefit study of this project undertaken by Housing NSW in 2011 indicated that the net annual financial value to government was $388,000, derived from savings in not using commercial contractors and increased housing rental income from participants. It was estimated that the program generated an annual net social value of $226,650, comprised of savings due to reduction in anti-social and offending </w:t>
      </w:r>
      <w:proofErr w:type="spellStart"/>
      <w:r w:rsidRPr="00407F50">
        <w:rPr>
          <w:rFonts w:ascii="Verdana" w:hAnsi="Verdana"/>
          <w:sz w:val="20"/>
          <w:szCs w:val="20"/>
          <w:lang w:val="en-US"/>
        </w:rPr>
        <w:t>behaviour</w:t>
      </w:r>
      <w:proofErr w:type="spellEnd"/>
      <w:r w:rsidRPr="00407F50">
        <w:rPr>
          <w:rFonts w:ascii="Verdana" w:hAnsi="Verdana"/>
          <w:sz w:val="20"/>
          <w:szCs w:val="20"/>
          <w:lang w:val="en-US"/>
        </w:rPr>
        <w:t xml:space="preserve"> as well as social benefits of increased community cohesion. The full reports on the graffiti project, and our Sydney-based horticulture enterprise, are available on request.</w:t>
      </w:r>
    </w:p>
    <w:p w:rsidR="00770451" w:rsidRDefault="00770451" w:rsidP="008C5A75">
      <w:pPr>
        <w:pStyle w:val="Heading3"/>
      </w:pPr>
    </w:p>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F938C3" w:rsidRPr="001C2BE7" w:rsidRDefault="00F938C3" w:rsidP="00F938C3">
            <w:pPr>
              <w:pStyle w:val="ListParagraph"/>
            </w:pPr>
            <w:r w:rsidRPr="001C2BE7">
              <w:lastRenderedPageBreak/>
              <w:t>How can services enhance family functioning to improve employment outcomes?</w:t>
            </w:r>
          </w:p>
          <w:p w:rsidR="00F938C3" w:rsidRDefault="00F938C3" w:rsidP="00F938C3">
            <w:pPr>
              <w:rPr>
                <w:rFonts w:ascii="Verdana" w:hAnsi="Verdana"/>
                <w:sz w:val="20"/>
                <w:szCs w:val="20"/>
              </w:rPr>
            </w:pPr>
          </w:p>
          <w:p w:rsidR="00F938C3" w:rsidRPr="00F50BB3" w:rsidRDefault="00F938C3" w:rsidP="00F938C3">
            <w:pPr>
              <w:rPr>
                <w:rFonts w:ascii="Verdana" w:hAnsi="Verdana"/>
                <w:sz w:val="20"/>
                <w:szCs w:val="20"/>
              </w:rPr>
            </w:pPr>
            <w:r>
              <w:rPr>
                <w:rFonts w:ascii="Verdana" w:hAnsi="Verdana"/>
                <w:sz w:val="20"/>
                <w:szCs w:val="20"/>
              </w:rPr>
              <w:t xml:space="preserve">Service models that seek to engage all eligible family members in relation to employment support and placement in jobs should be a strategy that is examined by the Government to enhance employment outcomes. For example, BoysTown is currently collaborating with community services, education providers, employment services and government collaborate in a project called the </w:t>
            </w:r>
            <w:r w:rsidRPr="00F50BB3">
              <w:rPr>
                <w:rFonts w:ascii="Verdana" w:hAnsi="Verdana"/>
                <w:sz w:val="20"/>
                <w:szCs w:val="20"/>
              </w:rPr>
              <w:t xml:space="preserve">Woodridge </w:t>
            </w:r>
            <w:r>
              <w:rPr>
                <w:rFonts w:ascii="Verdana" w:hAnsi="Verdana"/>
                <w:sz w:val="20"/>
                <w:szCs w:val="20"/>
              </w:rPr>
              <w:t xml:space="preserve">State High School Community </w:t>
            </w:r>
            <w:r w:rsidRPr="00F50BB3">
              <w:rPr>
                <w:rFonts w:ascii="Verdana" w:hAnsi="Verdana"/>
                <w:sz w:val="20"/>
                <w:szCs w:val="20"/>
              </w:rPr>
              <w:t xml:space="preserve">Hub program. </w:t>
            </w:r>
            <w:r>
              <w:rPr>
                <w:rFonts w:ascii="Verdana" w:hAnsi="Verdana"/>
                <w:sz w:val="20"/>
                <w:szCs w:val="20"/>
              </w:rPr>
              <w:t>The service delivery model that enhances the personal development and job skills of at risk and vulnerable youth in the local community. Particular emphasis is placed on young people who are at risk of disengaging from school and the community. Additional focus is placed on family members of these young people who are not employed. Hence, the model addresses the family relationships and job skills across the generations of youth and parents.</w:t>
            </w:r>
          </w:p>
          <w:p w:rsidR="00F938C3" w:rsidRDefault="00F938C3" w:rsidP="00F938C3">
            <w:pPr>
              <w:rPr>
                <w:rFonts w:ascii="Verdana" w:hAnsi="Verdana"/>
                <w:sz w:val="20"/>
                <w:szCs w:val="20"/>
              </w:rPr>
            </w:pPr>
          </w:p>
          <w:p w:rsidR="00F938C3" w:rsidRDefault="00F938C3" w:rsidP="00F938C3">
            <w:pPr>
              <w:rPr>
                <w:rFonts w:ascii="Verdana" w:hAnsi="Verdana"/>
                <w:sz w:val="20"/>
                <w:szCs w:val="20"/>
              </w:rPr>
            </w:pPr>
            <w:r>
              <w:rPr>
                <w:rFonts w:ascii="Verdana" w:hAnsi="Verdana"/>
                <w:sz w:val="20"/>
                <w:szCs w:val="20"/>
              </w:rPr>
              <w:t>In BoysTown’s experience, Indigenous mentors play in a key role in promoting family knowledge about BoysTown’s programs which in turn influence the retention rates of Indigenous young people in our services. The Mentor in BoysTown’s Inala (Queensland) JSA Mentoring Program was successful in linking with job seekers’ families to discuss the importance of attending the program, addressing their barriers and finding sustainable employment. In a similar approach, the Employment Consultant in BoysTown’s Blacktown (New South Wales) Stream 4 Outcomes Demonstration Pilot invited the families of Indigenous job seekers to attend their preliminary consultations to discuss the purpose of the pilot and how they were trying to assist their youth with their barriers and to achieve employment. This process facilitated a change where the young people could have support from BoysTown and also their families while they were looking for employment.</w:t>
            </w:r>
          </w:p>
          <w:p w:rsidR="00F938C3" w:rsidRDefault="00F938C3" w:rsidP="00F938C3">
            <w:pPr>
              <w:rPr>
                <w:rFonts w:ascii="Verdana" w:hAnsi="Verdana"/>
                <w:sz w:val="20"/>
                <w:szCs w:val="20"/>
              </w:rPr>
            </w:pPr>
          </w:p>
          <w:p w:rsidR="00F938C3" w:rsidRPr="001C2BE7" w:rsidRDefault="00F938C3" w:rsidP="00F938C3">
            <w:pPr>
              <w:pStyle w:val="ListParagraph"/>
            </w:pPr>
            <w:r w:rsidRPr="001C2BE7">
              <w:t>How can services be improved to achieve employment and social participation for people with complex needs?</w:t>
            </w:r>
          </w:p>
          <w:p w:rsidR="00F938C3" w:rsidRDefault="00F938C3" w:rsidP="00F938C3">
            <w:pPr>
              <w:rPr>
                <w:rFonts w:ascii="Verdana" w:hAnsi="Verdana"/>
                <w:sz w:val="20"/>
                <w:szCs w:val="20"/>
              </w:rPr>
            </w:pPr>
          </w:p>
          <w:p w:rsidR="001C2BE7" w:rsidRPr="002551B7" w:rsidRDefault="00F938C3" w:rsidP="00F938C3">
            <w:pPr>
              <w:spacing w:after="840"/>
              <w:rPr>
                <w:iCs/>
                <w:smallCaps/>
              </w:rPr>
            </w:pPr>
            <w:r>
              <w:rPr>
                <w:rFonts w:ascii="Verdana" w:hAnsi="Verdana"/>
                <w:sz w:val="20"/>
                <w:szCs w:val="20"/>
              </w:rPr>
              <w:t>Services that deliver intensive placement and support programs based on partnerships with Government and community services is an effective strategy to improve employment and social participation for people with complex need. For example, BoysTown received funding from the previous Department of Education, Employment and Workplace Relations in 2012 to deliver a Stream 4 Outcomes Demonstration Pilot for 18 months. The Demonstration Pilot in Blacktown was aimed at Stream 4 job seekers who have multifaceted and long-term barriers to employment and social inclusion. When compared to a baseline group of job seekers with similar demographic, Stream and location details, the participants achieved significantly higher rates of employment outcomes. Hence, a similar model would improve services to achieve employment and social participation for people with complex needs. One of the key components of BoysTown’s Stream 4 Outcomes pilot was an Employment Outcome Star assessment (based on Triangle Consulting Outcome Stars) to identify the needs and barriers of disadvantaged young people. This tool was implemented in a manner more similar to a conversation than a rigid interview format. The assessment tool was then used at various points in the pilot to measure progress or lack thereof across the various dimensions (e.g. offending, accommodation, job-specific skills, and motivation and aspirations). Part of the tool is to show the results in a diagram format so that participants can see where they are making progress. The other integral component of BoysTown’s Stream 4 Outcomes pilot is the dual case management team comprised by an Employment Consultant and an Employment Case Worker. This intensive support is vital for people with complex needs. The Employment Case Worker also facilitates the enhanced coordination of services for job seekers and advocates on behalf of the young person when they may have difficulty understanding the referral pathways and verbalising their issues. By establishing effective working relationships with other service providers in the community, the job seeker then experiences expedited referral and tailored services to their needs.</w:t>
            </w:r>
          </w:p>
        </w:tc>
      </w:tr>
    </w:tbl>
    <w:p w:rsidR="008C5A75" w:rsidRDefault="008C5A75" w:rsidP="008C5A75"/>
    <w:p w:rsidR="00891833" w:rsidRDefault="00891833" w:rsidP="008C5A75"/>
    <w:p w:rsidR="00891833" w:rsidRDefault="00891833" w:rsidP="008C5A75"/>
    <w:p w:rsidR="00891833" w:rsidRPr="008C5A75" w:rsidRDefault="00891833" w:rsidP="008C5A75"/>
    <w:p w:rsidR="001C2BE7" w:rsidRPr="00D467B6" w:rsidRDefault="001C2BE7" w:rsidP="008C5A75">
      <w:pPr>
        <w:pStyle w:val="Heading3"/>
        <w:rPr>
          <w:iCs/>
          <w:smallCaps/>
        </w:rPr>
      </w:pPr>
      <w:r w:rsidRPr="00D467B6">
        <w:lastRenderedPageBreak/>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D51368" w:rsidRDefault="001C2BE7" w:rsidP="0046471F">
      <w:pPr>
        <w:pStyle w:val="ListParagraph"/>
        <w:keepNext/>
        <w:ind w:left="425" w:hanging="425"/>
        <w:rPr>
          <w:i/>
          <w:iCs/>
          <w:smallCaps/>
        </w:rPr>
      </w:pPr>
      <w:r w:rsidRPr="00182BB2">
        <w:t>How can successful demand-led employment initiatives be replicated, such as those of social enterprises?</w:t>
      </w:r>
    </w:p>
    <w:p w:rsidR="00D51368" w:rsidRPr="00D51368" w:rsidRDefault="00D51368" w:rsidP="00D51368">
      <w:pPr>
        <w:keepNext/>
        <w:rPr>
          <w:i/>
          <w:iCs/>
          <w:smallCaps/>
        </w:rPr>
      </w:pP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D51368" w:rsidRPr="00182BB2" w:rsidRDefault="00D51368" w:rsidP="00D51368">
            <w:pPr>
              <w:pStyle w:val="ListParagraph"/>
              <w:keepNext/>
              <w:ind w:left="425" w:hanging="425"/>
              <w:rPr>
                <w:i/>
                <w:iCs/>
                <w:smallCaps/>
              </w:rPr>
            </w:pPr>
            <w:r w:rsidRPr="00182BB2">
              <w:t>How can successful demand-led employment initiatives be replicated, such as those of social enterprises?</w:t>
            </w:r>
          </w:p>
          <w:p w:rsidR="00D51368" w:rsidRDefault="00D51368" w:rsidP="00D51368">
            <w:pPr>
              <w:spacing w:after="200" w:line="276" w:lineRule="auto"/>
              <w:rPr>
                <w:rFonts w:ascii="Verdana" w:hAnsi="Verdana"/>
                <w:sz w:val="20"/>
                <w:szCs w:val="20"/>
              </w:rPr>
            </w:pPr>
          </w:p>
          <w:p w:rsidR="00D51368" w:rsidRPr="00407F50" w:rsidRDefault="00D51368" w:rsidP="00D51368">
            <w:pPr>
              <w:spacing w:after="200" w:line="276" w:lineRule="auto"/>
              <w:rPr>
                <w:rFonts w:ascii="Verdana" w:hAnsi="Verdana"/>
                <w:sz w:val="20"/>
                <w:szCs w:val="20"/>
              </w:rPr>
            </w:pPr>
            <w:r w:rsidRPr="00407F50">
              <w:rPr>
                <w:rFonts w:ascii="Verdana" w:hAnsi="Verdana"/>
                <w:sz w:val="20"/>
                <w:szCs w:val="20"/>
              </w:rPr>
              <w:t>Despite the social and economic value of ILM social enterprises, generally, social enterprises show a productivity deficit as revenue does not match operating costs. Social enterprises have higher cost profiles than similar commercial activities due to the need to provide case management, specialist counselling, training and other support to participants</w:t>
            </w:r>
            <w:r w:rsidRPr="00407F50">
              <w:rPr>
                <w:rFonts w:ascii="Verdana" w:hAnsi="Verdana"/>
                <w:sz w:val="20"/>
                <w:szCs w:val="20"/>
                <w:vertAlign w:val="superscript"/>
              </w:rPr>
              <w:footnoteReference w:id="1"/>
            </w:r>
            <w:r w:rsidRPr="00407F50">
              <w:rPr>
                <w:rFonts w:ascii="Verdana" w:hAnsi="Verdana"/>
                <w:sz w:val="20"/>
                <w:szCs w:val="20"/>
              </w:rPr>
              <w:t>. BoysTown social enterprise programs have an annualised productivity deficit of about $12,000 for each participant. ILM providers often miss out on tenders for the provision of goods and services to Government as they are unable to complete on price.</w:t>
            </w:r>
          </w:p>
          <w:p w:rsidR="001C2BE7" w:rsidRPr="00D51368" w:rsidRDefault="00D51368" w:rsidP="00D51368">
            <w:pPr>
              <w:rPr>
                <w:rFonts w:ascii="Verdana" w:hAnsi="Verdana"/>
                <w:sz w:val="20"/>
                <w:szCs w:val="20"/>
              </w:rPr>
            </w:pPr>
            <w:r w:rsidRPr="00407F50">
              <w:rPr>
                <w:rFonts w:ascii="Verdana" w:hAnsi="Verdana"/>
                <w:sz w:val="20"/>
                <w:szCs w:val="20"/>
              </w:rPr>
              <w:t xml:space="preserve">The Commonwealth Government can support ILM social enterprises by allocating a proportion of their procurement budgets to social enterprises. A 1-2% allocation of the Commonwealth Government’s procurement budget to ILM social enterprises that offered unemployed people placements would significantly reduce the unemployment rate in the short term. This decrease in unemployment would be sustainable given the evidence based outcomes of these programs that has been outlined above. </w:t>
            </w:r>
          </w:p>
        </w:tc>
      </w:tr>
    </w:tbl>
    <w:p w:rsidR="008C5A75" w:rsidRDefault="008C5A75" w:rsidP="008C5A75"/>
    <w:p w:rsidR="00891833" w:rsidRPr="008C5A75" w:rsidRDefault="00891833" w:rsidP="008C5A75"/>
    <w:p w:rsidR="001C2BE7" w:rsidRPr="00182BB2" w:rsidRDefault="001C2BE7" w:rsidP="008C5A75">
      <w:pPr>
        <w:pStyle w:val="Heading3"/>
        <w:rPr>
          <w:iCs/>
          <w:smallCaps/>
        </w:rPr>
      </w:pPr>
      <w:r w:rsidRPr="00182BB2">
        <w:lastRenderedPageBreak/>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p w:rsidR="00442F2F" w:rsidRDefault="00442F2F" w:rsidP="00442F2F">
      <w:pPr>
        <w:pStyle w:val="ListParagraph"/>
        <w:numPr>
          <w:ilvl w:val="0"/>
          <w:numId w:val="0"/>
        </w:numPr>
        <w:ind w:left="426"/>
      </w:pPr>
    </w:p>
    <w:p w:rsidR="00442F2F" w:rsidRDefault="00442F2F" w:rsidP="00442F2F">
      <w:pPr>
        <w:pStyle w:val="ListParagraph"/>
        <w:numPr>
          <w:ilvl w:val="0"/>
          <w:numId w:val="0"/>
        </w:numPr>
        <w:ind w:left="426"/>
      </w:pPr>
    </w:p>
    <w:p w:rsidR="00442F2F" w:rsidRPr="001C2BE7" w:rsidRDefault="00442F2F" w:rsidP="00770451">
      <w:pPr>
        <w:pStyle w:val="ListParagraph"/>
        <w:pBdr>
          <w:top w:val="single" w:sz="4" w:space="1" w:color="auto"/>
          <w:left w:val="single" w:sz="4" w:space="4" w:color="auto"/>
          <w:bottom w:val="single" w:sz="4" w:space="1" w:color="auto"/>
          <w:right w:val="single" w:sz="4" w:space="4" w:color="auto"/>
        </w:pBdr>
      </w:pPr>
      <w:r w:rsidRPr="001C2BE7">
        <w:t>How can transition pathways for disadvantaged job seekers, including young people, be enhanced?</w:t>
      </w:r>
    </w:p>
    <w:p w:rsidR="00442F2F" w:rsidRPr="00827E31"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r w:rsidRPr="00827E31">
        <w:rPr>
          <w:rFonts w:ascii="Verdana" w:eastAsia="PMingLiU" w:hAnsi="Verdana" w:cs="Times New Roman"/>
          <w:sz w:val="20"/>
          <w:szCs w:val="20"/>
          <w:lang w:eastAsia="zh-TW"/>
        </w:rPr>
        <w:t>Youth specialisation within the Jobs Services Australia program is critical to progress youth employment outcomes.</w:t>
      </w:r>
      <w:r w:rsidRPr="00827E31">
        <w:rPr>
          <w:rFonts w:ascii="Verdana" w:eastAsia="PMingLiU" w:hAnsi="Verdana" w:cs="Times New Roman"/>
          <w:i/>
          <w:sz w:val="20"/>
          <w:szCs w:val="20"/>
          <w:lang w:eastAsia="zh-TW"/>
        </w:rPr>
        <w:t xml:space="preserve"> </w:t>
      </w:r>
      <w:r w:rsidRPr="00827E31">
        <w:rPr>
          <w:rFonts w:ascii="Verdana" w:eastAsia="PMingLiU" w:hAnsi="Verdana" w:cs="Times New Roman"/>
          <w:sz w:val="20"/>
          <w:szCs w:val="20"/>
          <w:lang w:eastAsia="zh-TW"/>
        </w:rPr>
        <w:t>Contemporary Australian research clearly shows that young people have different barriers to adults in relation to obtaining employment. For example, young people are more likely than other age groups to experience a mental health disorder</w:t>
      </w:r>
      <w:r w:rsidRPr="00827E31">
        <w:rPr>
          <w:rFonts w:ascii="Verdana" w:eastAsia="PMingLiU" w:hAnsi="Verdana" w:cs="Times New Roman"/>
          <w:sz w:val="20"/>
          <w:szCs w:val="20"/>
          <w:vertAlign w:val="superscript"/>
          <w:lang w:eastAsia="zh-TW"/>
        </w:rPr>
        <w:footnoteReference w:id="2"/>
      </w:r>
      <w:r w:rsidRPr="00827E31">
        <w:rPr>
          <w:rFonts w:ascii="Verdana" w:eastAsia="PMingLiU" w:hAnsi="Verdana" w:cs="Times New Roman"/>
          <w:sz w:val="20"/>
          <w:szCs w:val="20"/>
          <w:lang w:eastAsia="zh-TW"/>
        </w:rPr>
        <w:t xml:space="preserve">. </w:t>
      </w:r>
    </w:p>
    <w:p w:rsidR="00442F2F" w:rsidRPr="00827E31"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p>
    <w:p w:rsidR="00442F2F" w:rsidRPr="00827E31"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r w:rsidRPr="00827E31">
        <w:rPr>
          <w:rFonts w:ascii="Verdana" w:eastAsia="PMingLiU" w:hAnsi="Verdana" w:cs="Times New Roman"/>
          <w:sz w:val="20"/>
          <w:szCs w:val="20"/>
          <w:lang w:eastAsia="zh-TW"/>
        </w:rPr>
        <w:t xml:space="preserve">Youth are more likely to seek assistance from services that are youth focused and conversant with contemporary youth culture, needs, and engagement preferences. </w:t>
      </w:r>
    </w:p>
    <w:p w:rsidR="00442F2F" w:rsidRPr="00827E31"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r w:rsidRPr="00827E31">
        <w:rPr>
          <w:rFonts w:ascii="Verdana" w:eastAsia="PMingLiU" w:hAnsi="Verdana" w:cs="Times New Roman"/>
          <w:sz w:val="20"/>
          <w:szCs w:val="20"/>
          <w:lang w:eastAsia="zh-TW"/>
        </w:rPr>
        <w:t xml:space="preserve">To some extent, national policy in other areas recognises the need for youth specialisation within mainstream services. For example, current national mental health policy recognises the need for youth specialist services through the funding of </w:t>
      </w:r>
      <w:r w:rsidRPr="00827E31">
        <w:rPr>
          <w:rFonts w:ascii="Verdana" w:eastAsia="PMingLiU" w:hAnsi="Verdana" w:cs="Times New Roman"/>
          <w:i/>
          <w:sz w:val="20"/>
          <w:szCs w:val="20"/>
          <w:lang w:eastAsia="zh-TW"/>
        </w:rPr>
        <w:t>Headspace</w:t>
      </w:r>
      <w:r w:rsidRPr="00827E31">
        <w:rPr>
          <w:rFonts w:ascii="Verdana" w:eastAsia="PMingLiU" w:hAnsi="Verdana" w:cs="Times New Roman"/>
          <w:sz w:val="20"/>
          <w:szCs w:val="20"/>
          <w:lang w:eastAsia="zh-TW"/>
        </w:rPr>
        <w:t xml:space="preserve"> Centres. </w:t>
      </w:r>
    </w:p>
    <w:p w:rsidR="00442F2F" w:rsidRPr="00827E31"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p>
    <w:p w:rsidR="00442F2F"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r w:rsidRPr="00827E31">
        <w:rPr>
          <w:rFonts w:ascii="Verdana" w:eastAsia="PMingLiU" w:hAnsi="Verdana" w:cs="Times New Roman"/>
          <w:sz w:val="20"/>
          <w:szCs w:val="20"/>
          <w:lang w:eastAsia="zh-TW"/>
        </w:rPr>
        <w:t xml:space="preserve">Responses to youth employment need to be delivered through authentic youth specialist providers that know the needs of this group and have been able through their specialised practice to develop focused responses. It is of concern that this is not being recognised in the current Exposure Draft for Employment Services 2015-2020 Purchasing Arrangements. </w:t>
      </w:r>
    </w:p>
    <w:p w:rsidR="00442F2F"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p>
    <w:p w:rsidR="00442F2F" w:rsidRDefault="00442F2F"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Pathways to employment can be improved through the provision of Intermediate Labour Market (ILM) social enterprise programs. The ILM social enterprise programs are operated in a real-life work environment where marginalised people can earn a wage while developing the vocational skills, gaining confidence and motivation, and addressing their personal barriers. Social procurement would increase the instances of these ILM social enterprises through the addition of social clauses in procurement contracts for the services and work offered in the ILM social enterprises.</w:t>
      </w:r>
    </w:p>
    <w:p w:rsidR="00442F2F" w:rsidRDefault="00442F2F" w:rsidP="00770451">
      <w:pPr>
        <w:pBdr>
          <w:top w:val="single" w:sz="4" w:space="1" w:color="auto"/>
          <w:left w:val="single" w:sz="4" w:space="4" w:color="auto"/>
          <w:bottom w:val="single" w:sz="4" w:space="1" w:color="auto"/>
          <w:right w:val="single" w:sz="4" w:space="4" w:color="auto"/>
        </w:pBdr>
        <w:contextualSpacing/>
        <w:rPr>
          <w:rFonts w:ascii="Verdana" w:eastAsia="PMingLiU" w:hAnsi="Verdana" w:cs="Times New Roman"/>
          <w:sz w:val="20"/>
          <w:szCs w:val="20"/>
          <w:lang w:eastAsia="zh-TW"/>
        </w:rPr>
      </w:pPr>
    </w:p>
    <w:p w:rsidR="00442F2F" w:rsidRPr="001C2BE7" w:rsidRDefault="00442F2F" w:rsidP="00770451">
      <w:pPr>
        <w:pStyle w:val="ListParagraph"/>
        <w:pBdr>
          <w:top w:val="single" w:sz="4" w:space="1" w:color="auto"/>
          <w:left w:val="single" w:sz="4" w:space="4" w:color="auto"/>
          <w:bottom w:val="single" w:sz="4" w:space="1" w:color="auto"/>
          <w:right w:val="single" w:sz="4" w:space="4" w:color="auto"/>
        </w:pBdr>
      </w:pPr>
      <w:r w:rsidRPr="001C2BE7">
        <w:t>How can vocational education and training into real jobs be better targeted?</w:t>
      </w:r>
    </w:p>
    <w:p w:rsidR="00442F2F" w:rsidRPr="00666A37" w:rsidRDefault="00442F2F"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Vocational education and training into real jobs can be better targeted through the use of industry-targeted training programs and ILM social enterprise programs. A survey of employers’ recruitment experiences by the previous Department of Education, Employment and Workplace Relations (DEEWR) found consistent themes across the priority employment areas. The most common reasons that employers found applicants to be unsuitable for their positions were insufficient work experience specific to the job, insufficient qualifications or training to perform the job duties and lacking in employability skills and appropriate personal characteristics. The specific characteristics that employers stated job seekers were lacking included communication, motivation, enthusiasm and confidence. This data suggests that more tailored pre-employment and ILM social enterprise programs, rather than general Certificate II qualifications, are needed to address the concerns of employers. In addition, the findings of the Australian Research Council study by Griffith University </w:t>
      </w:r>
      <w:r>
        <w:rPr>
          <w:rFonts w:ascii="Verdana" w:hAnsi="Verdana"/>
          <w:sz w:val="20"/>
          <w:szCs w:val="20"/>
        </w:rPr>
        <w:lastRenderedPageBreak/>
        <w:t xml:space="preserve">and BoysTown indicate statistically significant improvements in these areas for the 542 young people. </w:t>
      </w:r>
      <w:r w:rsidRPr="00666A37">
        <w:rPr>
          <w:rFonts w:ascii="Verdana" w:hAnsi="Verdana"/>
          <w:sz w:val="20"/>
          <w:szCs w:val="20"/>
        </w:rPr>
        <w:t>For example, upon completing their ILM social enterprise program:</w:t>
      </w:r>
    </w:p>
    <w:p w:rsidR="00442F2F" w:rsidRDefault="00442F2F"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70.3% of young people had healthy levels of respect for themselves – 27.7% improvement,</w:t>
      </w:r>
    </w:p>
    <w:p w:rsidR="00442F2F" w:rsidRDefault="00442F2F"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72.0% had confidence in themselves – 37.3% improvement,</w:t>
      </w:r>
    </w:p>
    <w:p w:rsidR="00442F2F" w:rsidRPr="00666A37" w:rsidRDefault="00442F2F"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sidRPr="00666A37">
        <w:rPr>
          <w:rFonts w:ascii="Verdana" w:hAnsi="Verdana"/>
          <w:sz w:val="20"/>
          <w:szCs w:val="20"/>
        </w:rPr>
        <w:t>82.0% were willing to learn new skills – 26.8% improvement,</w:t>
      </w:r>
      <w:r>
        <w:rPr>
          <w:rFonts w:ascii="Verdana" w:hAnsi="Verdana"/>
          <w:sz w:val="20"/>
          <w:szCs w:val="20"/>
        </w:rPr>
        <w:t xml:space="preserve"> and</w:t>
      </w:r>
    </w:p>
    <w:p w:rsidR="00442F2F" w:rsidRDefault="00442F2F" w:rsidP="00770451">
      <w:pPr>
        <w:pStyle w:val="ListParagraph"/>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67.1% were strongly motivated to reach their goals – 24.6% improvement.</w:t>
      </w:r>
    </w:p>
    <w:p w:rsidR="00442F2F" w:rsidRDefault="00442F2F"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BoysTown is conducting preliminary research into the support required by its job seekers who will be affected by the young job seeker policy reforms. In an online survey, 25 participants responded to questions about their barriers to finding employment. The most common reasons were that there are not enough jobs available, limited work experience, do drivers licence and transport, insufficient skills for specific jobs, lack of qualifications, poor social skills and low confidence. Specifically tailored pre-employment programs that are linked to industry and ILM social enterprise programs would be able to address these issues while added support from a Youth Worker could link participants to driving facilities to increase the hours required to get a licence. These findings point to the use of pre-employment programs to develop young peoples’ employability and ILM social enterprise programs to provide them with work experience and to enhance their confidence, motivation, job skills, communication and other employability skills.</w:t>
      </w:r>
    </w:p>
    <w:p w:rsidR="00442F2F" w:rsidRDefault="00442F2F" w:rsidP="00770451">
      <w:pPr>
        <w:pStyle w:val="ListParagraph"/>
        <w:pBdr>
          <w:top w:val="single" w:sz="4" w:space="1" w:color="auto"/>
          <w:left w:val="single" w:sz="4" w:space="4" w:color="auto"/>
          <w:bottom w:val="single" w:sz="4" w:space="1" w:color="auto"/>
          <w:right w:val="single" w:sz="4" w:space="4" w:color="auto"/>
        </w:pBdr>
      </w:pPr>
      <w:r>
        <w:rPr>
          <w:rFonts w:ascii="Verdana" w:hAnsi="Verdana"/>
          <w:sz w:val="20"/>
          <w:szCs w:val="20"/>
        </w:rPr>
        <w:t xml:space="preserve"> </w:t>
      </w:r>
      <w:r w:rsidRPr="001C2BE7">
        <w:t>How can approaches like Individual Placement and Support that combine vocational rehabilitation and personal support for people with mental health conditions be adapted and expanded?</w:t>
      </w:r>
    </w:p>
    <w:p w:rsidR="00442F2F" w:rsidRDefault="00442F2F" w:rsidP="00770451">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In addition to youth specialisation, approaches like Individual Placement and Support models that combine vocational rehabilitation and personal support for people with mental health conditions can be adapted and expanded through the provision of services to other groups the experience great difficulty making the transition to employment. Similar to the previously mentioned Stream 4 Outcome Demonstration Pilot in BoysTown’s Blacktown JSA, the model could be implemented with Stream 4 participants whose barriers are complex and long-term. The addition of an Employment Case Worker to form a dual case management team with an Employment Consultant will provide the intensive support required for this marginalised group of job seekers. In addition, an assessment specific to the identifying the needs of highly disadvantaged job seekers would be required to measure the baseline and track change. The enhanced coordination of external services will add to the holistic support provided in this model. In order for this approach to be implemented, an increase in the outcome payments for people who are deemed to have mental health issues and other complex needs should be explored.</w:t>
      </w:r>
    </w:p>
    <w:p w:rsidR="00442F2F" w:rsidRDefault="00442F2F" w:rsidP="00442F2F">
      <w:pPr>
        <w:rPr>
          <w:rFonts w:ascii="Verdana" w:eastAsia="PMingLiU" w:hAnsi="Verdana" w:cs="Times New Roman"/>
          <w:sz w:val="20"/>
          <w:szCs w:val="20"/>
          <w:lang w:eastAsia="zh-TW"/>
        </w:rPr>
      </w:pPr>
    </w:p>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lastRenderedPageBreak/>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rsidP="008C5A75"/>
    <w:p w:rsidR="00891833" w:rsidRDefault="00891833" w:rsidP="008C5A75"/>
    <w:p w:rsidR="00891833" w:rsidRPr="008C5A75" w:rsidRDefault="00891833" w:rsidP="008C5A75"/>
    <w:p w:rsidR="001C2BE7" w:rsidRPr="00CE7674" w:rsidRDefault="001C2BE7" w:rsidP="008C5A75">
      <w:pPr>
        <w:pStyle w:val="Heading3"/>
        <w:rPr>
          <w:iCs/>
          <w:smallCaps/>
        </w:rPr>
      </w:pPr>
      <w:r w:rsidRPr="00CE7674">
        <w:lastRenderedPageBreak/>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2" w:name="_Make_a_comment"/>
      <w:bookmarkEnd w:id="2"/>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C3" w:rsidRDefault="00F938C3" w:rsidP="00214210">
      <w:pPr>
        <w:spacing w:after="0" w:line="240" w:lineRule="auto"/>
      </w:pPr>
      <w:r>
        <w:separator/>
      </w:r>
    </w:p>
  </w:endnote>
  <w:endnote w:type="continuationSeparator" w:id="0">
    <w:p w:rsidR="00F938C3" w:rsidRDefault="00F938C3"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C3" w:rsidRPr="006F436A" w:rsidRDefault="00F938C3">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C3" w:rsidRDefault="00F938C3" w:rsidP="00214210">
      <w:pPr>
        <w:spacing w:after="0" w:line="240" w:lineRule="auto"/>
      </w:pPr>
      <w:r>
        <w:separator/>
      </w:r>
    </w:p>
  </w:footnote>
  <w:footnote w:type="continuationSeparator" w:id="0">
    <w:p w:rsidR="00F938C3" w:rsidRDefault="00F938C3" w:rsidP="00214210">
      <w:pPr>
        <w:spacing w:after="0" w:line="240" w:lineRule="auto"/>
      </w:pPr>
      <w:r>
        <w:continuationSeparator/>
      </w:r>
    </w:p>
  </w:footnote>
  <w:footnote w:id="1">
    <w:p w:rsidR="00F938C3" w:rsidRDefault="00F938C3" w:rsidP="00D51368">
      <w:pPr>
        <w:pStyle w:val="FootnoteText"/>
      </w:pPr>
      <w:r>
        <w:rPr>
          <w:rStyle w:val="FootnoteReference"/>
        </w:rPr>
        <w:footnoteRef/>
      </w:r>
      <w:r>
        <w:t xml:space="preserve"> </w:t>
      </w:r>
      <w:proofErr w:type="spellStart"/>
      <w:proofErr w:type="gramStart"/>
      <w:r>
        <w:t>Bodsworth</w:t>
      </w:r>
      <w:proofErr w:type="spellEnd"/>
      <w:r>
        <w:t>, E. 2013.</w:t>
      </w:r>
      <w:proofErr w:type="gramEnd"/>
      <w:r>
        <w:t xml:space="preserve"> Working Futures Initiative evaluation,  p57</w:t>
      </w:r>
    </w:p>
  </w:footnote>
  <w:footnote w:id="2">
    <w:p w:rsidR="00442F2F" w:rsidRDefault="00442F2F" w:rsidP="00442F2F">
      <w:pPr>
        <w:pStyle w:val="FootnoteText"/>
      </w:pPr>
      <w:r w:rsidRPr="00E43FDE">
        <w:rPr>
          <w:rStyle w:val="FootnoteReference"/>
          <w:sz w:val="16"/>
          <w:szCs w:val="16"/>
        </w:rPr>
        <w:footnoteRef/>
      </w:r>
      <w:r w:rsidRPr="00E43FDE">
        <w:rPr>
          <w:sz w:val="16"/>
          <w:szCs w:val="16"/>
        </w:rPr>
        <w:t xml:space="preserve"> </w:t>
      </w:r>
      <w:proofErr w:type="spellStart"/>
      <w:r w:rsidRPr="00E43FDE">
        <w:rPr>
          <w:sz w:val="16"/>
          <w:szCs w:val="16"/>
        </w:rPr>
        <w:t>Rickwood</w:t>
      </w:r>
      <w:proofErr w:type="spellEnd"/>
      <w:r w:rsidRPr="00E43FDE">
        <w:rPr>
          <w:sz w:val="16"/>
          <w:szCs w:val="16"/>
        </w:rPr>
        <w:t xml:space="preserve">, D. (2012). </w:t>
      </w:r>
      <w:proofErr w:type="gramStart"/>
      <w:r w:rsidRPr="00E43FDE">
        <w:rPr>
          <w:sz w:val="16"/>
          <w:szCs w:val="16"/>
        </w:rPr>
        <w:t>Entering the e-spectrum.</w:t>
      </w:r>
      <w:proofErr w:type="gramEnd"/>
      <w:r w:rsidRPr="00E43FDE">
        <w:rPr>
          <w:sz w:val="16"/>
          <w:szCs w:val="16"/>
        </w:rPr>
        <w:t xml:space="preserve"> Youth Studies </w:t>
      </w:r>
      <w:smartTag w:uri="urn:schemas-microsoft-com:office:smarttags" w:element="country-region">
        <w:r w:rsidRPr="00E43FDE">
          <w:rPr>
            <w:sz w:val="16"/>
            <w:szCs w:val="16"/>
          </w:rPr>
          <w:t>Australia</w:t>
        </w:r>
      </w:smartTag>
      <w:r w:rsidRPr="00E43FDE">
        <w:rPr>
          <w:sz w:val="16"/>
          <w:szCs w:val="16"/>
        </w:rPr>
        <w:t xml:space="preserve">, 31(4), </w:t>
      </w:r>
      <w:proofErr w:type="gramStart"/>
      <w:r w:rsidRPr="00E43FDE">
        <w:rPr>
          <w:sz w:val="16"/>
          <w:szCs w:val="16"/>
        </w:rPr>
        <w:t>18.;</w:t>
      </w:r>
      <w:proofErr w:type="gramEnd"/>
      <w:r w:rsidRPr="00E43FDE">
        <w:rPr>
          <w:sz w:val="16"/>
          <w:szCs w:val="16"/>
        </w:rPr>
        <w:t xml:space="preserve"> King, R., </w:t>
      </w:r>
      <w:proofErr w:type="spellStart"/>
      <w:r w:rsidRPr="00E43FDE">
        <w:rPr>
          <w:sz w:val="16"/>
          <w:szCs w:val="16"/>
        </w:rPr>
        <w:t>Bickman</w:t>
      </w:r>
      <w:proofErr w:type="spellEnd"/>
      <w:r w:rsidRPr="00E43FDE">
        <w:rPr>
          <w:sz w:val="16"/>
          <w:szCs w:val="16"/>
        </w:rPr>
        <w:t xml:space="preserve">, L., </w:t>
      </w:r>
      <w:proofErr w:type="spellStart"/>
      <w:r w:rsidRPr="00E43FDE">
        <w:rPr>
          <w:sz w:val="16"/>
          <w:szCs w:val="16"/>
        </w:rPr>
        <w:t>Shochet</w:t>
      </w:r>
      <w:proofErr w:type="spellEnd"/>
      <w:r w:rsidRPr="00E43FDE">
        <w:rPr>
          <w:sz w:val="16"/>
          <w:szCs w:val="16"/>
        </w:rPr>
        <w:t xml:space="preserve">, </w:t>
      </w:r>
      <w:smartTag w:uri="urn:schemas-microsoft-com:office:smarttags" w:element="place">
        <w:r w:rsidRPr="00E43FDE">
          <w:rPr>
            <w:sz w:val="16"/>
            <w:szCs w:val="16"/>
          </w:rPr>
          <w:t>I.</w:t>
        </w:r>
      </w:smartTag>
      <w:r w:rsidRPr="00E43FDE">
        <w:rPr>
          <w:sz w:val="16"/>
          <w:szCs w:val="16"/>
        </w:rPr>
        <w:t xml:space="preserve">, McDermott, B. &amp; </w:t>
      </w:r>
      <w:proofErr w:type="spellStart"/>
      <w:r w:rsidRPr="00E43FDE">
        <w:rPr>
          <w:sz w:val="16"/>
          <w:szCs w:val="16"/>
        </w:rPr>
        <w:t>Bor</w:t>
      </w:r>
      <w:proofErr w:type="spellEnd"/>
      <w:r w:rsidRPr="00E43FDE">
        <w:rPr>
          <w:sz w:val="16"/>
          <w:szCs w:val="16"/>
        </w:rPr>
        <w:t xml:space="preserve">, B. (2010). </w:t>
      </w:r>
      <w:proofErr w:type="gramStart"/>
      <w:r w:rsidRPr="00E43FDE">
        <w:rPr>
          <w:sz w:val="16"/>
          <w:szCs w:val="16"/>
        </w:rPr>
        <w:t>Use of the internet for provision of better counselling and psychotherapy services to young people, their families and carers.</w:t>
      </w:r>
      <w:proofErr w:type="gramEnd"/>
      <w:r w:rsidRPr="00E43FDE">
        <w:rPr>
          <w:sz w:val="16"/>
          <w:szCs w:val="16"/>
        </w:rPr>
        <w:t xml:space="preserve"> Psychotherapy in </w:t>
      </w:r>
      <w:smartTag w:uri="urn:schemas-microsoft-com:office:smarttags" w:element="place">
        <w:r w:rsidRPr="00E43FDE">
          <w:rPr>
            <w:sz w:val="16"/>
            <w:szCs w:val="16"/>
          </w:rPr>
          <w:t>Australia</w:t>
        </w:r>
      </w:smartTag>
      <w:r w:rsidRPr="00E43FDE">
        <w:rPr>
          <w:sz w:val="16"/>
          <w:szCs w:val="16"/>
        </w:rPr>
        <w:t>, Vol 17(1), 66-67.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21D5C"/>
    <w:multiLevelType w:val="hybridMultilevel"/>
    <w:tmpl w:val="1204A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AC3188"/>
    <w:multiLevelType w:val="hybridMultilevel"/>
    <w:tmpl w:val="C756A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CD30E6"/>
    <w:multiLevelType w:val="hybridMultilevel"/>
    <w:tmpl w:val="5CA6A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26"/>
  </w:num>
  <w:num w:numId="4">
    <w:abstractNumId w:val="8"/>
  </w:num>
  <w:num w:numId="5">
    <w:abstractNumId w:val="6"/>
  </w:num>
  <w:num w:numId="6">
    <w:abstractNumId w:val="29"/>
  </w:num>
  <w:num w:numId="7">
    <w:abstractNumId w:val="27"/>
  </w:num>
  <w:num w:numId="8">
    <w:abstractNumId w:val="11"/>
  </w:num>
  <w:num w:numId="9">
    <w:abstractNumId w:val="0"/>
  </w:num>
  <w:num w:numId="10">
    <w:abstractNumId w:val="7"/>
  </w:num>
  <w:num w:numId="11">
    <w:abstractNumId w:val="5"/>
  </w:num>
  <w:num w:numId="12">
    <w:abstractNumId w:val="2"/>
  </w:num>
  <w:num w:numId="13">
    <w:abstractNumId w:val="25"/>
  </w:num>
  <w:num w:numId="14">
    <w:abstractNumId w:val="15"/>
  </w:num>
  <w:num w:numId="15">
    <w:abstractNumId w:val="21"/>
  </w:num>
  <w:num w:numId="16">
    <w:abstractNumId w:val="12"/>
  </w:num>
  <w:num w:numId="17">
    <w:abstractNumId w:val="14"/>
  </w:num>
  <w:num w:numId="18">
    <w:abstractNumId w:val="18"/>
  </w:num>
  <w:num w:numId="19">
    <w:abstractNumId w:val="28"/>
  </w:num>
  <w:num w:numId="20">
    <w:abstractNumId w:val="22"/>
  </w:num>
  <w:num w:numId="21">
    <w:abstractNumId w:val="16"/>
  </w:num>
  <w:num w:numId="22">
    <w:abstractNumId w:val="23"/>
  </w:num>
  <w:num w:numId="23">
    <w:abstractNumId w:val="13"/>
  </w:num>
  <w:num w:numId="24">
    <w:abstractNumId w:val="9"/>
  </w:num>
  <w:num w:numId="25">
    <w:abstractNumId w:val="17"/>
  </w:num>
  <w:num w:numId="26">
    <w:abstractNumId w:val="20"/>
  </w:num>
  <w:num w:numId="27">
    <w:abstractNumId w:val="19"/>
  </w:num>
  <w:num w:numId="28">
    <w:abstractNumId w:val="1"/>
  </w:num>
  <w:num w:numId="29">
    <w:abstractNumId w:val="1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36B0E"/>
    <w:rsid w:val="00047DF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551B7"/>
    <w:rsid w:val="0029140D"/>
    <w:rsid w:val="00304EC0"/>
    <w:rsid w:val="00315FC6"/>
    <w:rsid w:val="00344D2B"/>
    <w:rsid w:val="0035362A"/>
    <w:rsid w:val="00356F1B"/>
    <w:rsid w:val="00373641"/>
    <w:rsid w:val="00394FD4"/>
    <w:rsid w:val="003B2BB8"/>
    <w:rsid w:val="003B5339"/>
    <w:rsid w:val="003D34FF"/>
    <w:rsid w:val="003E56A6"/>
    <w:rsid w:val="003E5FD4"/>
    <w:rsid w:val="00407F50"/>
    <w:rsid w:val="0041533F"/>
    <w:rsid w:val="00442F2F"/>
    <w:rsid w:val="00443F1C"/>
    <w:rsid w:val="0046471F"/>
    <w:rsid w:val="00494CBC"/>
    <w:rsid w:val="004A148C"/>
    <w:rsid w:val="004B54CA"/>
    <w:rsid w:val="004E5CBF"/>
    <w:rsid w:val="004F6157"/>
    <w:rsid w:val="005057B8"/>
    <w:rsid w:val="00515AF7"/>
    <w:rsid w:val="00551D77"/>
    <w:rsid w:val="00555E3E"/>
    <w:rsid w:val="00585179"/>
    <w:rsid w:val="005935E6"/>
    <w:rsid w:val="00596EEA"/>
    <w:rsid w:val="005B50EE"/>
    <w:rsid w:val="005C3AA9"/>
    <w:rsid w:val="005D3EAB"/>
    <w:rsid w:val="005D4A60"/>
    <w:rsid w:val="00617EBD"/>
    <w:rsid w:val="00625EE2"/>
    <w:rsid w:val="00626096"/>
    <w:rsid w:val="00631B41"/>
    <w:rsid w:val="00634728"/>
    <w:rsid w:val="00635EE5"/>
    <w:rsid w:val="006371EE"/>
    <w:rsid w:val="006770A7"/>
    <w:rsid w:val="00696ED6"/>
    <w:rsid w:val="006A33D6"/>
    <w:rsid w:val="006A4CE7"/>
    <w:rsid w:val="006A51C5"/>
    <w:rsid w:val="006B61A4"/>
    <w:rsid w:val="006B6D0F"/>
    <w:rsid w:val="006C775B"/>
    <w:rsid w:val="006F436A"/>
    <w:rsid w:val="007042BB"/>
    <w:rsid w:val="00707EF3"/>
    <w:rsid w:val="00714720"/>
    <w:rsid w:val="00731565"/>
    <w:rsid w:val="00734082"/>
    <w:rsid w:val="0073584F"/>
    <w:rsid w:val="0075282F"/>
    <w:rsid w:val="00767CF1"/>
    <w:rsid w:val="00770451"/>
    <w:rsid w:val="00770E22"/>
    <w:rsid w:val="00772EFD"/>
    <w:rsid w:val="00785261"/>
    <w:rsid w:val="00791FBE"/>
    <w:rsid w:val="007B0256"/>
    <w:rsid w:val="00824A02"/>
    <w:rsid w:val="00826024"/>
    <w:rsid w:val="00827E31"/>
    <w:rsid w:val="00835484"/>
    <w:rsid w:val="00847FA0"/>
    <w:rsid w:val="00862D93"/>
    <w:rsid w:val="008647F0"/>
    <w:rsid w:val="00891833"/>
    <w:rsid w:val="008A1F9D"/>
    <w:rsid w:val="008C5A75"/>
    <w:rsid w:val="008D7A5A"/>
    <w:rsid w:val="008F770A"/>
    <w:rsid w:val="00915C67"/>
    <w:rsid w:val="009225F0"/>
    <w:rsid w:val="0096286F"/>
    <w:rsid w:val="00977EED"/>
    <w:rsid w:val="009836E4"/>
    <w:rsid w:val="00987FA0"/>
    <w:rsid w:val="009A7546"/>
    <w:rsid w:val="009D2DD2"/>
    <w:rsid w:val="009D5912"/>
    <w:rsid w:val="009E7724"/>
    <w:rsid w:val="00A06548"/>
    <w:rsid w:val="00A17AFA"/>
    <w:rsid w:val="00A32D61"/>
    <w:rsid w:val="00A673D9"/>
    <w:rsid w:val="00A70E1E"/>
    <w:rsid w:val="00A90945"/>
    <w:rsid w:val="00A92138"/>
    <w:rsid w:val="00AA451B"/>
    <w:rsid w:val="00AC0B89"/>
    <w:rsid w:val="00AC0E82"/>
    <w:rsid w:val="00AC21F5"/>
    <w:rsid w:val="00AC7BCF"/>
    <w:rsid w:val="00B01913"/>
    <w:rsid w:val="00B01B10"/>
    <w:rsid w:val="00B06238"/>
    <w:rsid w:val="00B478E2"/>
    <w:rsid w:val="00B51A77"/>
    <w:rsid w:val="00B5345A"/>
    <w:rsid w:val="00B63CF5"/>
    <w:rsid w:val="00B74B28"/>
    <w:rsid w:val="00B81C57"/>
    <w:rsid w:val="00B87E99"/>
    <w:rsid w:val="00B9617A"/>
    <w:rsid w:val="00BA2DB9"/>
    <w:rsid w:val="00BB787E"/>
    <w:rsid w:val="00BC5D99"/>
    <w:rsid w:val="00BE7148"/>
    <w:rsid w:val="00C5042A"/>
    <w:rsid w:val="00C542F9"/>
    <w:rsid w:val="00C5438C"/>
    <w:rsid w:val="00C640EA"/>
    <w:rsid w:val="00C72DEB"/>
    <w:rsid w:val="00C90AA8"/>
    <w:rsid w:val="00CC05DA"/>
    <w:rsid w:val="00CC5C1C"/>
    <w:rsid w:val="00D17402"/>
    <w:rsid w:val="00D21839"/>
    <w:rsid w:val="00D24567"/>
    <w:rsid w:val="00D3285D"/>
    <w:rsid w:val="00D51368"/>
    <w:rsid w:val="00DA301B"/>
    <w:rsid w:val="00DA79DF"/>
    <w:rsid w:val="00DB5908"/>
    <w:rsid w:val="00DC1A8C"/>
    <w:rsid w:val="00DE3E32"/>
    <w:rsid w:val="00DF3B4B"/>
    <w:rsid w:val="00DF4413"/>
    <w:rsid w:val="00E05B7E"/>
    <w:rsid w:val="00E15D00"/>
    <w:rsid w:val="00E30D47"/>
    <w:rsid w:val="00E35FE7"/>
    <w:rsid w:val="00E90279"/>
    <w:rsid w:val="00ED1C85"/>
    <w:rsid w:val="00ED5F3A"/>
    <w:rsid w:val="00F255FE"/>
    <w:rsid w:val="00F47B32"/>
    <w:rsid w:val="00F623DF"/>
    <w:rsid w:val="00F73BA1"/>
    <w:rsid w:val="00F938C3"/>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1B47-E9DE-4C6F-98DD-153DA31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5242</Words>
  <Characters>29884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35056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2014-08-25T22:12:00Z</dcterms:created>
  <dcterms:modified xsi:type="dcterms:W3CDTF">2014-08-25T22:12:00Z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