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1B7B9A" w:rsidRPr="0032564E" w:rsidRDefault="001B7B9A" w:rsidP="001B7B9A">
            <w:pPr>
              <w:rPr>
                <w:rFonts w:cs="Myriad Pro Light"/>
                <w:color w:val="221E1F"/>
                <w:sz w:val="16"/>
              </w:rPr>
            </w:pPr>
            <w:r>
              <w:rPr>
                <w:rFonts w:cs="Myriad Pro Light"/>
                <w:color w:val="221E1F"/>
                <w:sz w:val="16"/>
              </w:rPr>
              <w:lastRenderedPageBreak/>
              <w:t>Th</w:t>
            </w:r>
            <w:r w:rsidRPr="0032564E">
              <w:rPr>
                <w:rFonts w:cs="Myriad Pro Light"/>
                <w:color w:val="221E1F"/>
                <w:sz w:val="16"/>
              </w:rPr>
              <w:t xml:space="preserve">ank you for giving </w:t>
            </w:r>
            <w:proofErr w:type="spellStart"/>
            <w:r w:rsidRPr="0032564E">
              <w:rPr>
                <w:rFonts w:cs="Myriad Pro Light"/>
                <w:color w:val="221E1F"/>
                <w:sz w:val="16"/>
              </w:rPr>
              <w:t>Northcott</w:t>
            </w:r>
            <w:proofErr w:type="spellEnd"/>
            <w:r w:rsidRPr="0032564E">
              <w:rPr>
                <w:rFonts w:cs="Myriad Pro Light"/>
                <w:color w:val="221E1F"/>
                <w:sz w:val="16"/>
              </w:rPr>
              <w:t xml:space="preserve"> the opportunity to contribute to the current Welfare Review. All of our answers contained within this document are based on our 85-year experience as a disability service provider operating across NSW and the ACT. </w:t>
            </w:r>
          </w:p>
          <w:p w:rsidR="001B7B9A" w:rsidRPr="0032564E" w:rsidRDefault="001B7B9A" w:rsidP="001B7B9A">
            <w:pPr>
              <w:pStyle w:val="ListParagraph"/>
              <w:spacing w:after="200" w:line="276" w:lineRule="auto"/>
              <w:rPr>
                <w:rFonts w:cs="Myriad Pro Light"/>
                <w:color w:val="221E1F"/>
                <w:sz w:val="16"/>
              </w:rPr>
            </w:pPr>
            <w:r w:rsidRPr="0032564E">
              <w:rPr>
                <w:rFonts w:cs="Myriad Pro Light"/>
                <w:color w:val="221E1F"/>
                <w:sz w:val="16"/>
              </w:rPr>
              <w:t>We work with people with disability, their families and carers across the lifespan.</w:t>
            </w:r>
          </w:p>
          <w:p w:rsidR="001B7B9A" w:rsidRPr="0032564E" w:rsidRDefault="001B7B9A" w:rsidP="001B7B9A">
            <w:pPr>
              <w:pStyle w:val="ListParagraph"/>
              <w:spacing w:after="200" w:line="276" w:lineRule="auto"/>
              <w:rPr>
                <w:rFonts w:cs="Myriad Pro Light"/>
                <w:color w:val="221E1F"/>
                <w:sz w:val="16"/>
              </w:rPr>
            </w:pPr>
            <w:r w:rsidRPr="0032564E">
              <w:rPr>
                <w:rFonts w:cs="Myriad Pro Light"/>
                <w:color w:val="221E1F"/>
                <w:sz w:val="16"/>
              </w:rPr>
              <w:t xml:space="preserve">We work with people with all disability types. </w:t>
            </w:r>
          </w:p>
          <w:p w:rsidR="001B7B9A" w:rsidRPr="0032564E" w:rsidRDefault="001B7B9A" w:rsidP="001B7B9A">
            <w:pPr>
              <w:pStyle w:val="ListParagraph"/>
              <w:spacing w:after="200" w:line="276" w:lineRule="auto"/>
              <w:rPr>
                <w:rFonts w:cs="Myriad Pro Light"/>
                <w:color w:val="221E1F"/>
                <w:sz w:val="16"/>
              </w:rPr>
            </w:pPr>
            <w:r w:rsidRPr="0032564E">
              <w:rPr>
                <w:rFonts w:cs="Myriad Pro Light"/>
                <w:color w:val="221E1F"/>
                <w:sz w:val="16"/>
              </w:rPr>
              <w:t>Our services include accommodation, vocational &amp; life skills, respite &amp; recreation, individual &amp; family support, community development, equipment &amp; technology and therapy.</w:t>
            </w:r>
          </w:p>
          <w:p w:rsidR="001B7B9A" w:rsidRDefault="001B7B9A" w:rsidP="001B7B9A">
            <w:pPr>
              <w:pStyle w:val="ListParagraph"/>
              <w:spacing w:after="200" w:line="276" w:lineRule="auto"/>
              <w:rPr>
                <w:rFonts w:cs="Myriad Pro Light"/>
                <w:color w:val="221E1F"/>
                <w:sz w:val="16"/>
              </w:rPr>
            </w:pPr>
            <w:r w:rsidRPr="0032564E">
              <w:rPr>
                <w:rFonts w:cs="Myriad Pro Light"/>
                <w:color w:val="221E1F"/>
                <w:sz w:val="16"/>
              </w:rPr>
              <w:t>Currently, we support over 13,000 people.</w:t>
            </w:r>
          </w:p>
          <w:p w:rsidR="003F4472" w:rsidRPr="0032564E" w:rsidRDefault="003F4472" w:rsidP="001B7B9A">
            <w:pPr>
              <w:pStyle w:val="ListParagraph"/>
              <w:spacing w:after="200" w:line="276" w:lineRule="auto"/>
              <w:rPr>
                <w:rFonts w:cs="Myriad Pro Light"/>
                <w:color w:val="221E1F"/>
                <w:sz w:val="16"/>
              </w:rPr>
            </w:pPr>
            <w:r>
              <w:rPr>
                <w:rFonts w:cs="Myriad Pro Light"/>
                <w:color w:val="221E1F"/>
                <w:sz w:val="16"/>
              </w:rPr>
              <w:t>Our work focuses on supporting people with disability to participate as fully in their communities as possible, particularly through education and employment.</w:t>
            </w:r>
          </w:p>
          <w:p w:rsidR="001B7B9A" w:rsidRPr="001B7B9A" w:rsidRDefault="001B7B9A" w:rsidP="001B7B9A">
            <w:pPr>
              <w:pStyle w:val="Pa8"/>
              <w:spacing w:after="100"/>
              <w:rPr>
                <w:rFonts w:asciiTheme="minorHAnsi" w:hAnsiTheme="minorHAnsi" w:cstheme="minorHAnsi"/>
                <w:b/>
                <w:color w:val="000000"/>
                <w:sz w:val="16"/>
                <w:szCs w:val="22"/>
              </w:rPr>
            </w:pPr>
            <w:r w:rsidRPr="001B7B9A">
              <w:rPr>
                <w:rFonts w:asciiTheme="minorHAnsi" w:hAnsiTheme="minorHAnsi" w:cstheme="minorHAnsi"/>
                <w:b/>
                <w:color w:val="000000"/>
                <w:sz w:val="16"/>
                <w:szCs w:val="22"/>
              </w:rPr>
              <w:t xml:space="preserve">What is the preferred architecture of the payment system? </w:t>
            </w:r>
          </w:p>
          <w:p w:rsidR="001B7B9A" w:rsidRPr="0032564E" w:rsidRDefault="001B7B9A" w:rsidP="001B7B9A">
            <w:pPr>
              <w:pStyle w:val="Default"/>
              <w:rPr>
                <w:rFonts w:asciiTheme="minorHAnsi" w:hAnsiTheme="minorHAnsi" w:cs="Myriad Pro Light"/>
                <w:color w:val="221E1F"/>
                <w:sz w:val="16"/>
                <w:szCs w:val="22"/>
              </w:rPr>
            </w:pPr>
            <w:proofErr w:type="spellStart"/>
            <w:r w:rsidRPr="0032564E">
              <w:rPr>
                <w:rFonts w:asciiTheme="minorHAnsi" w:hAnsiTheme="minorHAnsi" w:cs="Myriad Pro Light"/>
                <w:color w:val="221E1F"/>
                <w:sz w:val="16"/>
                <w:szCs w:val="22"/>
              </w:rPr>
              <w:t>Northcott</w:t>
            </w:r>
            <w:proofErr w:type="spellEnd"/>
            <w:r w:rsidRPr="0032564E">
              <w:rPr>
                <w:rFonts w:asciiTheme="minorHAnsi" w:hAnsiTheme="minorHAnsi" w:cs="Myriad Pro Light"/>
                <w:color w:val="221E1F"/>
                <w:sz w:val="16"/>
                <w:szCs w:val="22"/>
              </w:rPr>
              <w:t xml:space="preserve"> supports an approach to social support which is:</w:t>
            </w:r>
          </w:p>
          <w:p w:rsidR="001B7B9A" w:rsidRPr="0032564E" w:rsidRDefault="001B7B9A" w:rsidP="001B7B9A">
            <w:pPr>
              <w:pStyle w:val="ListParagraph"/>
              <w:spacing w:after="200" w:line="276" w:lineRule="auto"/>
              <w:rPr>
                <w:rFonts w:cs="Myriad Pro Light"/>
                <w:color w:val="221E1F"/>
                <w:sz w:val="16"/>
              </w:rPr>
            </w:pPr>
            <w:r w:rsidRPr="0032564E">
              <w:rPr>
                <w:rFonts w:cs="Myriad Pro Light"/>
                <w:color w:val="221E1F"/>
                <w:sz w:val="16"/>
              </w:rPr>
              <w:t xml:space="preserve">individualised to a person’s circumstance, recognising that not all people within a given cohort experience challenges or barriers to the same extent or in the same way; </w:t>
            </w:r>
          </w:p>
          <w:p w:rsidR="001B7B9A" w:rsidRPr="0032564E" w:rsidRDefault="001B7B9A" w:rsidP="001B7B9A">
            <w:pPr>
              <w:pStyle w:val="ListParagraph"/>
              <w:spacing w:after="200" w:line="276" w:lineRule="auto"/>
              <w:rPr>
                <w:rFonts w:cs="Myriad Pro Light"/>
                <w:color w:val="221E1F"/>
                <w:sz w:val="16"/>
              </w:rPr>
            </w:pPr>
            <w:r w:rsidRPr="0032564E">
              <w:rPr>
                <w:rFonts w:cs="Myriad Pro Light"/>
                <w:color w:val="221E1F"/>
                <w:sz w:val="16"/>
              </w:rPr>
              <w:t>flexible in its delivery so that supports are provided in the way that best meets the individual’s needs and choices;</w:t>
            </w:r>
          </w:p>
          <w:p w:rsidR="001B7B9A" w:rsidRPr="0032564E" w:rsidRDefault="001B7B9A" w:rsidP="001B7B9A">
            <w:pPr>
              <w:pStyle w:val="ListParagraph"/>
              <w:spacing w:after="200" w:line="276" w:lineRule="auto"/>
              <w:rPr>
                <w:rFonts w:cs="Myriad Pro Light"/>
                <w:color w:val="221E1F"/>
                <w:sz w:val="16"/>
              </w:rPr>
            </w:pPr>
            <w:proofErr w:type="gramStart"/>
            <w:r w:rsidRPr="0032564E">
              <w:rPr>
                <w:rFonts w:cs="Myriad Pro Light"/>
                <w:color w:val="221E1F"/>
                <w:sz w:val="16"/>
              </w:rPr>
              <w:t>responsive</w:t>
            </w:r>
            <w:proofErr w:type="gramEnd"/>
            <w:r w:rsidRPr="0032564E">
              <w:rPr>
                <w:rFonts w:cs="Myriad Pro Light"/>
                <w:color w:val="221E1F"/>
                <w:sz w:val="16"/>
              </w:rPr>
              <w:t xml:space="preserve"> to a person’s changing needs.</w:t>
            </w:r>
          </w:p>
          <w:p w:rsidR="001B7B9A" w:rsidRDefault="001B7B9A" w:rsidP="001B7B9A">
            <w:pPr>
              <w:rPr>
                <w:rFonts w:cs="Myriad Pro Light"/>
                <w:color w:val="221E1F"/>
                <w:sz w:val="16"/>
              </w:rPr>
            </w:pPr>
            <w:r w:rsidRPr="0032564E">
              <w:rPr>
                <w:rFonts w:cs="Myriad Pro Light"/>
                <w:color w:val="221E1F"/>
                <w:sz w:val="16"/>
              </w:rPr>
              <w:t xml:space="preserve">A simplified system of payments and pensions with a well-developed supplement system could deliver fair and equitable payments to people which meet their needs and reflect their specific circumstances. To do this, we propose a supplement system where supplement items are scaled rather than one-size-fits-all. In this way, a person who needs financial support specific to their education may receive a supplement that reflects their individual costs (be those costs associated with fees, books, tools or other materials). Similarly, a person with disability who has full, partial or no capacity for work may still receive a supplement which accurately reflects their personal costs associated with their disability, whether these costs are associated with personal care, aids and equipment, living skill development or other areas of life specific to a person’s disability. </w:t>
            </w:r>
          </w:p>
          <w:p w:rsidR="001B7B9A" w:rsidRPr="0032564E" w:rsidRDefault="001B7B9A" w:rsidP="001B7B9A">
            <w:pPr>
              <w:rPr>
                <w:rFonts w:cs="Myriad Pro Light"/>
                <w:color w:val="221E1F"/>
                <w:sz w:val="16"/>
              </w:rPr>
            </w:pPr>
          </w:p>
          <w:p w:rsidR="001B7B9A" w:rsidRDefault="001B7B9A" w:rsidP="001B7B9A">
            <w:pPr>
              <w:rPr>
                <w:rFonts w:cs="Myriad Pro Light"/>
                <w:color w:val="221E1F"/>
                <w:sz w:val="16"/>
              </w:rPr>
            </w:pPr>
            <w:r w:rsidRPr="0032564E">
              <w:rPr>
                <w:rFonts w:cs="Myriad Pro Light"/>
                <w:color w:val="221E1F"/>
                <w:sz w:val="16"/>
              </w:rPr>
              <w:t>Supplements to support a person in their caring role, to support a person to gain qualifications or to support a person to seek and retain employment should each be treated separately to avoid duplication across supplement types (e.g. ensuring funds for the same item aren’t covered by multiple supplements), though a person’s eligibility for each supplement should be assessed holistically. This will ensure that the correct ‘package’ or ‘bundle’ of funds is available for each person receiving income support to meet their specific needs and goals.</w:t>
            </w:r>
          </w:p>
          <w:p w:rsidR="001B7B9A" w:rsidRPr="0032564E" w:rsidRDefault="001B7B9A" w:rsidP="001B7B9A">
            <w:pPr>
              <w:rPr>
                <w:rFonts w:cs="Myriad Pro Light"/>
                <w:color w:val="221E1F"/>
                <w:sz w:val="16"/>
              </w:rPr>
            </w:pPr>
          </w:p>
          <w:p w:rsidR="001B7B9A" w:rsidRDefault="001B7B9A" w:rsidP="001B7B9A">
            <w:pPr>
              <w:rPr>
                <w:rFonts w:cs="Myriad Pro Light"/>
                <w:color w:val="221E1F"/>
                <w:sz w:val="16"/>
              </w:rPr>
            </w:pPr>
            <w:proofErr w:type="spellStart"/>
            <w:r w:rsidRPr="0032564E">
              <w:rPr>
                <w:rFonts w:cs="Myriad Pro Light"/>
                <w:color w:val="221E1F"/>
                <w:sz w:val="16"/>
              </w:rPr>
              <w:t>Northcott</w:t>
            </w:r>
            <w:proofErr w:type="spellEnd"/>
            <w:r w:rsidRPr="0032564E">
              <w:rPr>
                <w:rFonts w:cs="Myriad Pro Light"/>
                <w:color w:val="221E1F"/>
                <w:sz w:val="16"/>
              </w:rPr>
              <w:t xml:space="preserve"> would caution against development of a supplement system where supplements are too narrowly defined in their eligibility/applicability. Our experience shows us that tightly defined criteria can lead to exclusions where support is in fact appropriate. Such a situation causes people to ‘fall through the gaps’ between supports – we often see this occur for people with disability whose conditions are not deemed severe enough for one support but too severe for another. People experiencing dual diagnosis are another such cohort.</w:t>
            </w:r>
          </w:p>
          <w:p w:rsidR="001B7B9A" w:rsidRPr="0032564E" w:rsidRDefault="001B7B9A" w:rsidP="001B7B9A">
            <w:pPr>
              <w:rPr>
                <w:rFonts w:cs="Myriad Pro Light"/>
                <w:color w:val="221E1F"/>
                <w:sz w:val="16"/>
              </w:rPr>
            </w:pPr>
          </w:p>
          <w:p w:rsidR="001B7B9A" w:rsidRDefault="001B7B9A" w:rsidP="001B7B9A">
            <w:pPr>
              <w:rPr>
                <w:rFonts w:cs="Myriad Pro Light"/>
                <w:color w:val="221E1F"/>
                <w:sz w:val="16"/>
              </w:rPr>
            </w:pPr>
            <w:r w:rsidRPr="0032564E">
              <w:rPr>
                <w:rFonts w:cs="Myriad Pro Light"/>
                <w:color w:val="221E1F"/>
                <w:sz w:val="16"/>
              </w:rPr>
              <w:t xml:space="preserve">It is also critical that the supplement system is developed with reference to the supports already available, and that a full and accurate picture of these supports informs its development. In particular, </w:t>
            </w:r>
            <w:proofErr w:type="spellStart"/>
            <w:r w:rsidRPr="0032564E">
              <w:rPr>
                <w:rFonts w:cs="Myriad Pro Light"/>
                <w:color w:val="221E1F"/>
                <w:sz w:val="16"/>
              </w:rPr>
              <w:t>Northcott</w:t>
            </w:r>
            <w:proofErr w:type="spellEnd"/>
            <w:r w:rsidRPr="0032564E">
              <w:rPr>
                <w:rFonts w:cs="Myriad Pro Light"/>
                <w:color w:val="221E1F"/>
                <w:sz w:val="16"/>
              </w:rPr>
              <w:t xml:space="preserve"> is keen to ensure that the National Disability Insurance Scheme is not seen as a panacea which will meet all support needs of all people with disability. At full roll-out in 2019-20, the Scheme will support 410,000 people with disability. This is a significantly greater number than currently receive disability support through the various state and federal programs, but it is still not everyone. </w:t>
            </w:r>
          </w:p>
          <w:p w:rsidR="001B7B9A" w:rsidRPr="0032564E" w:rsidRDefault="001B7B9A" w:rsidP="001B7B9A">
            <w:pPr>
              <w:rPr>
                <w:rFonts w:cs="Myriad Pro Light"/>
                <w:color w:val="221E1F"/>
                <w:sz w:val="16"/>
              </w:rPr>
            </w:pPr>
          </w:p>
          <w:p w:rsidR="001B7B9A" w:rsidRDefault="001B7B9A" w:rsidP="001B7B9A">
            <w:pPr>
              <w:rPr>
                <w:rFonts w:cs="Myriad Pro Light"/>
                <w:color w:val="221E1F"/>
                <w:sz w:val="16"/>
              </w:rPr>
            </w:pPr>
            <w:r w:rsidRPr="0032564E">
              <w:rPr>
                <w:rFonts w:cs="Myriad Pro Light"/>
                <w:color w:val="221E1F"/>
                <w:sz w:val="16"/>
              </w:rPr>
              <w:t>People who do not meet the eligibility requirements for the NDIS may include people who do not meet the functional requirements – that is to say, people whose conditions are not severe enough to merit an individual support package through the NDIS. It would be simplistic and wrong to suggest that people with disability whose functional capacity is greater than NDIS eligibility allows would therefore need no additional support through the universal social services system. Indeed, many of the people we currently support through our prevocational programs would struggle to attain employment without this targeted support. The new social support system must ensure that people are provided with the income and other supports needed to ensure that they live full and participatory lives, not assume that adjacent portfolios will cover requirements for all people within a given cohort.</w:t>
            </w:r>
          </w:p>
          <w:p w:rsidR="001B7B9A" w:rsidRPr="0032564E" w:rsidRDefault="001B7B9A" w:rsidP="001B7B9A">
            <w:pPr>
              <w:rPr>
                <w:rFonts w:cs="Myriad Pro Light"/>
                <w:color w:val="221E1F"/>
                <w:sz w:val="16"/>
              </w:rPr>
            </w:pPr>
          </w:p>
          <w:p w:rsidR="001B7B9A" w:rsidRDefault="001B7B9A" w:rsidP="001B7B9A">
            <w:pPr>
              <w:rPr>
                <w:rFonts w:cs="Myriad Pro Light"/>
                <w:color w:val="221E1F"/>
                <w:sz w:val="16"/>
              </w:rPr>
            </w:pPr>
            <w:r w:rsidRPr="0032564E">
              <w:rPr>
                <w:rFonts w:cs="Myriad Pro Light"/>
                <w:color w:val="221E1F"/>
                <w:sz w:val="16"/>
              </w:rPr>
              <w:t>Further, it is important that the Reference Group understand that a key design feature of the NDIS is the fact that this Scheme only funds necessary and reasonable disability supports which are not the responsibility of another section of government or the community. As such, it can’t be expected that a person’s educational or health costs will be picked up by the Scheme, for example, if they have an individual package. Such costs will continue to need to be met elsewhere in the system, and there will be a role for income support here.</w:t>
            </w:r>
          </w:p>
          <w:p w:rsidR="001B7B9A" w:rsidRPr="0032564E" w:rsidRDefault="001B7B9A" w:rsidP="001B7B9A">
            <w:pPr>
              <w:rPr>
                <w:rFonts w:cs="Myriad Pro Light"/>
                <w:color w:val="221E1F"/>
                <w:sz w:val="16"/>
              </w:rPr>
            </w:pPr>
          </w:p>
          <w:p w:rsidR="001B7B9A" w:rsidRPr="001B7B9A" w:rsidRDefault="001B7B9A" w:rsidP="001B7B9A">
            <w:pPr>
              <w:pStyle w:val="Pa8"/>
              <w:spacing w:after="100"/>
              <w:rPr>
                <w:rFonts w:asciiTheme="minorHAnsi" w:hAnsiTheme="minorHAnsi" w:cstheme="minorHAnsi"/>
                <w:b/>
                <w:color w:val="000000"/>
                <w:sz w:val="16"/>
                <w:szCs w:val="22"/>
              </w:rPr>
            </w:pPr>
            <w:r w:rsidRPr="001B7B9A">
              <w:rPr>
                <w:rFonts w:asciiTheme="minorHAnsi" w:hAnsiTheme="minorHAnsi" w:cstheme="minorHAnsi"/>
                <w:b/>
                <w:color w:val="000000"/>
                <w:sz w:val="16"/>
                <w:szCs w:val="22"/>
              </w:rPr>
              <w:t>Should people with a permanent impairment and no capacity to work receive a separate payment from other working age recipients?</w:t>
            </w:r>
          </w:p>
          <w:p w:rsidR="001B7B9A" w:rsidRDefault="001B7B9A" w:rsidP="001B7B9A">
            <w:pPr>
              <w:pStyle w:val="Default"/>
              <w:rPr>
                <w:rFonts w:asciiTheme="minorHAnsi" w:hAnsiTheme="minorHAnsi" w:cs="Myriad Pro Light"/>
                <w:color w:val="221E1F"/>
                <w:sz w:val="16"/>
                <w:szCs w:val="22"/>
              </w:rPr>
            </w:pPr>
            <w:r w:rsidRPr="0032564E">
              <w:rPr>
                <w:rFonts w:asciiTheme="minorHAnsi" w:hAnsiTheme="minorHAnsi" w:cs="Myriad Pro Light"/>
                <w:color w:val="221E1F"/>
                <w:sz w:val="16"/>
                <w:szCs w:val="22"/>
              </w:rPr>
              <w:t>All people should receive rates of payment which support them to achieve active, healthy lives involved in their community. Rather than consider that a person with work capacity should receive less than a person with no capacity, the minimum payment must be high enough to afford job seekers and people with partial capacity to work a reasonable qua</w:t>
            </w:r>
            <w:r>
              <w:rPr>
                <w:rFonts w:asciiTheme="minorHAnsi" w:hAnsiTheme="minorHAnsi" w:cs="Myriad Pro Light"/>
                <w:color w:val="221E1F"/>
                <w:sz w:val="16"/>
                <w:szCs w:val="22"/>
              </w:rPr>
              <w:t xml:space="preserve">lity of life. </w:t>
            </w:r>
            <w:r w:rsidRPr="0032564E">
              <w:rPr>
                <w:rFonts w:asciiTheme="minorHAnsi" w:hAnsiTheme="minorHAnsi" w:cs="Myriad Pro Light"/>
                <w:color w:val="221E1F"/>
                <w:sz w:val="16"/>
                <w:szCs w:val="22"/>
              </w:rPr>
              <w:t>It would then be appropriate for people who will always have no capacity to work to receive a higher amount than this, recognising that over their lifetime their earning capacity will remain static</w:t>
            </w:r>
            <w:r>
              <w:rPr>
                <w:rFonts w:asciiTheme="minorHAnsi" w:hAnsiTheme="minorHAnsi" w:cs="Myriad Pro Light"/>
                <w:color w:val="221E1F"/>
                <w:sz w:val="16"/>
                <w:szCs w:val="22"/>
              </w:rPr>
              <w:t xml:space="preserve"> (though adjusted for inflation and community norms)</w:t>
            </w:r>
            <w:r w:rsidRPr="0032564E">
              <w:rPr>
                <w:rFonts w:asciiTheme="minorHAnsi" w:hAnsiTheme="minorHAnsi" w:cs="Myriad Pro Light"/>
                <w:color w:val="221E1F"/>
                <w:sz w:val="16"/>
                <w:szCs w:val="22"/>
              </w:rPr>
              <w:t>.</w:t>
            </w:r>
            <w:r>
              <w:rPr>
                <w:rFonts w:asciiTheme="minorHAnsi" w:hAnsiTheme="minorHAnsi" w:cs="Myriad Pro Light"/>
                <w:color w:val="221E1F"/>
                <w:sz w:val="16"/>
                <w:szCs w:val="22"/>
              </w:rPr>
              <w:t xml:space="preserve"> This will allow people with no capacity to work the ability to make some savings over their life and enjoy a sense of financial security as well as being able to make modest lifestyle and purchasing choices within community living standards.</w:t>
            </w:r>
          </w:p>
          <w:p w:rsidR="001B7B9A" w:rsidRDefault="001B7B9A" w:rsidP="001B7B9A">
            <w:pPr>
              <w:pStyle w:val="Default"/>
              <w:rPr>
                <w:rFonts w:asciiTheme="minorHAnsi" w:hAnsiTheme="minorHAnsi" w:cs="Myriad Pro Light"/>
                <w:color w:val="221E1F"/>
                <w:sz w:val="16"/>
                <w:szCs w:val="22"/>
              </w:rPr>
            </w:pPr>
          </w:p>
          <w:p w:rsidR="001B7B9A" w:rsidRDefault="001B7B9A" w:rsidP="001B7B9A">
            <w:pPr>
              <w:pStyle w:val="Default"/>
              <w:rPr>
                <w:rFonts w:asciiTheme="minorHAnsi" w:hAnsiTheme="minorHAnsi" w:cs="Myriad Pro Light"/>
                <w:b/>
                <w:color w:val="221E1F"/>
                <w:sz w:val="16"/>
                <w:szCs w:val="22"/>
              </w:rPr>
            </w:pPr>
            <w:r>
              <w:rPr>
                <w:rFonts w:asciiTheme="minorHAnsi" w:hAnsiTheme="minorHAnsi" w:cs="Myriad Pro Light"/>
                <w:b/>
                <w:color w:val="221E1F"/>
                <w:sz w:val="16"/>
                <w:szCs w:val="22"/>
              </w:rPr>
              <w:t>Other comments</w:t>
            </w:r>
          </w:p>
          <w:p w:rsidR="001B7B9A" w:rsidRDefault="001B7B9A" w:rsidP="001B7B9A">
            <w:pPr>
              <w:pStyle w:val="Default"/>
              <w:rPr>
                <w:rFonts w:asciiTheme="minorHAnsi" w:hAnsiTheme="minorHAnsi" w:cs="Myriad Pro Light"/>
                <w:b/>
                <w:color w:val="221E1F"/>
                <w:sz w:val="16"/>
                <w:szCs w:val="22"/>
              </w:rPr>
            </w:pPr>
          </w:p>
          <w:p w:rsidR="001B7B9A" w:rsidRDefault="001B7B9A" w:rsidP="001B7B9A">
            <w:pPr>
              <w:pStyle w:val="Default"/>
              <w:rPr>
                <w:rFonts w:asciiTheme="minorHAnsi" w:hAnsiTheme="minorHAnsi" w:cs="Myriad Pro Light"/>
                <w:color w:val="221E1F"/>
                <w:sz w:val="16"/>
                <w:szCs w:val="22"/>
              </w:rPr>
            </w:pPr>
            <w:r w:rsidRPr="001B7B9A">
              <w:rPr>
                <w:rFonts w:asciiTheme="minorHAnsi" w:hAnsiTheme="minorHAnsi" w:cs="Myriad Pro Light"/>
                <w:color w:val="221E1F"/>
                <w:sz w:val="16"/>
                <w:szCs w:val="22"/>
              </w:rPr>
              <w:t>We</w:t>
            </w:r>
            <w:r>
              <w:rPr>
                <w:rFonts w:asciiTheme="minorHAnsi" w:hAnsiTheme="minorHAnsi" w:cs="Myriad Pro Light"/>
                <w:color w:val="221E1F"/>
                <w:sz w:val="16"/>
                <w:szCs w:val="22"/>
              </w:rPr>
              <w:t xml:space="preserve"> make the following comments in response to two items noted in this section of the report.</w:t>
            </w:r>
          </w:p>
          <w:p w:rsidR="001B7B9A" w:rsidRDefault="001B7B9A" w:rsidP="001B7B9A">
            <w:pPr>
              <w:pStyle w:val="Default"/>
              <w:rPr>
                <w:rFonts w:asciiTheme="minorHAnsi" w:hAnsiTheme="minorHAnsi" w:cs="Myriad Pro Light"/>
                <w:color w:val="221E1F"/>
                <w:sz w:val="16"/>
                <w:szCs w:val="22"/>
              </w:rPr>
            </w:pPr>
          </w:p>
          <w:p w:rsidR="009A0449" w:rsidRDefault="001B7B9A" w:rsidP="001B7B9A">
            <w:pPr>
              <w:pStyle w:val="Default"/>
              <w:rPr>
                <w:rFonts w:asciiTheme="minorHAnsi" w:hAnsiTheme="minorHAnsi" w:cs="Myriad Pro Light"/>
                <w:color w:val="221E1F"/>
                <w:sz w:val="16"/>
                <w:szCs w:val="22"/>
              </w:rPr>
            </w:pPr>
            <w:r>
              <w:rPr>
                <w:rFonts w:asciiTheme="minorHAnsi" w:hAnsiTheme="minorHAnsi" w:cs="Myriad Pro Light"/>
                <w:color w:val="221E1F"/>
                <w:sz w:val="16"/>
                <w:szCs w:val="22"/>
              </w:rPr>
              <w:t>The report states that ‘to align Disability Support Pension with contemporary disability policy the pa</w:t>
            </w:r>
            <w:r w:rsidR="009A0449">
              <w:rPr>
                <w:rFonts w:asciiTheme="minorHAnsi" w:hAnsiTheme="minorHAnsi" w:cs="Myriad Pro Light"/>
                <w:color w:val="221E1F"/>
                <w:sz w:val="16"/>
                <w:szCs w:val="22"/>
              </w:rPr>
              <w:t>yment needs to better differentiate between perma</w:t>
            </w:r>
            <w:r>
              <w:rPr>
                <w:rFonts w:asciiTheme="minorHAnsi" w:hAnsiTheme="minorHAnsi" w:cs="Myriad Pro Light"/>
                <w:color w:val="221E1F"/>
                <w:sz w:val="16"/>
                <w:szCs w:val="22"/>
              </w:rPr>
              <w:t>nent and temporary incapacity</w:t>
            </w:r>
            <w:r w:rsidR="00032ACD">
              <w:rPr>
                <w:rFonts w:asciiTheme="minorHAnsi" w:hAnsiTheme="minorHAnsi" w:cs="Myriad Pro Light"/>
                <w:color w:val="221E1F"/>
                <w:sz w:val="16"/>
                <w:szCs w:val="22"/>
              </w:rPr>
              <w:t>’</w:t>
            </w:r>
            <w:r>
              <w:rPr>
                <w:rFonts w:asciiTheme="minorHAnsi" w:hAnsiTheme="minorHAnsi" w:cs="Myriad Pro Light"/>
                <w:color w:val="221E1F"/>
                <w:sz w:val="16"/>
                <w:szCs w:val="22"/>
              </w:rPr>
              <w:t xml:space="preserve">. </w:t>
            </w:r>
            <w:r w:rsidR="009A0449">
              <w:rPr>
                <w:rFonts w:asciiTheme="minorHAnsi" w:hAnsiTheme="minorHAnsi" w:cs="Myriad Pro Light"/>
                <w:color w:val="221E1F"/>
                <w:sz w:val="16"/>
                <w:szCs w:val="22"/>
              </w:rPr>
              <w:t xml:space="preserve">This is a curious assertion, when the focus of contemporary disability policy is firmly on individualised supports which focus on the circumstances and goals of each person rather than on their diagnosis. Better alignment with contemporary disability policy would see a system where people are supported to live their lives the way they choose through the provision of supports which are responsive to changing circumstances. </w:t>
            </w:r>
          </w:p>
          <w:p w:rsidR="009A0449" w:rsidRDefault="009A0449" w:rsidP="001B7B9A">
            <w:pPr>
              <w:pStyle w:val="Default"/>
              <w:rPr>
                <w:rFonts w:asciiTheme="minorHAnsi" w:hAnsiTheme="minorHAnsi" w:cs="Myriad Pro Light"/>
                <w:color w:val="221E1F"/>
                <w:sz w:val="16"/>
                <w:szCs w:val="22"/>
              </w:rPr>
            </w:pPr>
          </w:p>
          <w:p w:rsidR="00B97B2A" w:rsidRPr="00525712" w:rsidRDefault="009A0449" w:rsidP="003F4472">
            <w:pPr>
              <w:pStyle w:val="Default"/>
              <w:rPr>
                <w:b/>
                <w:iCs/>
                <w:smallCaps/>
              </w:rPr>
            </w:pPr>
            <w:r>
              <w:rPr>
                <w:rFonts w:asciiTheme="minorHAnsi" w:hAnsiTheme="minorHAnsi" w:cs="Myriad Pro Light"/>
                <w:color w:val="221E1F"/>
                <w:sz w:val="16"/>
                <w:szCs w:val="22"/>
              </w:rPr>
              <w:t xml:space="preserve">The report also states that ‘providing support to people with an incapacity which recognises the possibility of future participation could foster greater confidence  and skills acquisition and contribute to breaking down stereotypes of what people with disabilities can achieve’. We agree, though it must be noted that the process of skilling people for work does not break down barriers to employment in and of itself. Other concerted efforts will also be required, including significant employer engagement. This is discussed later in our submission. </w:t>
            </w:r>
            <w:r w:rsidR="001B7B9A">
              <w:rPr>
                <w:rFonts w:ascii="Myriad Pro Light" w:hAnsi="Myriad Pro Light" w:cstheme="minorBidi"/>
                <w:b/>
                <w:iCs/>
                <w:smallCaps/>
                <w:color w:val="auto"/>
              </w:rPr>
              <w:t xml:space="preserve"> </w:t>
            </w:r>
            <w:r w:rsidR="001B7B9A" w:rsidRPr="001B7B9A">
              <w:rPr>
                <w:rFonts w:ascii="Myriad Pro Light" w:hAnsi="Myriad Pro Light" w:cstheme="minorBidi"/>
                <w:b/>
                <w:iCs/>
                <w:smallCaps/>
                <w:color w:val="auto"/>
              </w:rPr>
              <w:t xml:space="preserve"> </w:t>
            </w:r>
          </w:p>
        </w:tc>
      </w:tr>
    </w:tbl>
    <w:p w:rsidR="008C5A75" w:rsidRPr="008C5A75" w:rsidRDefault="008C5A75" w:rsidP="008C5A75"/>
    <w:p w:rsidR="001C2BE7" w:rsidRDefault="001C2BE7" w:rsidP="008C5A75">
      <w:pPr>
        <w:pStyle w:val="Heading3"/>
        <w:rPr>
          <w:iCs/>
          <w:smallCaps/>
        </w:rPr>
      </w:pPr>
      <w:r w:rsidRPr="00352EFF">
        <w:lastRenderedPageBreak/>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DF3317" w:rsidRPr="00DF3317" w:rsidRDefault="00F9681D" w:rsidP="008418EF">
            <w:pPr>
              <w:rPr>
                <w:rFonts w:cs="Myriad Pro Light"/>
                <w:color w:val="221E1F"/>
                <w:sz w:val="16"/>
              </w:rPr>
            </w:pPr>
            <w:proofErr w:type="spellStart"/>
            <w:r w:rsidRPr="00DF3317">
              <w:rPr>
                <w:rFonts w:cs="Myriad Pro Light"/>
                <w:color w:val="221E1F"/>
                <w:sz w:val="16"/>
              </w:rPr>
              <w:t>Northcott</w:t>
            </w:r>
            <w:proofErr w:type="spellEnd"/>
            <w:r w:rsidRPr="00DF3317">
              <w:rPr>
                <w:rFonts w:cs="Myriad Pro Light"/>
                <w:color w:val="221E1F"/>
                <w:sz w:val="16"/>
              </w:rPr>
              <w:t xml:space="preserve"> is an experienced provider of a range of early childhood and school-age services to children with disability and their families. A critical feature of positive early development for children, with and without disability, is access to rich learning environments where social, emotional, cognitive</w:t>
            </w:r>
            <w:r w:rsidR="00DF3317" w:rsidRPr="00DF3317">
              <w:rPr>
                <w:rFonts w:cs="Myriad Pro Light"/>
                <w:color w:val="221E1F"/>
                <w:sz w:val="16"/>
              </w:rPr>
              <w:t xml:space="preserve"> and physical development can be fostered. This is known to set children up on a positive trajectory for school attainment and future employment. </w:t>
            </w:r>
          </w:p>
          <w:p w:rsidR="00DF3317" w:rsidRPr="00DF3317" w:rsidRDefault="00DF3317" w:rsidP="008418EF">
            <w:pPr>
              <w:rPr>
                <w:rFonts w:cs="Myriad Pro Light"/>
                <w:color w:val="221E1F"/>
                <w:sz w:val="16"/>
              </w:rPr>
            </w:pPr>
          </w:p>
          <w:p w:rsidR="00DF3317" w:rsidRDefault="00DF3317" w:rsidP="008418EF">
            <w:pPr>
              <w:rPr>
                <w:rFonts w:cs="Myriad Pro Light"/>
                <w:color w:val="221E1F"/>
                <w:sz w:val="16"/>
              </w:rPr>
            </w:pPr>
            <w:r w:rsidRPr="00DF3317">
              <w:rPr>
                <w:rFonts w:cs="Myriad Pro Light"/>
                <w:color w:val="221E1F"/>
                <w:sz w:val="16"/>
              </w:rPr>
              <w:t>Access to child care is as important for children as it is for their parents. To children, child care provides rich early learning environments and opportunities to socialise with peers, equipping them with key skills associated with school readiness. For parents, child care can facilitate a return to the workforce and the range of positive effects that engagement in work is known to have. This must apply to children with disability</w:t>
            </w:r>
            <w:r>
              <w:rPr>
                <w:rFonts w:cs="Myriad Pro Light"/>
                <w:color w:val="221E1F"/>
                <w:sz w:val="16"/>
              </w:rPr>
              <w:t xml:space="preserve"> and their families</w:t>
            </w:r>
            <w:r w:rsidRPr="00DF3317">
              <w:rPr>
                <w:rFonts w:cs="Myriad Pro Light"/>
                <w:color w:val="221E1F"/>
                <w:sz w:val="16"/>
              </w:rPr>
              <w:t xml:space="preserve"> just as much as it does to other children</w:t>
            </w:r>
            <w:r>
              <w:rPr>
                <w:rFonts w:cs="Myriad Pro Light"/>
                <w:color w:val="221E1F"/>
                <w:sz w:val="16"/>
              </w:rPr>
              <w:t xml:space="preserve">. </w:t>
            </w:r>
          </w:p>
          <w:p w:rsidR="00DF3317" w:rsidRDefault="00DF3317" w:rsidP="008418EF">
            <w:pPr>
              <w:rPr>
                <w:rFonts w:cs="Myriad Pro Light"/>
                <w:color w:val="221E1F"/>
                <w:sz w:val="16"/>
              </w:rPr>
            </w:pPr>
          </w:p>
          <w:p w:rsidR="00EB0645" w:rsidRDefault="00DF3317" w:rsidP="008418EF">
            <w:pPr>
              <w:rPr>
                <w:rFonts w:cs="Myriad Pro Light"/>
                <w:color w:val="221E1F"/>
                <w:sz w:val="16"/>
              </w:rPr>
            </w:pPr>
            <w:r>
              <w:rPr>
                <w:rFonts w:cs="Myriad Pro Light"/>
                <w:color w:val="221E1F"/>
                <w:sz w:val="16"/>
              </w:rPr>
              <w:t>Children with disability have the same rights to education and care as all other children</w:t>
            </w:r>
            <w:r w:rsidR="00EB0645">
              <w:rPr>
                <w:rFonts w:cs="Myriad Pro Light"/>
                <w:color w:val="221E1F"/>
                <w:sz w:val="16"/>
              </w:rPr>
              <w:t xml:space="preserve">. Their families have the same needs to get their child into care to facilitate work and to support their development. At present, the early childhood education and care system is fragmented in the way that it responds to children with disability. Inclusion Support Agencies, such as ours, have made a positive impact on mainstream child care centres improving their ability to include children with disability in the </w:t>
            </w:r>
            <w:proofErr w:type="gramStart"/>
            <w:r w:rsidR="00EB0645">
              <w:rPr>
                <w:rFonts w:cs="Myriad Pro Light"/>
                <w:color w:val="221E1F"/>
                <w:sz w:val="16"/>
              </w:rPr>
              <w:t>classroom,</w:t>
            </w:r>
            <w:proofErr w:type="gramEnd"/>
            <w:r w:rsidR="00EB0645">
              <w:rPr>
                <w:rFonts w:cs="Myriad Pro Light"/>
                <w:color w:val="221E1F"/>
                <w:sz w:val="16"/>
              </w:rPr>
              <w:t xml:space="preserve"> however more can be done</w:t>
            </w:r>
            <w:r w:rsidR="003119B9">
              <w:rPr>
                <w:rFonts w:cs="Myriad Pro Light"/>
                <w:color w:val="221E1F"/>
                <w:sz w:val="16"/>
              </w:rPr>
              <w:t xml:space="preserve"> as difficulties remain</w:t>
            </w:r>
            <w:r w:rsidR="00EB0645">
              <w:rPr>
                <w:rFonts w:cs="Myriad Pro Light"/>
                <w:color w:val="221E1F"/>
                <w:sz w:val="16"/>
              </w:rPr>
              <w:t xml:space="preserve">. </w:t>
            </w:r>
          </w:p>
          <w:p w:rsidR="00EB0645" w:rsidRDefault="00EB0645" w:rsidP="008418EF">
            <w:pPr>
              <w:rPr>
                <w:rFonts w:cs="Myriad Pro Light"/>
                <w:color w:val="221E1F"/>
                <w:sz w:val="16"/>
              </w:rPr>
            </w:pPr>
          </w:p>
          <w:p w:rsidR="00785627" w:rsidRDefault="00EB0645" w:rsidP="008418EF">
            <w:pPr>
              <w:rPr>
                <w:rFonts w:cs="Myriad Pro Light"/>
                <w:color w:val="221E1F"/>
                <w:sz w:val="16"/>
              </w:rPr>
            </w:pPr>
            <w:r>
              <w:rPr>
                <w:rFonts w:cs="Myriad Pro Light"/>
                <w:color w:val="221E1F"/>
                <w:sz w:val="16"/>
              </w:rPr>
              <w:t xml:space="preserve">Families we support continue to report that some early childhood education and care providers refuse enrolment to children with specific support needs, or refuse enrolment once the number of children with special needs exceeds 10% of the class. We understand that this occurs because providers feel under-resourced to cater to children with additional needs, but must therefore raise this resourcing issue for consideration by the Reference Group as it directly impacts on children’s and families’ ability to access affordable and inclusive child care. </w:t>
            </w:r>
          </w:p>
          <w:p w:rsidR="00785627" w:rsidRDefault="00785627" w:rsidP="008418EF">
            <w:pPr>
              <w:rPr>
                <w:rFonts w:cs="Myriad Pro Light"/>
                <w:color w:val="221E1F"/>
                <w:sz w:val="16"/>
              </w:rPr>
            </w:pPr>
          </w:p>
          <w:p w:rsidR="00DF3317" w:rsidRDefault="00EB0645" w:rsidP="008418EF">
            <w:pPr>
              <w:rPr>
                <w:rFonts w:cs="Myriad Pro Light"/>
                <w:color w:val="221E1F"/>
                <w:sz w:val="16"/>
              </w:rPr>
            </w:pPr>
            <w:r>
              <w:rPr>
                <w:rFonts w:cs="Myriad Pro Light"/>
                <w:color w:val="221E1F"/>
                <w:sz w:val="16"/>
              </w:rPr>
              <w:t xml:space="preserve">The </w:t>
            </w:r>
            <w:r w:rsidR="00785627">
              <w:rPr>
                <w:rFonts w:cs="Myriad Pro Light"/>
                <w:color w:val="221E1F"/>
                <w:sz w:val="16"/>
              </w:rPr>
              <w:t xml:space="preserve">soon-to-be released </w:t>
            </w:r>
            <w:r w:rsidR="00785627" w:rsidRPr="00785627">
              <w:rPr>
                <w:rFonts w:cs="Myriad Pro Light"/>
                <w:color w:val="221E1F"/>
                <w:sz w:val="16"/>
              </w:rPr>
              <w:t>Senate Inquiry into the delivery of quality and affordable early childhood education and care services</w:t>
            </w:r>
            <w:r w:rsidR="00785627">
              <w:rPr>
                <w:rFonts w:cs="Myriad Pro Light"/>
                <w:color w:val="221E1F"/>
                <w:sz w:val="16"/>
              </w:rPr>
              <w:t xml:space="preserve"> will certainly intersect with this Welfare Review</w:t>
            </w:r>
            <w:r w:rsidR="00C8554A">
              <w:rPr>
                <w:rFonts w:cs="Myriad Pro Light"/>
                <w:color w:val="221E1F"/>
                <w:sz w:val="16"/>
              </w:rPr>
              <w:t xml:space="preserve">. It is </w:t>
            </w:r>
            <w:proofErr w:type="spellStart"/>
            <w:r w:rsidR="00C8554A">
              <w:rPr>
                <w:rFonts w:cs="Myriad Pro Light"/>
                <w:color w:val="221E1F"/>
                <w:sz w:val="16"/>
              </w:rPr>
              <w:t>Northcott’s</w:t>
            </w:r>
            <w:proofErr w:type="spellEnd"/>
            <w:r w:rsidR="00C8554A">
              <w:rPr>
                <w:rFonts w:cs="Myriad Pro Light"/>
                <w:color w:val="221E1F"/>
                <w:sz w:val="16"/>
              </w:rPr>
              <w:t xml:space="preserve"> position that the interests of children with disability and their families must be represented in the findings of both this Reference Group and the Senate Committee and upheld in the recommendations. Failure to address the resourcing requirements to include all children with disability in child care if their families choose it will result in children and families receiving inequitable and in some cases inadequate access to care, potentially falling through the gaps which this reform is focused on closing.</w:t>
            </w:r>
          </w:p>
          <w:p w:rsidR="003119B9" w:rsidRDefault="003119B9" w:rsidP="008418EF">
            <w:pPr>
              <w:rPr>
                <w:rFonts w:cs="Myriad Pro Light"/>
                <w:color w:val="221E1F"/>
                <w:sz w:val="16"/>
              </w:rPr>
            </w:pPr>
          </w:p>
          <w:p w:rsidR="003119B9" w:rsidRPr="00DF3317" w:rsidRDefault="003119B9" w:rsidP="008418EF">
            <w:pPr>
              <w:rPr>
                <w:rFonts w:cs="Myriad Pro Light"/>
                <w:color w:val="221E1F"/>
                <w:sz w:val="16"/>
              </w:rPr>
            </w:pPr>
            <w:r>
              <w:rPr>
                <w:rFonts w:cs="Myriad Pro Light"/>
                <w:color w:val="221E1F"/>
                <w:sz w:val="16"/>
              </w:rPr>
              <w:t xml:space="preserve">Solutions could include expansion of the Inclusion </w:t>
            </w:r>
            <w:r w:rsidR="00436068">
              <w:rPr>
                <w:rFonts w:cs="Myriad Pro Light"/>
                <w:color w:val="221E1F"/>
                <w:sz w:val="16"/>
              </w:rPr>
              <w:t>Support Program, so that facilitato</w:t>
            </w:r>
            <w:r>
              <w:rPr>
                <w:rFonts w:cs="Myriad Pro Light"/>
                <w:color w:val="221E1F"/>
                <w:sz w:val="16"/>
              </w:rPr>
              <w:t>rs can extend their reach to all early childhood education and care providers</w:t>
            </w:r>
            <w:r w:rsidR="00436068">
              <w:rPr>
                <w:rFonts w:cs="Myriad Pro Light"/>
                <w:color w:val="221E1F"/>
                <w:sz w:val="16"/>
              </w:rPr>
              <w:t xml:space="preserve"> and provide capacity building activities to the whole early childhood sector to support and promote inclusion of children with disability. Engagement with an Inclusion Support Agency could be linked with Australian Children’s Education and Care Quality Authority (ACECQA) National Standard ratings, with engagement with an ISA and evidence</w:t>
            </w:r>
            <w:r w:rsidR="00032ACD">
              <w:rPr>
                <w:rFonts w:cs="Myriad Pro Light"/>
                <w:color w:val="221E1F"/>
                <w:sz w:val="16"/>
              </w:rPr>
              <w:t xml:space="preserve"> of</w:t>
            </w:r>
            <w:r w:rsidR="00436068">
              <w:rPr>
                <w:rFonts w:cs="Myriad Pro Light"/>
                <w:color w:val="221E1F"/>
                <w:sz w:val="16"/>
              </w:rPr>
              <w:t xml:space="preserve"> inclusive practices being a minimum requirement </w:t>
            </w:r>
            <w:r w:rsidR="00C07F54">
              <w:rPr>
                <w:rFonts w:cs="Myriad Pro Light"/>
                <w:color w:val="221E1F"/>
                <w:sz w:val="16"/>
              </w:rPr>
              <w:t>to meet Standard 3.2</w:t>
            </w:r>
            <w:r w:rsidR="00436068">
              <w:rPr>
                <w:rFonts w:cs="Myriad Pro Light"/>
                <w:color w:val="221E1F"/>
                <w:sz w:val="16"/>
              </w:rPr>
              <w:t>.</w:t>
            </w:r>
          </w:p>
          <w:p w:rsidR="00DF3317" w:rsidRPr="00785627" w:rsidRDefault="00DF3317" w:rsidP="008418EF">
            <w:pPr>
              <w:rPr>
                <w:rFonts w:cs="Myriad Pro Light"/>
                <w:color w:val="221E1F"/>
                <w:sz w:val="16"/>
              </w:rPr>
            </w:pPr>
          </w:p>
          <w:p w:rsidR="001C2BE7" w:rsidRDefault="001C2BE7" w:rsidP="008418EF">
            <w:pPr>
              <w:rPr>
                <w:i/>
                <w:iCs/>
                <w:smallCaps/>
              </w:rPr>
            </w:pP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B00152" w:rsidRPr="00821EC5" w:rsidRDefault="00C8554A" w:rsidP="00821EC5">
            <w:pPr>
              <w:rPr>
                <w:rFonts w:cs="Myriad Pro Light"/>
                <w:color w:val="221E1F"/>
                <w:sz w:val="16"/>
              </w:rPr>
            </w:pPr>
            <w:r w:rsidRPr="00821EC5">
              <w:rPr>
                <w:rFonts w:cs="Myriad Pro Light"/>
                <w:color w:val="221E1F"/>
                <w:sz w:val="16"/>
              </w:rPr>
              <w:lastRenderedPageBreak/>
              <w:t xml:space="preserve">The report notes the number of problems which exist within the current Rent Assistance </w:t>
            </w:r>
            <w:r w:rsidR="00B00152" w:rsidRPr="00821EC5">
              <w:rPr>
                <w:rFonts w:cs="Myriad Pro Light"/>
                <w:color w:val="221E1F"/>
                <w:sz w:val="16"/>
              </w:rPr>
              <w:t>scheme, largely arising from different rates of growth in the amount funded through the scheme compared to growth in private rental costs. The use of CPI is also identified as an inappropriate index for Rent Assistance.</w:t>
            </w:r>
          </w:p>
          <w:p w:rsidR="00192917" w:rsidRDefault="00B00152" w:rsidP="00821EC5">
            <w:pPr>
              <w:rPr>
                <w:rFonts w:cs="Myriad Pro Light"/>
                <w:color w:val="221E1F"/>
                <w:sz w:val="16"/>
              </w:rPr>
            </w:pPr>
            <w:r w:rsidRPr="00821EC5">
              <w:rPr>
                <w:rFonts w:cs="Myriad Pro Light"/>
                <w:color w:val="221E1F"/>
                <w:sz w:val="16"/>
              </w:rPr>
              <w:t xml:space="preserve">While housing affordability remains a significant social policy challenge, more people on income support are forced onto the private market. </w:t>
            </w:r>
            <w:r w:rsidR="00192917" w:rsidRPr="00821EC5">
              <w:rPr>
                <w:rFonts w:cs="Myriad Pro Light"/>
                <w:color w:val="221E1F"/>
                <w:sz w:val="16"/>
              </w:rPr>
              <w:t>Forced to make up the short-fall between the rent they must pay and the Rent Assistance they receive, other income support is used to cover the cost of rent at the expense of other cost of living items.</w:t>
            </w:r>
          </w:p>
          <w:p w:rsidR="00821EC5" w:rsidRPr="00821EC5" w:rsidRDefault="00821EC5" w:rsidP="00821EC5">
            <w:pPr>
              <w:rPr>
                <w:rFonts w:cs="Myriad Pro Light"/>
                <w:color w:val="221E1F"/>
                <w:sz w:val="16"/>
              </w:rPr>
            </w:pPr>
          </w:p>
          <w:p w:rsidR="00E03B73" w:rsidRPr="00821EC5" w:rsidRDefault="00192917" w:rsidP="00821EC5">
            <w:pPr>
              <w:ind w:left="567"/>
              <w:rPr>
                <w:rFonts w:cs="Myriad Pro Light"/>
                <w:color w:val="221E1F"/>
                <w:sz w:val="16"/>
              </w:rPr>
            </w:pPr>
            <w:r w:rsidRPr="00821EC5">
              <w:rPr>
                <w:rFonts w:cs="Myriad Pro Light"/>
                <w:color w:val="221E1F"/>
                <w:sz w:val="16"/>
              </w:rPr>
              <w:t>From the report</w:t>
            </w:r>
            <w:proofErr w:type="gramStart"/>
            <w:r w:rsidRPr="00821EC5">
              <w:rPr>
                <w:rFonts w:cs="Myriad Pro Light"/>
                <w:color w:val="221E1F"/>
                <w:sz w:val="16"/>
              </w:rPr>
              <w:t>:</w:t>
            </w:r>
            <w:proofErr w:type="gramEnd"/>
            <w:r w:rsidR="00A04D8B" w:rsidRPr="00821EC5">
              <w:rPr>
                <w:rFonts w:cs="Myriad Pro Light"/>
                <w:color w:val="221E1F"/>
                <w:sz w:val="16"/>
              </w:rPr>
              <w:br/>
            </w:r>
            <w:r w:rsidR="00E03B73" w:rsidRPr="00821EC5">
              <w:rPr>
                <w:rFonts w:cs="Myriad Pro Light"/>
                <w:color w:val="221E1F"/>
                <w:sz w:val="16"/>
              </w:rPr>
              <w:br/>
              <w:t xml:space="preserve">“Rental housing costs have grown faster than the Consumer Price Index which is used to index Rent Assistance. The 2009 Harmer Review concluded that: </w:t>
            </w:r>
          </w:p>
          <w:p w:rsidR="00192917" w:rsidRPr="00821EC5" w:rsidRDefault="00E03B73" w:rsidP="00821EC5">
            <w:pPr>
              <w:ind w:left="567"/>
              <w:rPr>
                <w:rFonts w:cs="Myriad Pro Light"/>
                <w:color w:val="221E1F"/>
                <w:sz w:val="16"/>
              </w:rPr>
            </w:pPr>
            <w:r w:rsidRPr="00821EC5">
              <w:rPr>
                <w:rFonts w:cs="Myriad Pro Light"/>
                <w:color w:val="221E1F"/>
                <w:sz w:val="16"/>
              </w:rPr>
              <w:t xml:space="preserve">[A] separate index that more appropriately reflects changes in the cost of private rent would have merit [and could] be based on the actual rents paid by income support recipients to obtain a good measure of the actual changes experienced in the particular segment of the market in which </w:t>
            </w:r>
            <w:r w:rsidR="00192917" w:rsidRPr="00821EC5">
              <w:rPr>
                <w:rFonts w:cs="Myriad Pro Light"/>
                <w:color w:val="221E1F"/>
                <w:sz w:val="16"/>
              </w:rPr>
              <w:t xml:space="preserve">this group operates.” </w:t>
            </w:r>
          </w:p>
          <w:p w:rsidR="00192917" w:rsidRPr="00821EC5" w:rsidRDefault="00192917" w:rsidP="00821EC5">
            <w:pPr>
              <w:rPr>
                <w:rFonts w:cs="Myriad Pro Light"/>
                <w:color w:val="221E1F"/>
                <w:sz w:val="16"/>
              </w:rPr>
            </w:pPr>
          </w:p>
          <w:p w:rsidR="00192917" w:rsidRPr="00821EC5" w:rsidRDefault="00192917" w:rsidP="00192917">
            <w:pPr>
              <w:rPr>
                <w:rFonts w:cs="Myriad Pro Light"/>
                <w:color w:val="221E1F"/>
                <w:sz w:val="16"/>
              </w:rPr>
            </w:pPr>
            <w:proofErr w:type="spellStart"/>
            <w:r w:rsidRPr="00821EC5">
              <w:rPr>
                <w:rFonts w:cs="Myriad Pro Light"/>
                <w:color w:val="221E1F"/>
                <w:sz w:val="16"/>
              </w:rPr>
              <w:t>Northcott</w:t>
            </w:r>
            <w:proofErr w:type="spellEnd"/>
            <w:r w:rsidRPr="00821EC5">
              <w:rPr>
                <w:rFonts w:cs="Myriad Pro Light"/>
                <w:color w:val="221E1F"/>
                <w:sz w:val="16"/>
              </w:rPr>
              <w:t xml:space="preserve"> supports this recommendation as it aligns with our ethic of individualised supports which reflect a person’s real circumstances. An index which is reflective of the true costs of rent for the people we support would be fairer than the current system and should avoid</w:t>
            </w:r>
            <w:r w:rsidR="00303D38" w:rsidRPr="00821EC5">
              <w:rPr>
                <w:rFonts w:cs="Myriad Pro Light"/>
                <w:color w:val="221E1F"/>
                <w:sz w:val="16"/>
              </w:rPr>
              <w:t xml:space="preserve"> people having to cross-subsidise their rent out of other payments.</w:t>
            </w:r>
          </w:p>
          <w:p w:rsidR="00303D38" w:rsidRPr="00821EC5" w:rsidRDefault="00303D38" w:rsidP="00192917">
            <w:pPr>
              <w:rPr>
                <w:rFonts w:cs="Myriad Pro Light"/>
                <w:color w:val="221E1F"/>
                <w:sz w:val="16"/>
              </w:rPr>
            </w:pPr>
          </w:p>
          <w:p w:rsidR="00B37652" w:rsidRPr="00821EC5" w:rsidRDefault="00303D38" w:rsidP="00192917">
            <w:pPr>
              <w:rPr>
                <w:rFonts w:cs="Myriad Pro Light"/>
                <w:color w:val="221E1F"/>
                <w:sz w:val="16"/>
              </w:rPr>
            </w:pPr>
            <w:r w:rsidRPr="00821EC5">
              <w:rPr>
                <w:rFonts w:cs="Myriad Pro Light"/>
                <w:color w:val="221E1F"/>
                <w:sz w:val="16"/>
              </w:rPr>
              <w:t xml:space="preserve">With regards to charging rent as a proportion of income, </w:t>
            </w:r>
            <w:proofErr w:type="spellStart"/>
            <w:r w:rsidRPr="00821EC5">
              <w:rPr>
                <w:rFonts w:cs="Myriad Pro Light"/>
                <w:color w:val="221E1F"/>
                <w:sz w:val="16"/>
              </w:rPr>
              <w:t>Northcott</w:t>
            </w:r>
            <w:proofErr w:type="spellEnd"/>
            <w:r w:rsidRPr="00821EC5">
              <w:rPr>
                <w:rFonts w:cs="Myriad Pro Light"/>
                <w:color w:val="221E1F"/>
                <w:sz w:val="16"/>
              </w:rPr>
              <w:t xml:space="preserve"> wishes to advise the Reference Group that this arrangement occurs in disability group homes</w:t>
            </w:r>
            <w:r w:rsidR="00B37652" w:rsidRPr="00821EC5">
              <w:rPr>
                <w:rFonts w:cs="Myriad Pro Light"/>
                <w:color w:val="221E1F"/>
                <w:sz w:val="16"/>
              </w:rPr>
              <w:t xml:space="preserve"> and supported accommodation facilities</w:t>
            </w:r>
            <w:r w:rsidRPr="00821EC5">
              <w:rPr>
                <w:rFonts w:cs="Myriad Pro Light"/>
                <w:color w:val="221E1F"/>
                <w:sz w:val="16"/>
              </w:rPr>
              <w:t>, including ours, and is not limited to public housing. Different providers structure their rental agreements differently with their residents, however in many cases a combined board and lodging fee is charged as a percentage of the person’s pension. Put broadly, funds received from funding bodies are put towards the cost of service delivery (support staff, equipment, coordination and in some cases transport) while board and lodging fees are put towards costs such as lease of the property and maintenance as well as food and other shared consumables.</w:t>
            </w:r>
            <w:r w:rsidR="00B37652" w:rsidRPr="00821EC5">
              <w:rPr>
                <w:rFonts w:cs="Myriad Pro Light"/>
                <w:color w:val="221E1F"/>
                <w:sz w:val="16"/>
              </w:rPr>
              <w:t xml:space="preserve"> </w:t>
            </w:r>
          </w:p>
          <w:p w:rsidR="00B37652" w:rsidRPr="00821EC5" w:rsidRDefault="00B37652" w:rsidP="00192917">
            <w:pPr>
              <w:rPr>
                <w:rFonts w:cs="Myriad Pro Light"/>
                <w:color w:val="221E1F"/>
                <w:sz w:val="16"/>
              </w:rPr>
            </w:pPr>
          </w:p>
          <w:p w:rsidR="00303D38" w:rsidRPr="00821EC5" w:rsidRDefault="00B37652" w:rsidP="00192917">
            <w:pPr>
              <w:rPr>
                <w:rFonts w:cs="Myriad Pro Light"/>
                <w:color w:val="221E1F"/>
                <w:sz w:val="16"/>
              </w:rPr>
            </w:pPr>
            <w:r w:rsidRPr="00821EC5">
              <w:rPr>
                <w:rFonts w:cs="Myriad Pro Light"/>
                <w:color w:val="221E1F"/>
                <w:sz w:val="16"/>
              </w:rPr>
              <w:t>It will be important to ensure that any changes to rent setting policy within the context of this Welfare Review take the needs of people living in supported accommodation facilities into account.</w:t>
            </w:r>
          </w:p>
          <w:p w:rsidR="00E03B73" w:rsidRPr="00A04D8B" w:rsidRDefault="00E03B73" w:rsidP="00192917">
            <w:pPr>
              <w:rPr>
                <w:rFonts w:cs="Myriad Pro Light"/>
                <w:color w:val="221E1F"/>
                <w:sz w:val="18"/>
              </w:rPr>
            </w:pPr>
          </w:p>
        </w:tc>
      </w:tr>
    </w:tbl>
    <w:p w:rsidR="008C5A75" w:rsidRPr="008C5A75" w:rsidRDefault="008C5A75" w:rsidP="008C5A75"/>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A22A31" w:rsidRPr="00A22A31" w:rsidRDefault="00A22A31" w:rsidP="00A22A31">
            <w:pPr>
              <w:rPr>
                <w:b/>
                <w:i/>
                <w:iCs/>
                <w:smallCaps/>
                <w:sz w:val="16"/>
                <w:szCs w:val="16"/>
              </w:rPr>
            </w:pPr>
            <w:r w:rsidRPr="00A22A31">
              <w:rPr>
                <w:b/>
                <w:sz w:val="16"/>
                <w:szCs w:val="16"/>
              </w:rPr>
              <w:lastRenderedPageBreak/>
              <w:t xml:space="preserve">How should participation requirements be better matched to individual circumstances? </w:t>
            </w:r>
          </w:p>
          <w:p w:rsidR="00A22A31" w:rsidRDefault="00A22A31" w:rsidP="00A22A31">
            <w:pPr>
              <w:rPr>
                <w:rFonts w:cs="Myriad Pro Light"/>
                <w:color w:val="221E1F"/>
                <w:sz w:val="16"/>
                <w:szCs w:val="16"/>
              </w:rPr>
            </w:pPr>
          </w:p>
          <w:p w:rsidR="00A22A31" w:rsidRDefault="00A22A31" w:rsidP="00A22A31">
            <w:pPr>
              <w:rPr>
                <w:rFonts w:cs="Myriad Pro Light"/>
                <w:color w:val="221E1F"/>
                <w:sz w:val="16"/>
                <w:szCs w:val="16"/>
              </w:rPr>
            </w:pPr>
            <w:r w:rsidRPr="00A22A31">
              <w:rPr>
                <w:rFonts w:cs="Myriad Pro Light"/>
                <w:color w:val="221E1F"/>
                <w:sz w:val="16"/>
                <w:szCs w:val="16"/>
              </w:rPr>
              <w:t>The report notes several good options for tailoring participation requirements to individual circumstances, rather than force all people to prepare for and seek work when this may not be appropriate to their situ</w:t>
            </w:r>
            <w:r w:rsidR="001569EC">
              <w:rPr>
                <w:rFonts w:cs="Myriad Pro Light"/>
                <w:color w:val="221E1F"/>
                <w:sz w:val="16"/>
                <w:szCs w:val="16"/>
              </w:rPr>
              <w:t>ation</w:t>
            </w:r>
            <w:r w:rsidRPr="00A22A31">
              <w:rPr>
                <w:rFonts w:cs="Myriad Pro Light"/>
                <w:color w:val="221E1F"/>
                <w:sz w:val="16"/>
                <w:szCs w:val="16"/>
              </w:rPr>
              <w:t>. Implementation will have to be monitored in order to ensure</w:t>
            </w:r>
            <w:r>
              <w:rPr>
                <w:rFonts w:cs="Myriad Pro Light"/>
                <w:color w:val="221E1F"/>
                <w:sz w:val="16"/>
                <w:szCs w:val="16"/>
              </w:rPr>
              <w:t xml:space="preserve"> that</w:t>
            </w:r>
            <w:r w:rsidRPr="00A22A31">
              <w:rPr>
                <w:rFonts w:cs="Myriad Pro Light"/>
                <w:color w:val="221E1F"/>
                <w:sz w:val="16"/>
                <w:szCs w:val="16"/>
              </w:rPr>
              <w:t xml:space="preserve"> the spirit</w:t>
            </w:r>
            <w:r>
              <w:rPr>
                <w:rFonts w:cs="Myriad Pro Light"/>
                <w:color w:val="221E1F"/>
                <w:sz w:val="16"/>
                <w:szCs w:val="16"/>
              </w:rPr>
              <w:t xml:space="preserve"> of this approach</w:t>
            </w:r>
            <w:r w:rsidRPr="00A22A31">
              <w:rPr>
                <w:rFonts w:cs="Myriad Pro Light"/>
                <w:color w:val="221E1F"/>
                <w:sz w:val="16"/>
                <w:szCs w:val="16"/>
              </w:rPr>
              <w:t xml:space="preserve"> is not lost</w:t>
            </w:r>
            <w:r>
              <w:rPr>
                <w:rFonts w:cs="Myriad Pro Light"/>
                <w:color w:val="221E1F"/>
                <w:sz w:val="16"/>
                <w:szCs w:val="16"/>
              </w:rPr>
              <w:t xml:space="preserve"> and that </w:t>
            </w:r>
            <w:r w:rsidR="001569EC">
              <w:rPr>
                <w:rFonts w:cs="Myriad Pro Light"/>
                <w:color w:val="221E1F"/>
                <w:sz w:val="16"/>
                <w:szCs w:val="16"/>
              </w:rPr>
              <w:t>people’s unique circumstances are the drivers for what constitutes an appropriate set of participation requirements</w:t>
            </w:r>
            <w:r w:rsidRPr="00A22A31">
              <w:rPr>
                <w:rFonts w:cs="Myriad Pro Light"/>
                <w:color w:val="221E1F"/>
                <w:sz w:val="16"/>
                <w:szCs w:val="16"/>
              </w:rPr>
              <w:t xml:space="preserve">. It will also be important to ensure that participation plans are easily reviewable in the case of changed circumstances, particularly for </w:t>
            </w:r>
            <w:r w:rsidR="001569EC">
              <w:rPr>
                <w:rFonts w:cs="Myriad Pro Light"/>
                <w:color w:val="221E1F"/>
                <w:sz w:val="16"/>
                <w:szCs w:val="16"/>
              </w:rPr>
              <w:t>people with episodic conditions. This may include people with mental health conditions, as mentioned in the report, and may also include people with a range of other disabilities.</w:t>
            </w:r>
          </w:p>
          <w:p w:rsidR="00A22A31" w:rsidRDefault="00A22A31" w:rsidP="00A22A31">
            <w:pPr>
              <w:rPr>
                <w:rFonts w:cs="Myriad Pro Light"/>
                <w:color w:val="221E1F"/>
                <w:sz w:val="16"/>
                <w:szCs w:val="16"/>
              </w:rPr>
            </w:pPr>
            <w:r w:rsidRPr="00A22A31">
              <w:rPr>
                <w:rFonts w:cs="Myriad Pro Light"/>
                <w:color w:val="221E1F"/>
                <w:sz w:val="16"/>
                <w:szCs w:val="16"/>
              </w:rPr>
              <w:t xml:space="preserve"> </w:t>
            </w:r>
          </w:p>
          <w:p w:rsidR="00A22A31" w:rsidRDefault="001569EC" w:rsidP="00A22A31">
            <w:pPr>
              <w:rPr>
                <w:rFonts w:cs="Myriad Pro Light"/>
                <w:color w:val="221E1F"/>
                <w:sz w:val="16"/>
                <w:szCs w:val="16"/>
              </w:rPr>
            </w:pPr>
            <w:r>
              <w:rPr>
                <w:rFonts w:cs="Myriad Pro Light"/>
                <w:color w:val="221E1F"/>
                <w:sz w:val="16"/>
                <w:szCs w:val="16"/>
              </w:rPr>
              <w:t>The report states that ‘</w:t>
            </w:r>
            <w:r w:rsidR="00A22A31" w:rsidRPr="00A22A31">
              <w:rPr>
                <w:rFonts w:cs="Myriad Pro Light"/>
                <w:color w:val="221E1F"/>
                <w:sz w:val="16"/>
                <w:szCs w:val="16"/>
              </w:rPr>
              <w:t xml:space="preserve">the current participation framework for younger people on Disability Support Pension and those on </w:t>
            </w:r>
            <w:proofErr w:type="spellStart"/>
            <w:r w:rsidR="00A22A31" w:rsidRPr="00A22A31">
              <w:rPr>
                <w:rFonts w:cs="Myriad Pro Light"/>
                <w:color w:val="221E1F"/>
                <w:sz w:val="16"/>
                <w:szCs w:val="16"/>
              </w:rPr>
              <w:t>Newstart</w:t>
            </w:r>
            <w:proofErr w:type="spellEnd"/>
            <w:r w:rsidR="00A22A31" w:rsidRPr="00A22A31">
              <w:rPr>
                <w:rFonts w:cs="Myriad Pro Light"/>
                <w:color w:val="221E1F"/>
                <w:sz w:val="16"/>
                <w:szCs w:val="16"/>
              </w:rPr>
              <w:t xml:space="preserve"> Allowance with partia</w:t>
            </w:r>
            <w:r>
              <w:rPr>
                <w:rFonts w:cs="Myriad Pro Light"/>
                <w:color w:val="221E1F"/>
                <w:sz w:val="16"/>
                <w:szCs w:val="16"/>
              </w:rPr>
              <w:t>l capacity for work</w:t>
            </w:r>
            <w:r w:rsidR="00A22A31" w:rsidRPr="00A22A31">
              <w:rPr>
                <w:rFonts w:cs="Myriad Pro Light"/>
                <w:color w:val="221E1F"/>
                <w:sz w:val="16"/>
                <w:szCs w:val="16"/>
              </w:rPr>
              <w:t xml:space="preserve"> could be enhanced so that people have a plan of activities, support services and pa</w:t>
            </w:r>
            <w:r>
              <w:rPr>
                <w:rFonts w:cs="Myriad Pro Light"/>
                <w:color w:val="221E1F"/>
                <w:sz w:val="16"/>
                <w:szCs w:val="16"/>
              </w:rPr>
              <w:t>th to education and employment’.</w:t>
            </w:r>
            <w:r w:rsidR="00A22A31" w:rsidRPr="00A22A31">
              <w:rPr>
                <w:rFonts w:cs="Myriad Pro Light"/>
                <w:color w:val="221E1F"/>
                <w:sz w:val="16"/>
                <w:szCs w:val="16"/>
              </w:rPr>
              <w:t xml:space="preserve"> </w:t>
            </w:r>
            <w:r>
              <w:rPr>
                <w:rFonts w:cs="Myriad Pro Light"/>
                <w:color w:val="221E1F"/>
                <w:sz w:val="16"/>
                <w:szCs w:val="16"/>
              </w:rPr>
              <w:t>This approach may be effective and the focus on the combination of activities and support to pursue both education and employment is welcome. At implementation, it will be important to ensure that recipients of these payments who are subject to these plans are not required to duplicate such planning processes if they are also supported by other schemes, such as the NDIS. It will also be important that activities are meaningful and linked to goals which are important to the person’s education or employment journey, rather than seeing blanket activity requirements imposed.</w:t>
            </w:r>
          </w:p>
          <w:p w:rsidR="00A22A31" w:rsidRDefault="00A22A31" w:rsidP="00A22A31">
            <w:pPr>
              <w:rPr>
                <w:rFonts w:cs="Myriad Pro Light"/>
                <w:color w:val="221E1F"/>
                <w:sz w:val="16"/>
                <w:szCs w:val="16"/>
              </w:rPr>
            </w:pPr>
          </w:p>
          <w:p w:rsidR="00A22A31" w:rsidRPr="00A22A31" w:rsidRDefault="00A22A31" w:rsidP="00A22A31">
            <w:pPr>
              <w:rPr>
                <w:b/>
                <w:i/>
                <w:iCs/>
                <w:smallCaps/>
                <w:sz w:val="16"/>
                <w:szCs w:val="16"/>
              </w:rPr>
            </w:pPr>
          </w:p>
          <w:p w:rsidR="001569EC" w:rsidRDefault="00A22A31" w:rsidP="00A22A31">
            <w:pPr>
              <w:rPr>
                <w:b/>
                <w:sz w:val="16"/>
                <w:szCs w:val="16"/>
              </w:rPr>
            </w:pPr>
            <w:r w:rsidRPr="00A22A31">
              <w:rPr>
                <w:b/>
                <w:sz w:val="16"/>
                <w:szCs w:val="16"/>
              </w:rPr>
              <w:t xml:space="preserve">How can carers be better supported to maintain labour market attachment and access employment? </w:t>
            </w:r>
          </w:p>
          <w:p w:rsidR="00B06216" w:rsidRDefault="00A22A31" w:rsidP="00A22A31">
            <w:pPr>
              <w:rPr>
                <w:rFonts w:cs="Myriad Pro Light"/>
                <w:color w:val="221E1F"/>
                <w:sz w:val="16"/>
                <w:szCs w:val="16"/>
              </w:rPr>
            </w:pPr>
            <w:r w:rsidRPr="00A22A31">
              <w:rPr>
                <w:rFonts w:cs="Myriad Pro Light"/>
                <w:color w:val="221E1F"/>
                <w:sz w:val="16"/>
                <w:szCs w:val="16"/>
              </w:rPr>
              <w:br/>
              <w:t xml:space="preserve">Labour market attachment for carers ought to be supported through </w:t>
            </w:r>
            <w:r w:rsidR="001569EC">
              <w:rPr>
                <w:rFonts w:cs="Myriad Pro Light"/>
                <w:color w:val="221E1F"/>
                <w:sz w:val="16"/>
                <w:szCs w:val="16"/>
              </w:rPr>
              <w:t>industrial relations</w:t>
            </w:r>
            <w:r w:rsidRPr="00A22A31">
              <w:rPr>
                <w:rFonts w:cs="Myriad Pro Light"/>
                <w:color w:val="221E1F"/>
                <w:sz w:val="16"/>
                <w:szCs w:val="16"/>
              </w:rPr>
              <w:t xml:space="preserve"> and workforce policy rather than being incentivised through welfare. For many carers who have some capacity to work around their caring role, this becomes impossible when workplaces do not make reasonable adjustments. So</w:t>
            </w:r>
            <w:r w:rsidR="000D4019">
              <w:rPr>
                <w:rFonts w:cs="Myriad Pro Light"/>
                <w:color w:val="221E1F"/>
                <w:sz w:val="16"/>
                <w:szCs w:val="16"/>
              </w:rPr>
              <w:t>me progress is being made here – for example the Carers Recognition Act, and some public service employers</w:t>
            </w:r>
            <w:r w:rsidRPr="00A22A31">
              <w:rPr>
                <w:rFonts w:cs="Myriad Pro Light"/>
                <w:color w:val="221E1F"/>
                <w:sz w:val="16"/>
                <w:szCs w:val="16"/>
              </w:rPr>
              <w:t xml:space="preserve"> </w:t>
            </w:r>
            <w:r w:rsidR="000D4019">
              <w:rPr>
                <w:rFonts w:cs="Myriad Pro Light"/>
                <w:color w:val="221E1F"/>
                <w:sz w:val="16"/>
                <w:szCs w:val="16"/>
              </w:rPr>
              <w:t xml:space="preserve">– </w:t>
            </w:r>
            <w:r w:rsidRPr="00A22A31">
              <w:rPr>
                <w:rFonts w:cs="Myriad Pro Light"/>
                <w:color w:val="221E1F"/>
                <w:sz w:val="16"/>
                <w:szCs w:val="16"/>
              </w:rPr>
              <w:t>but more is yet to be done.</w:t>
            </w:r>
            <w:r w:rsidR="00C07F54">
              <w:rPr>
                <w:rFonts w:cs="Myriad Pro Light"/>
                <w:color w:val="221E1F"/>
                <w:sz w:val="16"/>
                <w:szCs w:val="16"/>
              </w:rPr>
              <w:t xml:space="preserve"> </w:t>
            </w:r>
          </w:p>
          <w:p w:rsidR="00B06216" w:rsidRDefault="00B06216" w:rsidP="00A22A31">
            <w:pPr>
              <w:rPr>
                <w:rFonts w:cs="Myriad Pro Light"/>
                <w:color w:val="221E1F"/>
                <w:sz w:val="16"/>
                <w:szCs w:val="16"/>
              </w:rPr>
            </w:pPr>
          </w:p>
          <w:p w:rsidR="00B06216" w:rsidRDefault="00C07F54" w:rsidP="00A22A31">
            <w:pPr>
              <w:rPr>
                <w:rFonts w:cs="Myriad Pro Light"/>
                <w:color w:val="221E1F"/>
                <w:sz w:val="16"/>
                <w:szCs w:val="16"/>
              </w:rPr>
            </w:pPr>
            <w:r>
              <w:rPr>
                <w:rFonts w:cs="Myriad Pro Light"/>
                <w:color w:val="221E1F"/>
                <w:sz w:val="16"/>
                <w:szCs w:val="16"/>
              </w:rPr>
              <w:t xml:space="preserve">Carer recognition </w:t>
            </w:r>
            <w:r w:rsidR="00B06216">
              <w:rPr>
                <w:rFonts w:cs="Myriad Pro Light"/>
                <w:color w:val="221E1F"/>
                <w:sz w:val="16"/>
                <w:szCs w:val="16"/>
              </w:rPr>
              <w:t>is</w:t>
            </w:r>
            <w:r>
              <w:rPr>
                <w:rFonts w:cs="Myriad Pro Light"/>
                <w:color w:val="221E1F"/>
                <w:sz w:val="16"/>
                <w:szCs w:val="16"/>
              </w:rPr>
              <w:t xml:space="preserve"> embedded in the National Employment Standards on flexible working arrangements, </w:t>
            </w:r>
            <w:r w:rsidR="00B06216">
              <w:rPr>
                <w:rFonts w:cs="Myriad Pro Light"/>
                <w:color w:val="221E1F"/>
                <w:sz w:val="16"/>
                <w:szCs w:val="16"/>
              </w:rPr>
              <w:t xml:space="preserve">but these </w:t>
            </w:r>
            <w:r>
              <w:rPr>
                <w:rFonts w:cs="Myriad Pro Light"/>
                <w:color w:val="221E1F"/>
                <w:sz w:val="16"/>
                <w:szCs w:val="16"/>
              </w:rPr>
              <w:t>currently only apply to employees who have already been with an employer for a period of 12 months.</w:t>
            </w:r>
            <w:r w:rsidR="00B06216">
              <w:rPr>
                <w:rFonts w:cs="Myriad Pro Light"/>
                <w:color w:val="221E1F"/>
                <w:sz w:val="16"/>
                <w:szCs w:val="16"/>
              </w:rPr>
              <w:t xml:space="preserve"> This acts as an automatic barrier to carers attempting to enter or re-enter the workforce. Carers should be able to request flexible working arrangements at any time, including upon commencement of employment. Employers should be better informed about the social and business benefits of employing carers and given advice about when adjustments can in fact be made.</w:t>
            </w:r>
          </w:p>
          <w:p w:rsidR="00A22A31" w:rsidRDefault="00B06216" w:rsidP="00A22A31">
            <w:pPr>
              <w:rPr>
                <w:rFonts w:cs="Myriad Pro Light"/>
                <w:color w:val="221E1F"/>
                <w:sz w:val="16"/>
                <w:szCs w:val="16"/>
              </w:rPr>
            </w:pPr>
            <w:r>
              <w:rPr>
                <w:rFonts w:cs="Myriad Pro Light"/>
                <w:color w:val="221E1F"/>
                <w:sz w:val="16"/>
                <w:szCs w:val="16"/>
              </w:rPr>
              <w:t xml:space="preserve"> </w:t>
            </w:r>
          </w:p>
          <w:p w:rsidR="00A22A31" w:rsidRPr="00A22A31" w:rsidRDefault="00A22A31" w:rsidP="00A22A31">
            <w:pPr>
              <w:rPr>
                <w:b/>
                <w:i/>
                <w:iCs/>
                <w:smallCaps/>
                <w:sz w:val="16"/>
                <w:szCs w:val="16"/>
              </w:rPr>
            </w:pPr>
          </w:p>
          <w:p w:rsidR="00A22A31" w:rsidRDefault="00A22A31" w:rsidP="00A22A31">
            <w:pPr>
              <w:rPr>
                <w:b/>
                <w:sz w:val="16"/>
                <w:szCs w:val="16"/>
              </w:rPr>
            </w:pPr>
            <w:r w:rsidRPr="00A22A31">
              <w:rPr>
                <w:b/>
                <w:sz w:val="16"/>
                <w:szCs w:val="16"/>
              </w:rPr>
              <w:t>What is the best way of ensuring that people on income support meet their obligations?</w:t>
            </w:r>
          </w:p>
          <w:p w:rsidR="00A22A31" w:rsidRPr="00A22A31" w:rsidRDefault="00A22A31" w:rsidP="008418EF">
            <w:pPr>
              <w:rPr>
                <w:rFonts w:cs="Myriad Pro Light"/>
                <w:color w:val="221E1F"/>
                <w:sz w:val="16"/>
                <w:szCs w:val="16"/>
              </w:rPr>
            </w:pPr>
          </w:p>
          <w:p w:rsidR="000D4019" w:rsidRDefault="000D4019" w:rsidP="000D4019">
            <w:pPr>
              <w:rPr>
                <w:rFonts w:cs="Myriad Pro Light"/>
                <w:color w:val="221E1F"/>
                <w:sz w:val="16"/>
                <w:szCs w:val="16"/>
              </w:rPr>
            </w:pPr>
            <w:r>
              <w:rPr>
                <w:rFonts w:cs="Myriad Pro Light"/>
                <w:color w:val="221E1F"/>
                <w:sz w:val="16"/>
                <w:szCs w:val="16"/>
              </w:rPr>
              <w:t>The report states that ‘p</w:t>
            </w:r>
            <w:r w:rsidR="00342649" w:rsidRPr="00A22A31">
              <w:rPr>
                <w:rFonts w:cs="Myriad Pro Light"/>
                <w:color w:val="221E1F"/>
                <w:sz w:val="16"/>
                <w:szCs w:val="16"/>
              </w:rPr>
              <w:t xml:space="preserve">articipation requirements should be accompanied by an appropriate and effective compliance framework. Effectiveness might be improved by giving employment service providers greater management of sanctions, including suspension and penalties. Protections would be </w:t>
            </w:r>
            <w:r>
              <w:rPr>
                <w:rFonts w:cs="Myriad Pro Light"/>
                <w:color w:val="221E1F"/>
                <w:sz w:val="16"/>
                <w:szCs w:val="16"/>
              </w:rPr>
              <w:t>required for vulnerable people.’</w:t>
            </w:r>
            <w:r w:rsidR="00342649" w:rsidRPr="00A22A31">
              <w:rPr>
                <w:rFonts w:cs="Myriad Pro Light"/>
                <w:color w:val="221E1F"/>
                <w:sz w:val="16"/>
                <w:szCs w:val="16"/>
              </w:rPr>
              <w:t xml:space="preserve"> </w:t>
            </w:r>
          </w:p>
          <w:p w:rsidR="000D4019" w:rsidRDefault="000D4019" w:rsidP="000D4019">
            <w:pPr>
              <w:rPr>
                <w:rFonts w:cs="Myriad Pro Light"/>
                <w:color w:val="221E1F"/>
                <w:sz w:val="16"/>
                <w:szCs w:val="16"/>
              </w:rPr>
            </w:pPr>
          </w:p>
          <w:p w:rsidR="00342649" w:rsidRPr="00C97160" w:rsidRDefault="00342649" w:rsidP="000D4019">
            <w:pPr>
              <w:rPr>
                <w:rFonts w:cs="Myriad Pro Light"/>
                <w:color w:val="221E1F"/>
                <w:sz w:val="18"/>
              </w:rPr>
            </w:pPr>
            <w:r w:rsidRPr="00A22A31">
              <w:rPr>
                <w:rFonts w:cs="Myriad Pro Light"/>
                <w:color w:val="221E1F"/>
                <w:sz w:val="16"/>
                <w:szCs w:val="16"/>
              </w:rPr>
              <w:t xml:space="preserve">More detail is needed here as to what is meant by </w:t>
            </w:r>
            <w:r w:rsidR="000D4019">
              <w:rPr>
                <w:rFonts w:cs="Myriad Pro Light"/>
                <w:color w:val="221E1F"/>
                <w:sz w:val="16"/>
                <w:szCs w:val="16"/>
              </w:rPr>
              <w:t>‘</w:t>
            </w:r>
            <w:r w:rsidRPr="00A22A31">
              <w:rPr>
                <w:rFonts w:cs="Myriad Pro Light"/>
                <w:color w:val="221E1F"/>
                <w:sz w:val="16"/>
                <w:szCs w:val="16"/>
              </w:rPr>
              <w:t>service providers</w:t>
            </w:r>
            <w:r w:rsidR="000D4019">
              <w:rPr>
                <w:rFonts w:cs="Myriad Pro Light"/>
                <w:color w:val="221E1F"/>
                <w:sz w:val="16"/>
                <w:szCs w:val="16"/>
              </w:rPr>
              <w:t>’</w:t>
            </w:r>
            <w:r w:rsidRPr="00A22A31">
              <w:rPr>
                <w:rFonts w:cs="Myriad Pro Light"/>
                <w:color w:val="221E1F"/>
                <w:sz w:val="16"/>
                <w:szCs w:val="16"/>
              </w:rPr>
              <w:t xml:space="preserve"> and what protections would be in place for whom. </w:t>
            </w:r>
            <w:r w:rsidR="000D4019">
              <w:rPr>
                <w:rFonts w:cs="Myriad Pro Light"/>
                <w:color w:val="221E1F"/>
                <w:sz w:val="16"/>
                <w:szCs w:val="16"/>
              </w:rPr>
              <w:t xml:space="preserve">As a Disability Employment Services, </w:t>
            </w:r>
            <w:proofErr w:type="spellStart"/>
            <w:r w:rsidR="000D4019">
              <w:rPr>
                <w:rFonts w:cs="Myriad Pro Light"/>
                <w:color w:val="221E1F"/>
                <w:sz w:val="16"/>
                <w:szCs w:val="16"/>
              </w:rPr>
              <w:t>Northcott</w:t>
            </w:r>
            <w:proofErr w:type="spellEnd"/>
            <w:r w:rsidR="000D4019">
              <w:rPr>
                <w:rFonts w:cs="Myriad Pro Light"/>
                <w:color w:val="221E1F"/>
                <w:sz w:val="16"/>
                <w:szCs w:val="16"/>
              </w:rPr>
              <w:t xml:space="preserve"> would not welcome a requirement to manage sanctions, suspensions or penalties on behalf of people we support.</w:t>
            </w:r>
            <w:r w:rsidRPr="00A22A31">
              <w:rPr>
                <w:rFonts w:cs="Myriad Pro Light"/>
                <w:color w:val="221E1F"/>
                <w:sz w:val="16"/>
                <w:szCs w:val="16"/>
              </w:rPr>
              <w:br/>
            </w:r>
            <w:r w:rsidRPr="00A22A31">
              <w:rPr>
                <w:rFonts w:cs="Myriad Pro Light"/>
                <w:color w:val="221E1F"/>
                <w:sz w:val="16"/>
                <w:szCs w:val="16"/>
              </w:rPr>
              <w:br/>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0D4019" w:rsidRDefault="000D4019" w:rsidP="008418EF">
            <w:pPr>
              <w:rPr>
                <w:rFonts w:cs="Myriad Pro Light"/>
                <w:b/>
                <w:color w:val="221E1F"/>
                <w:sz w:val="16"/>
                <w:szCs w:val="16"/>
              </w:rPr>
            </w:pPr>
            <w:r>
              <w:rPr>
                <w:rFonts w:cs="Myriad Pro Light"/>
                <w:b/>
                <w:color w:val="221E1F"/>
                <w:sz w:val="16"/>
                <w:szCs w:val="16"/>
              </w:rPr>
              <w:t>Investment model</w:t>
            </w:r>
          </w:p>
          <w:p w:rsidR="000D4019" w:rsidRPr="000D4019" w:rsidRDefault="000D4019" w:rsidP="008418EF">
            <w:pPr>
              <w:rPr>
                <w:rFonts w:cs="Myriad Pro Light"/>
                <w:b/>
                <w:color w:val="221E1F"/>
                <w:sz w:val="16"/>
                <w:szCs w:val="16"/>
              </w:rPr>
            </w:pPr>
          </w:p>
          <w:p w:rsidR="000D4019" w:rsidRDefault="000D4019" w:rsidP="008418EF">
            <w:pPr>
              <w:rPr>
                <w:rFonts w:cs="Myriad Pro Light"/>
                <w:color w:val="221E1F"/>
                <w:sz w:val="16"/>
                <w:szCs w:val="16"/>
              </w:rPr>
            </w:pPr>
            <w:proofErr w:type="spellStart"/>
            <w:r w:rsidRPr="000D4019">
              <w:rPr>
                <w:rFonts w:cs="Myriad Pro Light"/>
                <w:color w:val="221E1F"/>
                <w:sz w:val="16"/>
                <w:szCs w:val="16"/>
              </w:rPr>
              <w:t>Northcott</w:t>
            </w:r>
            <w:proofErr w:type="spellEnd"/>
            <w:r w:rsidR="004C27E2" w:rsidRPr="000D4019">
              <w:rPr>
                <w:rFonts w:cs="Myriad Pro Light"/>
                <w:color w:val="221E1F"/>
                <w:sz w:val="16"/>
                <w:szCs w:val="16"/>
              </w:rPr>
              <w:t xml:space="preserve"> support</w:t>
            </w:r>
            <w:r w:rsidRPr="000D4019">
              <w:rPr>
                <w:rFonts w:cs="Myriad Pro Light"/>
                <w:color w:val="221E1F"/>
                <w:sz w:val="16"/>
                <w:szCs w:val="16"/>
              </w:rPr>
              <w:t>s</w:t>
            </w:r>
            <w:r w:rsidR="004C27E2" w:rsidRPr="000D4019">
              <w:rPr>
                <w:rFonts w:cs="Myriad Pro Light"/>
                <w:color w:val="221E1F"/>
                <w:sz w:val="16"/>
                <w:szCs w:val="16"/>
              </w:rPr>
              <w:t xml:space="preserve"> the investment model of </w:t>
            </w:r>
            <w:r w:rsidRPr="000D4019">
              <w:rPr>
                <w:rFonts w:cs="Myriad Pro Light"/>
                <w:color w:val="221E1F"/>
                <w:sz w:val="16"/>
                <w:szCs w:val="16"/>
              </w:rPr>
              <w:t>social</w:t>
            </w:r>
            <w:r w:rsidR="004C27E2" w:rsidRPr="000D4019">
              <w:rPr>
                <w:rFonts w:cs="Myriad Pro Light"/>
                <w:color w:val="221E1F"/>
                <w:sz w:val="16"/>
                <w:szCs w:val="16"/>
              </w:rPr>
              <w:t xml:space="preserve"> spending</w:t>
            </w:r>
            <w:r>
              <w:rPr>
                <w:rFonts w:cs="Myriad Pro Light"/>
                <w:color w:val="221E1F"/>
                <w:sz w:val="16"/>
                <w:szCs w:val="16"/>
              </w:rPr>
              <w:t>. This model underpins the design of the NDIS, which we fully support, and has been shown through international examples</w:t>
            </w:r>
            <w:r w:rsidR="000923F2">
              <w:rPr>
                <w:rFonts w:cs="Myriad Pro Light"/>
                <w:color w:val="221E1F"/>
                <w:sz w:val="16"/>
                <w:szCs w:val="16"/>
              </w:rPr>
              <w:t xml:space="preserve"> to be an effective approach to achieving both positive social outcomes and long-term economic savings</w:t>
            </w:r>
            <w:r w:rsidR="004C27E2" w:rsidRPr="000D4019">
              <w:rPr>
                <w:rFonts w:cs="Myriad Pro Light"/>
                <w:color w:val="221E1F"/>
                <w:sz w:val="16"/>
                <w:szCs w:val="16"/>
              </w:rPr>
              <w:t>.</w:t>
            </w:r>
            <w:r w:rsidR="008418EF" w:rsidRPr="000D4019">
              <w:rPr>
                <w:rFonts w:cs="Myriad Pro Light"/>
                <w:color w:val="221E1F"/>
                <w:sz w:val="16"/>
                <w:szCs w:val="16"/>
              </w:rPr>
              <w:t xml:space="preserve"> </w:t>
            </w:r>
            <w:r>
              <w:rPr>
                <w:rFonts w:cs="Myriad Pro Light"/>
                <w:color w:val="221E1F"/>
                <w:sz w:val="16"/>
                <w:szCs w:val="16"/>
              </w:rPr>
              <w:t xml:space="preserve"> </w:t>
            </w:r>
            <w:r w:rsidR="008418EF" w:rsidRPr="000D4019">
              <w:rPr>
                <w:rFonts w:cs="Myriad Pro Light"/>
                <w:color w:val="221E1F"/>
                <w:sz w:val="16"/>
                <w:szCs w:val="16"/>
              </w:rPr>
              <w:t>This can apply easily to the cohort mentione</w:t>
            </w:r>
            <w:r w:rsidR="000923F2">
              <w:rPr>
                <w:rFonts w:cs="Myriad Pro Light"/>
                <w:color w:val="221E1F"/>
                <w:sz w:val="16"/>
                <w:szCs w:val="16"/>
              </w:rPr>
              <w:t>d in the NZ case study</w:t>
            </w:r>
            <w:r w:rsidR="008418EF" w:rsidRPr="000D4019">
              <w:rPr>
                <w:rFonts w:cs="Myriad Pro Light"/>
                <w:color w:val="221E1F"/>
                <w:sz w:val="16"/>
                <w:szCs w:val="16"/>
              </w:rPr>
              <w:t xml:space="preserve"> as well as to other cohorts. </w:t>
            </w:r>
            <w:r>
              <w:rPr>
                <w:rFonts w:cs="Myriad Pro Light"/>
                <w:color w:val="221E1F"/>
                <w:sz w:val="16"/>
                <w:szCs w:val="16"/>
              </w:rPr>
              <w:t>Early intervention</w:t>
            </w:r>
            <w:r w:rsidR="008418EF" w:rsidRPr="000D4019">
              <w:rPr>
                <w:rFonts w:cs="Myriad Pro Light"/>
                <w:color w:val="221E1F"/>
                <w:sz w:val="16"/>
                <w:szCs w:val="16"/>
              </w:rPr>
              <w:t xml:space="preserve"> in regards to employment options for young people with disability should als</w:t>
            </w:r>
            <w:r w:rsidR="000923F2">
              <w:rPr>
                <w:rFonts w:cs="Myriad Pro Light"/>
                <w:color w:val="221E1F"/>
                <w:sz w:val="16"/>
                <w:szCs w:val="16"/>
              </w:rPr>
              <w:t>o be considered in this review. There should be</w:t>
            </w:r>
            <w:r w:rsidR="008418EF" w:rsidRPr="000D4019">
              <w:rPr>
                <w:rFonts w:cs="Myriad Pro Light"/>
                <w:color w:val="221E1F"/>
                <w:sz w:val="16"/>
                <w:szCs w:val="16"/>
              </w:rPr>
              <w:t xml:space="preserve"> recognition that the skill-development activities offered to this cohort may require alternative delivery methods or timeframes.</w:t>
            </w:r>
            <w:r w:rsidR="008418EF" w:rsidRPr="000D4019">
              <w:rPr>
                <w:rFonts w:cs="Myriad Pro Light"/>
                <w:color w:val="221E1F"/>
                <w:sz w:val="16"/>
                <w:szCs w:val="16"/>
              </w:rPr>
              <w:br/>
            </w:r>
          </w:p>
          <w:p w:rsidR="000D4019" w:rsidRDefault="000D4019" w:rsidP="008418EF">
            <w:pPr>
              <w:rPr>
                <w:rFonts w:cs="Myriad Pro Light"/>
                <w:b/>
                <w:color w:val="221E1F"/>
                <w:sz w:val="16"/>
                <w:szCs w:val="16"/>
              </w:rPr>
            </w:pPr>
            <w:r>
              <w:rPr>
                <w:rFonts w:cs="Myriad Pro Light"/>
                <w:b/>
                <w:color w:val="221E1F"/>
                <w:sz w:val="16"/>
                <w:szCs w:val="16"/>
              </w:rPr>
              <w:t>Children at risk</w:t>
            </w:r>
          </w:p>
          <w:p w:rsidR="008418EF" w:rsidRDefault="008418EF" w:rsidP="008418EF">
            <w:pPr>
              <w:rPr>
                <w:rFonts w:cs="Myriad Pro Light"/>
                <w:color w:val="221E1F"/>
                <w:sz w:val="16"/>
                <w:szCs w:val="16"/>
              </w:rPr>
            </w:pPr>
            <w:r w:rsidRPr="000D4019">
              <w:rPr>
                <w:rFonts w:cs="Myriad Pro Light"/>
                <w:color w:val="221E1F"/>
                <w:sz w:val="16"/>
                <w:szCs w:val="16"/>
              </w:rPr>
              <w:br/>
              <w:t xml:space="preserve">Little </w:t>
            </w:r>
            <w:r w:rsidR="000923F2">
              <w:rPr>
                <w:rFonts w:cs="Myriad Pro Light"/>
                <w:color w:val="221E1F"/>
                <w:sz w:val="16"/>
                <w:szCs w:val="16"/>
              </w:rPr>
              <w:t xml:space="preserve">information </w:t>
            </w:r>
            <w:r w:rsidRPr="000D4019">
              <w:rPr>
                <w:rFonts w:cs="Myriad Pro Light"/>
                <w:color w:val="221E1F"/>
                <w:sz w:val="16"/>
                <w:szCs w:val="16"/>
              </w:rPr>
              <w:t>is given in the report which can guide an answer re</w:t>
            </w:r>
            <w:r w:rsidR="000923F2">
              <w:rPr>
                <w:rFonts w:cs="Myriad Pro Light"/>
                <w:color w:val="221E1F"/>
                <w:sz w:val="16"/>
                <w:szCs w:val="16"/>
              </w:rPr>
              <w:t>garding</w:t>
            </w:r>
            <w:r w:rsidR="00334A90">
              <w:rPr>
                <w:rFonts w:cs="Myriad Pro Light"/>
                <w:color w:val="221E1F"/>
                <w:sz w:val="16"/>
                <w:szCs w:val="16"/>
              </w:rPr>
              <w:t xml:space="preserve"> targeting</w:t>
            </w:r>
            <w:r w:rsidRPr="000D4019">
              <w:rPr>
                <w:rFonts w:cs="Myriad Pro Light"/>
                <w:color w:val="221E1F"/>
                <w:sz w:val="16"/>
                <w:szCs w:val="16"/>
              </w:rPr>
              <w:t xml:space="preserve"> children at risk given that no commentary was </w:t>
            </w:r>
            <w:r w:rsidR="000923F2">
              <w:rPr>
                <w:rFonts w:cs="Myriad Pro Light"/>
                <w:color w:val="221E1F"/>
                <w:sz w:val="16"/>
                <w:szCs w:val="16"/>
              </w:rPr>
              <w:t>provided</w:t>
            </w:r>
            <w:r w:rsidRPr="000D4019">
              <w:rPr>
                <w:rFonts w:cs="Myriad Pro Light"/>
                <w:color w:val="221E1F"/>
                <w:sz w:val="16"/>
                <w:szCs w:val="16"/>
              </w:rPr>
              <w:t xml:space="preserve"> about how the Commonwealth could work with the states</w:t>
            </w:r>
            <w:r w:rsidR="000923F2">
              <w:rPr>
                <w:rFonts w:cs="Myriad Pro Light"/>
                <w:color w:val="221E1F"/>
                <w:sz w:val="16"/>
                <w:szCs w:val="16"/>
              </w:rPr>
              <w:t xml:space="preserve"> and territories</w:t>
            </w:r>
            <w:r w:rsidRPr="000D4019">
              <w:rPr>
                <w:rFonts w:cs="Myriad Pro Light"/>
                <w:color w:val="221E1F"/>
                <w:sz w:val="16"/>
                <w:szCs w:val="16"/>
              </w:rPr>
              <w:t xml:space="preserve"> around this. Targeting services to families with at-risk children is particularly difficult given the involuntary nature of many statutory services and the not-quite-voluntary nature of other services which may be seen as pathways into statutory services. </w:t>
            </w:r>
            <w:r w:rsidR="000923F2">
              <w:rPr>
                <w:rFonts w:cs="Myriad Pro Light"/>
                <w:color w:val="221E1F"/>
                <w:sz w:val="16"/>
                <w:szCs w:val="16"/>
              </w:rPr>
              <w:t xml:space="preserve">Our experience in the delivery of Intensive Family Support </w:t>
            </w:r>
            <w:r w:rsidR="00334A90">
              <w:rPr>
                <w:rFonts w:cs="Myriad Pro Light"/>
                <w:color w:val="221E1F"/>
                <w:sz w:val="16"/>
                <w:szCs w:val="16"/>
              </w:rPr>
              <w:t xml:space="preserve">– a service established with the purpose of preventing premature entry into Out of Home Care for children with disability – </w:t>
            </w:r>
            <w:r w:rsidR="000923F2">
              <w:rPr>
                <w:rFonts w:cs="Myriad Pro Light"/>
                <w:color w:val="221E1F"/>
                <w:sz w:val="16"/>
                <w:szCs w:val="16"/>
              </w:rPr>
              <w:t xml:space="preserve">shows us that </w:t>
            </w:r>
            <w:r w:rsidR="00334A90">
              <w:rPr>
                <w:rFonts w:cs="Myriad Pro Light"/>
                <w:color w:val="221E1F"/>
                <w:sz w:val="16"/>
                <w:szCs w:val="16"/>
              </w:rPr>
              <w:t>families respond most willingly to service intervention when they feel they have referred themselves for a service rather than have had one forced upon them. Any support system developed as an outcome of this Welfare Review would need to be highly cognisant of this.</w:t>
            </w:r>
          </w:p>
          <w:p w:rsidR="00334A90" w:rsidRPr="00334A90" w:rsidRDefault="00334A90" w:rsidP="008418EF">
            <w:pPr>
              <w:rPr>
                <w:rFonts w:cs="Myriad Pro Light"/>
                <w:color w:val="221E1F"/>
                <w:sz w:val="16"/>
                <w:szCs w:val="16"/>
              </w:rPr>
            </w:pPr>
          </w:p>
        </w:tc>
      </w:tr>
    </w:tbl>
    <w:p w:rsidR="008C5A75" w:rsidRPr="008C5A75" w:rsidRDefault="008C5A75" w:rsidP="008C5A75"/>
    <w:p w:rsidR="001C2BE7" w:rsidRPr="008C5A75" w:rsidRDefault="001C2BE7" w:rsidP="008C5A75">
      <w:pPr>
        <w:pStyle w:val="Heading3"/>
      </w:pPr>
      <w:r w:rsidRPr="007D7F83">
        <w:lastRenderedPageBreak/>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334A90" w:rsidRDefault="00334A90" w:rsidP="00BB2D1E">
            <w:pPr>
              <w:rPr>
                <w:rFonts w:cs="Myriad Pro Light"/>
                <w:color w:val="221E1F"/>
                <w:sz w:val="16"/>
                <w:szCs w:val="16"/>
              </w:rPr>
            </w:pPr>
            <w:proofErr w:type="spellStart"/>
            <w:r w:rsidRPr="00334A90">
              <w:rPr>
                <w:rFonts w:cs="Myriad Pro Light"/>
                <w:color w:val="221E1F"/>
                <w:sz w:val="16"/>
                <w:szCs w:val="16"/>
              </w:rPr>
              <w:t>Northcott</w:t>
            </w:r>
            <w:proofErr w:type="spellEnd"/>
            <w:r w:rsidR="00BB2D1E" w:rsidRPr="00334A90">
              <w:rPr>
                <w:rFonts w:cs="Myriad Pro Light"/>
                <w:color w:val="221E1F"/>
                <w:sz w:val="16"/>
                <w:szCs w:val="16"/>
              </w:rPr>
              <w:t>, as well as other providers, offer</w:t>
            </w:r>
            <w:r>
              <w:rPr>
                <w:rFonts w:cs="Myriad Pro Light"/>
                <w:color w:val="221E1F"/>
                <w:sz w:val="16"/>
                <w:szCs w:val="16"/>
              </w:rPr>
              <w:t>s</w:t>
            </w:r>
            <w:r w:rsidR="00BB2D1E" w:rsidRPr="00334A90">
              <w:rPr>
                <w:rFonts w:cs="Myriad Pro Light"/>
                <w:color w:val="221E1F"/>
                <w:sz w:val="16"/>
                <w:szCs w:val="16"/>
              </w:rPr>
              <w:t xml:space="preserve"> a range of foundation and vocational skills supports and programs </w:t>
            </w:r>
            <w:r>
              <w:rPr>
                <w:rFonts w:cs="Myriad Pro Light"/>
                <w:color w:val="221E1F"/>
                <w:sz w:val="16"/>
                <w:szCs w:val="16"/>
              </w:rPr>
              <w:t xml:space="preserve">to people with disability who are seeking or preparing to seek work. </w:t>
            </w:r>
          </w:p>
          <w:p w:rsidR="00AF559E" w:rsidRDefault="00AF559E" w:rsidP="00BB2D1E">
            <w:pPr>
              <w:rPr>
                <w:rFonts w:cs="Myriad Pro Light"/>
                <w:color w:val="221E1F"/>
                <w:sz w:val="16"/>
                <w:szCs w:val="16"/>
              </w:rPr>
            </w:pPr>
          </w:p>
          <w:p w:rsidR="004D3C04" w:rsidRDefault="00334A90" w:rsidP="00BB2D1E">
            <w:pPr>
              <w:rPr>
                <w:rFonts w:cs="Myriad Pro Light"/>
                <w:color w:val="221E1F"/>
                <w:sz w:val="16"/>
                <w:szCs w:val="16"/>
              </w:rPr>
            </w:pPr>
            <w:r>
              <w:rPr>
                <w:rFonts w:cs="Myriad Pro Light"/>
                <w:color w:val="221E1F"/>
                <w:sz w:val="16"/>
                <w:szCs w:val="16"/>
              </w:rPr>
              <w:t>Our services include a</w:t>
            </w:r>
            <w:r w:rsidR="00BB2D1E" w:rsidRPr="00334A90">
              <w:rPr>
                <w:rFonts w:cs="Myriad Pro Light"/>
                <w:color w:val="221E1F"/>
                <w:sz w:val="16"/>
                <w:szCs w:val="16"/>
              </w:rPr>
              <w:t xml:space="preserve"> Transition to Work</w:t>
            </w:r>
            <w:r>
              <w:rPr>
                <w:rFonts w:cs="Myriad Pro Light"/>
                <w:color w:val="221E1F"/>
                <w:sz w:val="16"/>
                <w:szCs w:val="16"/>
              </w:rPr>
              <w:t xml:space="preserve"> program which is funded across NSW but not in other jurisdictions. This two-year job readiness program is targeted at school leavers who can be seen to have a future capacity for work but who are not yet ready to enter the job ma</w:t>
            </w:r>
            <w:r w:rsidR="004D3C04">
              <w:rPr>
                <w:rFonts w:cs="Myriad Pro Light"/>
                <w:color w:val="221E1F"/>
                <w:sz w:val="16"/>
                <w:szCs w:val="16"/>
              </w:rPr>
              <w:t>rket. Transition to Work participants access both group and individual learning opportunities to develop foundation and vocational skills, access work placements and receive support to develop a range of other life and social skills which will assist them to retain work in the future. This model of service could be offered to any school leaver</w:t>
            </w:r>
            <w:r w:rsidR="00BB2D1E" w:rsidRPr="00334A90">
              <w:rPr>
                <w:rFonts w:cs="Myriad Pro Light"/>
                <w:color w:val="221E1F"/>
                <w:sz w:val="16"/>
                <w:szCs w:val="16"/>
              </w:rPr>
              <w:t xml:space="preserve"> </w:t>
            </w:r>
            <w:r w:rsidR="004D3C04">
              <w:rPr>
                <w:rFonts w:cs="Myriad Pro Light"/>
                <w:color w:val="221E1F"/>
                <w:sz w:val="16"/>
                <w:szCs w:val="16"/>
              </w:rPr>
              <w:t>not yet ready to commence employment, with skill development modules offered based on the participants within a particular service, their development goals and vocational interests.</w:t>
            </w:r>
          </w:p>
          <w:p w:rsidR="00AF559E" w:rsidRDefault="00AF559E" w:rsidP="00BB2D1E">
            <w:pPr>
              <w:rPr>
                <w:rFonts w:cs="Myriad Pro Light"/>
                <w:color w:val="221E1F"/>
                <w:sz w:val="16"/>
                <w:szCs w:val="16"/>
              </w:rPr>
            </w:pPr>
          </w:p>
          <w:p w:rsidR="001C2BE7" w:rsidRDefault="004D3C04" w:rsidP="00BB2D1E">
            <w:pPr>
              <w:rPr>
                <w:rFonts w:cs="Myriad Pro Light"/>
                <w:color w:val="221E1F"/>
                <w:sz w:val="16"/>
                <w:szCs w:val="16"/>
              </w:rPr>
            </w:pPr>
            <w:r>
              <w:rPr>
                <w:rFonts w:cs="Myriad Pro Light"/>
                <w:color w:val="221E1F"/>
                <w:sz w:val="16"/>
                <w:szCs w:val="16"/>
              </w:rPr>
              <w:t>We are also a Disability Employment Service and offer employment support to people with disability in the open job market. Through this service we are able to provide one-on-one pre- and post-employment support to both job seekers/employees and their employers as well as job seeker hubs where people may access job boards and prepare job applications, as well as meet other job seekers and share experiences about what has helped them in finding and retaining employment. This mode</w:t>
            </w:r>
            <w:r w:rsidR="00AF559E">
              <w:rPr>
                <w:rFonts w:cs="Myriad Pro Light"/>
                <w:color w:val="221E1F"/>
                <w:sz w:val="16"/>
                <w:szCs w:val="16"/>
              </w:rPr>
              <w:t xml:space="preserve">l works, and achieves long-term employment outcomes for people with disability. The model could be supported to work more effectively and assist greater numbers of people with disability into employment if performance and compliance monitoring requirements were simplified. </w:t>
            </w:r>
          </w:p>
          <w:p w:rsidR="00AF559E" w:rsidRPr="00334A90" w:rsidRDefault="00AF559E" w:rsidP="00BB2D1E">
            <w:pPr>
              <w:rPr>
                <w:rFonts w:cs="Myriad Pro Light"/>
                <w:color w:val="221E1F"/>
                <w:sz w:val="16"/>
                <w:szCs w:val="16"/>
              </w:rPr>
            </w:pPr>
          </w:p>
          <w:p w:rsidR="00BB2D1E" w:rsidRPr="00AF559E" w:rsidRDefault="00BB2D1E" w:rsidP="00AF559E">
            <w:pPr>
              <w:pStyle w:val="Default"/>
              <w:rPr>
                <w:rFonts w:asciiTheme="minorHAnsi" w:hAnsiTheme="minorHAnsi" w:cs="Myriad Pro Light"/>
                <w:color w:val="221E1F"/>
                <w:sz w:val="16"/>
                <w:szCs w:val="16"/>
              </w:rPr>
            </w:pPr>
            <w:r w:rsidRPr="00AF559E">
              <w:rPr>
                <w:rFonts w:asciiTheme="minorHAnsi" w:hAnsiTheme="minorHAnsi" w:cs="Myriad Pro Light"/>
                <w:color w:val="221E1F"/>
                <w:sz w:val="16"/>
                <w:szCs w:val="16"/>
              </w:rPr>
              <w:t xml:space="preserve">Expansion of pathways to educational attainment could also make </w:t>
            </w:r>
            <w:r w:rsidR="00AF559E" w:rsidRPr="00AF559E">
              <w:rPr>
                <w:rFonts w:asciiTheme="minorHAnsi" w:hAnsiTheme="minorHAnsi" w:cs="Myriad Pro Light"/>
                <w:color w:val="221E1F"/>
                <w:sz w:val="16"/>
                <w:szCs w:val="16"/>
              </w:rPr>
              <w:t xml:space="preserve">the pursuit of </w:t>
            </w:r>
            <w:r w:rsidRPr="00AF559E">
              <w:rPr>
                <w:rFonts w:asciiTheme="minorHAnsi" w:hAnsiTheme="minorHAnsi" w:cs="Myriad Pro Light"/>
                <w:color w:val="221E1F"/>
                <w:sz w:val="16"/>
                <w:szCs w:val="16"/>
              </w:rPr>
              <w:t>qualifications an option for more young people</w:t>
            </w:r>
            <w:r w:rsidR="00AF559E" w:rsidRPr="00AF559E">
              <w:rPr>
                <w:rFonts w:asciiTheme="minorHAnsi" w:hAnsiTheme="minorHAnsi" w:cs="Myriad Pro Light"/>
                <w:color w:val="221E1F"/>
                <w:sz w:val="16"/>
                <w:szCs w:val="16"/>
              </w:rPr>
              <w:t>, including young people with disability</w:t>
            </w:r>
            <w:r w:rsidRPr="00AF559E">
              <w:rPr>
                <w:rFonts w:asciiTheme="minorHAnsi" w:hAnsiTheme="minorHAnsi" w:cs="Myriad Pro Light"/>
                <w:color w:val="221E1F"/>
                <w:sz w:val="16"/>
                <w:szCs w:val="16"/>
              </w:rPr>
              <w:t xml:space="preserve">. Recent TAFE cuts </w:t>
            </w:r>
            <w:r w:rsidR="00AF559E" w:rsidRPr="00AF559E">
              <w:rPr>
                <w:rFonts w:asciiTheme="minorHAnsi" w:hAnsiTheme="minorHAnsi" w:cs="Myriad Pro Light"/>
                <w:color w:val="221E1F"/>
                <w:sz w:val="16"/>
                <w:szCs w:val="16"/>
              </w:rPr>
              <w:t xml:space="preserve">in a number of jurisdictions, including NSW, </w:t>
            </w:r>
            <w:r w:rsidRPr="00AF559E">
              <w:rPr>
                <w:rFonts w:asciiTheme="minorHAnsi" w:hAnsiTheme="minorHAnsi" w:cs="Myriad Pro Light"/>
                <w:color w:val="221E1F"/>
                <w:sz w:val="16"/>
                <w:szCs w:val="16"/>
              </w:rPr>
              <w:t>work against this</w:t>
            </w:r>
            <w:r w:rsidR="00AF559E" w:rsidRPr="00AF559E">
              <w:rPr>
                <w:rFonts w:asciiTheme="minorHAnsi" w:hAnsiTheme="minorHAnsi" w:cs="Myriad Pro Light"/>
                <w:color w:val="221E1F"/>
                <w:sz w:val="16"/>
                <w:szCs w:val="16"/>
              </w:rPr>
              <w:t>.</w:t>
            </w:r>
            <w:r w:rsidR="00AF559E">
              <w:rPr>
                <w:rFonts w:cs="Myriad Pro Light"/>
                <w:color w:val="221E1F"/>
                <w:sz w:val="16"/>
                <w:szCs w:val="16"/>
              </w:rPr>
              <w:t xml:space="preserve"> </w:t>
            </w:r>
            <w:r w:rsidR="00AF559E" w:rsidRPr="00AF559E">
              <w:rPr>
                <w:rFonts w:asciiTheme="minorHAnsi" w:hAnsiTheme="minorHAnsi" w:cs="Myriad Pro Light"/>
                <w:color w:val="221E1F"/>
                <w:sz w:val="16"/>
                <w:szCs w:val="16"/>
              </w:rPr>
              <w:t xml:space="preserve">Many </w:t>
            </w:r>
            <w:r w:rsidR="00AF559E">
              <w:rPr>
                <w:rFonts w:asciiTheme="minorHAnsi" w:hAnsiTheme="minorHAnsi" w:cs="Myriad Pro Light"/>
                <w:color w:val="221E1F"/>
                <w:sz w:val="16"/>
                <w:szCs w:val="16"/>
              </w:rPr>
              <w:t>people with disability</w:t>
            </w:r>
            <w:r w:rsidR="00AF559E" w:rsidRPr="00AF559E">
              <w:rPr>
                <w:rFonts w:asciiTheme="minorHAnsi" w:hAnsiTheme="minorHAnsi" w:cs="Myriad Pro Light"/>
                <w:color w:val="221E1F"/>
                <w:sz w:val="16"/>
                <w:szCs w:val="16"/>
              </w:rPr>
              <w:t xml:space="preserve"> have complex learning support requirements such as </w:t>
            </w:r>
            <w:proofErr w:type="spellStart"/>
            <w:r w:rsidR="00AF559E" w:rsidRPr="00AF559E">
              <w:rPr>
                <w:rFonts w:asciiTheme="minorHAnsi" w:hAnsiTheme="minorHAnsi" w:cs="Myriad Pro Light"/>
                <w:color w:val="221E1F"/>
                <w:sz w:val="16"/>
                <w:szCs w:val="16"/>
              </w:rPr>
              <w:t>Auslan</w:t>
            </w:r>
            <w:proofErr w:type="spellEnd"/>
            <w:r w:rsidR="00AF559E" w:rsidRPr="00AF559E">
              <w:rPr>
                <w:rFonts w:asciiTheme="minorHAnsi" w:hAnsiTheme="minorHAnsi" w:cs="Myriad Pro Light"/>
                <w:color w:val="221E1F"/>
                <w:sz w:val="16"/>
                <w:szCs w:val="16"/>
              </w:rPr>
              <w:t xml:space="preserve"> interpreters, note-takers, reader/writers, 1:1 learner support, mentoring, counselling and advocacy and others. All of these supports require a substantial time investment by a designated person (interpreter, mentor, counsellor, </w:t>
            </w:r>
            <w:proofErr w:type="spellStart"/>
            <w:r w:rsidR="00AF559E" w:rsidRPr="00AF559E">
              <w:rPr>
                <w:rFonts w:asciiTheme="minorHAnsi" w:hAnsiTheme="minorHAnsi" w:cs="Myriad Pro Light"/>
                <w:color w:val="221E1F"/>
                <w:sz w:val="16"/>
                <w:szCs w:val="16"/>
              </w:rPr>
              <w:t>etc</w:t>
            </w:r>
            <w:proofErr w:type="spellEnd"/>
            <w:r w:rsidR="00AF559E" w:rsidRPr="00AF559E">
              <w:rPr>
                <w:rFonts w:asciiTheme="minorHAnsi" w:hAnsiTheme="minorHAnsi" w:cs="Myriad Pro Light"/>
                <w:color w:val="221E1F"/>
                <w:sz w:val="16"/>
                <w:szCs w:val="16"/>
              </w:rPr>
              <w:t xml:space="preserve">). </w:t>
            </w:r>
            <w:r w:rsidR="00AF559E">
              <w:rPr>
                <w:rFonts w:asciiTheme="minorHAnsi" w:hAnsiTheme="minorHAnsi" w:cs="Myriad Pro Light"/>
                <w:color w:val="221E1F"/>
                <w:sz w:val="16"/>
                <w:szCs w:val="16"/>
              </w:rPr>
              <w:t xml:space="preserve"> </w:t>
            </w:r>
            <w:r w:rsidR="00AF559E" w:rsidRPr="00AF559E">
              <w:rPr>
                <w:rFonts w:asciiTheme="minorHAnsi" w:hAnsiTheme="minorHAnsi" w:cs="Myriad Pro Light"/>
                <w:color w:val="221E1F"/>
                <w:sz w:val="16"/>
                <w:szCs w:val="16"/>
              </w:rPr>
              <w:t>Without the</w:t>
            </w:r>
            <w:r w:rsidR="00AF559E">
              <w:rPr>
                <w:rFonts w:asciiTheme="minorHAnsi" w:hAnsiTheme="minorHAnsi" w:cs="Myriad Pro Light"/>
                <w:color w:val="221E1F"/>
                <w:sz w:val="16"/>
                <w:szCs w:val="16"/>
              </w:rPr>
              <w:t>se</w:t>
            </w:r>
            <w:r w:rsidR="00AF559E" w:rsidRPr="00AF559E">
              <w:rPr>
                <w:rFonts w:asciiTheme="minorHAnsi" w:hAnsiTheme="minorHAnsi" w:cs="Myriad Pro Light"/>
                <w:color w:val="221E1F"/>
                <w:sz w:val="16"/>
                <w:szCs w:val="16"/>
              </w:rPr>
              <w:t xml:space="preserve"> s</w:t>
            </w:r>
            <w:r w:rsidR="00AF559E">
              <w:rPr>
                <w:rFonts w:asciiTheme="minorHAnsi" w:hAnsiTheme="minorHAnsi" w:cs="Myriad Pro Light"/>
                <w:color w:val="221E1F"/>
                <w:sz w:val="16"/>
                <w:szCs w:val="16"/>
              </w:rPr>
              <w:t>upport options</w:t>
            </w:r>
            <w:r w:rsidR="00AF559E" w:rsidRPr="00AF559E">
              <w:rPr>
                <w:rFonts w:asciiTheme="minorHAnsi" w:hAnsiTheme="minorHAnsi" w:cs="Myriad Pro Light"/>
                <w:color w:val="221E1F"/>
                <w:sz w:val="16"/>
                <w:szCs w:val="16"/>
              </w:rPr>
              <w:t xml:space="preserve">, many students with disability would not be able to complete their chosen course. This creates barriers to workforce participation and engagement in civic life. These students have the right to access education and, with the right support, the capacity to go on to have meaningful and fulfilling careers. </w:t>
            </w:r>
          </w:p>
          <w:p w:rsidR="00AF559E" w:rsidRPr="00334A90" w:rsidRDefault="00AF559E" w:rsidP="00BB2D1E">
            <w:pPr>
              <w:rPr>
                <w:rFonts w:cs="Myriad Pro Light"/>
                <w:color w:val="221E1F"/>
                <w:sz w:val="16"/>
                <w:szCs w:val="16"/>
              </w:rPr>
            </w:pPr>
          </w:p>
          <w:p w:rsidR="00BB2D1E" w:rsidRPr="00334A90" w:rsidRDefault="00AF559E" w:rsidP="00BB2D1E">
            <w:pPr>
              <w:rPr>
                <w:rFonts w:cs="Myriad Pro Light"/>
                <w:color w:val="221E1F"/>
                <w:sz w:val="16"/>
                <w:szCs w:val="16"/>
              </w:rPr>
            </w:pPr>
            <w:r>
              <w:rPr>
                <w:rFonts w:cs="Myriad Pro Light"/>
                <w:color w:val="221E1F"/>
                <w:sz w:val="16"/>
                <w:szCs w:val="16"/>
              </w:rPr>
              <w:t>Having available a</w:t>
            </w:r>
            <w:r w:rsidR="00BB2D1E" w:rsidRPr="00334A90">
              <w:rPr>
                <w:rFonts w:cs="Myriad Pro Light"/>
                <w:color w:val="221E1F"/>
                <w:sz w:val="16"/>
                <w:szCs w:val="16"/>
              </w:rPr>
              <w:t xml:space="preserve"> wide range of educational supports will be the best option for the greatest number </w:t>
            </w:r>
            <w:r w:rsidR="008B6FC6" w:rsidRPr="00334A90">
              <w:rPr>
                <w:rFonts w:cs="Myriad Pro Light"/>
                <w:color w:val="221E1F"/>
                <w:sz w:val="16"/>
                <w:szCs w:val="16"/>
              </w:rPr>
              <w:t>of young people to attain qual</w:t>
            </w:r>
            <w:r w:rsidR="002E38F1">
              <w:rPr>
                <w:rFonts w:cs="Myriad Pro Light"/>
                <w:color w:val="221E1F"/>
                <w:sz w:val="16"/>
                <w:szCs w:val="16"/>
              </w:rPr>
              <w:t>ification</w:t>
            </w:r>
            <w:r w:rsidR="008B6FC6" w:rsidRPr="00334A90">
              <w:rPr>
                <w:rFonts w:cs="Myriad Pro Light"/>
                <w:color w:val="221E1F"/>
                <w:sz w:val="16"/>
                <w:szCs w:val="16"/>
              </w:rPr>
              <w:t>s and commence work, including young people with disability.</w:t>
            </w:r>
          </w:p>
          <w:p w:rsidR="008B6FC6" w:rsidRPr="00BB2D1E" w:rsidRDefault="008B6FC6" w:rsidP="00BB2D1E">
            <w:pPr>
              <w:rPr>
                <w:iCs/>
                <w:smallCaps/>
              </w:rPr>
            </w:pP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2E38F1" w:rsidRDefault="008B6FC6" w:rsidP="008B6FC6">
            <w:pPr>
              <w:rPr>
                <w:rFonts w:cs="Myriad Pro Light"/>
                <w:b/>
                <w:color w:val="221E1F"/>
                <w:sz w:val="16"/>
                <w:szCs w:val="16"/>
              </w:rPr>
            </w:pPr>
            <w:r w:rsidRPr="002E38F1">
              <w:rPr>
                <w:rFonts w:cs="Myriad Pro Light"/>
                <w:b/>
                <w:color w:val="221E1F"/>
                <w:sz w:val="16"/>
                <w:szCs w:val="16"/>
              </w:rPr>
              <w:t xml:space="preserve">Family functioning </w:t>
            </w:r>
          </w:p>
          <w:p w:rsidR="002E38F1" w:rsidRPr="002E38F1" w:rsidRDefault="002E38F1" w:rsidP="008B6FC6">
            <w:pPr>
              <w:rPr>
                <w:rFonts w:cs="Myriad Pro Light"/>
                <w:b/>
                <w:color w:val="221E1F"/>
                <w:sz w:val="16"/>
                <w:szCs w:val="16"/>
              </w:rPr>
            </w:pPr>
          </w:p>
          <w:p w:rsidR="002E38F1" w:rsidRDefault="002E38F1" w:rsidP="008B6FC6">
            <w:pPr>
              <w:rPr>
                <w:rFonts w:cs="Myriad Pro Light"/>
                <w:color w:val="221E1F"/>
                <w:sz w:val="16"/>
                <w:szCs w:val="16"/>
              </w:rPr>
            </w:pPr>
            <w:r w:rsidRPr="002E38F1">
              <w:rPr>
                <w:rFonts w:cs="Myriad Pro Light"/>
                <w:color w:val="221E1F"/>
                <w:sz w:val="16"/>
                <w:szCs w:val="16"/>
              </w:rPr>
              <w:t xml:space="preserve">The report suggests parenting skills training as a mutual obligation strategy aimed at improving family functioning. </w:t>
            </w:r>
            <w:r w:rsidR="008B6FC6" w:rsidRPr="002E38F1">
              <w:rPr>
                <w:rFonts w:cs="Myriad Pro Light"/>
                <w:color w:val="221E1F"/>
                <w:sz w:val="16"/>
                <w:szCs w:val="16"/>
              </w:rPr>
              <w:t xml:space="preserve"> </w:t>
            </w:r>
            <w:r>
              <w:rPr>
                <w:rFonts w:cs="Myriad Pro Light"/>
                <w:color w:val="221E1F"/>
                <w:sz w:val="16"/>
                <w:szCs w:val="16"/>
              </w:rPr>
              <w:t>This could be an appropriate</w:t>
            </w:r>
            <w:r w:rsidR="008B6FC6" w:rsidRPr="002E38F1">
              <w:rPr>
                <w:rFonts w:cs="Myriad Pro Light"/>
                <w:color w:val="221E1F"/>
                <w:sz w:val="16"/>
                <w:szCs w:val="16"/>
              </w:rPr>
              <w:t xml:space="preserve"> option</w:t>
            </w:r>
            <w:r>
              <w:rPr>
                <w:rFonts w:cs="Myriad Pro Light"/>
                <w:color w:val="221E1F"/>
                <w:sz w:val="16"/>
                <w:szCs w:val="16"/>
              </w:rPr>
              <w:t xml:space="preserve"> for some families</w:t>
            </w:r>
            <w:r w:rsidR="008B6FC6" w:rsidRPr="002E38F1">
              <w:rPr>
                <w:rFonts w:cs="Myriad Pro Light"/>
                <w:color w:val="221E1F"/>
                <w:sz w:val="16"/>
                <w:szCs w:val="16"/>
              </w:rPr>
              <w:t xml:space="preserve">. </w:t>
            </w:r>
            <w:r>
              <w:rPr>
                <w:rFonts w:cs="Myriad Pro Light"/>
                <w:color w:val="221E1F"/>
                <w:sz w:val="16"/>
                <w:szCs w:val="16"/>
              </w:rPr>
              <w:t>Policymakers would need to be aware, however, of</w:t>
            </w:r>
            <w:r w:rsidR="008B6FC6" w:rsidRPr="002E38F1">
              <w:rPr>
                <w:rFonts w:cs="Myriad Pro Light"/>
                <w:color w:val="221E1F"/>
                <w:sz w:val="16"/>
                <w:szCs w:val="16"/>
              </w:rPr>
              <w:t xml:space="preserve"> the issue of forced compliance and whether or not this </w:t>
            </w:r>
            <w:r>
              <w:rPr>
                <w:rFonts w:cs="Myriad Pro Light"/>
                <w:color w:val="221E1F"/>
                <w:sz w:val="16"/>
                <w:szCs w:val="16"/>
              </w:rPr>
              <w:t xml:space="preserve">strategy </w:t>
            </w:r>
            <w:r w:rsidR="008B6FC6" w:rsidRPr="002E38F1">
              <w:rPr>
                <w:rFonts w:cs="Myriad Pro Light"/>
                <w:color w:val="221E1F"/>
                <w:sz w:val="16"/>
                <w:szCs w:val="16"/>
              </w:rPr>
              <w:t>will actually have</w:t>
            </w:r>
            <w:r>
              <w:rPr>
                <w:rFonts w:cs="Myriad Pro Light"/>
                <w:color w:val="221E1F"/>
                <w:sz w:val="16"/>
                <w:szCs w:val="16"/>
              </w:rPr>
              <w:t xml:space="preserve"> its</w:t>
            </w:r>
            <w:r w:rsidR="008B6FC6" w:rsidRPr="002E38F1">
              <w:rPr>
                <w:rFonts w:cs="Myriad Pro Light"/>
                <w:color w:val="221E1F"/>
                <w:sz w:val="16"/>
                <w:szCs w:val="16"/>
              </w:rPr>
              <w:t xml:space="preserve"> intended effects</w:t>
            </w:r>
            <w:r w:rsidR="006A4304" w:rsidRPr="002E38F1">
              <w:rPr>
                <w:rFonts w:cs="Myriad Pro Light"/>
                <w:color w:val="221E1F"/>
                <w:sz w:val="16"/>
                <w:szCs w:val="16"/>
              </w:rPr>
              <w:t xml:space="preserve">. </w:t>
            </w:r>
            <w:r>
              <w:rPr>
                <w:rFonts w:cs="Myriad Pro Light"/>
                <w:color w:val="221E1F"/>
                <w:sz w:val="16"/>
                <w:szCs w:val="16"/>
              </w:rPr>
              <w:t xml:space="preserve">A better idea may be to offer </w:t>
            </w:r>
            <w:r w:rsidR="006A4304" w:rsidRPr="002E38F1">
              <w:rPr>
                <w:rFonts w:cs="Myriad Pro Light"/>
                <w:color w:val="221E1F"/>
                <w:sz w:val="16"/>
                <w:szCs w:val="16"/>
              </w:rPr>
              <w:t>a suite of options</w:t>
            </w:r>
            <w:r>
              <w:rPr>
                <w:rFonts w:cs="Myriad Pro Light"/>
                <w:color w:val="221E1F"/>
                <w:sz w:val="16"/>
                <w:szCs w:val="16"/>
              </w:rPr>
              <w:t xml:space="preserve"> focused on improving functioning,</w:t>
            </w:r>
            <w:r w:rsidR="006A4304" w:rsidRPr="002E38F1">
              <w:rPr>
                <w:rFonts w:cs="Myriad Pro Light"/>
                <w:color w:val="221E1F"/>
                <w:sz w:val="16"/>
                <w:szCs w:val="16"/>
              </w:rPr>
              <w:t xml:space="preserve"> including parenting skills, respectful relationshi</w:t>
            </w:r>
            <w:r>
              <w:rPr>
                <w:rFonts w:cs="Myriad Pro Light"/>
                <w:color w:val="221E1F"/>
                <w:sz w:val="16"/>
                <w:szCs w:val="16"/>
              </w:rPr>
              <w:t xml:space="preserve">ps, mental health </w:t>
            </w:r>
            <w:proofErr w:type="spellStart"/>
            <w:r>
              <w:rPr>
                <w:rFonts w:cs="Myriad Pro Light"/>
                <w:color w:val="221E1F"/>
                <w:sz w:val="16"/>
                <w:szCs w:val="16"/>
              </w:rPr>
              <w:t>self care</w:t>
            </w:r>
            <w:proofErr w:type="spellEnd"/>
            <w:r>
              <w:rPr>
                <w:rFonts w:cs="Myriad Pro Light"/>
                <w:color w:val="221E1F"/>
                <w:sz w:val="16"/>
                <w:szCs w:val="16"/>
              </w:rPr>
              <w:t>, and more. Participants could choose the</w:t>
            </w:r>
            <w:r w:rsidR="006A4304" w:rsidRPr="002E38F1">
              <w:rPr>
                <w:rFonts w:cs="Myriad Pro Light"/>
                <w:color w:val="221E1F"/>
                <w:sz w:val="16"/>
                <w:szCs w:val="16"/>
              </w:rPr>
              <w:t xml:space="preserve"> course</w:t>
            </w:r>
            <w:r>
              <w:rPr>
                <w:rFonts w:cs="Myriad Pro Light"/>
                <w:color w:val="221E1F"/>
                <w:sz w:val="16"/>
                <w:szCs w:val="16"/>
              </w:rPr>
              <w:t>(s) that were most relevant for them, ensuring that people are empowered to make their own assessments of their psychosocial needs and improving chances of engagement in the training.</w:t>
            </w:r>
          </w:p>
          <w:p w:rsidR="002E38F1" w:rsidRDefault="002E38F1" w:rsidP="008B6FC6">
            <w:pPr>
              <w:rPr>
                <w:rFonts w:cs="Myriad Pro Light"/>
                <w:color w:val="221E1F"/>
                <w:sz w:val="16"/>
                <w:szCs w:val="16"/>
              </w:rPr>
            </w:pPr>
          </w:p>
          <w:p w:rsidR="002E38F1" w:rsidRDefault="002E38F1" w:rsidP="008B6FC6">
            <w:pPr>
              <w:rPr>
                <w:rFonts w:cs="Myriad Pro Light"/>
                <w:color w:val="221E1F"/>
                <w:sz w:val="16"/>
                <w:szCs w:val="16"/>
              </w:rPr>
            </w:pPr>
            <w:r>
              <w:rPr>
                <w:rFonts w:cs="Myriad Pro Light"/>
                <w:color w:val="221E1F"/>
                <w:sz w:val="16"/>
                <w:szCs w:val="16"/>
              </w:rPr>
              <w:t>A range of delivery methods should also be considered, so that people in regional and remote areas are also able to make these choices. Online delivery</w:t>
            </w:r>
            <w:r w:rsidR="000E4B7A">
              <w:rPr>
                <w:rFonts w:cs="Myriad Pro Light"/>
                <w:color w:val="221E1F"/>
                <w:sz w:val="16"/>
                <w:szCs w:val="16"/>
              </w:rPr>
              <w:t xml:space="preserve"> could be one option, either from a person’s home computer or from a Job Centre.</w:t>
            </w:r>
          </w:p>
          <w:p w:rsidR="002E38F1" w:rsidRDefault="002E38F1" w:rsidP="008B6FC6">
            <w:pPr>
              <w:rPr>
                <w:rFonts w:cs="Myriad Pro Light"/>
                <w:color w:val="221E1F"/>
                <w:sz w:val="16"/>
                <w:szCs w:val="16"/>
              </w:rPr>
            </w:pPr>
          </w:p>
          <w:p w:rsidR="002E38F1" w:rsidRPr="002E38F1" w:rsidRDefault="002E38F1" w:rsidP="008B6FC6">
            <w:pPr>
              <w:rPr>
                <w:rFonts w:cs="Myriad Pro Light"/>
                <w:b/>
                <w:color w:val="221E1F"/>
                <w:sz w:val="16"/>
                <w:szCs w:val="16"/>
              </w:rPr>
            </w:pPr>
            <w:r>
              <w:rPr>
                <w:rFonts w:cs="Myriad Pro Light"/>
                <w:b/>
                <w:color w:val="221E1F"/>
                <w:sz w:val="16"/>
                <w:szCs w:val="16"/>
              </w:rPr>
              <w:t>People with complex needs</w:t>
            </w:r>
          </w:p>
          <w:p w:rsidR="002E38F1" w:rsidRDefault="002E38F1" w:rsidP="008B6FC6">
            <w:pPr>
              <w:rPr>
                <w:rFonts w:cs="Myriad Pro Light"/>
                <w:color w:val="221E1F"/>
                <w:sz w:val="16"/>
                <w:szCs w:val="16"/>
              </w:rPr>
            </w:pPr>
          </w:p>
          <w:p w:rsidR="006A4304" w:rsidRPr="002E38F1" w:rsidRDefault="002E38F1" w:rsidP="008B6FC6">
            <w:pPr>
              <w:rPr>
                <w:rFonts w:cs="Myriad Pro Light"/>
                <w:color w:val="221E1F"/>
                <w:sz w:val="16"/>
                <w:szCs w:val="16"/>
              </w:rPr>
            </w:pPr>
            <w:r>
              <w:rPr>
                <w:rFonts w:cs="Myriad Pro Light"/>
                <w:color w:val="221E1F"/>
                <w:sz w:val="16"/>
                <w:szCs w:val="16"/>
              </w:rPr>
              <w:t>The same model could be applied to people with complex needs, whether those needs are associated with mental health, disability or other personal circumstances.</w:t>
            </w:r>
            <w:r w:rsidR="006A4304" w:rsidRPr="002E38F1">
              <w:rPr>
                <w:rFonts w:cs="Myriad Pro Light"/>
                <w:color w:val="221E1F"/>
                <w:sz w:val="16"/>
                <w:szCs w:val="16"/>
              </w:rPr>
              <w:t xml:space="preserve"> </w:t>
            </w:r>
            <w:r>
              <w:rPr>
                <w:rFonts w:cs="Myriad Pro Light"/>
                <w:color w:val="221E1F"/>
                <w:sz w:val="16"/>
                <w:szCs w:val="16"/>
              </w:rPr>
              <w:t>For this cohort, s</w:t>
            </w:r>
            <w:r w:rsidRPr="002E38F1">
              <w:rPr>
                <w:rFonts w:cs="Myriad Pro Light"/>
                <w:color w:val="221E1F"/>
                <w:sz w:val="16"/>
                <w:szCs w:val="16"/>
              </w:rPr>
              <w:t xml:space="preserve">ervices need to be responsive to changing needs, and able to respond quickly. The NDIS gives a good model for this, with changes in circumstance able to be reviewed and </w:t>
            </w:r>
            <w:r>
              <w:rPr>
                <w:rFonts w:cs="Myriad Pro Light"/>
                <w:color w:val="221E1F"/>
                <w:sz w:val="16"/>
                <w:szCs w:val="16"/>
              </w:rPr>
              <w:t xml:space="preserve">support </w:t>
            </w:r>
            <w:r w:rsidRPr="002E38F1">
              <w:rPr>
                <w:rFonts w:cs="Myriad Pro Light"/>
                <w:color w:val="221E1F"/>
                <w:sz w:val="16"/>
                <w:szCs w:val="16"/>
              </w:rPr>
              <w:t>packages altered within two days.</w:t>
            </w:r>
            <w:r w:rsidR="000E4B7A">
              <w:rPr>
                <w:rFonts w:cs="Myriad Pro Light"/>
                <w:color w:val="221E1F"/>
                <w:sz w:val="16"/>
                <w:szCs w:val="16"/>
              </w:rPr>
              <w:t xml:space="preserve"> Requirements to engage in capacity building activities such as those being discussed here could operate on a continuum based on the person’s wellness and work capacity, with engagement in capacity building activities bridging the gap between </w:t>
            </w:r>
            <w:r w:rsidR="00624F5D">
              <w:rPr>
                <w:rFonts w:cs="Myriad Pro Light"/>
                <w:color w:val="221E1F"/>
                <w:sz w:val="16"/>
                <w:szCs w:val="16"/>
              </w:rPr>
              <w:t>a</w:t>
            </w:r>
            <w:r w:rsidR="000E4B7A">
              <w:rPr>
                <w:rFonts w:cs="Myriad Pro Light"/>
                <w:color w:val="221E1F"/>
                <w:sz w:val="16"/>
                <w:szCs w:val="16"/>
              </w:rPr>
              <w:t xml:space="preserve"> person’s inability and ability to work.</w:t>
            </w:r>
          </w:p>
          <w:p w:rsidR="001C2BE7" w:rsidRDefault="001C2BE7" w:rsidP="008B6FC6">
            <w:pPr>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8C5A75" w:rsidRPr="000E4B7A" w:rsidRDefault="001C2BE7" w:rsidP="008C5A75">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D05505" w:rsidRDefault="000E4B7A" w:rsidP="000E4B7A">
            <w:pPr>
              <w:rPr>
                <w:rFonts w:cs="Myriad Pro Light"/>
                <w:color w:val="221E1F"/>
                <w:sz w:val="16"/>
                <w:szCs w:val="16"/>
              </w:rPr>
            </w:pPr>
            <w:r w:rsidRPr="000E4B7A">
              <w:rPr>
                <w:rFonts w:cs="Myriad Pro Light"/>
                <w:color w:val="221E1F"/>
                <w:sz w:val="16"/>
                <w:szCs w:val="16"/>
              </w:rPr>
              <w:t>Earlier in this submission, we have described</w:t>
            </w:r>
            <w:r>
              <w:rPr>
                <w:rFonts w:cs="Myriad Pro Light"/>
                <w:color w:val="221E1F"/>
                <w:sz w:val="16"/>
                <w:szCs w:val="16"/>
              </w:rPr>
              <w:t xml:space="preserve"> out Transition to Work program as a pre-vocational option for school leavers who will have future work capacity. This program ought to be more widely available, as part of a continuum of employment supports available depending on a person’s varying needs and skills</w:t>
            </w:r>
            <w:r w:rsidR="007B780C" w:rsidRPr="000E4B7A">
              <w:rPr>
                <w:rFonts w:cs="Myriad Pro Light"/>
                <w:color w:val="221E1F"/>
                <w:sz w:val="16"/>
                <w:szCs w:val="16"/>
              </w:rPr>
              <w:t>.</w:t>
            </w:r>
            <w:r>
              <w:rPr>
                <w:rFonts w:cs="Myriad Pro Light"/>
                <w:color w:val="221E1F"/>
                <w:sz w:val="16"/>
                <w:szCs w:val="16"/>
              </w:rPr>
              <w:t xml:space="preserve"> Such a continuum of supports should include programs like Transition to Work and Disability Employment </w:t>
            </w:r>
            <w:r w:rsidR="00D05505">
              <w:rPr>
                <w:rFonts w:cs="Myriad Pro Light"/>
                <w:color w:val="221E1F"/>
                <w:sz w:val="16"/>
                <w:szCs w:val="16"/>
              </w:rPr>
              <w:t>Services as well as other supports, e.g. a hybrid service combining these two models, a service which offers more intensive, short-term pre-vocational skills, etc.</w:t>
            </w:r>
          </w:p>
          <w:p w:rsidR="00D05505" w:rsidRDefault="00D05505" w:rsidP="000E4B7A">
            <w:pPr>
              <w:rPr>
                <w:rFonts w:cs="Myriad Pro Light"/>
                <w:color w:val="221E1F"/>
                <w:sz w:val="16"/>
                <w:szCs w:val="16"/>
              </w:rPr>
            </w:pPr>
          </w:p>
          <w:p w:rsidR="001C2BE7" w:rsidRDefault="00D05505" w:rsidP="0008520D">
            <w:pPr>
              <w:rPr>
                <w:i/>
                <w:iCs/>
                <w:smallCaps/>
              </w:rPr>
            </w:pPr>
            <w:r>
              <w:rPr>
                <w:rFonts w:cs="Myriad Pro Light"/>
                <w:color w:val="221E1F"/>
                <w:sz w:val="16"/>
                <w:szCs w:val="16"/>
              </w:rPr>
              <w:t xml:space="preserve">Ultimately, employment pathways need jobs to </w:t>
            </w:r>
            <w:r w:rsidR="00624F5D">
              <w:rPr>
                <w:rFonts w:cs="Myriad Pro Light"/>
                <w:color w:val="221E1F"/>
                <w:sz w:val="16"/>
                <w:szCs w:val="16"/>
              </w:rPr>
              <w:t>which to lead</w:t>
            </w:r>
            <w:r>
              <w:rPr>
                <w:rFonts w:cs="Myriad Pro Light"/>
                <w:color w:val="221E1F"/>
                <w:sz w:val="16"/>
                <w:szCs w:val="16"/>
              </w:rPr>
              <w:t>. A significant amount of work remains to be done in engaging prospective employers and reducing stigma associated with employing people with disability, people who are long-term unemployed and others.</w:t>
            </w:r>
            <w:r w:rsidR="0008520D">
              <w:rPr>
                <w:rFonts w:cs="Myriad Pro Light"/>
                <w:color w:val="221E1F"/>
                <w:sz w:val="16"/>
                <w:szCs w:val="16"/>
              </w:rPr>
              <w:t xml:space="preserve"> We refer many prospective employers to the Australian Government’s Job Access website, and receive consistent feedback that this portal is a useful resource for people considering hiring a person with disability. Wider communication of the utility of this website would be warranted. </w:t>
            </w:r>
            <w:r w:rsidR="007B780C" w:rsidRPr="000E4B7A">
              <w:rPr>
                <w:rFonts w:cs="Myriad Pro Light"/>
                <w:color w:val="221E1F"/>
                <w:sz w:val="16"/>
                <w:szCs w:val="16"/>
              </w:rPr>
              <w:br/>
            </w:r>
            <w:r w:rsidR="007B780C" w:rsidRPr="000E4B7A">
              <w:rPr>
                <w:rFonts w:cs="Myriad Pro Light"/>
                <w:color w:val="221E1F"/>
                <w:sz w:val="16"/>
                <w:szCs w:val="16"/>
              </w:rPr>
              <w:br/>
            </w:r>
            <w:r w:rsidR="0008520D">
              <w:rPr>
                <w:rFonts w:cs="Myriad Pro Light"/>
                <w:color w:val="221E1F"/>
                <w:sz w:val="16"/>
                <w:szCs w:val="16"/>
              </w:rPr>
              <w:t>We are aware that there is a l</w:t>
            </w:r>
            <w:r w:rsidR="007B780C" w:rsidRPr="000E4B7A">
              <w:rPr>
                <w:rFonts w:cs="Myriad Pro Light"/>
                <w:color w:val="221E1F"/>
                <w:sz w:val="16"/>
                <w:szCs w:val="16"/>
              </w:rPr>
              <w:t xml:space="preserve">ooming skills shortage arising through </w:t>
            </w:r>
            <w:r w:rsidR="0008520D">
              <w:rPr>
                <w:rFonts w:cs="Myriad Pro Light"/>
                <w:color w:val="221E1F"/>
                <w:sz w:val="16"/>
                <w:szCs w:val="16"/>
              </w:rPr>
              <w:t xml:space="preserve">the roll-out of the </w:t>
            </w:r>
            <w:r w:rsidR="007B780C" w:rsidRPr="000E4B7A">
              <w:rPr>
                <w:rFonts w:cs="Myriad Pro Light"/>
                <w:color w:val="221E1F"/>
                <w:sz w:val="16"/>
                <w:szCs w:val="16"/>
              </w:rPr>
              <w:t>NDIS</w:t>
            </w:r>
            <w:r w:rsidR="0008520D">
              <w:rPr>
                <w:rFonts w:cs="Myriad Pro Light"/>
                <w:color w:val="221E1F"/>
                <w:sz w:val="16"/>
                <w:szCs w:val="16"/>
              </w:rPr>
              <w:t>, with the size of the sector needing to double between the commencement of the Scheme last year and its full roll-out in 2019-20. Pathways which support people into jobs within this sector should be seriously considered as a matter of some urgency</w:t>
            </w:r>
            <w:r w:rsidR="007B780C" w:rsidRPr="000E4B7A">
              <w:rPr>
                <w:rFonts w:cs="Myriad Pro Light"/>
                <w:color w:val="221E1F"/>
                <w:sz w:val="16"/>
                <w:szCs w:val="16"/>
              </w:rPr>
              <w:t>.</w:t>
            </w:r>
            <w:r w:rsidR="0008520D">
              <w:rPr>
                <w:rFonts w:cs="Myriad Pro Light"/>
                <w:color w:val="221E1F"/>
                <w:sz w:val="16"/>
                <w:szCs w:val="16"/>
              </w:rPr>
              <w:t xml:space="preserve"> As an employer within the sector, we hire people from a range of backgrounds and with a range of qualifications, including some people without qualifications if they can demonstrate the requisite skills and attitudes. It should therefore be considered by the Reference Group that there are more pathways into the disability sector than the traditional Certificate III or IV courses, though of course these are also valid.</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A42C0F" w:rsidRDefault="00B06216" w:rsidP="00B06216">
            <w:r w:rsidRPr="00A42C0F">
              <w:rPr>
                <w:rFonts w:cs="Myriad Pro Light"/>
                <w:b/>
                <w:color w:val="221E1F"/>
                <w:sz w:val="16"/>
                <w:szCs w:val="16"/>
              </w:rPr>
              <w:lastRenderedPageBreak/>
              <w:t xml:space="preserve">How can the </w:t>
            </w:r>
            <w:r w:rsidR="00A42C0F" w:rsidRPr="00A42C0F">
              <w:rPr>
                <w:rFonts w:cs="Myriad Pro Light"/>
                <w:b/>
                <w:color w:val="221E1F"/>
                <w:sz w:val="16"/>
                <w:szCs w:val="16"/>
              </w:rPr>
              <w:t>job services system be improved?</w:t>
            </w:r>
          </w:p>
          <w:p w:rsidR="00A42C0F" w:rsidRPr="00A42C0F" w:rsidRDefault="00A42C0F" w:rsidP="00B06216">
            <w:pPr>
              <w:rPr>
                <w:sz w:val="16"/>
              </w:rPr>
            </w:pPr>
          </w:p>
          <w:p w:rsidR="00B06216" w:rsidRDefault="00B06216" w:rsidP="00B06216">
            <w:pPr>
              <w:rPr>
                <w:rFonts w:cs="Myriad Pro Light"/>
                <w:color w:val="221E1F"/>
                <w:sz w:val="16"/>
                <w:szCs w:val="16"/>
              </w:rPr>
            </w:pPr>
            <w:r w:rsidRPr="00B06216">
              <w:rPr>
                <w:rFonts w:cs="Myriad Pro Light"/>
                <w:color w:val="221E1F"/>
                <w:sz w:val="16"/>
                <w:szCs w:val="16"/>
              </w:rPr>
              <w:t xml:space="preserve">Current performance measures are timed directly from </w:t>
            </w:r>
            <w:r w:rsidR="00A42C0F">
              <w:rPr>
                <w:rFonts w:cs="Myriad Pro Light"/>
                <w:color w:val="221E1F"/>
                <w:sz w:val="16"/>
                <w:szCs w:val="16"/>
              </w:rPr>
              <w:t xml:space="preserve">a person’s </w:t>
            </w:r>
            <w:r w:rsidRPr="00B06216">
              <w:rPr>
                <w:rFonts w:cs="Myriad Pro Light"/>
                <w:color w:val="221E1F"/>
                <w:sz w:val="16"/>
                <w:szCs w:val="16"/>
              </w:rPr>
              <w:t>commencement</w:t>
            </w:r>
            <w:r w:rsidR="00A42C0F">
              <w:rPr>
                <w:rFonts w:cs="Myriad Pro Light"/>
                <w:color w:val="221E1F"/>
                <w:sz w:val="16"/>
                <w:szCs w:val="16"/>
              </w:rPr>
              <w:t xml:space="preserve"> with the job service, with employment outcomes or milestones due to be achieved at 13 and 26 weeks from this date. This</w:t>
            </w:r>
            <w:r w:rsidRPr="00B06216">
              <w:rPr>
                <w:rFonts w:cs="Myriad Pro Light"/>
                <w:color w:val="221E1F"/>
                <w:sz w:val="16"/>
                <w:szCs w:val="16"/>
              </w:rPr>
              <w:t xml:space="preserve"> limits </w:t>
            </w:r>
            <w:r w:rsidR="00A42C0F">
              <w:rPr>
                <w:rFonts w:cs="Myriad Pro Light"/>
                <w:color w:val="221E1F"/>
                <w:sz w:val="16"/>
                <w:szCs w:val="16"/>
              </w:rPr>
              <w:t xml:space="preserve">the amount of time a job service </w:t>
            </w:r>
            <w:proofErr w:type="gramStart"/>
            <w:r w:rsidR="00A42C0F">
              <w:rPr>
                <w:rFonts w:cs="Myriad Pro Light"/>
                <w:color w:val="221E1F"/>
                <w:sz w:val="16"/>
                <w:szCs w:val="16"/>
              </w:rPr>
              <w:t>has  to</w:t>
            </w:r>
            <w:proofErr w:type="gramEnd"/>
            <w:r w:rsidR="00A42C0F">
              <w:rPr>
                <w:rFonts w:cs="Myriad Pro Light"/>
                <w:color w:val="221E1F"/>
                <w:sz w:val="16"/>
                <w:szCs w:val="16"/>
              </w:rPr>
              <w:t xml:space="preserve"> spend with each job seeker in assessment and exploration of</w:t>
            </w:r>
            <w:r w:rsidRPr="00B06216">
              <w:rPr>
                <w:rFonts w:cs="Myriad Pro Light"/>
                <w:color w:val="221E1F"/>
                <w:sz w:val="16"/>
                <w:szCs w:val="16"/>
              </w:rPr>
              <w:t xml:space="preserve"> needs, abilities, limitations</w:t>
            </w:r>
            <w:r w:rsidR="00A42C0F">
              <w:rPr>
                <w:rFonts w:cs="Myriad Pro Light"/>
                <w:color w:val="221E1F"/>
                <w:sz w:val="16"/>
                <w:szCs w:val="16"/>
              </w:rPr>
              <w:t>, vocational interests,</w:t>
            </w:r>
            <w:r w:rsidRPr="00B06216">
              <w:rPr>
                <w:rFonts w:cs="Myriad Pro Light"/>
                <w:color w:val="221E1F"/>
                <w:sz w:val="16"/>
                <w:szCs w:val="16"/>
              </w:rPr>
              <w:t xml:space="preserve"> etc</w:t>
            </w:r>
            <w:r w:rsidR="00A42C0F">
              <w:rPr>
                <w:rFonts w:cs="Myriad Pro Light"/>
                <w:color w:val="221E1F"/>
                <w:sz w:val="16"/>
                <w:szCs w:val="16"/>
              </w:rPr>
              <w:t>. These factors</w:t>
            </w:r>
            <w:r w:rsidRPr="00B06216">
              <w:rPr>
                <w:rFonts w:cs="Myriad Pro Light"/>
                <w:color w:val="221E1F"/>
                <w:sz w:val="16"/>
                <w:szCs w:val="16"/>
              </w:rPr>
              <w:t xml:space="preserve"> are important for determining a sustainable job match</w:t>
            </w:r>
            <w:r w:rsidR="00A42C0F">
              <w:rPr>
                <w:rFonts w:cs="Myriad Pro Light"/>
                <w:color w:val="221E1F"/>
                <w:sz w:val="16"/>
                <w:szCs w:val="16"/>
              </w:rPr>
              <w:t xml:space="preserve"> and can take some time to assess depending on a person’s job readiness, </w:t>
            </w:r>
            <w:proofErr w:type="spellStart"/>
            <w:r w:rsidR="00A42C0F">
              <w:rPr>
                <w:rFonts w:cs="Myriad Pro Light"/>
                <w:color w:val="221E1F"/>
                <w:sz w:val="16"/>
                <w:szCs w:val="16"/>
              </w:rPr>
              <w:t>self awareness</w:t>
            </w:r>
            <w:proofErr w:type="spellEnd"/>
            <w:r w:rsidR="00A42C0F">
              <w:rPr>
                <w:rFonts w:cs="Myriad Pro Light"/>
                <w:color w:val="221E1F"/>
                <w:sz w:val="16"/>
                <w:szCs w:val="16"/>
              </w:rPr>
              <w:t>, previous experiences and other factors</w:t>
            </w:r>
            <w:r w:rsidRPr="00B06216">
              <w:rPr>
                <w:rFonts w:cs="Myriad Pro Light"/>
                <w:color w:val="221E1F"/>
                <w:sz w:val="16"/>
                <w:szCs w:val="16"/>
              </w:rPr>
              <w:t>.</w:t>
            </w:r>
            <w:r w:rsidR="00A42C0F">
              <w:rPr>
                <w:rFonts w:cs="Myriad Pro Light"/>
                <w:color w:val="221E1F"/>
                <w:sz w:val="16"/>
                <w:szCs w:val="16"/>
              </w:rPr>
              <w:t xml:space="preserve"> Better matches could be achieved if sufficient assessment and exploration time were available rather than having to rush into work towards a 13-week outcome.</w:t>
            </w:r>
          </w:p>
          <w:p w:rsidR="00A42C0F" w:rsidRPr="00B06216" w:rsidRDefault="00A42C0F" w:rsidP="00B06216">
            <w:pPr>
              <w:rPr>
                <w:rFonts w:cs="Myriad Pro Light"/>
                <w:color w:val="221E1F"/>
                <w:sz w:val="16"/>
                <w:szCs w:val="16"/>
              </w:rPr>
            </w:pPr>
          </w:p>
          <w:p w:rsidR="00B06216" w:rsidRDefault="00A42C0F" w:rsidP="00B06216">
            <w:pPr>
              <w:rPr>
                <w:rFonts w:cs="Myriad Pro Light"/>
                <w:color w:val="221E1F"/>
                <w:sz w:val="16"/>
                <w:szCs w:val="16"/>
              </w:rPr>
            </w:pPr>
            <w:r>
              <w:rPr>
                <w:rFonts w:cs="Myriad Pro Light"/>
                <w:color w:val="221E1F"/>
                <w:sz w:val="16"/>
                <w:szCs w:val="16"/>
              </w:rPr>
              <w:t>The j</w:t>
            </w:r>
            <w:r w:rsidR="00B06216" w:rsidRPr="00B06216">
              <w:rPr>
                <w:rFonts w:cs="Myriad Pro Light"/>
                <w:color w:val="221E1F"/>
                <w:sz w:val="16"/>
                <w:szCs w:val="16"/>
              </w:rPr>
              <w:t xml:space="preserve">ob services system and the Centrelink system </w:t>
            </w:r>
            <w:r>
              <w:rPr>
                <w:rFonts w:cs="Myriad Pro Light"/>
                <w:color w:val="221E1F"/>
                <w:sz w:val="16"/>
                <w:szCs w:val="16"/>
              </w:rPr>
              <w:t xml:space="preserve">are predominantly </w:t>
            </w:r>
            <w:r w:rsidR="00B06216" w:rsidRPr="00B06216">
              <w:rPr>
                <w:rFonts w:cs="Myriad Pro Light"/>
                <w:color w:val="221E1F"/>
                <w:sz w:val="16"/>
                <w:szCs w:val="16"/>
              </w:rPr>
              <w:t>focused on quantitative</w:t>
            </w:r>
            <w:r>
              <w:rPr>
                <w:rFonts w:cs="Myriad Pro Light"/>
                <w:color w:val="221E1F"/>
                <w:sz w:val="16"/>
                <w:szCs w:val="16"/>
              </w:rPr>
              <w:t xml:space="preserve"> rather than qualitative outcomes</w:t>
            </w:r>
            <w:r w:rsidR="00B06216" w:rsidRPr="00B06216">
              <w:rPr>
                <w:rFonts w:cs="Myriad Pro Light"/>
                <w:color w:val="221E1F"/>
                <w:sz w:val="16"/>
                <w:szCs w:val="16"/>
              </w:rPr>
              <w:t xml:space="preserve">. </w:t>
            </w:r>
            <w:r>
              <w:rPr>
                <w:rFonts w:cs="Myriad Pro Light"/>
                <w:color w:val="221E1F"/>
                <w:sz w:val="16"/>
                <w:szCs w:val="16"/>
              </w:rPr>
              <w:t>There is a prevailing sense that "a</w:t>
            </w:r>
            <w:r w:rsidR="00B06216" w:rsidRPr="00B06216">
              <w:rPr>
                <w:rFonts w:cs="Myriad Pro Light"/>
                <w:color w:val="221E1F"/>
                <w:sz w:val="16"/>
                <w:szCs w:val="16"/>
              </w:rPr>
              <w:t xml:space="preserve"> job is a job and any job will do".  This approach has its merits if supported by </w:t>
            </w:r>
            <w:r>
              <w:rPr>
                <w:rFonts w:cs="Myriad Pro Light"/>
                <w:color w:val="221E1F"/>
                <w:sz w:val="16"/>
                <w:szCs w:val="16"/>
              </w:rPr>
              <w:t xml:space="preserve">thorough </w:t>
            </w:r>
            <w:r w:rsidR="00B06216" w:rsidRPr="00B06216">
              <w:rPr>
                <w:rFonts w:cs="Myriad Pro Light"/>
                <w:color w:val="221E1F"/>
                <w:sz w:val="16"/>
                <w:szCs w:val="16"/>
              </w:rPr>
              <w:t xml:space="preserve">career planning and progression support </w:t>
            </w:r>
            <w:r>
              <w:rPr>
                <w:rFonts w:cs="Myriad Pro Light"/>
                <w:color w:val="221E1F"/>
                <w:sz w:val="16"/>
                <w:szCs w:val="16"/>
              </w:rPr>
              <w:t xml:space="preserve">for a person </w:t>
            </w:r>
            <w:r w:rsidR="00B06216" w:rsidRPr="00B06216">
              <w:rPr>
                <w:rFonts w:cs="Myriad Pro Light"/>
                <w:color w:val="221E1F"/>
                <w:sz w:val="16"/>
                <w:szCs w:val="16"/>
              </w:rPr>
              <w:t>to move from this first job to a more suitable job.  The current system</w:t>
            </w:r>
            <w:r w:rsidR="00F84D53">
              <w:rPr>
                <w:rFonts w:cs="Myriad Pro Light"/>
                <w:color w:val="221E1F"/>
                <w:sz w:val="16"/>
                <w:szCs w:val="16"/>
              </w:rPr>
              <w:t>,</w:t>
            </w:r>
            <w:r w:rsidR="00B06216" w:rsidRPr="00B06216">
              <w:rPr>
                <w:rFonts w:cs="Myriad Pro Light"/>
                <w:color w:val="221E1F"/>
                <w:sz w:val="16"/>
                <w:szCs w:val="16"/>
              </w:rPr>
              <w:t xml:space="preserve"> however</w:t>
            </w:r>
            <w:r w:rsidR="00F84D53">
              <w:rPr>
                <w:rFonts w:cs="Myriad Pro Light"/>
                <w:color w:val="221E1F"/>
                <w:sz w:val="16"/>
                <w:szCs w:val="16"/>
              </w:rPr>
              <w:t>,</w:t>
            </w:r>
            <w:r w:rsidR="00B06216" w:rsidRPr="00B06216">
              <w:rPr>
                <w:rFonts w:cs="Myriad Pro Light"/>
                <w:color w:val="221E1F"/>
                <w:sz w:val="16"/>
                <w:szCs w:val="16"/>
              </w:rPr>
              <w:t xml:space="preserve"> does not support this</w:t>
            </w:r>
            <w:r w:rsidR="00F84D53">
              <w:rPr>
                <w:rFonts w:cs="Myriad Pro Light"/>
                <w:color w:val="221E1F"/>
                <w:sz w:val="16"/>
                <w:szCs w:val="16"/>
              </w:rPr>
              <w:t xml:space="preserve"> crucial next step. S</w:t>
            </w:r>
            <w:r w:rsidR="00B06216" w:rsidRPr="00B06216">
              <w:rPr>
                <w:rFonts w:cs="Myriad Pro Light"/>
                <w:color w:val="221E1F"/>
                <w:sz w:val="16"/>
                <w:szCs w:val="16"/>
              </w:rPr>
              <w:t>pecialist disability serv</w:t>
            </w:r>
            <w:r w:rsidR="00F84D53">
              <w:rPr>
                <w:rFonts w:cs="Myriad Pro Light"/>
                <w:color w:val="221E1F"/>
                <w:sz w:val="16"/>
                <w:szCs w:val="16"/>
              </w:rPr>
              <w:t>ices have</w:t>
            </w:r>
            <w:r w:rsidR="00B06216" w:rsidRPr="00B06216">
              <w:rPr>
                <w:rFonts w:cs="Myriad Pro Light"/>
                <w:color w:val="221E1F"/>
                <w:sz w:val="16"/>
                <w:szCs w:val="16"/>
              </w:rPr>
              <w:t xml:space="preserve"> provided </w:t>
            </w:r>
            <w:r w:rsidR="00F84D53">
              <w:rPr>
                <w:rFonts w:cs="Myriad Pro Light"/>
                <w:color w:val="221E1F"/>
                <w:sz w:val="16"/>
                <w:szCs w:val="16"/>
              </w:rPr>
              <w:t xml:space="preserve">this support </w:t>
            </w:r>
            <w:r w:rsidR="00B06216" w:rsidRPr="00B06216">
              <w:rPr>
                <w:rFonts w:cs="Myriad Pro Light"/>
                <w:color w:val="221E1F"/>
                <w:sz w:val="16"/>
                <w:szCs w:val="16"/>
              </w:rPr>
              <w:t>in the past</w:t>
            </w:r>
            <w:r w:rsidR="00F84D53">
              <w:rPr>
                <w:rFonts w:cs="Myriad Pro Light"/>
                <w:color w:val="221E1F"/>
                <w:sz w:val="16"/>
                <w:szCs w:val="16"/>
              </w:rPr>
              <w:t>, but this</w:t>
            </w:r>
            <w:r w:rsidR="00B06216" w:rsidRPr="00B06216">
              <w:rPr>
                <w:rFonts w:cs="Myriad Pro Light"/>
                <w:color w:val="221E1F"/>
                <w:sz w:val="16"/>
                <w:szCs w:val="16"/>
              </w:rPr>
              <w:t xml:space="preserve"> is now being lost as a result of the way the performance framework measures outcomes and funds services</w:t>
            </w:r>
            <w:r w:rsidR="00F84D53">
              <w:rPr>
                <w:rFonts w:cs="Myriad Pro Light"/>
                <w:color w:val="221E1F"/>
                <w:sz w:val="16"/>
                <w:szCs w:val="16"/>
              </w:rPr>
              <w:t>. A renewed focus on employment outcomes to get people ‘the right job’ and to assist them onto a career path would be welcome and would drive significant improvements in job matching and retention.</w:t>
            </w:r>
          </w:p>
          <w:p w:rsidR="00B06216" w:rsidRPr="00B06216" w:rsidRDefault="00B06216" w:rsidP="00B06216">
            <w:pPr>
              <w:rPr>
                <w:rFonts w:cs="Myriad Pro Light"/>
                <w:color w:val="221E1F"/>
                <w:sz w:val="16"/>
                <w:szCs w:val="16"/>
              </w:rPr>
            </w:pPr>
          </w:p>
          <w:p w:rsidR="00B06216" w:rsidRDefault="00F84D53" w:rsidP="00B06216">
            <w:pPr>
              <w:rPr>
                <w:rFonts w:cs="Myriad Pro Light"/>
                <w:b/>
                <w:color w:val="221E1F"/>
                <w:sz w:val="16"/>
                <w:szCs w:val="16"/>
              </w:rPr>
            </w:pPr>
            <w:r w:rsidRPr="00F84D53">
              <w:rPr>
                <w:rFonts w:cs="Myriad Pro Light"/>
                <w:b/>
                <w:color w:val="221E1F"/>
                <w:sz w:val="16"/>
                <w:szCs w:val="16"/>
              </w:rPr>
              <w:t>How can the administrative burden on employers and job service providers be reduced?</w:t>
            </w:r>
          </w:p>
          <w:p w:rsidR="00F84D53" w:rsidRPr="00F84D53" w:rsidRDefault="00F84D53" w:rsidP="00B06216">
            <w:pPr>
              <w:rPr>
                <w:rFonts w:cs="Myriad Pro Light"/>
                <w:b/>
                <w:color w:val="221E1F"/>
                <w:sz w:val="16"/>
                <w:szCs w:val="16"/>
              </w:rPr>
            </w:pPr>
          </w:p>
          <w:p w:rsidR="00F84D53" w:rsidRDefault="00F84D53" w:rsidP="00B06216">
            <w:pPr>
              <w:rPr>
                <w:rFonts w:cs="Myriad Pro Light"/>
                <w:color w:val="221E1F"/>
                <w:sz w:val="16"/>
                <w:szCs w:val="16"/>
              </w:rPr>
            </w:pPr>
            <w:r>
              <w:rPr>
                <w:rFonts w:cs="Myriad Pro Light"/>
                <w:color w:val="221E1F"/>
                <w:sz w:val="16"/>
                <w:szCs w:val="16"/>
              </w:rPr>
              <w:t>A simplified system and set of guidelines could greatly reduce administrative and compliance burdens for job service providers. In our own experience, there are significant additional reporting requirements for our Disability Employment Service compared to our state-funded Transition to Work program. These are exacerbated by the multiple payment types which require different treatment in administration.</w:t>
            </w:r>
          </w:p>
          <w:p w:rsidR="00F84D53" w:rsidRDefault="00F84D53" w:rsidP="00B06216">
            <w:pPr>
              <w:rPr>
                <w:rFonts w:cs="Myriad Pro Light"/>
                <w:color w:val="221E1F"/>
                <w:sz w:val="16"/>
                <w:szCs w:val="16"/>
              </w:rPr>
            </w:pPr>
          </w:p>
          <w:p w:rsidR="00B06216" w:rsidRPr="00B06216" w:rsidRDefault="00F84D53" w:rsidP="00B06216">
            <w:pPr>
              <w:rPr>
                <w:rFonts w:cs="Myriad Pro Light"/>
                <w:color w:val="221E1F"/>
                <w:sz w:val="16"/>
                <w:szCs w:val="16"/>
              </w:rPr>
            </w:pPr>
            <w:r>
              <w:rPr>
                <w:rFonts w:cs="Myriad Pro Light"/>
                <w:color w:val="221E1F"/>
                <w:sz w:val="16"/>
                <w:szCs w:val="16"/>
              </w:rPr>
              <w:t xml:space="preserve">The administrative burden could also be reduced if the range of acceptable evidence were broadened. Current requirements are very rigid, for example the </w:t>
            </w:r>
            <w:proofErr w:type="gramStart"/>
            <w:r>
              <w:rPr>
                <w:rFonts w:cs="Myriad Pro Light"/>
                <w:color w:val="221E1F"/>
                <w:sz w:val="16"/>
                <w:szCs w:val="16"/>
              </w:rPr>
              <w:t>obligation for a person on income support</w:t>
            </w:r>
            <w:proofErr w:type="gramEnd"/>
            <w:r>
              <w:rPr>
                <w:rFonts w:cs="Myriad Pro Light"/>
                <w:color w:val="221E1F"/>
                <w:sz w:val="16"/>
                <w:szCs w:val="16"/>
              </w:rPr>
              <w:t xml:space="preserve"> to provide a copy of every payslip</w:t>
            </w:r>
            <w:r w:rsidR="00B06216" w:rsidRPr="00B06216">
              <w:rPr>
                <w:rFonts w:cs="Myriad Pro Light"/>
                <w:color w:val="221E1F"/>
                <w:sz w:val="16"/>
                <w:szCs w:val="16"/>
              </w:rPr>
              <w:t xml:space="preserve"> even though Y</w:t>
            </w:r>
            <w:r>
              <w:rPr>
                <w:rFonts w:cs="Myriad Pro Light"/>
                <w:color w:val="221E1F"/>
                <w:sz w:val="16"/>
                <w:szCs w:val="16"/>
              </w:rPr>
              <w:t>ear-</w:t>
            </w:r>
            <w:r w:rsidR="00B06216" w:rsidRPr="00B06216">
              <w:rPr>
                <w:rFonts w:cs="Myriad Pro Light"/>
                <w:color w:val="221E1F"/>
                <w:sz w:val="16"/>
                <w:szCs w:val="16"/>
              </w:rPr>
              <w:t>T</w:t>
            </w:r>
            <w:r>
              <w:rPr>
                <w:rFonts w:cs="Myriad Pro Light"/>
                <w:color w:val="221E1F"/>
                <w:sz w:val="16"/>
                <w:szCs w:val="16"/>
              </w:rPr>
              <w:t>o-</w:t>
            </w:r>
            <w:r w:rsidR="00B06216" w:rsidRPr="00B06216">
              <w:rPr>
                <w:rFonts w:cs="Myriad Pro Light"/>
                <w:color w:val="221E1F"/>
                <w:sz w:val="16"/>
                <w:szCs w:val="16"/>
              </w:rPr>
              <w:t>D</w:t>
            </w:r>
            <w:r>
              <w:rPr>
                <w:rFonts w:cs="Myriad Pro Light"/>
                <w:color w:val="221E1F"/>
                <w:sz w:val="16"/>
                <w:szCs w:val="16"/>
              </w:rPr>
              <w:t>ate</w:t>
            </w:r>
            <w:r w:rsidR="00B06216" w:rsidRPr="00B06216">
              <w:rPr>
                <w:rFonts w:cs="Myriad Pro Light"/>
                <w:color w:val="221E1F"/>
                <w:sz w:val="16"/>
                <w:szCs w:val="16"/>
              </w:rPr>
              <w:t xml:space="preserve"> information is included</w:t>
            </w:r>
            <w:r w:rsidR="00CB5447">
              <w:rPr>
                <w:rFonts w:cs="Myriad Pro Light"/>
                <w:color w:val="221E1F"/>
                <w:sz w:val="16"/>
                <w:szCs w:val="16"/>
              </w:rPr>
              <w:t xml:space="preserve"> on each</w:t>
            </w:r>
            <w:r>
              <w:rPr>
                <w:rFonts w:cs="Myriad Pro Light"/>
                <w:color w:val="221E1F"/>
                <w:sz w:val="16"/>
                <w:szCs w:val="16"/>
              </w:rPr>
              <w:t xml:space="preserve"> slip</w:t>
            </w:r>
            <w:r w:rsidR="00B06216" w:rsidRPr="00B06216">
              <w:rPr>
                <w:rFonts w:cs="Myriad Pro Light"/>
                <w:color w:val="221E1F"/>
                <w:sz w:val="16"/>
                <w:szCs w:val="16"/>
              </w:rPr>
              <w:t xml:space="preserve">.  This increases administration </w:t>
            </w:r>
            <w:r w:rsidR="00CB5447">
              <w:rPr>
                <w:rFonts w:cs="Myriad Pro Light"/>
                <w:color w:val="221E1F"/>
                <w:sz w:val="16"/>
                <w:szCs w:val="16"/>
              </w:rPr>
              <w:t xml:space="preserve">considerably </w:t>
            </w:r>
            <w:r w:rsidR="00B06216" w:rsidRPr="00B06216">
              <w:rPr>
                <w:rFonts w:cs="Myriad Pro Light"/>
                <w:color w:val="221E1F"/>
                <w:sz w:val="16"/>
                <w:szCs w:val="16"/>
              </w:rPr>
              <w:t>and</w:t>
            </w:r>
            <w:r w:rsidR="00CB5447">
              <w:rPr>
                <w:rFonts w:cs="Myriad Pro Light"/>
                <w:color w:val="221E1F"/>
                <w:sz w:val="16"/>
                <w:szCs w:val="16"/>
              </w:rPr>
              <w:t xml:space="preserve"> creates concerns about privacy</w:t>
            </w:r>
            <w:r w:rsidR="00B06216" w:rsidRPr="00B06216">
              <w:rPr>
                <w:rFonts w:cs="Myriad Pro Light"/>
                <w:color w:val="221E1F"/>
                <w:sz w:val="16"/>
                <w:szCs w:val="16"/>
              </w:rPr>
              <w:t xml:space="preserve"> for</w:t>
            </w:r>
            <w:r w:rsidR="00CB5447">
              <w:rPr>
                <w:rFonts w:cs="Myriad Pro Light"/>
                <w:color w:val="221E1F"/>
                <w:sz w:val="16"/>
                <w:szCs w:val="16"/>
              </w:rPr>
              <w:t xml:space="preserve"> some</w:t>
            </w:r>
            <w:r w:rsidR="00B06216" w:rsidRPr="00B06216">
              <w:rPr>
                <w:rFonts w:cs="Myriad Pro Light"/>
                <w:color w:val="221E1F"/>
                <w:sz w:val="16"/>
                <w:szCs w:val="16"/>
              </w:rPr>
              <w:t xml:space="preserve"> participants.  A </w:t>
            </w:r>
            <w:r w:rsidR="00CB5447">
              <w:rPr>
                <w:rFonts w:cs="Myriad Pro Light"/>
                <w:color w:val="221E1F"/>
                <w:sz w:val="16"/>
                <w:szCs w:val="16"/>
              </w:rPr>
              <w:t>common sense approach to</w:t>
            </w:r>
            <w:r w:rsidR="00B06216" w:rsidRPr="00B06216">
              <w:rPr>
                <w:rFonts w:cs="Myriad Pro Light"/>
                <w:color w:val="221E1F"/>
                <w:sz w:val="16"/>
                <w:szCs w:val="16"/>
              </w:rPr>
              <w:t xml:space="preserve"> acceptable evidence </w:t>
            </w:r>
            <w:r w:rsidR="00CB5447">
              <w:rPr>
                <w:rFonts w:cs="Myriad Pro Light"/>
                <w:color w:val="221E1F"/>
                <w:sz w:val="16"/>
                <w:szCs w:val="16"/>
              </w:rPr>
              <w:t>which agrees to receive evidence of a person’s income via a range of means and without unnecessary duplication would be welcome</w:t>
            </w:r>
            <w:r w:rsidR="00B06216" w:rsidRPr="00B06216">
              <w:rPr>
                <w:rFonts w:cs="Myriad Pro Light"/>
                <w:color w:val="221E1F"/>
                <w:sz w:val="16"/>
                <w:szCs w:val="16"/>
              </w:rPr>
              <w:t>.</w:t>
            </w:r>
          </w:p>
          <w:p w:rsidR="001C2BE7" w:rsidRPr="007B780C" w:rsidRDefault="001C2BE7" w:rsidP="00B06216"/>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632D09" w:rsidRPr="0012318A" w:rsidRDefault="00632D09" w:rsidP="00632D09">
            <w:pPr>
              <w:rPr>
                <w:rFonts w:cs="Myriad Pro Light"/>
                <w:b/>
                <w:color w:val="221E1F"/>
                <w:sz w:val="16"/>
                <w:szCs w:val="16"/>
              </w:rPr>
            </w:pPr>
            <w:r w:rsidRPr="0012318A">
              <w:rPr>
                <w:rFonts w:cs="Myriad Pro Light"/>
                <w:b/>
                <w:color w:val="221E1F"/>
                <w:sz w:val="16"/>
                <w:szCs w:val="16"/>
              </w:rPr>
              <w:t>How can the expertise and resources of corporates and philanthropic investors drive innovative solutions for disadvantaged communities?</w:t>
            </w:r>
          </w:p>
          <w:p w:rsidR="0012318A" w:rsidRPr="0012318A" w:rsidRDefault="0012318A" w:rsidP="00632D09">
            <w:pPr>
              <w:rPr>
                <w:rFonts w:cs="Myriad Pro Light"/>
                <w:color w:val="221E1F"/>
                <w:sz w:val="16"/>
                <w:szCs w:val="16"/>
              </w:rPr>
            </w:pPr>
          </w:p>
          <w:p w:rsidR="00BE1373" w:rsidRDefault="0012318A" w:rsidP="00632D09">
            <w:pPr>
              <w:rPr>
                <w:rFonts w:cs="Myriad Pro Light"/>
                <w:color w:val="221E1F"/>
                <w:sz w:val="16"/>
                <w:szCs w:val="16"/>
              </w:rPr>
            </w:pPr>
            <w:r w:rsidRPr="0012318A">
              <w:rPr>
                <w:rFonts w:cs="Myriad Pro Light"/>
                <w:color w:val="221E1F"/>
                <w:sz w:val="16"/>
                <w:szCs w:val="16"/>
              </w:rPr>
              <w:t>Corporate and philanthropic investors</w:t>
            </w:r>
            <w:r>
              <w:rPr>
                <w:rFonts w:cs="Myriad Pro Light"/>
                <w:color w:val="221E1F"/>
                <w:sz w:val="16"/>
                <w:szCs w:val="16"/>
              </w:rPr>
              <w:t xml:space="preserve"> have significant purchasing power. Those with an interest in social returns on investment, in corporate social responsibility or in philanthropy for other purposes are well placed to contribute funds towards research and evaluation projects as well as pilot programs. There is scope for many projects here which could contribute to improving outcomes for disadvantaged communities, particularly through employment outcomes and projects which support that community’s economy. </w:t>
            </w:r>
          </w:p>
          <w:p w:rsidR="00BE1373" w:rsidRDefault="00BE1373" w:rsidP="00632D09">
            <w:pPr>
              <w:rPr>
                <w:rFonts w:cs="Myriad Pro Light"/>
                <w:color w:val="221E1F"/>
                <w:sz w:val="16"/>
                <w:szCs w:val="16"/>
              </w:rPr>
            </w:pPr>
          </w:p>
          <w:p w:rsidR="00632D09" w:rsidRPr="0012318A" w:rsidRDefault="0012318A" w:rsidP="00632D09">
            <w:pPr>
              <w:rPr>
                <w:rFonts w:cs="Myriad Pro Light"/>
                <w:color w:val="221E1F"/>
                <w:sz w:val="16"/>
                <w:szCs w:val="16"/>
              </w:rPr>
            </w:pPr>
            <w:r>
              <w:rPr>
                <w:rFonts w:cs="Myriad Pro Light"/>
                <w:color w:val="221E1F"/>
                <w:sz w:val="16"/>
                <w:szCs w:val="16"/>
              </w:rPr>
              <w:t>Corporate volunteering by people with specific skill sets or expertise could also support such projects and the implementation of innovative ideas which have been developed together with the community.</w:t>
            </w:r>
            <w:r w:rsidR="00BE1373">
              <w:rPr>
                <w:rFonts w:cs="Myriad Pro Light"/>
                <w:color w:val="221E1F"/>
                <w:sz w:val="16"/>
                <w:szCs w:val="16"/>
              </w:rPr>
              <w:t xml:space="preserve"> As a charitable organisation, we have experienced corporate volunteering and pro bono delivery on a range of projects and services. Other charitable entities and community groups could be supported to make similar relationships.</w:t>
            </w:r>
          </w:p>
          <w:p w:rsidR="00632D09" w:rsidRPr="0012318A" w:rsidRDefault="00632D09" w:rsidP="00632D09">
            <w:pPr>
              <w:rPr>
                <w:rFonts w:cs="Myriad Pro Light"/>
                <w:color w:val="221E1F"/>
                <w:sz w:val="16"/>
                <w:szCs w:val="16"/>
              </w:rPr>
            </w:pPr>
          </w:p>
          <w:p w:rsidR="00632D09" w:rsidRPr="00BE1373" w:rsidRDefault="00632D09" w:rsidP="00632D09">
            <w:pPr>
              <w:ind w:left="426" w:hanging="426"/>
              <w:rPr>
                <w:rFonts w:cs="Myriad Pro Light"/>
                <w:b/>
                <w:color w:val="221E1F"/>
                <w:sz w:val="16"/>
                <w:szCs w:val="16"/>
              </w:rPr>
            </w:pPr>
            <w:r w:rsidRPr="00BE1373">
              <w:rPr>
                <w:rFonts w:cs="Myriad Pro Light"/>
                <w:b/>
                <w:color w:val="221E1F"/>
                <w:sz w:val="16"/>
                <w:szCs w:val="16"/>
              </w:rPr>
              <w:t>How can the Community Business Partnership be leveraged to increase the rate of philanthropic giving of individuals and corporates?</w:t>
            </w:r>
          </w:p>
          <w:p w:rsidR="00BE1373" w:rsidRDefault="00BE1373" w:rsidP="00632D09">
            <w:pPr>
              <w:rPr>
                <w:rFonts w:cs="Myriad Pro Light"/>
                <w:color w:val="221E1F"/>
                <w:sz w:val="16"/>
                <w:szCs w:val="16"/>
              </w:rPr>
            </w:pPr>
          </w:p>
          <w:p w:rsidR="00632D09" w:rsidRPr="0012318A" w:rsidRDefault="00BE1373" w:rsidP="00632D09">
            <w:pPr>
              <w:rPr>
                <w:rFonts w:cs="Myriad Pro Light"/>
                <w:color w:val="221E1F"/>
                <w:sz w:val="16"/>
                <w:szCs w:val="16"/>
              </w:rPr>
            </w:pPr>
            <w:r>
              <w:rPr>
                <w:rFonts w:cs="Myriad Pro Light"/>
                <w:color w:val="221E1F"/>
                <w:sz w:val="16"/>
                <w:szCs w:val="16"/>
              </w:rPr>
              <w:t>The Community Business Partnership could be leveraged through m</w:t>
            </w:r>
            <w:r w:rsidR="00632D09" w:rsidRPr="0012318A">
              <w:rPr>
                <w:rFonts w:cs="Myriad Pro Light"/>
                <w:color w:val="221E1F"/>
                <w:sz w:val="16"/>
                <w:szCs w:val="16"/>
              </w:rPr>
              <w:t>ak</w:t>
            </w:r>
            <w:r>
              <w:rPr>
                <w:rFonts w:cs="Myriad Pro Light"/>
                <w:color w:val="221E1F"/>
                <w:sz w:val="16"/>
                <w:szCs w:val="16"/>
              </w:rPr>
              <w:t xml:space="preserve">ing staff who have a particular </w:t>
            </w:r>
            <w:r w:rsidR="00632D09" w:rsidRPr="0012318A">
              <w:rPr>
                <w:rFonts w:cs="Myriad Pro Light"/>
                <w:color w:val="221E1F"/>
                <w:sz w:val="16"/>
                <w:szCs w:val="16"/>
              </w:rPr>
              <w:t xml:space="preserve">expertise </w:t>
            </w:r>
            <w:r>
              <w:rPr>
                <w:rFonts w:cs="Myriad Pro Light"/>
                <w:color w:val="221E1F"/>
                <w:sz w:val="16"/>
                <w:szCs w:val="16"/>
              </w:rPr>
              <w:t>available to develop models which</w:t>
            </w:r>
            <w:r w:rsidR="00632D09" w:rsidRPr="0012318A">
              <w:rPr>
                <w:rFonts w:cs="Myriad Pro Light"/>
                <w:color w:val="221E1F"/>
                <w:sz w:val="16"/>
                <w:szCs w:val="16"/>
              </w:rPr>
              <w:t xml:space="preserve"> demonstrate the economic and social benefits </w:t>
            </w:r>
            <w:proofErr w:type="gramStart"/>
            <w:r w:rsidR="00632D09" w:rsidRPr="0012318A">
              <w:rPr>
                <w:rFonts w:cs="Myriad Pro Light"/>
                <w:color w:val="221E1F"/>
                <w:sz w:val="16"/>
                <w:szCs w:val="16"/>
              </w:rPr>
              <w:t>of  improving</w:t>
            </w:r>
            <w:proofErr w:type="gramEnd"/>
            <w:r w:rsidR="00632D09" w:rsidRPr="0012318A">
              <w:rPr>
                <w:rFonts w:cs="Myriad Pro Light"/>
                <w:color w:val="221E1F"/>
                <w:sz w:val="16"/>
                <w:szCs w:val="16"/>
              </w:rPr>
              <w:t xml:space="preserve"> outcomes for people from disadvantaged communities</w:t>
            </w:r>
            <w:r>
              <w:rPr>
                <w:rFonts w:cs="Myriad Pro Light"/>
                <w:color w:val="221E1F"/>
                <w:sz w:val="16"/>
                <w:szCs w:val="16"/>
              </w:rPr>
              <w:t xml:space="preserve"> and then present these models or findings to broader circles</w:t>
            </w:r>
            <w:r w:rsidR="00632D09" w:rsidRPr="0012318A">
              <w:rPr>
                <w:rFonts w:cs="Myriad Pro Light"/>
                <w:color w:val="221E1F"/>
                <w:sz w:val="16"/>
                <w:szCs w:val="16"/>
              </w:rPr>
              <w:t>.</w:t>
            </w:r>
            <w:r>
              <w:rPr>
                <w:rFonts w:cs="Myriad Pro Light"/>
                <w:color w:val="221E1F"/>
                <w:sz w:val="16"/>
                <w:szCs w:val="16"/>
              </w:rPr>
              <w:t xml:space="preserve"> Members of such partnerships are typically highly skilled networkers and could utilise</w:t>
            </w:r>
            <w:r w:rsidR="00632D09" w:rsidRPr="0012318A">
              <w:rPr>
                <w:rFonts w:cs="Myriad Pro Light"/>
                <w:color w:val="221E1F"/>
                <w:sz w:val="16"/>
                <w:szCs w:val="16"/>
              </w:rPr>
              <w:t xml:space="preserve"> their networks to encourage others t</w:t>
            </w:r>
            <w:r>
              <w:rPr>
                <w:rFonts w:cs="Myriad Pro Light"/>
                <w:color w:val="221E1F"/>
                <w:sz w:val="16"/>
                <w:szCs w:val="16"/>
              </w:rPr>
              <w:t>o provide philanthropic support to or</w:t>
            </w:r>
            <w:r w:rsidR="00632D09" w:rsidRPr="0012318A">
              <w:rPr>
                <w:rFonts w:cs="Myriad Pro Light"/>
                <w:color w:val="221E1F"/>
                <w:sz w:val="16"/>
                <w:szCs w:val="16"/>
              </w:rPr>
              <w:t xml:space="preserve"> investment in the sector</w:t>
            </w:r>
            <w:r>
              <w:rPr>
                <w:rFonts w:cs="Myriad Pro Light"/>
                <w:color w:val="221E1F"/>
                <w:sz w:val="16"/>
                <w:szCs w:val="16"/>
              </w:rPr>
              <w:t>.</w:t>
            </w:r>
            <w:r w:rsidR="00632D09" w:rsidRPr="0012318A">
              <w:rPr>
                <w:rFonts w:cs="Myriad Pro Light"/>
                <w:color w:val="221E1F"/>
                <w:sz w:val="16"/>
                <w:szCs w:val="16"/>
              </w:rPr>
              <w:t xml:space="preserve">  </w:t>
            </w:r>
          </w:p>
          <w:p w:rsidR="001C2BE7" w:rsidRPr="007B780C" w:rsidRDefault="001C2BE7" w:rsidP="00BE1373">
            <w:pPr>
              <w:rPr>
                <w:iCs/>
                <w:smallCaps/>
              </w:rPr>
            </w:pPr>
          </w:p>
        </w:tc>
      </w:tr>
    </w:tbl>
    <w:p w:rsidR="008C5A75" w:rsidRPr="008C5A75" w:rsidRDefault="008C5A75" w:rsidP="008C5A75"/>
    <w:p w:rsidR="001C2BE7" w:rsidRDefault="001C2BE7" w:rsidP="008C5A75">
      <w:pPr>
        <w:pStyle w:val="Heading3"/>
        <w:rPr>
          <w:iCs/>
          <w:smallCaps/>
        </w:rPr>
      </w:pPr>
      <w:r w:rsidRPr="00CE7674">
        <w:lastRenderedPageBreak/>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BE1373" w:rsidRDefault="00BE1373" w:rsidP="00BE1373">
            <w:pPr>
              <w:rPr>
                <w:rFonts w:cs="Myriad Pro Light"/>
                <w:color w:val="221E1F"/>
                <w:sz w:val="16"/>
                <w:szCs w:val="16"/>
              </w:rPr>
            </w:pPr>
            <w:r w:rsidRPr="00BE1373">
              <w:rPr>
                <w:rFonts w:cs="Myriad Pro Light"/>
                <w:color w:val="221E1F"/>
                <w:sz w:val="16"/>
                <w:szCs w:val="16"/>
              </w:rPr>
              <w:t xml:space="preserve">It is </w:t>
            </w:r>
            <w:proofErr w:type="spellStart"/>
            <w:r w:rsidRPr="00BE1373">
              <w:rPr>
                <w:rFonts w:cs="Myriad Pro Light"/>
                <w:color w:val="221E1F"/>
                <w:sz w:val="16"/>
                <w:szCs w:val="16"/>
              </w:rPr>
              <w:t>Northcott’s</w:t>
            </w:r>
            <w:proofErr w:type="spellEnd"/>
            <w:r w:rsidRPr="00BE1373">
              <w:rPr>
                <w:rFonts w:cs="Myriad Pro Light"/>
                <w:color w:val="221E1F"/>
                <w:sz w:val="16"/>
                <w:szCs w:val="16"/>
              </w:rPr>
              <w:t xml:space="preserve"> position that any </w:t>
            </w:r>
            <w:r>
              <w:rPr>
                <w:rFonts w:cs="Myriad Pro Light"/>
                <w:color w:val="221E1F"/>
                <w:sz w:val="16"/>
                <w:szCs w:val="16"/>
              </w:rPr>
              <w:t>community capacity building initiative must include the recipients or benefactors of the initiative in the co-design of the both the program itself and the evaluation. The voices of people who we set out to help through each initiative should be heard clearly when looking at what has worked well and what could be done better.</w:t>
            </w:r>
          </w:p>
          <w:p w:rsidR="00BE1373" w:rsidRDefault="00BE1373" w:rsidP="00BE1373">
            <w:pPr>
              <w:rPr>
                <w:rFonts w:cs="Myriad Pro Light"/>
                <w:color w:val="221E1F"/>
                <w:sz w:val="16"/>
                <w:szCs w:val="16"/>
              </w:rPr>
            </w:pPr>
          </w:p>
          <w:p w:rsidR="007B780C" w:rsidRPr="007B780C" w:rsidRDefault="00BE1373" w:rsidP="00BE1373">
            <w:pPr>
              <w:rPr>
                <w:iCs/>
                <w:smallCaps/>
              </w:rPr>
            </w:pPr>
            <w:r>
              <w:rPr>
                <w:rFonts w:cs="Myriad Pro Light"/>
                <w:color w:val="221E1F"/>
                <w:sz w:val="16"/>
                <w:szCs w:val="16"/>
              </w:rPr>
              <w:t>In line with contemporary disability policy, we recommend an evaluation framework which focuses on outcomes rather than outputs or other quantitative measures if they lack qualitative dimensions.</w:t>
            </w:r>
            <w:r w:rsidRPr="00BE1373">
              <w:rPr>
                <w:rFonts w:cs="Myriad Pro Light"/>
                <w:color w:val="221E1F"/>
                <w:sz w:val="16"/>
                <w:szCs w:val="16"/>
              </w:rPr>
              <w:t xml:space="preserve"> </w:t>
            </w:r>
            <w:r w:rsidR="007B780C" w:rsidRPr="00BE1373">
              <w:rPr>
                <w:rFonts w:cs="Myriad Pro Light"/>
                <w:color w:val="221E1F"/>
                <w:sz w:val="16"/>
                <w:szCs w:val="16"/>
              </w:rPr>
              <w:br/>
            </w:r>
          </w:p>
        </w:tc>
      </w:tr>
    </w:tbl>
    <w:p w:rsidR="00BE1373" w:rsidRDefault="00BE1373" w:rsidP="008C5A75">
      <w:pPr>
        <w:pStyle w:val="Heading3"/>
      </w:pPr>
    </w:p>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821EC5" w:rsidRPr="00821EC5" w:rsidRDefault="00BE1373" w:rsidP="00821EC5">
            <w:pPr>
              <w:rPr>
                <w:rFonts w:cs="Myriad Pro Light"/>
                <w:color w:val="221E1F"/>
                <w:sz w:val="16"/>
                <w:szCs w:val="16"/>
              </w:rPr>
            </w:pPr>
            <w:r w:rsidRPr="00BE1373">
              <w:rPr>
                <w:rFonts w:cs="Myriad Pro Light"/>
                <w:color w:val="221E1F"/>
                <w:sz w:val="16"/>
                <w:szCs w:val="16"/>
              </w:rPr>
              <w:t>Within</w:t>
            </w:r>
            <w:r>
              <w:rPr>
                <w:rFonts w:cs="Myriad Pro Light"/>
                <w:color w:val="221E1F"/>
                <w:sz w:val="16"/>
                <w:szCs w:val="16"/>
              </w:rPr>
              <w:t xml:space="preserve"> our Disability Employment Service, we offer a ‘Job Club’ which functions as both a social hub for job seekers to share their successes and motivate each other as well as offering access to computer terminals for the purpose of job searching, preparing and submitting job applications, </w:t>
            </w:r>
            <w:r w:rsidR="00821EC5">
              <w:rPr>
                <w:rFonts w:cs="Myriad Pro Light"/>
                <w:color w:val="221E1F"/>
                <w:sz w:val="16"/>
                <w:szCs w:val="16"/>
              </w:rPr>
              <w:t xml:space="preserve">finding career information, </w:t>
            </w:r>
            <w:r>
              <w:rPr>
                <w:rFonts w:cs="Myriad Pro Light"/>
                <w:color w:val="221E1F"/>
                <w:sz w:val="16"/>
                <w:szCs w:val="16"/>
              </w:rPr>
              <w:t>etc</w:t>
            </w:r>
            <w:r w:rsidR="00821EC5">
              <w:rPr>
                <w:rFonts w:cs="Myriad Pro Light"/>
                <w:color w:val="221E1F"/>
                <w:sz w:val="16"/>
                <w:szCs w:val="16"/>
              </w:rPr>
              <w:t>. A success factor of this model is the ready access to Employment Advisors if a job seeker encounters difficulty while conducting their job search or if they have a question for which they can’t find an answer.</w:t>
            </w:r>
            <w:r w:rsidR="00821EC5">
              <w:rPr>
                <w:rFonts w:cs="Myriad Pro Light"/>
                <w:color w:val="221E1F"/>
                <w:sz w:val="16"/>
                <w:szCs w:val="16"/>
              </w:rPr>
              <w:br/>
            </w:r>
            <w:r w:rsidR="00821EC5">
              <w:rPr>
                <w:rFonts w:cs="Myriad Pro Light"/>
                <w:color w:val="221E1F"/>
                <w:sz w:val="16"/>
                <w:szCs w:val="16"/>
              </w:rPr>
              <w:br/>
              <w:t>Expansion of hubs such as our Job Club across wider areas and in multiple community-based locations within a given employment services area could be one strategy for improving job seeker access to communication technology.</w:t>
            </w:r>
          </w:p>
        </w:tc>
      </w:tr>
    </w:tbl>
    <w:p w:rsidR="008C5A75" w:rsidRDefault="008C5A75">
      <w:pPr>
        <w:rPr>
          <w:b/>
          <w:lang w:eastAsia="en-AU"/>
        </w:rPr>
      </w:pPr>
    </w:p>
    <w:sectPr w:rsidR="008C5A75"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CD" w:rsidRDefault="00032ACD" w:rsidP="00214210">
      <w:pPr>
        <w:spacing w:after="0" w:line="240" w:lineRule="auto"/>
      </w:pPr>
      <w:r>
        <w:separator/>
      </w:r>
    </w:p>
  </w:endnote>
  <w:endnote w:type="continuationSeparator" w:id="0">
    <w:p w:rsidR="00032ACD" w:rsidRDefault="00032ACD"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CD" w:rsidRPr="006F436A" w:rsidRDefault="00032ACD">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CD" w:rsidRDefault="00032ACD" w:rsidP="00214210">
      <w:pPr>
        <w:spacing w:after="0" w:line="240" w:lineRule="auto"/>
      </w:pPr>
      <w:r>
        <w:separator/>
      </w:r>
    </w:p>
  </w:footnote>
  <w:footnote w:type="continuationSeparator" w:id="0">
    <w:p w:rsidR="00032ACD" w:rsidRDefault="00032ACD"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32ACD"/>
    <w:rsid w:val="00047DF2"/>
    <w:rsid w:val="00080BCE"/>
    <w:rsid w:val="0008520D"/>
    <w:rsid w:val="00085D36"/>
    <w:rsid w:val="000923F2"/>
    <w:rsid w:val="00095341"/>
    <w:rsid w:val="0009727B"/>
    <w:rsid w:val="00097F4B"/>
    <w:rsid w:val="000A676D"/>
    <w:rsid w:val="000B0DFF"/>
    <w:rsid w:val="000D4019"/>
    <w:rsid w:val="000E12CC"/>
    <w:rsid w:val="000E4B7A"/>
    <w:rsid w:val="000F2CD5"/>
    <w:rsid w:val="000F44EA"/>
    <w:rsid w:val="001048DF"/>
    <w:rsid w:val="00122D0C"/>
    <w:rsid w:val="0012318A"/>
    <w:rsid w:val="00127D81"/>
    <w:rsid w:val="00135FB7"/>
    <w:rsid w:val="0014745C"/>
    <w:rsid w:val="001536C8"/>
    <w:rsid w:val="001569EC"/>
    <w:rsid w:val="00162BCB"/>
    <w:rsid w:val="00166710"/>
    <w:rsid w:val="001775AB"/>
    <w:rsid w:val="00192917"/>
    <w:rsid w:val="001A1E5E"/>
    <w:rsid w:val="001A4D8F"/>
    <w:rsid w:val="001B7B9A"/>
    <w:rsid w:val="001C2BE7"/>
    <w:rsid w:val="001D02A4"/>
    <w:rsid w:val="001E2E3B"/>
    <w:rsid w:val="001E3EA9"/>
    <w:rsid w:val="001E630D"/>
    <w:rsid w:val="001F4C15"/>
    <w:rsid w:val="00214210"/>
    <w:rsid w:val="00223825"/>
    <w:rsid w:val="00223BB8"/>
    <w:rsid w:val="00224421"/>
    <w:rsid w:val="0023096B"/>
    <w:rsid w:val="0023686F"/>
    <w:rsid w:val="00237E0B"/>
    <w:rsid w:val="0029140D"/>
    <w:rsid w:val="002A3494"/>
    <w:rsid w:val="002A4BEA"/>
    <w:rsid w:val="002E38F1"/>
    <w:rsid w:val="00303D38"/>
    <w:rsid w:val="003119B9"/>
    <w:rsid w:val="00315FC6"/>
    <w:rsid w:val="00334A90"/>
    <w:rsid w:val="00342649"/>
    <w:rsid w:val="0035362A"/>
    <w:rsid w:val="00356F1B"/>
    <w:rsid w:val="00373641"/>
    <w:rsid w:val="00393686"/>
    <w:rsid w:val="003B2BB8"/>
    <w:rsid w:val="003B5339"/>
    <w:rsid w:val="003D34FF"/>
    <w:rsid w:val="003E56A6"/>
    <w:rsid w:val="003E5FD4"/>
    <w:rsid w:val="003E63EC"/>
    <w:rsid w:val="003F4472"/>
    <w:rsid w:val="0041533F"/>
    <w:rsid w:val="00436068"/>
    <w:rsid w:val="00443F1C"/>
    <w:rsid w:val="0046471F"/>
    <w:rsid w:val="00494CBC"/>
    <w:rsid w:val="004A148C"/>
    <w:rsid w:val="004B54CA"/>
    <w:rsid w:val="004C27E2"/>
    <w:rsid w:val="004D3C04"/>
    <w:rsid w:val="004E5CBF"/>
    <w:rsid w:val="004F6157"/>
    <w:rsid w:val="005057B8"/>
    <w:rsid w:val="00515AF7"/>
    <w:rsid w:val="00517674"/>
    <w:rsid w:val="00525712"/>
    <w:rsid w:val="00531883"/>
    <w:rsid w:val="005500AF"/>
    <w:rsid w:val="00555E3E"/>
    <w:rsid w:val="00585179"/>
    <w:rsid w:val="005935E6"/>
    <w:rsid w:val="00596EEA"/>
    <w:rsid w:val="005C3AA9"/>
    <w:rsid w:val="005D3EAB"/>
    <w:rsid w:val="005D4A60"/>
    <w:rsid w:val="005D6293"/>
    <w:rsid w:val="00617EBD"/>
    <w:rsid w:val="00624F5D"/>
    <w:rsid w:val="00625EE2"/>
    <w:rsid w:val="00626096"/>
    <w:rsid w:val="00631B41"/>
    <w:rsid w:val="00632D09"/>
    <w:rsid w:val="00634728"/>
    <w:rsid w:val="00635EE5"/>
    <w:rsid w:val="006371EE"/>
    <w:rsid w:val="006770A7"/>
    <w:rsid w:val="00690723"/>
    <w:rsid w:val="0069677B"/>
    <w:rsid w:val="00696ED6"/>
    <w:rsid w:val="006A4304"/>
    <w:rsid w:val="006A4CE7"/>
    <w:rsid w:val="006B61A4"/>
    <w:rsid w:val="006C775B"/>
    <w:rsid w:val="006F436A"/>
    <w:rsid w:val="00707EF3"/>
    <w:rsid w:val="00714720"/>
    <w:rsid w:val="00731565"/>
    <w:rsid w:val="00734082"/>
    <w:rsid w:val="0073584F"/>
    <w:rsid w:val="0075282F"/>
    <w:rsid w:val="00767CF1"/>
    <w:rsid w:val="00770E22"/>
    <w:rsid w:val="00784AE9"/>
    <w:rsid w:val="00785261"/>
    <w:rsid w:val="00785627"/>
    <w:rsid w:val="00791FBE"/>
    <w:rsid w:val="007B0256"/>
    <w:rsid w:val="007B780C"/>
    <w:rsid w:val="008134AC"/>
    <w:rsid w:val="00821EC5"/>
    <w:rsid w:val="00824A02"/>
    <w:rsid w:val="00826024"/>
    <w:rsid w:val="00835484"/>
    <w:rsid w:val="008418EF"/>
    <w:rsid w:val="00847FA0"/>
    <w:rsid w:val="008647F0"/>
    <w:rsid w:val="008B6FC6"/>
    <w:rsid w:val="008C1A86"/>
    <w:rsid w:val="008C5A75"/>
    <w:rsid w:val="008D7A5A"/>
    <w:rsid w:val="008F770A"/>
    <w:rsid w:val="00915C67"/>
    <w:rsid w:val="009225F0"/>
    <w:rsid w:val="0096286F"/>
    <w:rsid w:val="00977EED"/>
    <w:rsid w:val="009836E4"/>
    <w:rsid w:val="00987FA0"/>
    <w:rsid w:val="00990EC1"/>
    <w:rsid w:val="009A0449"/>
    <w:rsid w:val="009A7546"/>
    <w:rsid w:val="009E7724"/>
    <w:rsid w:val="00A04D8B"/>
    <w:rsid w:val="00A06548"/>
    <w:rsid w:val="00A17AFA"/>
    <w:rsid w:val="00A22A31"/>
    <w:rsid w:val="00A32D61"/>
    <w:rsid w:val="00A42C0F"/>
    <w:rsid w:val="00A464F3"/>
    <w:rsid w:val="00A673D9"/>
    <w:rsid w:val="00A70E1E"/>
    <w:rsid w:val="00A90945"/>
    <w:rsid w:val="00A92138"/>
    <w:rsid w:val="00AA451B"/>
    <w:rsid w:val="00AC0B89"/>
    <w:rsid w:val="00AC0E82"/>
    <w:rsid w:val="00AC21F5"/>
    <w:rsid w:val="00AF559E"/>
    <w:rsid w:val="00B00152"/>
    <w:rsid w:val="00B01913"/>
    <w:rsid w:val="00B01B10"/>
    <w:rsid w:val="00B03200"/>
    <w:rsid w:val="00B051E7"/>
    <w:rsid w:val="00B06216"/>
    <w:rsid w:val="00B06238"/>
    <w:rsid w:val="00B37652"/>
    <w:rsid w:val="00B5345A"/>
    <w:rsid w:val="00B63CF5"/>
    <w:rsid w:val="00B74B28"/>
    <w:rsid w:val="00B81C57"/>
    <w:rsid w:val="00B87E99"/>
    <w:rsid w:val="00B9617A"/>
    <w:rsid w:val="00B97B2A"/>
    <w:rsid w:val="00BA2DB9"/>
    <w:rsid w:val="00BB2D1E"/>
    <w:rsid w:val="00BC5D99"/>
    <w:rsid w:val="00BE1373"/>
    <w:rsid w:val="00BE7148"/>
    <w:rsid w:val="00C07F54"/>
    <w:rsid w:val="00C542F9"/>
    <w:rsid w:val="00C5438C"/>
    <w:rsid w:val="00C640EA"/>
    <w:rsid w:val="00C801BB"/>
    <w:rsid w:val="00C8554A"/>
    <w:rsid w:val="00C97160"/>
    <w:rsid w:val="00CB5447"/>
    <w:rsid w:val="00CC5C1C"/>
    <w:rsid w:val="00D05505"/>
    <w:rsid w:val="00D17402"/>
    <w:rsid w:val="00D21839"/>
    <w:rsid w:val="00D24567"/>
    <w:rsid w:val="00D3285D"/>
    <w:rsid w:val="00D83898"/>
    <w:rsid w:val="00DA301B"/>
    <w:rsid w:val="00DB5908"/>
    <w:rsid w:val="00DB6827"/>
    <w:rsid w:val="00DC1A8C"/>
    <w:rsid w:val="00DE3E32"/>
    <w:rsid w:val="00DF3317"/>
    <w:rsid w:val="00DF3B4B"/>
    <w:rsid w:val="00DF4413"/>
    <w:rsid w:val="00E00E91"/>
    <w:rsid w:val="00E03B73"/>
    <w:rsid w:val="00E05B7E"/>
    <w:rsid w:val="00E30D47"/>
    <w:rsid w:val="00E35FE7"/>
    <w:rsid w:val="00E90279"/>
    <w:rsid w:val="00EB0645"/>
    <w:rsid w:val="00ED1C85"/>
    <w:rsid w:val="00F255FE"/>
    <w:rsid w:val="00F47B32"/>
    <w:rsid w:val="00F623DF"/>
    <w:rsid w:val="00F73BA1"/>
    <w:rsid w:val="00F84D53"/>
    <w:rsid w:val="00F943BD"/>
    <w:rsid w:val="00F9681D"/>
    <w:rsid w:val="00FA05A4"/>
    <w:rsid w:val="00FA6287"/>
    <w:rsid w:val="00FB6C3B"/>
    <w:rsid w:val="00FB6D4F"/>
    <w:rsid w:val="00FC013A"/>
    <w:rsid w:val="00FD320C"/>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customStyle="1" w:styleId="Pa8">
    <w:name w:val="Pa8"/>
    <w:basedOn w:val="Default"/>
    <w:next w:val="Default"/>
    <w:uiPriority w:val="99"/>
    <w:rsid w:val="00525712"/>
    <w:pPr>
      <w:spacing w:line="221" w:lineRule="atLeast"/>
    </w:pPr>
    <w:rPr>
      <w:rFonts w:ascii="Myriad Pro Light" w:hAnsi="Myriad Pro Light" w:cstheme="minorBidi"/>
      <w:color w:val="auto"/>
    </w:rPr>
  </w:style>
  <w:style w:type="paragraph" w:styleId="PlainText">
    <w:name w:val="Plain Text"/>
    <w:basedOn w:val="Normal"/>
    <w:link w:val="PlainTextChar"/>
    <w:uiPriority w:val="99"/>
    <w:semiHidden/>
    <w:unhideWhenUsed/>
    <w:rsid w:val="00B062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621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customStyle="1" w:styleId="Pa8">
    <w:name w:val="Pa8"/>
    <w:basedOn w:val="Default"/>
    <w:next w:val="Default"/>
    <w:uiPriority w:val="99"/>
    <w:rsid w:val="00525712"/>
    <w:pPr>
      <w:spacing w:line="221" w:lineRule="atLeast"/>
    </w:pPr>
    <w:rPr>
      <w:rFonts w:ascii="Myriad Pro Light" w:hAnsi="Myriad Pro Light" w:cstheme="minorBidi"/>
      <w:color w:val="auto"/>
    </w:rPr>
  </w:style>
  <w:style w:type="paragraph" w:styleId="PlainText">
    <w:name w:val="Plain Text"/>
    <w:basedOn w:val="Normal"/>
    <w:link w:val="PlainTextChar"/>
    <w:uiPriority w:val="99"/>
    <w:semiHidden/>
    <w:unhideWhenUsed/>
    <w:rsid w:val="00B062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62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125416">
      <w:bodyDiv w:val="1"/>
      <w:marLeft w:val="0"/>
      <w:marRight w:val="0"/>
      <w:marTop w:val="0"/>
      <w:marBottom w:val="0"/>
      <w:divBdr>
        <w:top w:val="none" w:sz="0" w:space="0" w:color="auto"/>
        <w:left w:val="none" w:sz="0" w:space="0" w:color="auto"/>
        <w:bottom w:val="none" w:sz="0" w:space="0" w:color="auto"/>
        <w:right w:val="none" w:sz="0" w:space="0" w:color="auto"/>
      </w:divBdr>
    </w:div>
    <w:div w:id="963846837">
      <w:bodyDiv w:val="1"/>
      <w:marLeft w:val="0"/>
      <w:marRight w:val="0"/>
      <w:marTop w:val="0"/>
      <w:marBottom w:val="0"/>
      <w:divBdr>
        <w:top w:val="none" w:sz="0" w:space="0" w:color="auto"/>
        <w:left w:val="none" w:sz="0" w:space="0" w:color="auto"/>
        <w:bottom w:val="none" w:sz="0" w:space="0" w:color="auto"/>
        <w:right w:val="none" w:sz="0" w:space="0" w:color="auto"/>
      </w:divBdr>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9E32-D533-423D-BC74-1CA23787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5877</Words>
  <Characters>33505</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Stefanac, Sandra</cp:lastModifiedBy>
  <cp:revision>2</cp:revision>
  <cp:lastPrinted>2014-08-05T04:56:00Z</cp:lastPrinted>
  <dcterms:created xsi:type="dcterms:W3CDTF">2014-08-19T01:47:00Z</dcterms:created>
  <dcterms:modified xsi:type="dcterms:W3CDTF">2014-08-19T01:47:00Z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