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5A5530E8" wp14:editId="11420DAD">
            <wp:extent cx="7541998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92" w:rsidRDefault="00C80192" w:rsidP="00537B50">
      <w:pPr>
        <w:pStyle w:val="Smalltext"/>
        <w:ind w:right="-427"/>
      </w:pPr>
    </w:p>
    <w:p w:rsidR="00073A3F" w:rsidRPr="00754D44" w:rsidRDefault="00073A3F" w:rsidP="00073A3F">
      <w:pPr>
        <w:pStyle w:val="Title"/>
      </w:pPr>
      <w:bookmarkStart w:id="0" w:name="_Toc391890680"/>
      <w:r>
        <w:t>Pri</w:t>
      </w:r>
      <w:r w:rsidR="004C3D20">
        <w:t>ority of Access Guidelines for Child Care S</w:t>
      </w:r>
      <w:r>
        <w:t>ervices</w:t>
      </w:r>
    </w:p>
    <w:p w:rsidR="00073A3F" w:rsidRPr="00754D44" w:rsidRDefault="00073A3F" w:rsidP="00073A3F">
      <w:pPr>
        <w:pStyle w:val="Subtitle"/>
      </w:pPr>
      <w:r>
        <w:t>Instruction Sheet 10</w:t>
      </w:r>
    </w:p>
    <w:bookmarkEnd w:id="0"/>
    <w:p w:rsidR="00073A3F" w:rsidRPr="00073A3F" w:rsidRDefault="00073A3F" w:rsidP="00073A3F">
      <w:r w:rsidRPr="00073A3F">
        <w:t>It is a condition of approval and continued approval for Child Care Benefit (CCB) purposes that services must comply with Family Assistance Law.</w:t>
      </w:r>
    </w:p>
    <w:p w:rsidR="00073A3F" w:rsidRPr="00073A3F" w:rsidRDefault="00073A3F" w:rsidP="00073A3F">
      <w:r w:rsidRPr="00073A3F">
        <w:t xml:space="preserve">The Priority of Access Guidelines </w:t>
      </w:r>
      <w:proofErr w:type="gramStart"/>
      <w:r w:rsidRPr="00073A3F">
        <w:t>are</w:t>
      </w:r>
      <w:proofErr w:type="gramEnd"/>
      <w:r w:rsidRPr="00073A3F">
        <w:t xml:space="preserve"> set out in the </w:t>
      </w:r>
      <w:r w:rsidRPr="004C7D7C">
        <w:rPr>
          <w:i/>
        </w:rPr>
        <w:t>Child Care Benefit (Eligibility of Child Care Services for Approval and Continued Approval) Determination 2000</w:t>
      </w:r>
      <w:r w:rsidRPr="00073A3F">
        <w:t>.</w:t>
      </w:r>
    </w:p>
    <w:p w:rsidR="00073A3F" w:rsidRPr="00073A3F" w:rsidRDefault="00073A3F" w:rsidP="00073A3F">
      <w:r w:rsidRPr="00073A3F">
        <w:t>The Guidelines apply to Long Day Care, Family Day Care, Outside School Hours Care and In-Home Care services. Failure to meet these Guidelines is a breach of the conditions of continued approval and may result in a service being sanctioned under the Act.</w:t>
      </w:r>
    </w:p>
    <w:p w:rsidR="00073A3F" w:rsidRPr="00377173" w:rsidRDefault="00073A3F" w:rsidP="00073A3F">
      <w:pPr>
        <w:pStyle w:val="Heading1"/>
      </w:pPr>
      <w:r>
        <w:t>Priorities for filling vacant places</w:t>
      </w:r>
    </w:p>
    <w:p w:rsidR="00073A3F" w:rsidRPr="00AA66AE" w:rsidRDefault="00073A3F" w:rsidP="00073A3F">
      <w:r w:rsidRPr="00CF428E">
        <w:t>The Priority of Access Guidelines</w:t>
      </w:r>
      <w:r w:rsidRPr="005375F8">
        <w:rPr>
          <w:rFonts w:asciiTheme="minorHAnsi" w:hAnsiTheme="minorHAnsi" w:cstheme="minorHAnsi"/>
        </w:rPr>
        <w:t xml:space="preserve"> </w:t>
      </w:r>
      <w:r w:rsidRPr="005375F8">
        <w:rPr>
          <w:rStyle w:val="BoldTextBlack"/>
          <w:rFonts w:asciiTheme="minorHAnsi" w:hAnsiTheme="minorHAnsi" w:cstheme="minorHAnsi"/>
        </w:rPr>
        <w:t>must</w:t>
      </w:r>
      <w:r w:rsidRPr="00CF428E">
        <w:t xml:space="preserve"> be used by approved services to allocate available child care places where there are more families requiring care than places available.</w:t>
      </w:r>
    </w:p>
    <w:p w:rsidR="00073A3F" w:rsidRPr="00AA66AE" w:rsidRDefault="00073A3F" w:rsidP="00073A3F">
      <w:r w:rsidRPr="00AA66AE">
        <w:t>When filling vacant places, a service must fill them accord</w:t>
      </w:r>
      <w:bookmarkStart w:id="1" w:name="_GoBack"/>
      <w:bookmarkEnd w:id="1"/>
      <w:r w:rsidRPr="00AA66AE">
        <w:t>ing to the following priorities:</w:t>
      </w:r>
    </w:p>
    <w:p w:rsidR="00073A3F" w:rsidRPr="000C698F" w:rsidRDefault="00073A3F" w:rsidP="00A124FC">
      <w:pPr>
        <w:pStyle w:val="ListParagraph"/>
        <w:numPr>
          <w:ilvl w:val="0"/>
          <w:numId w:val="62"/>
        </w:numPr>
        <w:ind w:left="714" w:hanging="357"/>
        <w:contextualSpacing w:val="0"/>
      </w:pPr>
      <w:r w:rsidRPr="003D7EE2">
        <w:rPr>
          <w:b/>
        </w:rPr>
        <w:t>Priority 1</w:t>
      </w:r>
      <w:r w:rsidRPr="000C698F">
        <w:t xml:space="preserve"> – a child at risk of serious abuse or neglect</w:t>
      </w:r>
    </w:p>
    <w:p w:rsidR="00073A3F" w:rsidRPr="000C698F" w:rsidRDefault="00073A3F" w:rsidP="00A124FC">
      <w:pPr>
        <w:pStyle w:val="ListParagraph"/>
        <w:numPr>
          <w:ilvl w:val="0"/>
          <w:numId w:val="62"/>
        </w:numPr>
        <w:ind w:left="714" w:hanging="357"/>
        <w:contextualSpacing w:val="0"/>
      </w:pPr>
      <w:r w:rsidRPr="003D7EE2">
        <w:rPr>
          <w:b/>
        </w:rPr>
        <w:t>Priority 2</w:t>
      </w:r>
      <w:r w:rsidRPr="000C698F">
        <w:t xml:space="preserve"> – a child of a single parent who satisfies, or of parents who both satisfy, the work, training, study test</w:t>
      </w:r>
    </w:p>
    <w:p w:rsidR="00073A3F" w:rsidRPr="000C698F" w:rsidRDefault="00073A3F" w:rsidP="003D7EE2">
      <w:pPr>
        <w:pStyle w:val="ListParagraph"/>
        <w:numPr>
          <w:ilvl w:val="0"/>
          <w:numId w:val="62"/>
        </w:numPr>
      </w:pPr>
      <w:r w:rsidRPr="00B657AA">
        <w:rPr>
          <w:b/>
        </w:rPr>
        <w:t>Priority 3</w:t>
      </w:r>
      <w:r w:rsidRPr="000C698F">
        <w:t xml:space="preserve"> – any other child.</w:t>
      </w:r>
    </w:p>
    <w:p w:rsidR="00073A3F" w:rsidRPr="00AA66AE" w:rsidRDefault="00073A3F" w:rsidP="00073A3F">
      <w:r w:rsidRPr="00AA66AE">
        <w:t>Within these main Priority categories, priority should also be given to children in:</w:t>
      </w:r>
    </w:p>
    <w:p w:rsidR="00073A3F" w:rsidRPr="00A130FA" w:rsidRDefault="00073A3F" w:rsidP="00886BB9">
      <w:pPr>
        <w:pStyle w:val="ListBullet"/>
      </w:pPr>
      <w:r w:rsidRPr="00A130FA">
        <w:t>Aboriginal and Torres Strait Islander families</w:t>
      </w:r>
    </w:p>
    <w:p w:rsidR="00073A3F" w:rsidRPr="00A130FA" w:rsidRDefault="00073A3F" w:rsidP="00886BB9">
      <w:pPr>
        <w:pStyle w:val="ListBullet"/>
      </w:pPr>
      <w:r w:rsidRPr="00A130FA">
        <w:t>families which include a disabled person</w:t>
      </w:r>
    </w:p>
    <w:p w:rsidR="00073A3F" w:rsidRPr="00415779" w:rsidRDefault="00073A3F" w:rsidP="00886BB9">
      <w:pPr>
        <w:pStyle w:val="ListBullet"/>
      </w:pPr>
      <w:bookmarkStart w:id="2" w:name="OLE_LINK1"/>
      <w:r w:rsidRPr="00415779">
        <w:t>families which include an individual whose adjusted taxable income does not exceed the lower income threshold of</w:t>
      </w:r>
      <w:r w:rsidRPr="00415779">
        <w:rPr>
          <w:b/>
          <w:bCs/>
        </w:rPr>
        <w:t xml:space="preserve"> $</w:t>
      </w:r>
      <w:r w:rsidR="00B0145F">
        <w:rPr>
          <w:b/>
          <w:bCs/>
        </w:rPr>
        <w:t>43,72</w:t>
      </w:r>
      <w:r>
        <w:rPr>
          <w:b/>
          <w:bCs/>
        </w:rPr>
        <w:t>7</w:t>
      </w:r>
      <w:r w:rsidRPr="00415779">
        <w:rPr>
          <w:b/>
          <w:bCs/>
        </w:rPr>
        <w:t xml:space="preserve"> for 201</w:t>
      </w:r>
      <w:r w:rsidR="00B0145F">
        <w:rPr>
          <w:b/>
          <w:bCs/>
        </w:rPr>
        <w:t>5</w:t>
      </w:r>
      <w:r w:rsidRPr="00415779">
        <w:rPr>
          <w:b/>
          <w:bCs/>
        </w:rPr>
        <w:t>-201</w:t>
      </w:r>
      <w:r w:rsidR="00B0145F">
        <w:rPr>
          <w:b/>
          <w:bCs/>
        </w:rPr>
        <w:t>6</w:t>
      </w:r>
      <w:r w:rsidRPr="00415779">
        <w:t xml:space="preserve"> or who or whose partner is on income support</w:t>
      </w:r>
    </w:p>
    <w:bookmarkEnd w:id="2"/>
    <w:p w:rsidR="00073A3F" w:rsidRPr="00A130FA" w:rsidRDefault="00073A3F" w:rsidP="00886BB9">
      <w:pPr>
        <w:pStyle w:val="ListBullet"/>
      </w:pPr>
      <w:r w:rsidRPr="00A130FA">
        <w:t xml:space="preserve">families from </w:t>
      </w:r>
      <w:r w:rsidRPr="00CF535E">
        <w:rPr>
          <w:iCs/>
          <w:lang w:val="en-US"/>
        </w:rPr>
        <w:t>a non-English speaking background</w:t>
      </w:r>
    </w:p>
    <w:p w:rsidR="00073A3F" w:rsidRPr="00A130FA" w:rsidRDefault="00073A3F" w:rsidP="00886BB9">
      <w:pPr>
        <w:pStyle w:val="ListBullet"/>
      </w:pPr>
      <w:r w:rsidRPr="00A130FA">
        <w:lastRenderedPageBreak/>
        <w:t>socially isolated families</w:t>
      </w:r>
    </w:p>
    <w:p w:rsidR="00073A3F" w:rsidRPr="00A130FA" w:rsidRDefault="00073A3F" w:rsidP="00886BB9">
      <w:pPr>
        <w:pStyle w:val="ListBullet"/>
      </w:pPr>
      <w:proofErr w:type="gramStart"/>
      <w:r w:rsidRPr="00A130FA">
        <w:t>single</w:t>
      </w:r>
      <w:proofErr w:type="gramEnd"/>
      <w:r w:rsidRPr="00A130FA">
        <w:t xml:space="preserve"> parent families</w:t>
      </w:r>
      <w:r>
        <w:t>.</w:t>
      </w:r>
    </w:p>
    <w:p w:rsidR="00073A3F" w:rsidRPr="000C698F" w:rsidRDefault="00073A3F" w:rsidP="000C698F">
      <w:r w:rsidRPr="000C698F">
        <w:t>Note: Where a service is funded by an employer to provide child care solely or primarily for the children of the employer’s employees, the service may give priority to those children.</w:t>
      </w:r>
    </w:p>
    <w:p w:rsidR="00073A3F" w:rsidRDefault="00073A3F" w:rsidP="00073A3F">
      <w:pPr>
        <w:pStyle w:val="Heading1"/>
      </w:pPr>
      <w:r>
        <w:t>Requiring a child to vacate a place</w:t>
      </w:r>
    </w:p>
    <w:p w:rsidR="00073A3F" w:rsidRPr="00073A3F" w:rsidRDefault="00073A3F" w:rsidP="00073A3F">
      <w:r w:rsidRPr="00A130FA">
        <w:t xml:space="preserve">Under the Priority of Access Guidelines a child </w:t>
      </w:r>
      <w:r w:rsidRPr="0018446D">
        <w:t>care service may</w:t>
      </w:r>
      <w:r w:rsidRPr="00A130FA">
        <w:t xml:space="preserve"> require a Priority 3 child only to vacate a place to make room for a higher priority child. The service can only do so if:</w:t>
      </w:r>
    </w:p>
    <w:p w:rsidR="00073A3F" w:rsidRPr="00886BB9" w:rsidRDefault="00073A3F" w:rsidP="00886BB9">
      <w:pPr>
        <w:pStyle w:val="ListBullet"/>
        <w:rPr>
          <w:rStyle w:val="BoldTextBlack"/>
          <w:rFonts w:ascii="Arial" w:hAnsi="Arial"/>
        </w:rPr>
      </w:pPr>
      <w:r w:rsidRPr="00886BB9">
        <w:t xml:space="preserve">the person liable for the payment of the child care fees was notified when the child first entered care that the service followed this policy, </w:t>
      </w:r>
      <w:r w:rsidRPr="00886BB9">
        <w:rPr>
          <w:rStyle w:val="BoldTextBlack"/>
          <w:rFonts w:ascii="Arial" w:hAnsi="Arial"/>
        </w:rPr>
        <w:t>and</w:t>
      </w:r>
    </w:p>
    <w:p w:rsidR="00073A3F" w:rsidRPr="00886BB9" w:rsidRDefault="00073A3F" w:rsidP="00886BB9">
      <w:pPr>
        <w:pStyle w:val="ListBullet"/>
        <w:rPr>
          <w:rStyle w:val="BoldTextBlack"/>
          <w:rFonts w:ascii="Arial" w:hAnsi="Arial"/>
        </w:rPr>
      </w:pPr>
      <w:proofErr w:type="gramStart"/>
      <w:r w:rsidRPr="00886BB9">
        <w:rPr>
          <w:rStyle w:val="BoldTextBlack"/>
          <w:rFonts w:ascii="Arial" w:hAnsi="Arial"/>
        </w:rPr>
        <w:t>the</w:t>
      </w:r>
      <w:proofErr w:type="gramEnd"/>
      <w:r w:rsidRPr="00886BB9">
        <w:rPr>
          <w:rStyle w:val="BoldTextBlack"/>
          <w:rFonts w:ascii="Arial" w:hAnsi="Arial"/>
        </w:rPr>
        <w:t xml:space="preserve"> service gives the person at least 14 </w:t>
      </w:r>
      <w:proofErr w:type="spellStart"/>
      <w:r w:rsidRPr="00886BB9">
        <w:rPr>
          <w:rStyle w:val="BoldTextBlack"/>
          <w:rFonts w:ascii="Arial" w:hAnsi="Arial"/>
        </w:rPr>
        <w:t>days notice</w:t>
      </w:r>
      <w:proofErr w:type="spellEnd"/>
      <w:r w:rsidRPr="00886BB9">
        <w:rPr>
          <w:rStyle w:val="BoldTextBlack"/>
          <w:rFonts w:ascii="Arial" w:hAnsi="Arial"/>
        </w:rPr>
        <w:t xml:space="preserve"> of the requirement for the child to vacate the place.</w:t>
      </w:r>
    </w:p>
    <w:p w:rsidR="00073A3F" w:rsidRDefault="00073A3F" w:rsidP="00A124FC">
      <w:pPr>
        <w:pStyle w:val="Heading1"/>
      </w:pPr>
      <w:r>
        <w:t>Outside School Hours Care</w:t>
      </w:r>
    </w:p>
    <w:p w:rsidR="00073A3F" w:rsidRPr="00A130FA" w:rsidRDefault="00073A3F" w:rsidP="00886BB9">
      <w:r w:rsidRPr="00A130FA">
        <w:t>Outside School Hours Care is primarily for school children. Where an Outside School Hours Care Service has no vacant places and is providing care for a child who has not yet started school, the service may require that child to leave the service in order to provide a place for a school child.</w:t>
      </w:r>
    </w:p>
    <w:p w:rsidR="00073A3F" w:rsidRDefault="00073A3F" w:rsidP="00A124FC">
      <w:pPr>
        <w:pStyle w:val="Heading1"/>
      </w:pPr>
      <w:r>
        <w:t>Employer sponsored places</w:t>
      </w:r>
    </w:p>
    <w:p w:rsidR="00CB05BE" w:rsidRPr="004649E2" w:rsidRDefault="00073A3F" w:rsidP="008D4E4B">
      <w:r w:rsidRPr="00A130FA">
        <w:t>Where a child care service has places sponsored by an employer, the service may require those places to be vacated for the employee’s children.</w:t>
      </w:r>
    </w:p>
    <w:sectPr w:rsidR="00CB05BE" w:rsidRPr="004649E2" w:rsidSect="00D87F42">
      <w:headerReference w:type="first" r:id="rId10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F6" w:rsidRDefault="008B66F6">
      <w:r>
        <w:separator/>
      </w:r>
    </w:p>
  </w:endnote>
  <w:endnote w:type="continuationSeparator" w:id="0">
    <w:p w:rsidR="008B66F6" w:rsidRDefault="008B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65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F6" w:rsidRDefault="008B66F6">
      <w:r>
        <w:separator/>
      </w:r>
    </w:p>
  </w:footnote>
  <w:footnote w:type="continuationSeparator" w:id="0">
    <w:p w:rsidR="008B66F6" w:rsidRDefault="008B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3E" w:rsidRDefault="00B65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82C30"/>
    <w:multiLevelType w:val="hybridMultilevel"/>
    <w:tmpl w:val="BD40B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0"/>
  </w:num>
  <w:num w:numId="25">
    <w:abstractNumId w:val="34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3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2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6"/>
  </w:num>
  <w:num w:numId="60">
    <w:abstractNumId w:val="6"/>
  </w:num>
  <w:num w:numId="61">
    <w:abstractNumId w:val="31"/>
  </w:num>
  <w:num w:numId="62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F6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3A3F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C698F"/>
    <w:rsid w:val="000D0178"/>
    <w:rsid w:val="000D4703"/>
    <w:rsid w:val="000D693C"/>
    <w:rsid w:val="000E12D4"/>
    <w:rsid w:val="00104669"/>
    <w:rsid w:val="00110028"/>
    <w:rsid w:val="0011449B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2FAB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D7EE2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C3D20"/>
    <w:rsid w:val="004C7D7C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4329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5256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5EA9"/>
    <w:rsid w:val="00871D4F"/>
    <w:rsid w:val="00874FB3"/>
    <w:rsid w:val="00880BE3"/>
    <w:rsid w:val="00882588"/>
    <w:rsid w:val="00886BB9"/>
    <w:rsid w:val="00895792"/>
    <w:rsid w:val="008A3738"/>
    <w:rsid w:val="008A384C"/>
    <w:rsid w:val="008A6981"/>
    <w:rsid w:val="008B645B"/>
    <w:rsid w:val="008B66F6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07EC"/>
    <w:rsid w:val="009C206F"/>
    <w:rsid w:val="009C433C"/>
    <w:rsid w:val="009D28B7"/>
    <w:rsid w:val="009D7E1A"/>
    <w:rsid w:val="009E2162"/>
    <w:rsid w:val="009F2F95"/>
    <w:rsid w:val="00A006EB"/>
    <w:rsid w:val="00A03709"/>
    <w:rsid w:val="00A06C77"/>
    <w:rsid w:val="00A10147"/>
    <w:rsid w:val="00A124FC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145F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657AA"/>
    <w:rsid w:val="00B72D62"/>
    <w:rsid w:val="00B76920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2ED3"/>
    <w:rsid w:val="00C04D5E"/>
    <w:rsid w:val="00C24EA2"/>
    <w:rsid w:val="00C24F70"/>
    <w:rsid w:val="00C25D5B"/>
    <w:rsid w:val="00C325C4"/>
    <w:rsid w:val="00C33479"/>
    <w:rsid w:val="00C47BA2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2D6E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BodyTextBodyTextstyles">
    <w:name w:val="Body Text (Body Text styles)"/>
    <w:basedOn w:val="Normal"/>
    <w:uiPriority w:val="99"/>
    <w:rsid w:val="00073A3F"/>
    <w:pPr>
      <w:suppressAutoHyphens/>
      <w:autoSpaceDE w:val="0"/>
      <w:autoSpaceDN w:val="0"/>
      <w:adjustRightInd w:val="0"/>
      <w:spacing w:before="0" w:after="113"/>
      <w:textAlignment w:val="center"/>
    </w:pPr>
    <w:rPr>
      <w:rFonts w:ascii="HelveticaNeue LT 45 Light" w:hAnsi="HelveticaNeue LT 45 Light" w:cs="HelveticaNeue LT 45 Light"/>
      <w:color w:val="000000"/>
      <w:spacing w:val="0"/>
      <w:sz w:val="20"/>
      <w:szCs w:val="20"/>
      <w:lang w:val="en-GB"/>
    </w:rPr>
  </w:style>
  <w:style w:type="character" w:customStyle="1" w:styleId="BodyTextItalics">
    <w:name w:val="Body Text Italics"/>
    <w:uiPriority w:val="99"/>
    <w:rsid w:val="00073A3F"/>
    <w:rPr>
      <w:rFonts w:ascii="HelveticaNeue LT 45 Light" w:hAnsi="HelveticaNeue LT 45 Light"/>
      <w:i/>
      <w:sz w:val="20"/>
    </w:rPr>
  </w:style>
  <w:style w:type="character" w:customStyle="1" w:styleId="BoldTextBlack">
    <w:name w:val="Bold Text Black"/>
    <w:uiPriority w:val="99"/>
    <w:rsid w:val="00073A3F"/>
    <w:rPr>
      <w:rFonts w:ascii="HelveticaNeue LT 65 Medium" w:hAnsi="HelveticaNeue LT 65 Medium"/>
    </w:rPr>
  </w:style>
  <w:style w:type="character" w:customStyle="1" w:styleId="BoldTextBlue">
    <w:name w:val="Bold Text Blue"/>
    <w:uiPriority w:val="99"/>
    <w:rsid w:val="00073A3F"/>
    <w:rPr>
      <w:rFonts w:ascii="HelveticaNeue LT 65 Medium" w:hAnsi="HelveticaNeue LT 65 Medium"/>
      <w:color w:val="007F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BodyTextBodyTextstyles">
    <w:name w:val="Body Text (Body Text styles)"/>
    <w:basedOn w:val="Normal"/>
    <w:uiPriority w:val="99"/>
    <w:rsid w:val="00073A3F"/>
    <w:pPr>
      <w:suppressAutoHyphens/>
      <w:autoSpaceDE w:val="0"/>
      <w:autoSpaceDN w:val="0"/>
      <w:adjustRightInd w:val="0"/>
      <w:spacing w:before="0" w:after="113"/>
      <w:textAlignment w:val="center"/>
    </w:pPr>
    <w:rPr>
      <w:rFonts w:ascii="HelveticaNeue LT 45 Light" w:hAnsi="HelveticaNeue LT 45 Light" w:cs="HelveticaNeue LT 45 Light"/>
      <w:color w:val="000000"/>
      <w:spacing w:val="0"/>
      <w:sz w:val="20"/>
      <w:szCs w:val="20"/>
      <w:lang w:val="en-GB"/>
    </w:rPr>
  </w:style>
  <w:style w:type="character" w:customStyle="1" w:styleId="BodyTextItalics">
    <w:name w:val="Body Text Italics"/>
    <w:uiPriority w:val="99"/>
    <w:rsid w:val="00073A3F"/>
    <w:rPr>
      <w:rFonts w:ascii="HelveticaNeue LT 45 Light" w:hAnsi="HelveticaNeue LT 45 Light"/>
      <w:i/>
      <w:sz w:val="20"/>
    </w:rPr>
  </w:style>
  <w:style w:type="character" w:customStyle="1" w:styleId="BoldTextBlack">
    <w:name w:val="Bold Text Black"/>
    <w:uiPriority w:val="99"/>
    <w:rsid w:val="00073A3F"/>
    <w:rPr>
      <w:rFonts w:ascii="HelveticaNeue LT 65 Medium" w:hAnsi="HelveticaNeue LT 65 Medium"/>
    </w:rPr>
  </w:style>
  <w:style w:type="character" w:customStyle="1" w:styleId="BoldTextBlue">
    <w:name w:val="Bold Text Blue"/>
    <w:uiPriority w:val="99"/>
    <w:rsid w:val="00073A3F"/>
    <w:rPr>
      <w:rFonts w:ascii="HelveticaNeue LT 65 Medium" w:hAnsi="HelveticaNeue LT 65 Medium"/>
      <w:color w:val="007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Purple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2393-0D8C-41D9-9F37-9DA105F3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Purple</Template>
  <TotalTime>54</TotalTime>
  <Pages>2</Pages>
  <Words>455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SAINSBERY, Matthew</dc:creator>
  <cp:lastModifiedBy>SAINSBERY, Matthew</cp:lastModifiedBy>
  <cp:revision>14</cp:revision>
  <cp:lastPrinted>2014-08-12T05:56:00Z</cp:lastPrinted>
  <dcterms:created xsi:type="dcterms:W3CDTF">2015-06-30T03:27:00Z</dcterms:created>
  <dcterms:modified xsi:type="dcterms:W3CDTF">2015-07-02T02:05:00Z</dcterms:modified>
</cp:coreProperties>
</file>