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0" w:rsidRDefault="008C5950" w:rsidP="00F542B3">
      <w:pPr>
        <w:spacing w:before="0" w:after="240"/>
        <w:jc w:val="right"/>
      </w:pPr>
      <w:r>
        <w:rPr>
          <w:noProof/>
        </w:rPr>
        <w:drawing>
          <wp:inline distT="0" distB="0" distL="0" distR="0" wp14:anchorId="21C4285B" wp14:editId="7D4CE786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2B3" w:rsidRPr="00F542B3">
        <w:rPr>
          <w:sz w:val="16"/>
          <w:szCs w:val="16"/>
        </w:rPr>
        <w:t xml:space="preserve"> </w:t>
      </w:r>
      <w:r w:rsidR="00F542B3" w:rsidRPr="00FE794E">
        <w:rPr>
          <w:sz w:val="16"/>
          <w:szCs w:val="16"/>
        </w:rPr>
        <w:t>DSS1589.05.15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lexible Support Funding Limits"/>
      </w:tblPr>
      <w:tblGrid>
        <w:gridCol w:w="6379"/>
        <w:gridCol w:w="2630"/>
      </w:tblGrid>
      <w:tr w:rsidR="00CE58BE" w:rsidRPr="003A4E4F" w:rsidTr="006A4EC6">
        <w:trPr>
          <w:tblHeader/>
        </w:trPr>
        <w:tc>
          <w:tcPr>
            <w:tcW w:w="6379" w:type="dxa"/>
          </w:tcPr>
          <w:p w:rsidR="00CE58BE" w:rsidRPr="00103E25" w:rsidRDefault="00CE58BE" w:rsidP="006A4EC6">
            <w:pPr>
              <w:pStyle w:val="Title"/>
              <w:rPr>
                <w:sz w:val="60"/>
                <w:szCs w:val="60"/>
              </w:rPr>
            </w:pPr>
            <w:r w:rsidRPr="00103E25">
              <w:rPr>
                <w:sz w:val="60"/>
                <w:szCs w:val="60"/>
              </w:rPr>
              <w:t>Inclusion Support Subsidy Payment Rates</w:t>
            </w:r>
          </w:p>
        </w:tc>
        <w:tc>
          <w:tcPr>
            <w:tcW w:w="2630" w:type="dxa"/>
          </w:tcPr>
          <w:p w:rsidR="00CE58BE" w:rsidRPr="003A4E4F" w:rsidRDefault="00CE58BE" w:rsidP="006A4EC6">
            <w:pPr>
              <w:pStyle w:val="Title"/>
              <w:jc w:val="right"/>
              <w:rPr>
                <w:szCs w:val="66"/>
              </w:rPr>
            </w:pPr>
            <w:r w:rsidRPr="003A4E4F">
              <w:rPr>
                <w:noProof/>
                <w:szCs w:val="66"/>
              </w:rPr>
              <w:drawing>
                <wp:inline distT="0" distB="0" distL="0" distR="0" wp14:anchorId="663681F1" wp14:editId="5423E70C">
                  <wp:extent cx="1466850" cy="1010121"/>
                  <wp:effectExtent l="0" t="0" r="0" b="0"/>
                  <wp:docPr id="1" name="Picture 1" descr="Inclusion and Professional Support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17" cy="10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D7E" w:rsidRPr="00AC1D7E" w:rsidRDefault="002911AA" w:rsidP="00AC1D7E">
      <w:pPr>
        <w:pStyle w:val="Subtitle"/>
      </w:pPr>
      <w:r>
        <w:t>Home Based Care Services</w:t>
      </w:r>
    </w:p>
    <w:tbl>
      <w:tblPr>
        <w:tblStyle w:val="DEEWRTable"/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Home Based Care Services"/>
        <w:tblDescription w:val="Provides details of Inclusion SUpport Subsidy Limits for home based care services as at 1 July 2014."/>
      </w:tblPr>
      <w:tblGrid>
        <w:gridCol w:w="2376"/>
        <w:gridCol w:w="5245"/>
        <w:gridCol w:w="1496"/>
      </w:tblGrid>
      <w:tr w:rsidR="00FC5D92" w:rsidTr="00FC5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376" w:type="dxa"/>
          </w:tcPr>
          <w:p w:rsidR="00FC5D92" w:rsidRPr="00386A3E" w:rsidRDefault="00FC5D92" w:rsidP="000D0446">
            <w:pPr>
              <w:tabs>
                <w:tab w:val="right" w:pos="2864"/>
              </w:tabs>
              <w:rPr>
                <w:color w:val="F8F8F8" w:themeColor="background2"/>
              </w:rPr>
            </w:pPr>
            <w:bookmarkStart w:id="0" w:name="_Toc391890680"/>
            <w:r w:rsidRPr="003D3633">
              <w:rPr>
                <w:color w:val="F8F8F8" w:themeColor="background2"/>
              </w:rPr>
              <w:t>Care Type</w:t>
            </w:r>
            <w:r>
              <w:rPr>
                <w:color w:val="F8F8F8" w:themeColor="background2"/>
              </w:rPr>
              <w:tab/>
            </w:r>
          </w:p>
        </w:tc>
        <w:tc>
          <w:tcPr>
            <w:tcW w:w="5245" w:type="dxa"/>
          </w:tcPr>
          <w:p w:rsidR="00FC5D92" w:rsidRPr="00386A3E" w:rsidRDefault="00FC5D92" w:rsidP="008C1977">
            <w:pPr>
              <w:rPr>
                <w:color w:val="F8F8F8" w:themeColor="background2"/>
              </w:rPr>
            </w:pPr>
            <w:r w:rsidRPr="003D3633">
              <w:rPr>
                <w:color w:val="F8F8F8" w:themeColor="background2"/>
              </w:rPr>
              <w:t>Subsidy Limit as at 1 July 201</w:t>
            </w:r>
            <w:r>
              <w:rPr>
                <w:color w:val="F8F8F8" w:themeColor="background2"/>
              </w:rPr>
              <w:t>5</w:t>
            </w:r>
            <w:r w:rsidRPr="003D3633">
              <w:rPr>
                <w:color w:val="F8F8F8" w:themeColor="background2"/>
              </w:rPr>
              <w:t xml:space="preserve"> (indexed annually)</w:t>
            </w:r>
          </w:p>
        </w:tc>
        <w:tc>
          <w:tcPr>
            <w:tcW w:w="1496" w:type="dxa"/>
          </w:tcPr>
          <w:p w:rsidR="00FC5D92" w:rsidRPr="003D3633" w:rsidRDefault="00FC5D92" w:rsidP="0043664F">
            <w:pPr>
              <w:jc w:val="center"/>
              <w:rPr>
                <w:color w:val="F8F8F8" w:themeColor="background2"/>
              </w:rPr>
            </w:pPr>
            <w:r>
              <w:rPr>
                <w:color w:val="F8F8F8" w:themeColor="background2"/>
              </w:rPr>
              <w:t>Absence limit</w:t>
            </w:r>
          </w:p>
        </w:tc>
      </w:tr>
      <w:tr w:rsidR="00FC5D92" w:rsidTr="0043664F">
        <w:trPr>
          <w:jc w:val="center"/>
        </w:trPr>
        <w:tc>
          <w:tcPr>
            <w:tcW w:w="2376" w:type="dxa"/>
          </w:tcPr>
          <w:p w:rsidR="00FC5D92" w:rsidRDefault="00FC5D92" w:rsidP="00FC5D92">
            <w:r>
              <w:t>Family Day Care (FDC)</w:t>
            </w:r>
          </w:p>
        </w:tc>
        <w:tc>
          <w:tcPr>
            <w:tcW w:w="5245" w:type="dxa"/>
          </w:tcPr>
          <w:p w:rsidR="00FC5D92" w:rsidRDefault="00FC5D92" w:rsidP="002911A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/>
            </w:pPr>
            <w:r>
              <w:t>Capacity payment of either $4.62 or $9.27 per hour per care environment up to a maximum of 50 hours per week, 52 weeks per year.</w:t>
            </w:r>
          </w:p>
          <w:p w:rsidR="00FC5D92" w:rsidRDefault="00FC5D92" w:rsidP="008C1977">
            <w:r>
              <w:t>$17.41 per hour to employ an additional carer for out</w:t>
            </w:r>
            <w:r>
              <w:noBreakHyphen/>
              <w:t>of</w:t>
            </w:r>
            <w:r>
              <w:noBreakHyphen/>
              <w:t>home excursions for up to a maximum of 5 hours per week 52 weeks per year.</w:t>
            </w:r>
          </w:p>
        </w:tc>
        <w:tc>
          <w:tcPr>
            <w:tcW w:w="1496" w:type="dxa"/>
            <w:vAlign w:val="center"/>
          </w:tcPr>
          <w:p w:rsidR="00FC5D92" w:rsidRDefault="00FC5D92" w:rsidP="0043664F">
            <w:pPr>
              <w:spacing w:before="100" w:beforeAutospacing="1" w:after="100" w:afterAutospacing="1" w:line="240" w:lineRule="auto"/>
              <w:jc w:val="center"/>
            </w:pPr>
            <w:r>
              <w:t>10%</w:t>
            </w:r>
          </w:p>
        </w:tc>
      </w:tr>
      <w:tr w:rsidR="00FC5D92" w:rsidTr="00436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5D92" w:rsidRDefault="00FC5D92" w:rsidP="00FC5D92">
            <w:r>
              <w:t>Family Day Care pupil free days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5D92" w:rsidRDefault="00FC5D92" w:rsidP="002911A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</w:pPr>
            <w:r>
              <w:t>Capacity payment of either $4.62 or $9.27 per hour per care environment up to 8 hours per day, 6 days per year.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FC5D92" w:rsidRDefault="00FC5D92" w:rsidP="0043664F">
            <w:pPr>
              <w:spacing w:before="100" w:beforeAutospacing="1" w:after="100" w:afterAutospacing="1" w:line="240" w:lineRule="auto"/>
              <w:jc w:val="center"/>
            </w:pPr>
            <w:r>
              <w:t>17%</w:t>
            </w:r>
          </w:p>
        </w:tc>
      </w:tr>
      <w:tr w:rsidR="00FC5D92" w:rsidTr="0043664F">
        <w:trPr>
          <w:jc w:val="center"/>
        </w:trPr>
        <w:tc>
          <w:tcPr>
            <w:tcW w:w="2376" w:type="dxa"/>
          </w:tcPr>
          <w:p w:rsidR="00FC5D92" w:rsidRDefault="00FC5D92" w:rsidP="00FC5D92">
            <w:r>
              <w:t>In Home Care (FDC)</w:t>
            </w:r>
          </w:p>
        </w:tc>
        <w:tc>
          <w:tcPr>
            <w:tcW w:w="5245" w:type="dxa"/>
          </w:tcPr>
          <w:p w:rsidR="00FC5D92" w:rsidRDefault="00FC5D92" w:rsidP="002911A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</w:pPr>
            <w:r>
              <w:t>Additional Payment of either $4.62 or $9.27 per hour per care environment up to a maximum of 50 hours per week, 52 weeks per year.</w:t>
            </w:r>
          </w:p>
          <w:p w:rsidR="00FC5D92" w:rsidRDefault="00FC5D92" w:rsidP="00FC5D92">
            <w:r>
              <w:t>$17.41 per hour to employ an additional carer for out</w:t>
            </w:r>
            <w:r>
              <w:noBreakHyphen/>
              <w:t>of</w:t>
            </w:r>
            <w:r>
              <w:noBreakHyphen/>
              <w:t>home excursions for up to a maximum of 5 hours per week 52 weeks per year.</w:t>
            </w:r>
          </w:p>
        </w:tc>
        <w:tc>
          <w:tcPr>
            <w:tcW w:w="1496" w:type="dxa"/>
            <w:vAlign w:val="center"/>
          </w:tcPr>
          <w:p w:rsidR="00FC5D92" w:rsidRDefault="00FC5D92" w:rsidP="0043664F">
            <w:pPr>
              <w:spacing w:before="100" w:beforeAutospacing="1" w:after="100" w:afterAutospacing="1" w:line="240" w:lineRule="auto"/>
              <w:jc w:val="center"/>
            </w:pPr>
            <w:r>
              <w:t>0%</w:t>
            </w:r>
          </w:p>
        </w:tc>
      </w:tr>
      <w:tr w:rsidR="00FC5D92" w:rsidTr="00436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5D92" w:rsidRDefault="00FC5D92" w:rsidP="00FC5D92">
            <w:r>
              <w:t>In Home Care pupil free days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5D92" w:rsidRDefault="00FC5D92" w:rsidP="002911A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/>
            </w:pPr>
            <w:r>
              <w:t>Additional Payment of either $4.62 or $9.27 per hour per care environment up to 8 hours per day, 6 days per year.</w:t>
            </w:r>
          </w:p>
        </w:tc>
        <w:tc>
          <w:tcPr>
            <w:tcW w:w="1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FC5D92" w:rsidRDefault="00FC5D92" w:rsidP="0043664F">
            <w:pPr>
              <w:spacing w:before="100" w:beforeAutospacing="1" w:after="100" w:afterAutospacing="1" w:line="240" w:lineRule="auto"/>
              <w:jc w:val="center"/>
            </w:pPr>
            <w:r>
              <w:t>0%</w:t>
            </w:r>
          </w:p>
        </w:tc>
      </w:tr>
    </w:tbl>
    <w:p w:rsidR="002911AA" w:rsidRDefault="002911AA" w:rsidP="002911AA"/>
    <w:p w:rsidR="002911AA" w:rsidRPr="003D3633" w:rsidRDefault="002911AA" w:rsidP="002911AA">
      <w:pPr>
        <w:pStyle w:val="Quote"/>
        <w:jc w:val="center"/>
        <w:rPr>
          <w:b/>
          <w:i w:val="0"/>
          <w:sz w:val="28"/>
          <w:szCs w:val="28"/>
        </w:rPr>
      </w:pPr>
      <w:r w:rsidRPr="003D3633">
        <w:rPr>
          <w:b/>
          <w:i w:val="0"/>
          <w:sz w:val="28"/>
          <w:szCs w:val="28"/>
        </w:rPr>
        <w:t>Two-tier subsidy for Family Day Care</w:t>
      </w:r>
    </w:p>
    <w:p w:rsidR="00F5039A" w:rsidRDefault="00F5039A" w:rsidP="00F5039A">
      <w:pPr>
        <w:rPr>
          <w:rFonts w:cstheme="minorHAnsi"/>
        </w:rPr>
      </w:pPr>
      <w:r w:rsidRPr="00FB0674">
        <w:rPr>
          <w:rFonts w:cstheme="minorHAnsi"/>
        </w:rPr>
        <w:t xml:space="preserve">Family Day Care </w:t>
      </w:r>
      <w:r>
        <w:rPr>
          <w:rFonts w:cstheme="minorHAnsi"/>
        </w:rPr>
        <w:t>e</w:t>
      </w:r>
      <w:r w:rsidRPr="00FB0674">
        <w:rPr>
          <w:rFonts w:cstheme="minorHAnsi"/>
        </w:rPr>
        <w:t xml:space="preserve">ducators are eligible for a Tier One Capacity payment where it is determined the impact of caring for a child or children with ongoing </w:t>
      </w:r>
      <w:r>
        <w:rPr>
          <w:rFonts w:cstheme="minorHAnsi"/>
        </w:rPr>
        <w:t xml:space="preserve">high </w:t>
      </w:r>
      <w:r w:rsidRPr="00FB0674">
        <w:rPr>
          <w:rFonts w:cstheme="minorHAnsi"/>
        </w:rPr>
        <w:t>support needs has a m</w:t>
      </w:r>
      <w:r>
        <w:rPr>
          <w:rFonts w:cstheme="minorHAnsi"/>
        </w:rPr>
        <w:t>oderate</w:t>
      </w:r>
      <w:r w:rsidRPr="00FB0674">
        <w:rPr>
          <w:rFonts w:cstheme="minorHAnsi"/>
        </w:rPr>
        <w:t xml:space="preserve"> impact on the educator. Educators may be eligible for a Tier Two Capacity </w:t>
      </w:r>
      <w:r>
        <w:rPr>
          <w:rFonts w:cstheme="minorHAnsi"/>
        </w:rPr>
        <w:t>p</w:t>
      </w:r>
      <w:r w:rsidRPr="00FB0674">
        <w:rPr>
          <w:rFonts w:cstheme="minorHAnsi"/>
        </w:rPr>
        <w:t xml:space="preserve">ayment if the impact is determined to be significant, resulting in the educator </w:t>
      </w:r>
      <w:r>
        <w:rPr>
          <w:rFonts w:cstheme="minorHAnsi"/>
        </w:rPr>
        <w:t xml:space="preserve">caring for </w:t>
      </w:r>
      <w:r w:rsidRPr="00FB0674">
        <w:rPr>
          <w:rFonts w:cstheme="minorHAnsi"/>
        </w:rPr>
        <w:t>less than the full complement of children</w:t>
      </w:r>
      <w:r>
        <w:rPr>
          <w:rFonts w:cstheme="minorHAnsi"/>
        </w:rPr>
        <w:t xml:space="preserve"> when caring for a child or children with ongoing high support needs</w:t>
      </w:r>
      <w:r w:rsidRPr="00FB0674">
        <w:rPr>
          <w:rFonts w:cstheme="minorHAnsi"/>
        </w:rPr>
        <w:t>.</w:t>
      </w:r>
    </w:p>
    <w:p w:rsidR="00246D9D" w:rsidRPr="00FB0674" w:rsidRDefault="00246D9D" w:rsidP="00AC1D7E">
      <w:pPr>
        <w:rPr>
          <w:rFonts w:cstheme="minorHAnsi"/>
        </w:rPr>
      </w:pPr>
      <w:r w:rsidRPr="00FB0674">
        <w:rPr>
          <w:rFonts w:cstheme="minorHAnsi"/>
        </w:rPr>
        <w:t xml:space="preserve">In Home Care </w:t>
      </w:r>
      <w:r>
        <w:rPr>
          <w:rFonts w:cstheme="minorHAnsi"/>
        </w:rPr>
        <w:t>c</w:t>
      </w:r>
      <w:r w:rsidRPr="00FB0674">
        <w:rPr>
          <w:rFonts w:cstheme="minorHAnsi"/>
        </w:rPr>
        <w:t xml:space="preserve">arers are eligible for a Tier One Additional payment </w:t>
      </w:r>
      <w:r>
        <w:rPr>
          <w:rFonts w:cstheme="minorHAnsi"/>
        </w:rPr>
        <w:t>for the</w:t>
      </w:r>
      <w:r w:rsidRPr="00FB0674">
        <w:rPr>
          <w:rFonts w:cstheme="minorHAnsi"/>
        </w:rPr>
        <w:t xml:space="preserve"> care environment where it is determined the impact of caring for a child or children with ongoing </w:t>
      </w:r>
      <w:r>
        <w:rPr>
          <w:rFonts w:cstheme="minorHAnsi"/>
        </w:rPr>
        <w:t xml:space="preserve">high </w:t>
      </w:r>
      <w:r w:rsidRPr="00FB0674">
        <w:rPr>
          <w:rFonts w:cstheme="minorHAnsi"/>
        </w:rPr>
        <w:t>support needs has a m</w:t>
      </w:r>
      <w:r>
        <w:rPr>
          <w:rFonts w:cstheme="minorHAnsi"/>
        </w:rPr>
        <w:t>oderate</w:t>
      </w:r>
      <w:r w:rsidRPr="00FB0674">
        <w:rPr>
          <w:rFonts w:cstheme="minorHAnsi"/>
        </w:rPr>
        <w:t xml:space="preserve"> impact on the educator. Carers may be eligible for a Tier Two Capacity Payment if the impact is determined to be significant.</w:t>
      </w:r>
      <w:r>
        <w:rPr>
          <w:rFonts w:cstheme="minorHAnsi"/>
        </w:rPr>
        <w:t xml:space="preserve"> </w:t>
      </w:r>
      <w:r w:rsidRPr="00FB0674">
        <w:rPr>
          <w:rFonts w:cstheme="minorHAnsi"/>
        </w:rPr>
        <w:t xml:space="preserve"> </w:t>
      </w:r>
    </w:p>
    <w:p w:rsidR="00FC5D92" w:rsidRDefault="00CE58BE" w:rsidP="00FC5D92">
      <w:pPr>
        <w:spacing w:after="0" w:line="240" w:lineRule="auto"/>
      </w:pPr>
      <w:r>
        <w:t>Refer to</w:t>
      </w:r>
      <w:r w:rsidR="002911AA" w:rsidRPr="00AD10E7">
        <w:rPr>
          <w:lang w:val="en"/>
        </w:rPr>
        <w:t xml:space="preserve"> </w:t>
      </w:r>
      <w:hyperlink r:id="rId11" w:history="1">
        <w:r w:rsidR="002911AA" w:rsidRPr="00D56583">
          <w:rPr>
            <w:rStyle w:val="Hyperlink"/>
            <w:lang w:val="en"/>
          </w:rPr>
          <w:t xml:space="preserve">IPSP Fact Sheet </w:t>
        </w:r>
        <w:r w:rsidR="00755DDC" w:rsidRPr="00D56583">
          <w:rPr>
            <w:rStyle w:val="Hyperlink"/>
            <w:lang w:val="en"/>
          </w:rPr>
          <w:t>5</w:t>
        </w:r>
        <w:r w:rsidR="002911AA" w:rsidRPr="00D56583">
          <w:rPr>
            <w:rStyle w:val="Hyperlink"/>
            <w:lang w:val="en"/>
          </w:rPr>
          <w:t xml:space="preserve">: </w:t>
        </w:r>
        <w:r w:rsidR="00D56583" w:rsidRPr="00D56583">
          <w:rPr>
            <w:rStyle w:val="Hyperlink"/>
            <w:lang w:val="en"/>
          </w:rPr>
          <w:t>Home Based Care and Inclusion Support Subsidy</w:t>
        </w:r>
      </w:hyperlink>
      <w:r w:rsidR="00755DDC">
        <w:rPr>
          <w:b/>
          <w:lang w:val="en"/>
        </w:rPr>
        <w:t xml:space="preserve"> </w:t>
      </w:r>
      <w:r w:rsidR="002911AA" w:rsidRPr="003D3633">
        <w:t>for assistance with determining the impact on the educator’s capacity to include the child in the care environment.</w:t>
      </w:r>
    </w:p>
    <w:p w:rsidR="00FC5D92" w:rsidRDefault="00FC5D92" w:rsidP="00FC5D92">
      <w:pPr>
        <w:spacing w:after="0" w:line="240" w:lineRule="auto"/>
      </w:pPr>
    </w:p>
    <w:p w:rsidR="00FC5D92" w:rsidRPr="00FC5D92" w:rsidRDefault="00FC5D92" w:rsidP="00FC5D92">
      <w:pPr>
        <w:pStyle w:val="Quote"/>
        <w:jc w:val="center"/>
        <w:rPr>
          <w:b/>
          <w:i w:val="0"/>
          <w:sz w:val="28"/>
          <w:szCs w:val="28"/>
        </w:rPr>
      </w:pPr>
      <w:r w:rsidRPr="00FC5D92">
        <w:rPr>
          <w:b/>
          <w:i w:val="0"/>
          <w:sz w:val="28"/>
          <w:szCs w:val="28"/>
        </w:rPr>
        <w:t>Absences from care</w:t>
      </w:r>
    </w:p>
    <w:p w:rsidR="00FC5D92" w:rsidRDefault="00FC5D92" w:rsidP="00FC5D92">
      <w:r>
        <w:t>For ISS purposes, an absence occurs when an eligible child does not attend an approved session of care.</w:t>
      </w:r>
    </w:p>
    <w:p w:rsidR="00FC5D92" w:rsidRDefault="00FC5D92" w:rsidP="00FC5D92">
      <w:r>
        <w:t xml:space="preserve">Funding allocated to cover an ISS eligible child’s absences from care is calculated based on the relevant percentage according to service and/or care type, multiplied by the total number of hours over the ISS approved period. </w:t>
      </w:r>
    </w:p>
    <w:p w:rsidR="00FC5D92" w:rsidRDefault="00FC5D92" w:rsidP="00FC5D92">
      <w:r>
        <w:t>Note: Absences cannot be claimed in relation to In Home Care.</w:t>
      </w:r>
    </w:p>
    <w:p w:rsidR="00FC5D92" w:rsidRPr="001270BF" w:rsidRDefault="00FC5D92" w:rsidP="00FC5D92">
      <w:pPr>
        <w:rPr>
          <w:b/>
        </w:rPr>
      </w:pPr>
      <w:bookmarkStart w:id="1" w:name="_GoBack"/>
      <w:r w:rsidRPr="001270BF">
        <w:rPr>
          <w:b/>
        </w:rPr>
        <w:t>Exceptional circumstances and absence hours</w:t>
      </w:r>
    </w:p>
    <w:bookmarkEnd w:id="1"/>
    <w:p w:rsidR="00FC5D92" w:rsidRPr="003D3633" w:rsidRDefault="00FC5D92" w:rsidP="00FC5D92">
      <w:pPr>
        <w:spacing w:after="0" w:line="240" w:lineRule="auto"/>
      </w:pPr>
      <w:r>
        <w:t>Where child care services reach their total allocated absence hours before the end of the approval period, they may submit a case for additional absence hours. However, this must be done before the end of the approval period. Any requests for additional absence hours will be assessed by the Department on a case</w:t>
      </w:r>
      <w:r>
        <w:noBreakHyphen/>
        <w:t>by</w:t>
      </w:r>
      <w:r>
        <w:noBreakHyphen/>
        <w:t>case basis through an exceptional circumstances process (see section C8.2 of the Inclusion and Professional Support Program Guidelines for 2013-2016).</w:t>
      </w:r>
    </w:p>
    <w:bookmarkEnd w:id="0"/>
    <w:sectPr w:rsidR="00FC5D92" w:rsidRPr="003D3633" w:rsidSect="008C5950">
      <w:headerReference w:type="default" r:id="rId12"/>
      <w:footerReference w:type="default" r:id="rId13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5" w:rsidRDefault="00C77BD5">
      <w:r>
        <w:separator/>
      </w:r>
    </w:p>
  </w:endnote>
  <w:endnote w:type="continuationSeparator" w:id="0">
    <w:p w:rsidR="00C77BD5" w:rsidRDefault="00C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270B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5" w:rsidRDefault="00C77BD5">
      <w:r>
        <w:separator/>
      </w:r>
    </w:p>
  </w:footnote>
  <w:footnote w:type="continuationSeparator" w:id="0">
    <w:p w:rsidR="00C77BD5" w:rsidRDefault="00C7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A" w:rsidRDefault="009E5BE3">
    <w:pPr>
      <w:pStyle w:val="Header"/>
      <w:rPr>
        <w:noProof/>
      </w:rPr>
    </w:pPr>
    <w:r>
      <w:rPr>
        <w:noProof/>
      </w:rPr>
      <w:t>Inclusion Support Subsidy Payment Rates – Home Based Care Services</w:t>
    </w:r>
  </w:p>
  <w:p w:rsidR="00B52BDE" w:rsidRDefault="00B52BD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EF07E42" wp14:editId="3B2851B0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" fillcolor="#005a70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A63FC"/>
    <w:multiLevelType w:val="multilevel"/>
    <w:tmpl w:val="FAC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A6BD5"/>
    <w:multiLevelType w:val="hybridMultilevel"/>
    <w:tmpl w:val="34003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C87DFA"/>
    <w:multiLevelType w:val="multilevel"/>
    <w:tmpl w:val="8394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9"/>
  </w:num>
  <w:num w:numId="7">
    <w:abstractNumId w:val="45"/>
  </w:num>
  <w:num w:numId="8">
    <w:abstractNumId w:val="50"/>
  </w:num>
  <w:num w:numId="9">
    <w:abstractNumId w:val="7"/>
  </w:num>
  <w:num w:numId="10">
    <w:abstractNumId w:val="58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7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1"/>
  </w:num>
  <w:num w:numId="25">
    <w:abstractNumId w:val="34"/>
  </w:num>
  <w:num w:numId="26">
    <w:abstractNumId w:val="39"/>
  </w:num>
  <w:num w:numId="27">
    <w:abstractNumId w:val="19"/>
  </w:num>
  <w:num w:numId="28">
    <w:abstractNumId w:val="60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6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2"/>
  </w:num>
  <w:num w:numId="47">
    <w:abstractNumId w:val="31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55"/>
  </w:num>
  <w:num w:numId="62">
    <w:abstractNumId w:val="20"/>
  </w:num>
  <w:num w:numId="63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5"/>
    <w:rsid w:val="00002C18"/>
    <w:rsid w:val="00010549"/>
    <w:rsid w:val="00012F84"/>
    <w:rsid w:val="0002334C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B538E"/>
    <w:rsid w:val="000C014D"/>
    <w:rsid w:val="000D0446"/>
    <w:rsid w:val="000D4703"/>
    <w:rsid w:val="000D693C"/>
    <w:rsid w:val="000E12D4"/>
    <w:rsid w:val="00103E25"/>
    <w:rsid w:val="00104669"/>
    <w:rsid w:val="00110028"/>
    <w:rsid w:val="00116EDF"/>
    <w:rsid w:val="00124B26"/>
    <w:rsid w:val="001270BF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207630"/>
    <w:rsid w:val="00213082"/>
    <w:rsid w:val="0021714E"/>
    <w:rsid w:val="00222187"/>
    <w:rsid w:val="00222C8D"/>
    <w:rsid w:val="00222E33"/>
    <w:rsid w:val="002269A7"/>
    <w:rsid w:val="00227B95"/>
    <w:rsid w:val="0023523A"/>
    <w:rsid w:val="002353DF"/>
    <w:rsid w:val="00235F71"/>
    <w:rsid w:val="002462A3"/>
    <w:rsid w:val="00246D9D"/>
    <w:rsid w:val="0025272A"/>
    <w:rsid w:val="00271922"/>
    <w:rsid w:val="0027204E"/>
    <w:rsid w:val="00273412"/>
    <w:rsid w:val="00274ACF"/>
    <w:rsid w:val="00285F1B"/>
    <w:rsid w:val="002911AA"/>
    <w:rsid w:val="00295831"/>
    <w:rsid w:val="00296F1B"/>
    <w:rsid w:val="002A6DF5"/>
    <w:rsid w:val="002D00B0"/>
    <w:rsid w:val="002D2E16"/>
    <w:rsid w:val="002F19EF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80E6C"/>
    <w:rsid w:val="00392557"/>
    <w:rsid w:val="003945C0"/>
    <w:rsid w:val="003A06C2"/>
    <w:rsid w:val="003A087C"/>
    <w:rsid w:val="003A4E4F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3664F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C2C35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95C"/>
    <w:rsid w:val="006C45D4"/>
    <w:rsid w:val="006E1F3C"/>
    <w:rsid w:val="006E6073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55DDC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31051"/>
    <w:rsid w:val="00842959"/>
    <w:rsid w:val="008451FE"/>
    <w:rsid w:val="008466A1"/>
    <w:rsid w:val="00846C1D"/>
    <w:rsid w:val="00851758"/>
    <w:rsid w:val="00856D5A"/>
    <w:rsid w:val="008609EB"/>
    <w:rsid w:val="008612C4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5DA1"/>
    <w:rsid w:val="008B645B"/>
    <w:rsid w:val="008B67B8"/>
    <w:rsid w:val="008B774D"/>
    <w:rsid w:val="008C123E"/>
    <w:rsid w:val="008C3ED0"/>
    <w:rsid w:val="008C5585"/>
    <w:rsid w:val="008C5950"/>
    <w:rsid w:val="008C5E94"/>
    <w:rsid w:val="008E1D01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C433C"/>
    <w:rsid w:val="009C7D3A"/>
    <w:rsid w:val="009D28B7"/>
    <w:rsid w:val="009D7E1A"/>
    <w:rsid w:val="009E2162"/>
    <w:rsid w:val="009E5BE3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1D7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0265"/>
    <w:rsid w:val="00B350A2"/>
    <w:rsid w:val="00B40D26"/>
    <w:rsid w:val="00B4451B"/>
    <w:rsid w:val="00B52BDE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34B4A"/>
    <w:rsid w:val="00C46EEB"/>
    <w:rsid w:val="00C47BA2"/>
    <w:rsid w:val="00C612DC"/>
    <w:rsid w:val="00C622CB"/>
    <w:rsid w:val="00C64D15"/>
    <w:rsid w:val="00C74F74"/>
    <w:rsid w:val="00C7554B"/>
    <w:rsid w:val="00C77BD5"/>
    <w:rsid w:val="00C83E31"/>
    <w:rsid w:val="00C916A4"/>
    <w:rsid w:val="00CA2A52"/>
    <w:rsid w:val="00CA2B15"/>
    <w:rsid w:val="00CA6490"/>
    <w:rsid w:val="00CB5744"/>
    <w:rsid w:val="00CB7022"/>
    <w:rsid w:val="00CD1937"/>
    <w:rsid w:val="00CE214C"/>
    <w:rsid w:val="00CE58BE"/>
    <w:rsid w:val="00CE6858"/>
    <w:rsid w:val="00CF50BE"/>
    <w:rsid w:val="00CF6A52"/>
    <w:rsid w:val="00D02E67"/>
    <w:rsid w:val="00D03583"/>
    <w:rsid w:val="00D117B4"/>
    <w:rsid w:val="00D169F7"/>
    <w:rsid w:val="00D26D01"/>
    <w:rsid w:val="00D33DA3"/>
    <w:rsid w:val="00D4723B"/>
    <w:rsid w:val="00D55EE8"/>
    <w:rsid w:val="00D56583"/>
    <w:rsid w:val="00D5785A"/>
    <w:rsid w:val="00D64C48"/>
    <w:rsid w:val="00D731C4"/>
    <w:rsid w:val="00D806FF"/>
    <w:rsid w:val="00D81BAA"/>
    <w:rsid w:val="00D85BE0"/>
    <w:rsid w:val="00D87C1A"/>
    <w:rsid w:val="00D87FD7"/>
    <w:rsid w:val="00D92167"/>
    <w:rsid w:val="00D9502B"/>
    <w:rsid w:val="00D95EF0"/>
    <w:rsid w:val="00D97047"/>
    <w:rsid w:val="00D97108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5727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39A"/>
    <w:rsid w:val="00F50A92"/>
    <w:rsid w:val="00F53F24"/>
    <w:rsid w:val="00F542B3"/>
    <w:rsid w:val="00F55D71"/>
    <w:rsid w:val="00F60B97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5D92"/>
    <w:rsid w:val="00FC64EF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911AA"/>
    <w:pPr>
      <w:spacing w:before="0" w:line="276" w:lineRule="auto"/>
      <w:ind w:left="369" w:right="369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911AA"/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table" w:customStyle="1" w:styleId="DEEWRTable">
    <w:name w:val="DEEWR Table"/>
    <w:basedOn w:val="TableNormal"/>
    <w:uiPriority w:val="99"/>
    <w:rsid w:val="002911AA"/>
    <w:rPr>
      <w:rFonts w:asciiTheme="minorHAnsi" w:eastAsiaTheme="minorEastAsia" w:hAnsiTheme="minorHAnsi" w:cstheme="minorBidi"/>
      <w:szCs w:val="22"/>
      <w:lang w:eastAsia="en-US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AFEFFF" w:themeFill="accent1" w:themeFillTint="33"/>
      </w:tcPr>
    </w:tblStylePr>
  </w:style>
  <w:style w:type="character" w:styleId="CommentReference">
    <w:name w:val="annotation reference"/>
    <w:basedOn w:val="DefaultParagraphFont"/>
    <w:rsid w:val="00246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2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462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4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2A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2911AA"/>
    <w:pPr>
      <w:spacing w:before="0" w:line="276" w:lineRule="auto"/>
      <w:ind w:left="369" w:right="369"/>
    </w:pPr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911AA"/>
    <w:rPr>
      <w:rFonts w:asciiTheme="minorHAnsi" w:eastAsiaTheme="minorEastAsia" w:hAnsiTheme="minorHAnsi" w:cstheme="minorBidi"/>
      <w:i/>
      <w:iCs/>
      <w:sz w:val="22"/>
      <w:szCs w:val="22"/>
      <w:lang w:eastAsia="en-US"/>
    </w:rPr>
  </w:style>
  <w:style w:type="table" w:customStyle="1" w:styleId="DEEWRTable">
    <w:name w:val="DEEWR Table"/>
    <w:basedOn w:val="TableNormal"/>
    <w:uiPriority w:val="99"/>
    <w:rsid w:val="002911AA"/>
    <w:rPr>
      <w:rFonts w:asciiTheme="minorHAnsi" w:eastAsiaTheme="minorEastAsia" w:hAnsiTheme="minorHAnsi" w:cstheme="minorBidi"/>
      <w:szCs w:val="22"/>
      <w:lang w:eastAsia="en-US"/>
    </w:rPr>
    <w:tblPr>
      <w:tblStyleRowBandSize w:val="1"/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AFEFFF" w:themeFill="accent1" w:themeFillTint="33"/>
      </w:tcPr>
    </w:tblStylePr>
  </w:style>
  <w:style w:type="character" w:styleId="CommentReference">
    <w:name w:val="annotation reference"/>
    <w:basedOn w:val="DefaultParagraphFont"/>
    <w:rsid w:val="00246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2A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462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46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62A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ss.gov.au/our-responsibilities/families-and-children/publications-articles/ipsp-fact-sheet-5-continuation-of-inclusion-support-subsid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CD75-92D3-4A29-87F3-0A5F3C3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2015-07-09T01:06:00Z</dcterms:created>
  <dcterms:modified xsi:type="dcterms:W3CDTF">2015-07-24T05:50:00Z</dcterms:modified>
</cp:coreProperties>
</file>