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50" w:rsidRDefault="008C5950" w:rsidP="00091FE6">
      <w:pPr>
        <w:spacing w:before="0" w:after="240"/>
        <w:jc w:val="right"/>
      </w:pPr>
      <w:r>
        <w:rPr>
          <w:noProof/>
        </w:rPr>
        <w:drawing>
          <wp:inline distT="0" distB="0" distL="0" distR="0" wp14:anchorId="7A4BF668" wp14:editId="4F38F5A2">
            <wp:extent cx="6624000" cy="922047"/>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r w:rsidR="00091FE6" w:rsidRPr="00091FE6">
        <w:rPr>
          <w:sz w:val="16"/>
          <w:szCs w:val="16"/>
        </w:rPr>
        <w:t xml:space="preserve"> DSS1588.05.15</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lexible Support Funding Limits"/>
      </w:tblPr>
      <w:tblGrid>
        <w:gridCol w:w="6379"/>
        <w:gridCol w:w="2630"/>
      </w:tblGrid>
      <w:tr w:rsidR="00355D88" w:rsidRPr="00C833DD" w:rsidTr="00906131">
        <w:trPr>
          <w:tblHeader/>
        </w:trPr>
        <w:tc>
          <w:tcPr>
            <w:tcW w:w="6379" w:type="dxa"/>
          </w:tcPr>
          <w:p w:rsidR="00355D88" w:rsidRPr="00C833DD" w:rsidRDefault="00355D88" w:rsidP="00754D44">
            <w:pPr>
              <w:pStyle w:val="Title"/>
              <w:rPr>
                <w:szCs w:val="66"/>
              </w:rPr>
            </w:pPr>
            <w:bookmarkStart w:id="0" w:name="_GoBack"/>
            <w:r w:rsidRPr="00C833DD">
              <w:rPr>
                <w:szCs w:val="66"/>
              </w:rPr>
              <w:t>Flexible Support Funding Limits</w:t>
            </w:r>
          </w:p>
        </w:tc>
        <w:tc>
          <w:tcPr>
            <w:tcW w:w="2630" w:type="dxa"/>
          </w:tcPr>
          <w:p w:rsidR="00355D88" w:rsidRPr="00C833DD" w:rsidRDefault="00355D88" w:rsidP="00355D88">
            <w:pPr>
              <w:pStyle w:val="Title"/>
              <w:jc w:val="right"/>
              <w:rPr>
                <w:szCs w:val="66"/>
              </w:rPr>
            </w:pPr>
            <w:r w:rsidRPr="00C833DD">
              <w:rPr>
                <w:noProof/>
                <w:szCs w:val="66"/>
              </w:rPr>
              <w:drawing>
                <wp:inline distT="0" distB="0" distL="0" distR="0" wp14:anchorId="4CFA7998" wp14:editId="4017A472">
                  <wp:extent cx="1466850" cy="1010121"/>
                  <wp:effectExtent l="0" t="0" r="0" b="0"/>
                  <wp:docPr id="15" name="Picture 15" descr="Inclusion and Professional Support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3017" cy="1014368"/>
                          </a:xfrm>
                          <a:prstGeom prst="rect">
                            <a:avLst/>
                          </a:prstGeom>
                        </pic:spPr>
                      </pic:pic>
                    </a:graphicData>
                  </a:graphic>
                </wp:inline>
              </w:drawing>
            </w:r>
          </w:p>
        </w:tc>
      </w:tr>
    </w:tbl>
    <w:bookmarkEnd w:id="0"/>
    <w:p w:rsidR="001354B7" w:rsidRPr="00754D44" w:rsidRDefault="009B18F5" w:rsidP="00355D88">
      <w:pPr>
        <w:pStyle w:val="Subtitle"/>
      </w:pPr>
      <w:r>
        <w:t xml:space="preserve"> </w:t>
      </w:r>
      <w:r w:rsidR="007959DE">
        <w:t>Inclusion and Professional Support Program</w:t>
      </w:r>
    </w:p>
    <w:tbl>
      <w:tblPr>
        <w:tblStyle w:val="DEEWR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Inclusion and Professional Support Programme"/>
        <w:tblDescription w:val="Provides details of the Flexible Support Subsidy funding limits for each service type as at 1 July 2014."/>
      </w:tblPr>
      <w:tblGrid>
        <w:gridCol w:w="3080"/>
        <w:gridCol w:w="5675"/>
      </w:tblGrid>
      <w:tr w:rsidR="007959DE" w:rsidRPr="004B6E19" w:rsidTr="009B18F5">
        <w:trPr>
          <w:cnfStyle w:val="100000000000" w:firstRow="1" w:lastRow="0" w:firstColumn="0" w:lastColumn="0" w:oddVBand="0" w:evenVBand="0" w:oddHBand="0" w:evenHBand="0" w:firstRowFirstColumn="0" w:firstRowLastColumn="0" w:lastRowFirstColumn="0" w:lastRowLastColumn="0"/>
          <w:tblHeader/>
          <w:jc w:val="center"/>
        </w:trPr>
        <w:tc>
          <w:tcPr>
            <w:tcW w:w="3080" w:type="dxa"/>
          </w:tcPr>
          <w:p w:rsidR="007959DE" w:rsidRPr="00386A3E" w:rsidRDefault="007959DE" w:rsidP="00355D88">
            <w:pPr>
              <w:spacing w:line="240" w:lineRule="auto"/>
              <w:rPr>
                <w:color w:val="F8F8F8" w:themeColor="background2"/>
              </w:rPr>
            </w:pPr>
            <w:bookmarkStart w:id="1" w:name="_Toc391890680"/>
            <w:r w:rsidRPr="004B6E19">
              <w:rPr>
                <w:color w:val="F8F8F8" w:themeColor="background2"/>
              </w:rPr>
              <w:t>Service Type</w:t>
            </w:r>
          </w:p>
        </w:tc>
        <w:tc>
          <w:tcPr>
            <w:tcW w:w="5675" w:type="dxa"/>
          </w:tcPr>
          <w:p w:rsidR="007959DE" w:rsidRPr="00386A3E" w:rsidRDefault="007959DE" w:rsidP="00355D88">
            <w:pPr>
              <w:spacing w:line="240" w:lineRule="auto"/>
              <w:rPr>
                <w:color w:val="F8F8F8" w:themeColor="background2"/>
              </w:rPr>
            </w:pPr>
            <w:r w:rsidRPr="004B6E19">
              <w:rPr>
                <w:color w:val="F8F8F8" w:themeColor="background2"/>
              </w:rPr>
              <w:t>Funding Limit as at 1 July 201</w:t>
            </w:r>
            <w:r w:rsidR="008B171F">
              <w:rPr>
                <w:color w:val="F8F8F8" w:themeColor="background2"/>
              </w:rPr>
              <w:t>5</w:t>
            </w:r>
            <w:r w:rsidRPr="004B6E19">
              <w:rPr>
                <w:color w:val="F8F8F8" w:themeColor="background2"/>
              </w:rPr>
              <w:t xml:space="preserve"> (indexed annually)</w:t>
            </w:r>
          </w:p>
        </w:tc>
      </w:tr>
      <w:tr w:rsidR="007959DE" w:rsidTr="009B18F5">
        <w:trPr>
          <w:jc w:val="center"/>
        </w:trPr>
        <w:tc>
          <w:tcPr>
            <w:tcW w:w="3080" w:type="dxa"/>
          </w:tcPr>
          <w:p w:rsidR="007959DE" w:rsidRDefault="007959DE" w:rsidP="00355D88">
            <w:pPr>
              <w:spacing w:line="240" w:lineRule="auto"/>
            </w:pPr>
            <w:r>
              <w:t>All eligible service types (excluding VC, FDC and IHC)</w:t>
            </w:r>
          </w:p>
        </w:tc>
        <w:tc>
          <w:tcPr>
            <w:tcW w:w="5675" w:type="dxa"/>
          </w:tcPr>
          <w:p w:rsidR="007959DE" w:rsidRDefault="007959DE" w:rsidP="00355D88">
            <w:pPr>
              <w:spacing w:line="240" w:lineRule="auto"/>
            </w:pPr>
            <w:r>
              <w:t>Se</w:t>
            </w:r>
            <w:r w:rsidR="008B171F">
              <w:t>rvices are eligible for a $17.41</w:t>
            </w:r>
            <w:r>
              <w:t> hourly contribution with a daily cap of five hours for a maximum of 100 hours each year, i.e. 12 months from date of approval, in respect of each eligible child enrolled</w:t>
            </w:r>
            <w:r w:rsidR="008B171F">
              <w:t>.</w:t>
            </w:r>
          </w:p>
        </w:tc>
      </w:tr>
      <w:tr w:rsidR="007959DE" w:rsidTr="009B18F5">
        <w:trPr>
          <w:cnfStyle w:val="000000010000" w:firstRow="0" w:lastRow="0" w:firstColumn="0" w:lastColumn="0" w:oddVBand="0" w:evenVBand="0" w:oddHBand="0" w:evenHBand="1" w:firstRowFirstColumn="0" w:firstRowLastColumn="0" w:lastRowFirstColumn="0" w:lastRowLastColumn="0"/>
          <w:jc w:val="center"/>
        </w:trPr>
        <w:tc>
          <w:tcPr>
            <w:tcW w:w="30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959DE" w:rsidRDefault="007959DE" w:rsidP="00355D88">
            <w:pPr>
              <w:spacing w:line="240" w:lineRule="auto"/>
            </w:pPr>
            <w:r>
              <w:t>Vacation Care</w:t>
            </w:r>
          </w:p>
        </w:tc>
        <w:tc>
          <w:tcPr>
            <w:tcW w:w="56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959DE" w:rsidRDefault="007959DE" w:rsidP="00355D88">
            <w:pPr>
              <w:spacing w:line="240" w:lineRule="auto"/>
            </w:pPr>
            <w:r>
              <w:t>Se</w:t>
            </w:r>
            <w:r w:rsidR="008B171F">
              <w:t>rvices are eligible for a $17.41</w:t>
            </w:r>
            <w:r>
              <w:t> hourly contribution with a daily cap of eight hours for a maximum of 80 hours each year, i.e. 12 months from date of approval, in respect of each eligible child enrolled.</w:t>
            </w:r>
          </w:p>
        </w:tc>
      </w:tr>
      <w:tr w:rsidR="007959DE" w:rsidTr="009B18F5">
        <w:trPr>
          <w:jc w:val="center"/>
        </w:trPr>
        <w:tc>
          <w:tcPr>
            <w:tcW w:w="3080" w:type="dxa"/>
          </w:tcPr>
          <w:p w:rsidR="007959DE" w:rsidRDefault="007959DE" w:rsidP="00355D88">
            <w:pPr>
              <w:spacing w:line="240" w:lineRule="auto"/>
            </w:pPr>
            <w:r>
              <w:t>Family Day Care and In Home Care</w:t>
            </w:r>
          </w:p>
        </w:tc>
        <w:tc>
          <w:tcPr>
            <w:tcW w:w="5675" w:type="dxa"/>
          </w:tcPr>
          <w:p w:rsidR="007959DE" w:rsidRDefault="007959DE" w:rsidP="00355D88">
            <w:pPr>
              <w:spacing w:line="240" w:lineRule="auto"/>
            </w:pPr>
            <w:r>
              <w:t>Services are eli</w:t>
            </w:r>
            <w:r w:rsidR="008B171F">
              <w:t>gible for a $17.41</w:t>
            </w:r>
            <w:r>
              <w:t> hourly contribution with a weekly cap of five hours for a maximum of five weeks (or 25 hours) each year, i.e. 12 months from the date of approval, in respect of each eligible child enrolled.</w:t>
            </w:r>
          </w:p>
          <w:p w:rsidR="007959DE" w:rsidRDefault="007959DE" w:rsidP="00355D88">
            <w:pPr>
              <w:spacing w:line="240" w:lineRule="auto"/>
            </w:pPr>
            <w:r>
              <w:t>Flexible Support Funding (FSF) can be used to employ an additional carer to increase the staff to child ratio above licensing requirements on out of home excursions such as playgroups or vacation care excursions.</w:t>
            </w:r>
          </w:p>
          <w:p w:rsidR="007959DE" w:rsidRDefault="007959DE" w:rsidP="00355D88">
            <w:pPr>
              <w:spacing w:line="240" w:lineRule="auto"/>
            </w:pPr>
            <w:r>
              <w:t>FSF can also be used to provide a financial contribution for educators who are unable to attend specialist training during business hours. Training must relate specifically to the additional needs of a child in care. Edu</w:t>
            </w:r>
            <w:r w:rsidR="008B171F">
              <w:t>cators are eligible for a $17.41</w:t>
            </w:r>
            <w:r>
              <w:t xml:space="preserve"> hourly contribution for a maximum of 15 hours each year or 12 month period.</w:t>
            </w:r>
          </w:p>
        </w:tc>
      </w:tr>
      <w:tr w:rsidR="007959DE" w:rsidTr="009B18F5">
        <w:trPr>
          <w:cnfStyle w:val="000000010000" w:firstRow="0" w:lastRow="0" w:firstColumn="0" w:lastColumn="0" w:oddVBand="0" w:evenVBand="0" w:oddHBand="0" w:evenHBand="1" w:firstRowFirstColumn="0" w:firstRowLastColumn="0" w:lastRowFirstColumn="0" w:lastRowLastColumn="0"/>
          <w:jc w:val="center"/>
        </w:trPr>
        <w:tc>
          <w:tcPr>
            <w:tcW w:w="30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959DE" w:rsidRDefault="007959DE" w:rsidP="00355D88">
            <w:pPr>
              <w:spacing w:line="240" w:lineRule="auto"/>
            </w:pPr>
            <w:r>
              <w:t>All service types</w:t>
            </w:r>
          </w:p>
        </w:tc>
        <w:tc>
          <w:tcPr>
            <w:tcW w:w="56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959DE" w:rsidRDefault="007959DE" w:rsidP="0044791A">
            <w:pPr>
              <w:spacing w:line="240" w:lineRule="auto"/>
            </w:pPr>
            <w:r>
              <w:t xml:space="preserve">Services are eligible to apply for FSF to allow release time for permanent educators to attend specialist training and/or prepare </w:t>
            </w:r>
            <w:r w:rsidR="00FF7502">
              <w:t>Inclusion Improvement Plans</w:t>
            </w:r>
            <w:r>
              <w:t xml:space="preserve"> (</w:t>
            </w:r>
            <w:r w:rsidR="00FF7502">
              <w:t>II</w:t>
            </w:r>
            <w:r>
              <w:t>Ps) in respect of a child with ongoing high support needs. </w:t>
            </w:r>
            <w:r w:rsidR="0044791A">
              <w:t xml:space="preserve">Services are eligible for </w:t>
            </w:r>
            <w:r w:rsidR="00A34F32">
              <w:t xml:space="preserve">a </w:t>
            </w:r>
            <w:r w:rsidR="0044791A">
              <w:t>$17.41 hourly contribution</w:t>
            </w:r>
            <w:r>
              <w:t xml:space="preserve"> </w:t>
            </w:r>
            <w:r w:rsidR="00A34F32">
              <w:t xml:space="preserve">with </w:t>
            </w:r>
            <w:r>
              <w:t>a combined 15 hour limit per service each year or 12 month period, for these activities. Note: Services are advised to apply for funding for these activities as required, not as a lump sum.</w:t>
            </w:r>
          </w:p>
        </w:tc>
      </w:tr>
      <w:bookmarkEnd w:id="1"/>
    </w:tbl>
    <w:p w:rsidR="004649E2" w:rsidRPr="004649E2" w:rsidRDefault="004649E2" w:rsidP="007959DE">
      <w:pPr>
        <w:pStyle w:val="Pullouttext"/>
        <w:ind w:left="0"/>
      </w:pPr>
    </w:p>
    <w:sectPr w:rsidR="004649E2" w:rsidRPr="004649E2" w:rsidSect="008C5950">
      <w:headerReference w:type="even" r:id="rId11"/>
      <w:headerReference w:type="default" r:id="rId12"/>
      <w:footerReference w:type="even" r:id="rId13"/>
      <w:footerReference w:type="default" r:id="rId14"/>
      <w:headerReference w:type="first" r:id="rId15"/>
      <w:footerReference w:type="first" r:id="rId16"/>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D5" w:rsidRDefault="00C77BD5">
      <w:r>
        <w:separator/>
      </w:r>
    </w:p>
  </w:endnote>
  <w:endnote w:type="continuationSeparator" w:id="0">
    <w:p w:rsidR="00C77BD5" w:rsidRDefault="00C7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E5" w:rsidRDefault="00456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2B3BF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E5" w:rsidRDefault="00456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D5" w:rsidRDefault="00C77BD5">
      <w:r>
        <w:separator/>
      </w:r>
    </w:p>
  </w:footnote>
  <w:footnote w:type="continuationSeparator" w:id="0">
    <w:p w:rsidR="00C77BD5" w:rsidRDefault="00C77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E5" w:rsidRDefault="00456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1A" w:rsidRDefault="00680F71">
    <w:pPr>
      <w:pStyle w:val="Header"/>
      <w:rPr>
        <w:noProof/>
      </w:rPr>
    </w:pPr>
    <w:r w:rsidRPr="00680F71">
      <w:rPr>
        <w:noProof/>
      </w:rPr>
      <w:t>Commonwealth Financial Counselling</w:t>
    </w:r>
  </w:p>
  <w:p w:rsidR="00B52BDE" w:rsidRDefault="00B52BDE">
    <w:pPr>
      <w:pStyle w:val="Header"/>
    </w:pPr>
    <w:r>
      <w:rPr>
        <w:noProof/>
      </w:rPr>
      <mc:AlternateContent>
        <mc:Choice Requires="wps">
          <w:drawing>
            <wp:inline distT="0" distB="0" distL="0" distR="0" wp14:anchorId="17796E50" wp14:editId="2889BF4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" fillcolor="#005a70" stroked="f" strokeweight="2pt">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E5" w:rsidRDefault="00456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6"/>
  </w:num>
  <w:num w:numId="4">
    <w:abstractNumId w:val="11"/>
  </w:num>
  <w:num w:numId="5">
    <w:abstractNumId w:val="15"/>
  </w:num>
  <w:num w:numId="6">
    <w:abstractNumId w:val="56"/>
  </w:num>
  <w:num w:numId="7">
    <w:abstractNumId w:val="43"/>
  </w:num>
  <w:num w:numId="8">
    <w:abstractNumId w:val="48"/>
  </w:num>
  <w:num w:numId="9">
    <w:abstractNumId w:val="7"/>
  </w:num>
  <w:num w:numId="10">
    <w:abstractNumId w:val="55"/>
  </w:num>
  <w:num w:numId="11">
    <w:abstractNumId w:val="16"/>
  </w:num>
  <w:num w:numId="12">
    <w:abstractNumId w:val="40"/>
  </w:num>
  <w:num w:numId="13">
    <w:abstractNumId w:val="50"/>
  </w:num>
  <w:num w:numId="14">
    <w:abstractNumId w:val="33"/>
  </w:num>
  <w:num w:numId="15">
    <w:abstractNumId w:val="3"/>
  </w:num>
  <w:num w:numId="16">
    <w:abstractNumId w:val="12"/>
  </w:num>
  <w:num w:numId="17">
    <w:abstractNumId w:val="54"/>
  </w:num>
  <w:num w:numId="18">
    <w:abstractNumId w:val="47"/>
  </w:num>
  <w:num w:numId="19">
    <w:abstractNumId w:val="13"/>
  </w:num>
  <w:num w:numId="20">
    <w:abstractNumId w:val="2"/>
  </w:num>
  <w:num w:numId="21">
    <w:abstractNumId w:val="5"/>
  </w:num>
  <w:num w:numId="22">
    <w:abstractNumId w:val="20"/>
  </w:num>
  <w:num w:numId="23">
    <w:abstractNumId w:val="17"/>
  </w:num>
  <w:num w:numId="24">
    <w:abstractNumId w:val="58"/>
  </w:num>
  <w:num w:numId="25">
    <w:abstractNumId w:val="32"/>
  </w:num>
  <w:num w:numId="26">
    <w:abstractNumId w:val="37"/>
  </w:num>
  <w:num w:numId="27">
    <w:abstractNumId w:val="19"/>
  </w:num>
  <w:num w:numId="28">
    <w:abstractNumId w:val="57"/>
  </w:num>
  <w:num w:numId="29">
    <w:abstractNumId w:val="46"/>
  </w:num>
  <w:num w:numId="30">
    <w:abstractNumId w:val="25"/>
  </w:num>
  <w:num w:numId="31">
    <w:abstractNumId w:val="42"/>
  </w:num>
  <w:num w:numId="32">
    <w:abstractNumId w:val="51"/>
  </w:num>
  <w:num w:numId="33">
    <w:abstractNumId w:val="53"/>
  </w:num>
  <w:num w:numId="34">
    <w:abstractNumId w:val="4"/>
  </w:num>
  <w:num w:numId="35">
    <w:abstractNumId w:val="23"/>
  </w:num>
  <w:num w:numId="36">
    <w:abstractNumId w:val="45"/>
  </w:num>
  <w:num w:numId="37">
    <w:abstractNumId w:val="8"/>
  </w:num>
  <w:num w:numId="38">
    <w:abstractNumId w:val="28"/>
  </w:num>
  <w:num w:numId="39">
    <w:abstractNumId w:val="22"/>
  </w:num>
  <w:num w:numId="40">
    <w:abstractNumId w:val="31"/>
  </w:num>
  <w:num w:numId="41">
    <w:abstractNumId w:val="35"/>
  </w:num>
  <w:num w:numId="42">
    <w:abstractNumId w:val="21"/>
  </w:num>
  <w:num w:numId="43">
    <w:abstractNumId w:val="14"/>
  </w:num>
  <w:num w:numId="44">
    <w:abstractNumId w:val="39"/>
  </w:num>
  <w:num w:numId="45">
    <w:abstractNumId w:val="44"/>
  </w:num>
  <w:num w:numId="46">
    <w:abstractNumId w:val="30"/>
  </w:num>
  <w:num w:numId="47">
    <w:abstractNumId w:val="29"/>
  </w:num>
  <w:num w:numId="48">
    <w:abstractNumId w:val="1"/>
  </w:num>
  <w:num w:numId="49">
    <w:abstractNumId w:val="41"/>
  </w:num>
  <w:num w:numId="50">
    <w:abstractNumId w:val="52"/>
  </w:num>
  <w:num w:numId="51">
    <w:abstractNumId w:val="38"/>
  </w:num>
  <w:num w:numId="52">
    <w:abstractNumId w:val="9"/>
  </w:num>
  <w:num w:numId="53">
    <w:abstractNumId w:val="49"/>
  </w:num>
  <w:num w:numId="54">
    <w:abstractNumId w:val="24"/>
  </w:num>
  <w:num w:numId="55">
    <w:abstractNumId w:val="18"/>
  </w:num>
  <w:num w:numId="56">
    <w:abstractNumId w:val="27"/>
  </w:num>
  <w:num w:numId="57">
    <w:abstractNumId w:val="26"/>
  </w:num>
  <w:num w:numId="58">
    <w:abstractNumId w:val="10"/>
  </w:num>
  <w:num w:numId="59">
    <w:abstractNumId w:val="34"/>
  </w:num>
  <w:num w:numId="60">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D5"/>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1FE6"/>
    <w:rsid w:val="00097BFF"/>
    <w:rsid w:val="000A3EC3"/>
    <w:rsid w:val="000A669D"/>
    <w:rsid w:val="000A66A8"/>
    <w:rsid w:val="000C014D"/>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85B"/>
    <w:rsid w:val="00167CF4"/>
    <w:rsid w:val="00185F6A"/>
    <w:rsid w:val="001943DD"/>
    <w:rsid w:val="00195374"/>
    <w:rsid w:val="001A127F"/>
    <w:rsid w:val="001A3CA4"/>
    <w:rsid w:val="001A3EA4"/>
    <w:rsid w:val="001A5DA8"/>
    <w:rsid w:val="001B3AEC"/>
    <w:rsid w:val="001B5000"/>
    <w:rsid w:val="001B6F28"/>
    <w:rsid w:val="001D4585"/>
    <w:rsid w:val="001D5D54"/>
    <w:rsid w:val="001E2940"/>
    <w:rsid w:val="001E41C8"/>
    <w:rsid w:val="001F3AD7"/>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B3BF4"/>
    <w:rsid w:val="002D00B0"/>
    <w:rsid w:val="002D2E16"/>
    <w:rsid w:val="002F19EF"/>
    <w:rsid w:val="00302415"/>
    <w:rsid w:val="003102F6"/>
    <w:rsid w:val="00313304"/>
    <w:rsid w:val="00313C48"/>
    <w:rsid w:val="003162AD"/>
    <w:rsid w:val="00321148"/>
    <w:rsid w:val="00321798"/>
    <w:rsid w:val="00322A8A"/>
    <w:rsid w:val="00325F44"/>
    <w:rsid w:val="00326976"/>
    <w:rsid w:val="003311D7"/>
    <w:rsid w:val="00332B8B"/>
    <w:rsid w:val="00347104"/>
    <w:rsid w:val="0035213F"/>
    <w:rsid w:val="003555D2"/>
    <w:rsid w:val="00355D88"/>
    <w:rsid w:val="00363DF3"/>
    <w:rsid w:val="003656B1"/>
    <w:rsid w:val="0037056B"/>
    <w:rsid w:val="00377173"/>
    <w:rsid w:val="003774DA"/>
    <w:rsid w:val="00380E6C"/>
    <w:rsid w:val="00392557"/>
    <w:rsid w:val="00392838"/>
    <w:rsid w:val="003945C0"/>
    <w:rsid w:val="003A06C2"/>
    <w:rsid w:val="003A087C"/>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4791A"/>
    <w:rsid w:val="004566E5"/>
    <w:rsid w:val="004649E2"/>
    <w:rsid w:val="00464E8C"/>
    <w:rsid w:val="00466D36"/>
    <w:rsid w:val="00467185"/>
    <w:rsid w:val="0047050C"/>
    <w:rsid w:val="00475504"/>
    <w:rsid w:val="00480F21"/>
    <w:rsid w:val="00484FED"/>
    <w:rsid w:val="00495AF1"/>
    <w:rsid w:val="004C2C35"/>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0E1F"/>
    <w:rsid w:val="005C561A"/>
    <w:rsid w:val="005C5B93"/>
    <w:rsid w:val="005C66FF"/>
    <w:rsid w:val="005C785A"/>
    <w:rsid w:val="005D03CA"/>
    <w:rsid w:val="005D45AB"/>
    <w:rsid w:val="005E4662"/>
    <w:rsid w:val="005F214A"/>
    <w:rsid w:val="005F6BD6"/>
    <w:rsid w:val="00601C99"/>
    <w:rsid w:val="00607597"/>
    <w:rsid w:val="006255E4"/>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95C"/>
    <w:rsid w:val="006C45D4"/>
    <w:rsid w:val="006E1F3C"/>
    <w:rsid w:val="006E6073"/>
    <w:rsid w:val="006F7300"/>
    <w:rsid w:val="00703C09"/>
    <w:rsid w:val="00706216"/>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465"/>
    <w:rsid w:val="00787656"/>
    <w:rsid w:val="007959DE"/>
    <w:rsid w:val="007A67EA"/>
    <w:rsid w:val="007B15AF"/>
    <w:rsid w:val="007B7E83"/>
    <w:rsid w:val="007C1631"/>
    <w:rsid w:val="007C636F"/>
    <w:rsid w:val="007D0EF8"/>
    <w:rsid w:val="007D39EB"/>
    <w:rsid w:val="008131E7"/>
    <w:rsid w:val="00813711"/>
    <w:rsid w:val="00814279"/>
    <w:rsid w:val="008263C2"/>
    <w:rsid w:val="00840255"/>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B171F"/>
    <w:rsid w:val="008B645B"/>
    <w:rsid w:val="008B67B8"/>
    <w:rsid w:val="008B69BE"/>
    <w:rsid w:val="008B774D"/>
    <w:rsid w:val="008C123E"/>
    <w:rsid w:val="008C3ED0"/>
    <w:rsid w:val="008C5585"/>
    <w:rsid w:val="008C5950"/>
    <w:rsid w:val="008C5E94"/>
    <w:rsid w:val="008E6E9D"/>
    <w:rsid w:val="008F68F7"/>
    <w:rsid w:val="008F7480"/>
    <w:rsid w:val="009037B6"/>
    <w:rsid w:val="00906131"/>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900F0"/>
    <w:rsid w:val="00991769"/>
    <w:rsid w:val="00994E9F"/>
    <w:rsid w:val="00996931"/>
    <w:rsid w:val="009A4CD8"/>
    <w:rsid w:val="009B18F5"/>
    <w:rsid w:val="009B3ED1"/>
    <w:rsid w:val="009C433C"/>
    <w:rsid w:val="009C7D3A"/>
    <w:rsid w:val="009D28B7"/>
    <w:rsid w:val="009D7E1A"/>
    <w:rsid w:val="009E2162"/>
    <w:rsid w:val="009F5512"/>
    <w:rsid w:val="00A006EB"/>
    <w:rsid w:val="00A03709"/>
    <w:rsid w:val="00A06C77"/>
    <w:rsid w:val="00A10147"/>
    <w:rsid w:val="00A13D26"/>
    <w:rsid w:val="00A146A5"/>
    <w:rsid w:val="00A17411"/>
    <w:rsid w:val="00A2223D"/>
    <w:rsid w:val="00A269AD"/>
    <w:rsid w:val="00A34A74"/>
    <w:rsid w:val="00A34F32"/>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30265"/>
    <w:rsid w:val="00B3229C"/>
    <w:rsid w:val="00B40D26"/>
    <w:rsid w:val="00B4451B"/>
    <w:rsid w:val="00B52BDE"/>
    <w:rsid w:val="00B72D62"/>
    <w:rsid w:val="00B843C8"/>
    <w:rsid w:val="00B951E2"/>
    <w:rsid w:val="00B96F37"/>
    <w:rsid w:val="00BA607C"/>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34B4A"/>
    <w:rsid w:val="00C46EEB"/>
    <w:rsid w:val="00C47BA2"/>
    <w:rsid w:val="00C612DC"/>
    <w:rsid w:val="00C622CB"/>
    <w:rsid w:val="00C64D15"/>
    <w:rsid w:val="00C74F74"/>
    <w:rsid w:val="00C7554B"/>
    <w:rsid w:val="00C77BD5"/>
    <w:rsid w:val="00C833DD"/>
    <w:rsid w:val="00C83E31"/>
    <w:rsid w:val="00C916A4"/>
    <w:rsid w:val="00CA2A52"/>
    <w:rsid w:val="00CA2B15"/>
    <w:rsid w:val="00CA3C06"/>
    <w:rsid w:val="00CA6490"/>
    <w:rsid w:val="00CB5744"/>
    <w:rsid w:val="00CB7022"/>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81BAA"/>
    <w:rsid w:val="00D85BE0"/>
    <w:rsid w:val="00D87C1A"/>
    <w:rsid w:val="00D87FD7"/>
    <w:rsid w:val="00D92167"/>
    <w:rsid w:val="00D9502B"/>
    <w:rsid w:val="00D97047"/>
    <w:rsid w:val="00D97108"/>
    <w:rsid w:val="00DC5665"/>
    <w:rsid w:val="00DD4F44"/>
    <w:rsid w:val="00DD5D8B"/>
    <w:rsid w:val="00DE0F9E"/>
    <w:rsid w:val="00DE5D76"/>
    <w:rsid w:val="00E04C8D"/>
    <w:rsid w:val="00E128D8"/>
    <w:rsid w:val="00E30D4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E5727"/>
    <w:rsid w:val="00EF1347"/>
    <w:rsid w:val="00EF2BEB"/>
    <w:rsid w:val="00F01129"/>
    <w:rsid w:val="00F03D93"/>
    <w:rsid w:val="00F03D9E"/>
    <w:rsid w:val="00F227BF"/>
    <w:rsid w:val="00F374B2"/>
    <w:rsid w:val="00F40AFC"/>
    <w:rsid w:val="00F40C90"/>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 w:val="00FF7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table" w:customStyle="1" w:styleId="DEEWRTable">
    <w:name w:val="DEEWR Table"/>
    <w:basedOn w:val="TableNormal"/>
    <w:uiPriority w:val="99"/>
    <w:rsid w:val="007959DE"/>
    <w:rPr>
      <w:rFonts w:asciiTheme="minorHAnsi" w:eastAsiaTheme="minorEastAsia" w:hAnsiTheme="minorHAnsi" w:cstheme="minorBidi"/>
      <w:szCs w:val="22"/>
      <w:lang w:eastAsia="en-US"/>
    </w:rPr>
    <w:tblPr>
      <w:tblStyleRowBandSize w:val="1"/>
    </w:tblPr>
    <w:tblStylePr w:type="firstRow">
      <w:pPr>
        <w:wordWrap/>
        <w:ind w:leftChars="0" w:left="0" w:rightChars="0" w:right="0"/>
        <w:jc w:val="left"/>
      </w:pPr>
      <w:rPr>
        <w:rFonts w:asciiTheme="minorHAnsi" w:hAnsiTheme="minorHAnsi"/>
        <w:b/>
        <w:color w:val="FFFFFF" w:themeColor="background1"/>
        <w:sz w:val="20"/>
      </w:rPr>
      <w:tblPr/>
      <w:tcPr>
        <w:shd w:val="clear" w:color="auto" w:fill="165788"/>
      </w:tcPr>
    </w:tblStylePr>
    <w:tblStylePr w:type="band2Horz">
      <w:tblPr/>
      <w:tcPr>
        <w:tcBorders>
          <w:top w:val="nil"/>
          <w:left w:val="nil"/>
          <w:bottom w:val="nil"/>
          <w:right w:val="nil"/>
          <w:insideH w:val="nil"/>
          <w:insideV w:val="nil"/>
          <w:tl2br w:val="nil"/>
          <w:tr2bl w:val="nil"/>
        </w:tcBorders>
        <w:shd w:val="clear" w:color="165788" w:fill="AFEFFF" w:themeFill="accent1" w:themeFillTint="33"/>
      </w:tcPr>
    </w:tblStylePr>
  </w:style>
  <w:style w:type="character" w:styleId="CommentReference">
    <w:name w:val="annotation reference"/>
    <w:basedOn w:val="DefaultParagraphFont"/>
    <w:rsid w:val="00CA3C06"/>
    <w:rPr>
      <w:sz w:val="16"/>
      <w:szCs w:val="16"/>
    </w:rPr>
  </w:style>
  <w:style w:type="paragraph" w:styleId="CommentText">
    <w:name w:val="annotation text"/>
    <w:basedOn w:val="Normal"/>
    <w:link w:val="CommentTextChar"/>
    <w:rsid w:val="00CA3C06"/>
    <w:pPr>
      <w:spacing w:line="240" w:lineRule="auto"/>
    </w:pPr>
    <w:rPr>
      <w:szCs w:val="20"/>
    </w:rPr>
  </w:style>
  <w:style w:type="character" w:customStyle="1" w:styleId="CommentTextChar">
    <w:name w:val="Comment Text Char"/>
    <w:basedOn w:val="DefaultParagraphFont"/>
    <w:link w:val="CommentText"/>
    <w:rsid w:val="00CA3C06"/>
    <w:rPr>
      <w:rFonts w:ascii="Arial" w:hAnsi="Arial"/>
    </w:rPr>
  </w:style>
  <w:style w:type="paragraph" w:styleId="CommentSubject">
    <w:name w:val="annotation subject"/>
    <w:basedOn w:val="CommentText"/>
    <w:next w:val="CommentText"/>
    <w:link w:val="CommentSubjectChar"/>
    <w:rsid w:val="00CA3C06"/>
    <w:rPr>
      <w:b/>
      <w:bCs/>
    </w:rPr>
  </w:style>
  <w:style w:type="character" w:customStyle="1" w:styleId="CommentSubjectChar">
    <w:name w:val="Comment Subject Char"/>
    <w:basedOn w:val="CommentTextChar"/>
    <w:link w:val="CommentSubject"/>
    <w:rsid w:val="00CA3C06"/>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table" w:customStyle="1" w:styleId="DEEWRTable">
    <w:name w:val="DEEWR Table"/>
    <w:basedOn w:val="TableNormal"/>
    <w:uiPriority w:val="99"/>
    <w:rsid w:val="007959DE"/>
    <w:rPr>
      <w:rFonts w:asciiTheme="minorHAnsi" w:eastAsiaTheme="minorEastAsia" w:hAnsiTheme="minorHAnsi" w:cstheme="minorBidi"/>
      <w:szCs w:val="22"/>
      <w:lang w:eastAsia="en-US"/>
    </w:rPr>
    <w:tblPr>
      <w:tblStyleRowBandSize w:val="1"/>
    </w:tblPr>
    <w:tblStylePr w:type="firstRow">
      <w:pPr>
        <w:wordWrap/>
        <w:ind w:leftChars="0" w:left="0" w:rightChars="0" w:right="0"/>
        <w:jc w:val="left"/>
      </w:pPr>
      <w:rPr>
        <w:rFonts w:asciiTheme="minorHAnsi" w:hAnsiTheme="minorHAnsi"/>
        <w:b/>
        <w:color w:val="FFFFFF" w:themeColor="background1"/>
        <w:sz w:val="20"/>
      </w:rPr>
      <w:tblPr/>
      <w:tcPr>
        <w:shd w:val="clear" w:color="auto" w:fill="165788"/>
      </w:tcPr>
    </w:tblStylePr>
    <w:tblStylePr w:type="band2Horz">
      <w:tblPr/>
      <w:tcPr>
        <w:tcBorders>
          <w:top w:val="nil"/>
          <w:left w:val="nil"/>
          <w:bottom w:val="nil"/>
          <w:right w:val="nil"/>
          <w:insideH w:val="nil"/>
          <w:insideV w:val="nil"/>
          <w:tl2br w:val="nil"/>
          <w:tr2bl w:val="nil"/>
        </w:tcBorders>
        <w:shd w:val="clear" w:color="165788" w:fill="AFEFFF" w:themeFill="accent1" w:themeFillTint="33"/>
      </w:tcPr>
    </w:tblStylePr>
  </w:style>
  <w:style w:type="character" w:styleId="CommentReference">
    <w:name w:val="annotation reference"/>
    <w:basedOn w:val="DefaultParagraphFont"/>
    <w:rsid w:val="00CA3C06"/>
    <w:rPr>
      <w:sz w:val="16"/>
      <w:szCs w:val="16"/>
    </w:rPr>
  </w:style>
  <w:style w:type="paragraph" w:styleId="CommentText">
    <w:name w:val="annotation text"/>
    <w:basedOn w:val="Normal"/>
    <w:link w:val="CommentTextChar"/>
    <w:rsid w:val="00CA3C06"/>
    <w:pPr>
      <w:spacing w:line="240" w:lineRule="auto"/>
    </w:pPr>
    <w:rPr>
      <w:szCs w:val="20"/>
    </w:rPr>
  </w:style>
  <w:style w:type="character" w:customStyle="1" w:styleId="CommentTextChar">
    <w:name w:val="Comment Text Char"/>
    <w:basedOn w:val="DefaultParagraphFont"/>
    <w:link w:val="CommentText"/>
    <w:rsid w:val="00CA3C06"/>
    <w:rPr>
      <w:rFonts w:ascii="Arial" w:hAnsi="Arial"/>
    </w:rPr>
  </w:style>
  <w:style w:type="paragraph" w:styleId="CommentSubject">
    <w:name w:val="annotation subject"/>
    <w:basedOn w:val="CommentText"/>
    <w:next w:val="CommentText"/>
    <w:link w:val="CommentSubjectChar"/>
    <w:rsid w:val="00CA3C06"/>
    <w:rPr>
      <w:b/>
      <w:bCs/>
    </w:rPr>
  </w:style>
  <w:style w:type="character" w:customStyle="1" w:styleId="CommentSubjectChar">
    <w:name w:val="Comment Subject Char"/>
    <w:basedOn w:val="CommentTextChar"/>
    <w:link w:val="CommentSubject"/>
    <w:rsid w:val="00CA3C0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416A-5424-4BFB-B4C6-07824EA9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2015-05-25T00:29:00Z</dcterms:created>
  <dcterms:modified xsi:type="dcterms:W3CDTF">2015-06-30T04:52:00Z</dcterms:modified>
</cp:coreProperties>
</file>