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66" w:rsidRPr="0021286F" w:rsidRDefault="00723D9B" w:rsidP="0021286F">
      <w:pPr>
        <w:pStyle w:val="Title"/>
      </w:pPr>
      <w:r w:rsidRPr="0021286F">
        <w:t xml:space="preserve">PAID PARENTAL LEAVE REVIEW </w:t>
      </w:r>
    </w:p>
    <w:p w:rsidR="004C0A66" w:rsidRPr="0021286F" w:rsidRDefault="00262704" w:rsidP="0021286F">
      <w:pPr>
        <w:pStyle w:val="Heading1"/>
        <w:rPr>
          <w:rStyle w:val="BookTitle"/>
          <w:i w:val="0"/>
          <w:iCs w:val="0"/>
          <w:smallCaps w:val="0"/>
          <w:spacing w:val="0"/>
        </w:rPr>
      </w:pPr>
      <w:r w:rsidRPr="0021286F">
        <w:rPr>
          <w:rStyle w:val="BookTitle"/>
          <w:i w:val="0"/>
          <w:iCs w:val="0"/>
          <w:smallCaps w:val="0"/>
          <w:spacing w:val="0"/>
        </w:rPr>
        <w:t xml:space="preserve">PAID PARENTAL LEAVE </w:t>
      </w:r>
      <w:r w:rsidR="004C0A66" w:rsidRPr="0021286F">
        <w:rPr>
          <w:rStyle w:val="BookTitle"/>
          <w:i w:val="0"/>
          <w:iCs w:val="0"/>
          <w:smallCaps w:val="0"/>
          <w:spacing w:val="0"/>
        </w:rPr>
        <w:t xml:space="preserve">SCHEME </w:t>
      </w:r>
      <w:r w:rsidRPr="0021286F">
        <w:rPr>
          <w:rStyle w:val="BookTitle"/>
          <w:i w:val="0"/>
          <w:iCs w:val="0"/>
          <w:smallCaps w:val="0"/>
          <w:spacing w:val="0"/>
        </w:rPr>
        <w:t>– DATA UPDATE</w:t>
      </w:r>
    </w:p>
    <w:p w:rsidR="00E95F4B" w:rsidRPr="00262704" w:rsidRDefault="00262704" w:rsidP="004B54CA">
      <w:pPr>
        <w:rPr>
          <w:rStyle w:val="BookTitle"/>
          <w:i w:val="0"/>
          <w:iCs w:val="0"/>
          <w:smallCaps w:val="0"/>
          <w:spacing w:val="0"/>
        </w:rPr>
      </w:pPr>
      <w:r w:rsidRPr="009A21EB">
        <w:t xml:space="preserve">Unless otherwise stated, the following </w:t>
      </w:r>
      <w:r>
        <w:t>data</w:t>
      </w:r>
      <w:r w:rsidRPr="009A21EB">
        <w:t xml:space="preserve"> are for Parental Leave Pay from </w:t>
      </w:r>
      <w:r>
        <w:t>the start of the scheme (</w:t>
      </w:r>
      <w:r w:rsidRPr="009A21EB">
        <w:t>1 J</w:t>
      </w:r>
      <w:r>
        <w:t>anuary 2011) to 31 March 2013.</w:t>
      </w:r>
    </w:p>
    <w:p w:rsidR="00C366F0" w:rsidRDefault="00C366F0" w:rsidP="004B54CA">
      <w:pPr>
        <w:rPr>
          <w:rStyle w:val="BookTitle"/>
          <w:b/>
          <w:i w:val="0"/>
          <w:iCs w:val="0"/>
          <w:smallCaps w:val="0"/>
          <w:spacing w:val="0"/>
        </w:rPr>
      </w:pPr>
    </w:p>
    <w:p w:rsidR="004C0A66" w:rsidRPr="0021286F" w:rsidRDefault="004C0A66" w:rsidP="0021286F">
      <w:pPr>
        <w:pStyle w:val="Heading2"/>
        <w:rPr>
          <w:rStyle w:val="BookTitle"/>
          <w:i w:val="0"/>
          <w:iCs w:val="0"/>
          <w:smallCaps w:val="0"/>
          <w:spacing w:val="0"/>
        </w:rPr>
      </w:pPr>
      <w:r w:rsidRPr="0021286F">
        <w:rPr>
          <w:rStyle w:val="BookTitle"/>
          <w:i w:val="0"/>
          <w:iCs w:val="0"/>
          <w:smallCaps w:val="0"/>
          <w:spacing w:val="0"/>
        </w:rPr>
        <w:t>PARENT</w:t>
      </w:r>
      <w:r w:rsidR="00C366F0" w:rsidRPr="0021286F">
        <w:rPr>
          <w:rStyle w:val="BookTitle"/>
          <w:i w:val="0"/>
          <w:iCs w:val="0"/>
          <w:smallCaps w:val="0"/>
          <w:spacing w:val="0"/>
        </w:rPr>
        <w:t xml:space="preserve"> DATA</w:t>
      </w:r>
      <w:r w:rsidRPr="0021286F">
        <w:rPr>
          <w:rStyle w:val="BookTitle"/>
          <w:i w:val="0"/>
          <w:iCs w:val="0"/>
          <w:smallCaps w:val="0"/>
          <w:spacing w:val="0"/>
        </w:rPr>
        <w:t>:</w:t>
      </w:r>
    </w:p>
    <w:p w:rsidR="004C0A66" w:rsidRDefault="004C0A66" w:rsidP="004B54CA">
      <w:pPr>
        <w:rPr>
          <w:rStyle w:val="BookTitle"/>
          <w:i w:val="0"/>
          <w:iCs w:val="0"/>
          <w:smallCaps w:val="0"/>
          <w:spacing w:val="0"/>
        </w:rPr>
      </w:pPr>
      <w:r>
        <w:rPr>
          <w:rStyle w:val="BookTitle"/>
          <w:i w:val="0"/>
          <w:iCs w:val="0"/>
          <w:smallCaps w:val="0"/>
          <w:spacing w:val="0"/>
        </w:rPr>
        <w:t xml:space="preserve">From the start of the scheme until 31 March 2013, 286,975 parents had claimed Parental Leave Pay. </w:t>
      </w:r>
    </w:p>
    <w:p w:rsidR="004C0A66" w:rsidRDefault="004C0A66" w:rsidP="004B54CA">
      <w:pPr>
        <w:rPr>
          <w:rStyle w:val="BookTitle"/>
          <w:i w:val="0"/>
          <w:iCs w:val="0"/>
          <w:smallCaps w:val="0"/>
          <w:spacing w:val="0"/>
        </w:rPr>
      </w:pPr>
      <w:r>
        <w:rPr>
          <w:rStyle w:val="BookTitle"/>
          <w:i w:val="0"/>
          <w:iCs w:val="0"/>
          <w:smallCaps w:val="0"/>
          <w:spacing w:val="0"/>
        </w:rPr>
        <w:t>In the 2011-12 financial year, just under half (43.5 per cent) of all new mothers in Australia received Parental Leave Pay.</w:t>
      </w:r>
    </w:p>
    <w:p w:rsidR="002F5D7F" w:rsidRDefault="002F5D7F" w:rsidP="004B54CA">
      <w:pPr>
        <w:rPr>
          <w:rStyle w:val="BookTitle"/>
          <w:i w:val="0"/>
          <w:iCs w:val="0"/>
          <w:smallCaps w:val="0"/>
          <w:spacing w:val="0"/>
        </w:rPr>
      </w:pPr>
    </w:p>
    <w:tbl>
      <w:tblPr>
        <w:tblW w:w="0" w:type="auto"/>
        <w:tblInd w:w="93" w:type="dxa"/>
        <w:tblLook w:val="04A0" w:firstRow="1" w:lastRow="0" w:firstColumn="1" w:lastColumn="0" w:noHBand="0" w:noVBand="1"/>
      </w:tblPr>
      <w:tblGrid>
        <w:gridCol w:w="8137"/>
        <w:gridCol w:w="1012"/>
      </w:tblGrid>
      <w:tr w:rsidR="004C0A66" w:rsidRPr="009A21EB" w:rsidTr="009B3D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Percentage of recipients who are females: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99</w:t>
            </w:r>
            <w:r>
              <w:t>.5</w:t>
            </w:r>
            <w:r w:rsidRPr="009A21EB">
              <w:t>%</w:t>
            </w:r>
          </w:p>
        </w:tc>
      </w:tr>
      <w:tr w:rsidR="004C0A66" w:rsidRPr="009A21EB" w:rsidTr="009B3D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Percentage receiving payment for the full 18-week period:</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99%</w:t>
            </w:r>
          </w:p>
        </w:tc>
      </w:tr>
      <w:tr w:rsidR="004C0A66" w:rsidRPr="009A21EB" w:rsidTr="009B3D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Percentage of recipients who lodge pre-birth claims:</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54%</w:t>
            </w:r>
          </w:p>
        </w:tc>
      </w:tr>
      <w:tr w:rsidR="004C0A66" w:rsidRPr="009A21EB" w:rsidTr="009B3D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Number of transfers to fathers/partners:</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t>518</w:t>
            </w:r>
          </w:p>
        </w:tc>
      </w:tr>
      <w:tr w:rsidR="004C0A66" w:rsidRPr="009A21EB" w:rsidTr="009B3D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Median income of recipients:</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$45,</w:t>
            </w:r>
            <w:r>
              <w:t>125</w:t>
            </w:r>
          </w:p>
        </w:tc>
      </w:tr>
      <w:tr w:rsidR="004C0A66" w:rsidRPr="009A21EB" w:rsidTr="009B3D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t>Median age</w:t>
            </w:r>
            <w:r w:rsidRPr="009A21EB">
              <w:t xml:space="preserve"> of recipients:</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t>32</w:t>
            </w:r>
          </w:p>
        </w:tc>
      </w:tr>
      <w:tr w:rsidR="004C0A66" w:rsidRPr="009A21EB" w:rsidTr="009B3DD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0A66" w:rsidRPr="009A21EB" w:rsidRDefault="004C0A66" w:rsidP="002F5D7F">
            <w:pPr>
              <w:spacing w:before="60" w:after="60" w:line="240" w:lineRule="auto"/>
            </w:pPr>
            <w:r w:rsidRPr="009A21EB">
              <w:t xml:space="preserve">Percentage of recipients in 2012-13 </w:t>
            </w:r>
            <w:r>
              <w:t xml:space="preserve">(as at 31 March 2013) </w:t>
            </w:r>
            <w:r w:rsidRPr="009A21EB">
              <w:t>whose adjusted taxable income is below National Minimum Wage:</w:t>
            </w:r>
          </w:p>
        </w:tc>
        <w:tc>
          <w:tcPr>
            <w:tcW w:w="0" w:type="auto"/>
            <w:tcBorders>
              <w:top w:val="nil"/>
              <w:left w:val="nil"/>
              <w:bottom w:val="single" w:sz="4" w:space="0" w:color="auto"/>
              <w:right w:val="single" w:sz="4" w:space="0" w:color="auto"/>
            </w:tcBorders>
            <w:shd w:val="clear" w:color="auto" w:fill="auto"/>
            <w:noWrap/>
            <w:vAlign w:val="center"/>
            <w:hideMark/>
          </w:tcPr>
          <w:p w:rsidR="004C0A66" w:rsidRPr="009A21EB" w:rsidRDefault="004C0A66" w:rsidP="002F5D7F">
            <w:pPr>
              <w:spacing w:before="60" w:after="60" w:line="240" w:lineRule="auto"/>
            </w:pPr>
            <w:r w:rsidRPr="009A21EB">
              <w:t>25%</w:t>
            </w:r>
          </w:p>
        </w:tc>
      </w:tr>
      <w:tr w:rsidR="004C0A66" w:rsidRPr="009A21EB" w:rsidTr="009B3DD5">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rsidR="004C0A66" w:rsidRPr="009A21EB" w:rsidRDefault="004C0A66" w:rsidP="002F5D7F">
            <w:pPr>
              <w:spacing w:before="60" w:after="60" w:line="240" w:lineRule="auto"/>
            </w:pPr>
            <w:r>
              <w:t>Percentage of recipients who identify as Aboriginal or Torres Strait Islander:</w:t>
            </w:r>
          </w:p>
        </w:tc>
        <w:tc>
          <w:tcPr>
            <w:tcW w:w="0" w:type="auto"/>
            <w:tcBorders>
              <w:top w:val="nil"/>
              <w:left w:val="nil"/>
              <w:bottom w:val="single" w:sz="4" w:space="0" w:color="auto"/>
              <w:right w:val="single" w:sz="4" w:space="0" w:color="auto"/>
            </w:tcBorders>
            <w:shd w:val="clear" w:color="auto" w:fill="auto"/>
            <w:noWrap/>
            <w:vAlign w:val="center"/>
          </w:tcPr>
          <w:p w:rsidR="004C0A66" w:rsidRPr="009A21EB" w:rsidRDefault="004C0A66" w:rsidP="002F5D7F">
            <w:pPr>
              <w:spacing w:before="60" w:after="60" w:line="240" w:lineRule="auto"/>
            </w:pPr>
            <w:r>
              <w:t>1.2%</w:t>
            </w:r>
          </w:p>
        </w:tc>
      </w:tr>
    </w:tbl>
    <w:p w:rsidR="004C0A66" w:rsidRPr="002F5D7F" w:rsidRDefault="004C0A66" w:rsidP="002F5D7F">
      <w:pPr>
        <w:rPr>
          <w:b/>
        </w:rPr>
      </w:pPr>
    </w:p>
    <w:p w:rsidR="002F5D7F" w:rsidRDefault="002F5D7F" w:rsidP="002F5D7F">
      <w:pPr>
        <w:rPr>
          <w:b/>
        </w:rPr>
      </w:pPr>
    </w:p>
    <w:p w:rsidR="002F5D7F" w:rsidRPr="005C3AA9" w:rsidRDefault="002F5D7F" w:rsidP="002F5D7F">
      <w:pPr>
        <w:rPr>
          <w:rStyle w:val="BookTitle"/>
          <w:i w:val="0"/>
          <w:iCs w:val="0"/>
          <w:smallCaps w:val="0"/>
          <w:spacing w:val="0"/>
        </w:rPr>
      </w:pPr>
      <w:r>
        <w:rPr>
          <w:noProof/>
          <w:lang w:eastAsia="en-AU"/>
        </w:rPr>
        <w:drawing>
          <wp:inline distT="0" distB="0" distL="0" distR="0" wp14:anchorId="2D286143" wp14:editId="01281CEA">
            <wp:extent cx="5731510" cy="2525592"/>
            <wp:effectExtent l="0" t="0" r="21590" b="27305"/>
            <wp:docPr id="1" name="Chart 1" descr="This graph shows the age of female Parental Leave Pay recipients since the start of the scheme as at 31 March 2013. The graph compares the age of female Parental Leave Pay recipients with the age of all mothers according to Australian Bureau of Statistics Births data for 2011. The age profile of Parental Leave Pay recipients is slightly older than that of all mothers. &#10;&#10;On the horizontal axis we have age ranging from 15 and under to 49 years old with increments of 2 years per unit. On the vertical axis we have percentage measure ranging from 0 to 10 per cent with increments of 2 per cent per unit.&#10;&#10;Female Parental Leave Pay recipients are represented by bars forming a bell shaped distribution with ages 31 and 32 being the highest points of just over 8 per cent of Parental Leave Pay recipients. The graph shows the percentage of female Parental Leave Pay recipients from the age of 19 to 27 increasing rapidly and then slowing from ages 27 to 31. From ages 32 to 49 the decrease in the percentages is slow at first, up to age 37 before decreasing more dramatically through to age 49. Zero per cent of Parental Leave Pay recipients fall between ages 15 and under and 18, as well as between ages 45 and 49 so no bars are present. &#10;&#10;All new mothers are represented by a dotted line, forming a similar bell shaped curve to female Parental Leave Pay recipients. From age 16 to 28, the percentage of all new mothers is higher compared to female Parental Leave Pay recipients. From age 29 through to 49, the percentages of all new mothers is slightly lower compared to female Parental Leave Pay recipients.&#10;&#10;The highest point for all new mothers is age 31. At age 15, and from age 46 to 49 years the percentages are zero per cent so the dotted line lies on the horizontal axi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5D7F" w:rsidRDefault="002F5D7F" w:rsidP="00E974C6">
      <w:pPr>
        <w:rPr>
          <w:b/>
        </w:rPr>
      </w:pPr>
    </w:p>
    <w:p w:rsidR="004C0A66" w:rsidRDefault="004C0A66" w:rsidP="00E974C6">
      <w:pPr>
        <w:rPr>
          <w:rFonts w:cs="Arial"/>
          <w:b/>
          <w:bCs/>
          <w:i/>
          <w:iCs/>
          <w:sz w:val="28"/>
          <w:szCs w:val="28"/>
        </w:rPr>
      </w:pPr>
      <w:r w:rsidRPr="006C057E">
        <w:rPr>
          <w:noProof/>
          <w:lang w:eastAsia="en-AU"/>
        </w:rPr>
        <w:lastRenderedPageBreak/>
        <w:t xml:space="preserve"> </w:t>
      </w:r>
      <w:bookmarkStart w:id="0" w:name="_GoBack"/>
      <w:r>
        <w:rPr>
          <w:noProof/>
          <w:lang w:eastAsia="en-AU"/>
        </w:rPr>
        <w:drawing>
          <wp:inline distT="0" distB="0" distL="0" distR="0" wp14:anchorId="31653E60" wp14:editId="1416A87E">
            <wp:extent cx="5735782" cy="3075709"/>
            <wp:effectExtent l="0" t="0" r="17780" b="10795"/>
            <wp:docPr id="10" name="Chart 10" descr="This graph is for Adjustable Taxable Income of Parental Leave Pay recipients as at 31 March 2013.&#10;&#10;Adjustable Taxable Income, or ATI, is the label for the horizontal axis. There are dollar amounts along the axis and they range from ‘$0’ to ‘greater than $150,000’ and increase by $10,000 increments. The vertical axis shows the label percentage and begins with 0 per cent at the bottom and ends with 25 per cent at the top. The scale for the vertical axis is in 5 per cent increments.&#10;&#10;The bars along the graph represent the percentage of Parental Leave Pay recipients who fall into each of the adjustable taxable income categories. At $0 the percentage is approx. 0.3 per cent. From $10,000 to $40,000 there is a steady increase in percentage of recipients, from around 4 per cent with an ATI of between $1 and $10,000, to 19 per cent with an ATI of $30,001 to $40,000, which is the highest point of the graph. The graph starts to decrease at a steady rate from $50,000 to $100,000 with 18 per cent of recipients with an ATI of $40,001 to $50,000 to around 3 per cent with an ATI of $90,001 to $100,000. There are 2 per cent of Parental Leave Pay recipients earning between $100,001 and $110,000. This is followed by a slow decrease in percentage from $110,001 to $120,000 with 2 per cent until reaching 0 per cent of recipients with an income of ‘greater than $150,000’.&#10;&#10;The overall shape of the graph is a skewed bell shaped distribution with $40,000 being the centre and a longer tail on the right side of the horizontal axi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4C0A66" w:rsidRPr="006760A2" w:rsidRDefault="004C0A66" w:rsidP="006760A2">
      <w:pPr>
        <w:rPr>
          <w:i/>
        </w:rPr>
      </w:pPr>
      <w:r>
        <w:rPr>
          <w:i/>
        </w:rPr>
        <w:t>The median income of recipients at 31 March 2013 was $45,125.</w:t>
      </w:r>
    </w:p>
    <w:p w:rsidR="00C366F0" w:rsidRDefault="00C366F0" w:rsidP="00E974C6">
      <w:pPr>
        <w:rPr>
          <w:rStyle w:val="BookTitle"/>
          <w:b/>
          <w:i w:val="0"/>
          <w:spacing w:val="0"/>
        </w:rPr>
      </w:pPr>
    </w:p>
    <w:p w:rsidR="00C366F0" w:rsidRDefault="00C366F0" w:rsidP="00E974C6">
      <w:pPr>
        <w:rPr>
          <w:rStyle w:val="BookTitle"/>
          <w:b/>
          <w:i w:val="0"/>
          <w:spacing w:val="0"/>
        </w:rPr>
      </w:pPr>
    </w:p>
    <w:p w:rsidR="004C0A66" w:rsidRPr="009A21EB" w:rsidRDefault="004C0A66" w:rsidP="0021286F">
      <w:pPr>
        <w:pStyle w:val="Heading2"/>
        <w:rPr>
          <w:rStyle w:val="BookTitle"/>
          <w:b w:val="0"/>
          <w:i w:val="0"/>
          <w:spacing w:val="0"/>
        </w:rPr>
      </w:pPr>
      <w:r w:rsidRPr="009A21EB">
        <w:rPr>
          <w:rStyle w:val="BookTitle"/>
          <w:i w:val="0"/>
          <w:spacing w:val="0"/>
        </w:rPr>
        <w:t>EMPLOYER</w:t>
      </w:r>
      <w:r w:rsidR="00C366F0">
        <w:rPr>
          <w:rStyle w:val="BookTitle"/>
          <w:i w:val="0"/>
          <w:spacing w:val="0"/>
        </w:rPr>
        <w:t xml:space="preserve"> DATA:</w:t>
      </w:r>
    </w:p>
    <w:p w:rsidR="004C0A66" w:rsidRDefault="004C0A66" w:rsidP="009A21EB">
      <w:pPr>
        <w:rPr>
          <w:rStyle w:val="BookTitle"/>
          <w:i w:val="0"/>
          <w:iCs w:val="0"/>
          <w:smallCaps w:val="0"/>
          <w:spacing w:val="0"/>
        </w:rPr>
      </w:pPr>
      <w:r>
        <w:rPr>
          <w:rStyle w:val="BookTitle"/>
          <w:i w:val="0"/>
          <w:iCs w:val="0"/>
          <w:smallCaps w:val="0"/>
          <w:spacing w:val="0"/>
        </w:rPr>
        <w:t xml:space="preserve">Of those </w:t>
      </w:r>
      <w:r w:rsidR="00C366F0">
        <w:rPr>
          <w:rStyle w:val="BookTitle"/>
          <w:i w:val="0"/>
          <w:iCs w:val="0"/>
          <w:smallCaps w:val="0"/>
          <w:spacing w:val="0"/>
        </w:rPr>
        <w:t xml:space="preserve">parents </w:t>
      </w:r>
      <w:r>
        <w:rPr>
          <w:rStyle w:val="BookTitle"/>
          <w:i w:val="0"/>
          <w:iCs w:val="0"/>
          <w:smallCaps w:val="0"/>
          <w:spacing w:val="0"/>
        </w:rPr>
        <w:t>receiving Parental Leave Pay at 31 March 2013, the majority (75 per cent) were receiving the payment through their employer.</w:t>
      </w:r>
    </w:p>
    <w:p w:rsidR="004C0A66" w:rsidRPr="00E01C67" w:rsidRDefault="004C0A66" w:rsidP="00E974C6">
      <w:r w:rsidRPr="00E01C67">
        <w:t xml:space="preserve">There are </w:t>
      </w:r>
      <w:r>
        <w:t>48,301</w:t>
      </w:r>
      <w:r w:rsidRPr="00E01C67">
        <w:t xml:space="preserve"> employers registered to provide Parental L</w:t>
      </w:r>
      <w:r w:rsidR="00D65BB3">
        <w:t>eave Pay to their employees. Of </w:t>
      </w:r>
      <w:r w:rsidRPr="00E01C67">
        <w:t xml:space="preserve">the registered employers at 31 </w:t>
      </w:r>
      <w:r>
        <w:t>March 2013</w:t>
      </w:r>
      <w:r w:rsidRPr="00E01C67">
        <w:t>:</w:t>
      </w:r>
    </w:p>
    <w:p w:rsidR="004C0A66" w:rsidRPr="00E01C67" w:rsidRDefault="004C0A66" w:rsidP="004C0A66">
      <w:pPr>
        <w:numPr>
          <w:ilvl w:val="0"/>
          <w:numId w:val="2"/>
        </w:numPr>
        <w:spacing w:after="0" w:line="240" w:lineRule="auto"/>
      </w:pPr>
      <w:r>
        <w:t>39,196</w:t>
      </w:r>
      <w:r w:rsidRPr="00E01C67">
        <w:t xml:space="preserve"> have provided or are providing Parental Leave Pay to their employees</w:t>
      </w:r>
    </w:p>
    <w:p w:rsidR="004C0A66" w:rsidRPr="00E01C67" w:rsidRDefault="004C0A66" w:rsidP="004C0A66">
      <w:pPr>
        <w:numPr>
          <w:ilvl w:val="0"/>
          <w:numId w:val="2"/>
        </w:numPr>
        <w:spacing w:after="0" w:line="240" w:lineRule="auto"/>
      </w:pPr>
      <w:r>
        <w:t xml:space="preserve">Around </w:t>
      </w:r>
      <w:r w:rsidRPr="00E01C67">
        <w:t>50 per cent have fewer than 20 employees and 50 per cent have 20 or more employees</w:t>
      </w:r>
    </w:p>
    <w:p w:rsidR="004C0A66" w:rsidRDefault="004C0A66" w:rsidP="004C0A66">
      <w:pPr>
        <w:numPr>
          <w:ilvl w:val="0"/>
          <w:numId w:val="2"/>
        </w:numPr>
        <w:spacing w:after="0" w:line="240" w:lineRule="auto"/>
      </w:pPr>
      <w:r>
        <w:t>87</w:t>
      </w:r>
      <w:r w:rsidRPr="00E01C67">
        <w:t xml:space="preserve"> per cent have opted to provide Parental Leave Pay only to those employees they are required to pay, and </w:t>
      </w:r>
      <w:r>
        <w:t xml:space="preserve">13 </w:t>
      </w:r>
      <w:r w:rsidRPr="00E01C67">
        <w:t>per cent have opted to also provide the payment to non-mandatory employees.</w:t>
      </w:r>
    </w:p>
    <w:p w:rsidR="004C0A66" w:rsidRDefault="004C0A66" w:rsidP="009A21EB">
      <w:pPr>
        <w:spacing w:after="0" w:line="240" w:lineRule="auto"/>
      </w:pPr>
    </w:p>
    <w:p w:rsidR="004C0A66" w:rsidRDefault="004C0A66" w:rsidP="009A21EB">
      <w:pPr>
        <w:spacing w:after="0" w:line="240" w:lineRule="auto"/>
      </w:pPr>
      <w:r w:rsidRPr="000242A4">
        <w:rPr>
          <w:noProof/>
          <w:lang w:eastAsia="en-AU"/>
        </w:rPr>
        <w:lastRenderedPageBreak/>
        <w:t xml:space="preserve"> </w:t>
      </w:r>
      <w:r w:rsidR="00067C35">
        <w:rPr>
          <w:noProof/>
          <w:lang w:eastAsia="en-AU"/>
        </w:rPr>
        <w:drawing>
          <wp:inline distT="0" distB="0" distL="0" distR="0" wp14:anchorId="2A5DA27B" wp14:editId="5A4F773E">
            <wp:extent cx="5727700" cy="3648710"/>
            <wp:effectExtent l="0" t="0" r="25400" b="27940"/>
            <wp:docPr id="2" name="Chart 2" descr="This bar chart is for employers by business size providing Parental Leave Pay and employees paid Parental Leave Pay by employer business size. The data presented in is for the period January 2011 to March 2013.&#10;&#10;Employer business size is shown along the horizontal axis. There are four categories for employer business size on this axis, being “small business”, “medium business”, “large business” and “unknown size”. The vertical axis begins with zero per cent at the bottom and ends with seventy per cent at the top. The scale for the vertical axis is in ten per cent increments.&#10;&#10;The graph has two sets of bars. The first set shows the percentage of employers who were providing Parental Leave Pay to their employees, for each category of business size. It shows that 50.2 per cent of those employers were small businesses, 38.7 per cent of those employers were medium businesses, 10.1 of those employers were large businesses, and the remaining 1 per cent of those employers were an unknown size.&#10;&#10;The second set of bars shows the percentage of all employees who were provided Parental Leave Pay by an employer in each of the three business size categories. It shows that 14.4 per cent of those employees were provided Parental Leave Pay by an employer in the small business category. It shows that 20 per cent of those employees were provided Parental Leave Pay by an employer in the medium business category and 64.6 per cent of employees were provided Parental Leave Pay by an employer in the large business category. The remaining one per cent of those employees were provided Parental Leave Pay by an employer in the unknown size category.&#10;&#10;By comparing the two sets of bars in this graph, we see that although the majority of employers who provided Parental Leave Pay to employees during January 2011 to March 2013 are in the small business and medium business size categories, the large majority of employees who were provided Parental Leave Pay during this time were provided Parental Leave Pay by employers in the large business category.&#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A66" w:rsidRDefault="004C0A66" w:rsidP="009A21EB">
      <w:pPr>
        <w:spacing w:after="0" w:line="240" w:lineRule="auto"/>
      </w:pPr>
    </w:p>
    <w:p w:rsidR="00C366F0" w:rsidRDefault="00C366F0" w:rsidP="009A21EB">
      <w:pPr>
        <w:spacing w:after="0" w:line="240" w:lineRule="auto"/>
      </w:pPr>
    </w:p>
    <w:sectPr w:rsidR="00C366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B3" w:rsidRDefault="000B4AB3" w:rsidP="009A21EB">
      <w:pPr>
        <w:spacing w:after="0" w:line="240" w:lineRule="auto"/>
      </w:pPr>
      <w:r>
        <w:separator/>
      </w:r>
    </w:p>
  </w:endnote>
  <w:endnote w:type="continuationSeparator" w:id="0">
    <w:p w:rsidR="000B4AB3" w:rsidRDefault="000B4AB3" w:rsidP="009A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67528"/>
      <w:docPartObj>
        <w:docPartGallery w:val="Page Numbers (Bottom of Page)"/>
        <w:docPartUnique/>
      </w:docPartObj>
    </w:sdtPr>
    <w:sdtEndPr>
      <w:rPr>
        <w:noProof/>
      </w:rPr>
    </w:sdtEndPr>
    <w:sdtContent>
      <w:p w:rsidR="009A21EB" w:rsidRDefault="009A21EB">
        <w:pPr>
          <w:pStyle w:val="Footer"/>
          <w:jc w:val="right"/>
        </w:pPr>
        <w:r>
          <w:fldChar w:fldCharType="begin"/>
        </w:r>
        <w:r>
          <w:instrText xml:space="preserve"> PAGE   \* MERGEFORMAT </w:instrText>
        </w:r>
        <w:r>
          <w:fldChar w:fldCharType="separate"/>
        </w:r>
        <w:r w:rsidR="0021286F">
          <w:rPr>
            <w:noProof/>
          </w:rPr>
          <w:t>1</w:t>
        </w:r>
        <w:r>
          <w:rPr>
            <w:noProof/>
          </w:rPr>
          <w:fldChar w:fldCharType="end"/>
        </w:r>
      </w:p>
    </w:sdtContent>
  </w:sdt>
  <w:p w:rsidR="009A21EB" w:rsidRDefault="009A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B3" w:rsidRDefault="000B4AB3" w:rsidP="009A21EB">
      <w:pPr>
        <w:spacing w:after="0" w:line="240" w:lineRule="auto"/>
      </w:pPr>
      <w:r>
        <w:separator/>
      </w:r>
    </w:p>
  </w:footnote>
  <w:footnote w:type="continuationSeparator" w:id="0">
    <w:p w:rsidR="000B4AB3" w:rsidRDefault="000B4AB3" w:rsidP="009A2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974C6"/>
    <w:rsid w:val="00067C35"/>
    <w:rsid w:val="000B4AB3"/>
    <w:rsid w:val="001E630D"/>
    <w:rsid w:val="0021286F"/>
    <w:rsid w:val="00262704"/>
    <w:rsid w:val="002F5D7F"/>
    <w:rsid w:val="003B2BB8"/>
    <w:rsid w:val="003D34FF"/>
    <w:rsid w:val="00453E2B"/>
    <w:rsid w:val="00483E8E"/>
    <w:rsid w:val="00492EEE"/>
    <w:rsid w:val="004B54CA"/>
    <w:rsid w:val="004B7282"/>
    <w:rsid w:val="004C0A66"/>
    <w:rsid w:val="004E5CBF"/>
    <w:rsid w:val="005C3AA9"/>
    <w:rsid w:val="006760A2"/>
    <w:rsid w:val="006A4CE7"/>
    <w:rsid w:val="006C7674"/>
    <w:rsid w:val="00717458"/>
    <w:rsid w:val="00723D9B"/>
    <w:rsid w:val="00742947"/>
    <w:rsid w:val="00785261"/>
    <w:rsid w:val="007B0256"/>
    <w:rsid w:val="008A7FF5"/>
    <w:rsid w:val="009225F0"/>
    <w:rsid w:val="0096546E"/>
    <w:rsid w:val="009A21EB"/>
    <w:rsid w:val="009B3DD5"/>
    <w:rsid w:val="009B4A6B"/>
    <w:rsid w:val="009D546C"/>
    <w:rsid w:val="009E5720"/>
    <w:rsid w:val="00A64191"/>
    <w:rsid w:val="00AE11E2"/>
    <w:rsid w:val="00B95525"/>
    <w:rsid w:val="00BA2DB9"/>
    <w:rsid w:val="00BB76D7"/>
    <w:rsid w:val="00BE0EBB"/>
    <w:rsid w:val="00BE7148"/>
    <w:rsid w:val="00C366F0"/>
    <w:rsid w:val="00CB363D"/>
    <w:rsid w:val="00CE05A5"/>
    <w:rsid w:val="00D47552"/>
    <w:rsid w:val="00D65BB3"/>
    <w:rsid w:val="00DA117B"/>
    <w:rsid w:val="00DC1098"/>
    <w:rsid w:val="00E33D73"/>
    <w:rsid w:val="00E50162"/>
    <w:rsid w:val="00E95F4B"/>
    <w:rsid w:val="00E974C6"/>
    <w:rsid w:val="00F31534"/>
    <w:rsid w:val="00F8772B"/>
    <w:rsid w:val="00FA3D07"/>
    <w:rsid w:val="00FC511F"/>
    <w:rsid w:val="00FE1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21286F"/>
    <w:pPr>
      <w:outlineLvl w:val="0"/>
    </w:pPr>
    <w:rPr>
      <w:b/>
    </w:rPr>
  </w:style>
  <w:style w:type="paragraph" w:styleId="Heading2">
    <w:name w:val="heading 2"/>
    <w:basedOn w:val="Normal"/>
    <w:next w:val="Normal"/>
    <w:link w:val="Heading2Char"/>
    <w:uiPriority w:val="9"/>
    <w:unhideWhenUsed/>
    <w:qFormat/>
    <w:rsid w:val="0021286F"/>
    <w:pPr>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6F"/>
    <w:rPr>
      <w:rFonts w:ascii="Arial" w:hAnsi="Arial"/>
      <w:b/>
    </w:rPr>
  </w:style>
  <w:style w:type="character" w:customStyle="1" w:styleId="Heading2Char">
    <w:name w:val="Heading 2 Char"/>
    <w:basedOn w:val="DefaultParagraphFont"/>
    <w:link w:val="Heading2"/>
    <w:uiPriority w:val="9"/>
    <w:rsid w:val="0021286F"/>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1286F"/>
    <w:pPr>
      <w:jc w:val="center"/>
    </w:pPr>
    <w:rPr>
      <w:rFonts w:cs="Arial"/>
      <w:b/>
      <w:bCs/>
    </w:rPr>
  </w:style>
  <w:style w:type="character" w:customStyle="1" w:styleId="TitleChar">
    <w:name w:val="Title Char"/>
    <w:basedOn w:val="DefaultParagraphFont"/>
    <w:link w:val="Title"/>
    <w:uiPriority w:val="10"/>
    <w:rsid w:val="0021286F"/>
    <w:rPr>
      <w:rFonts w:ascii="Arial" w:hAnsi="Arial" w:cs="Arial"/>
      <w:b/>
      <w:bCs/>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rsid w:val="00E974C6"/>
    <w:rPr>
      <w:sz w:val="16"/>
      <w:szCs w:val="16"/>
    </w:rPr>
  </w:style>
  <w:style w:type="paragraph" w:styleId="CommentText">
    <w:name w:val="annotation text"/>
    <w:basedOn w:val="Normal"/>
    <w:link w:val="CommentTextChar"/>
    <w:rsid w:val="00E974C6"/>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E974C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C6"/>
    <w:rPr>
      <w:rFonts w:ascii="Tahoma" w:hAnsi="Tahoma" w:cs="Tahoma"/>
      <w:sz w:val="16"/>
      <w:szCs w:val="16"/>
    </w:rPr>
  </w:style>
  <w:style w:type="paragraph" w:styleId="Header">
    <w:name w:val="header"/>
    <w:basedOn w:val="Normal"/>
    <w:link w:val="HeaderChar"/>
    <w:uiPriority w:val="99"/>
    <w:unhideWhenUsed/>
    <w:rsid w:val="009A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EB"/>
    <w:rPr>
      <w:rFonts w:ascii="Arial" w:hAnsi="Arial"/>
    </w:rPr>
  </w:style>
  <w:style w:type="paragraph" w:styleId="Footer">
    <w:name w:val="footer"/>
    <w:basedOn w:val="Normal"/>
    <w:link w:val="FooterChar"/>
    <w:uiPriority w:val="99"/>
    <w:unhideWhenUsed/>
    <w:rsid w:val="009A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EB"/>
    <w:rPr>
      <w:rFonts w:ascii="Arial" w:hAnsi="Arial"/>
    </w:rPr>
  </w:style>
  <w:style w:type="paragraph" w:styleId="CommentSubject">
    <w:name w:val="annotation subject"/>
    <w:basedOn w:val="CommentText"/>
    <w:next w:val="CommentText"/>
    <w:link w:val="CommentSubjectChar"/>
    <w:uiPriority w:val="99"/>
    <w:semiHidden/>
    <w:unhideWhenUsed/>
    <w:rsid w:val="00BB76D7"/>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BB76D7"/>
    <w:rPr>
      <w:rFonts w:ascii="Arial" w:eastAsia="Times New Roman" w:hAnsi="Arial" w:cs="Times New Roman"/>
      <w:b/>
      <w:bCs/>
      <w:sz w:val="20"/>
      <w:szCs w:val="20"/>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4C0A6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21286F"/>
    <w:pPr>
      <w:outlineLvl w:val="0"/>
    </w:pPr>
    <w:rPr>
      <w:b/>
    </w:rPr>
  </w:style>
  <w:style w:type="paragraph" w:styleId="Heading2">
    <w:name w:val="heading 2"/>
    <w:basedOn w:val="Normal"/>
    <w:next w:val="Normal"/>
    <w:link w:val="Heading2Char"/>
    <w:uiPriority w:val="9"/>
    <w:unhideWhenUsed/>
    <w:qFormat/>
    <w:rsid w:val="0021286F"/>
    <w:pPr>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6F"/>
    <w:rPr>
      <w:rFonts w:ascii="Arial" w:hAnsi="Arial"/>
      <w:b/>
    </w:rPr>
  </w:style>
  <w:style w:type="character" w:customStyle="1" w:styleId="Heading2Char">
    <w:name w:val="Heading 2 Char"/>
    <w:basedOn w:val="DefaultParagraphFont"/>
    <w:link w:val="Heading2"/>
    <w:uiPriority w:val="9"/>
    <w:rsid w:val="0021286F"/>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1286F"/>
    <w:pPr>
      <w:jc w:val="center"/>
    </w:pPr>
    <w:rPr>
      <w:rFonts w:cs="Arial"/>
      <w:b/>
      <w:bCs/>
    </w:rPr>
  </w:style>
  <w:style w:type="character" w:customStyle="1" w:styleId="TitleChar">
    <w:name w:val="Title Char"/>
    <w:basedOn w:val="DefaultParagraphFont"/>
    <w:link w:val="Title"/>
    <w:uiPriority w:val="10"/>
    <w:rsid w:val="0021286F"/>
    <w:rPr>
      <w:rFonts w:ascii="Arial" w:hAnsi="Arial" w:cs="Arial"/>
      <w:b/>
      <w:bCs/>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rsid w:val="00E974C6"/>
    <w:rPr>
      <w:sz w:val="16"/>
      <w:szCs w:val="16"/>
    </w:rPr>
  </w:style>
  <w:style w:type="paragraph" w:styleId="CommentText">
    <w:name w:val="annotation text"/>
    <w:basedOn w:val="Normal"/>
    <w:link w:val="CommentTextChar"/>
    <w:rsid w:val="00E974C6"/>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E974C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C6"/>
    <w:rPr>
      <w:rFonts w:ascii="Tahoma" w:hAnsi="Tahoma" w:cs="Tahoma"/>
      <w:sz w:val="16"/>
      <w:szCs w:val="16"/>
    </w:rPr>
  </w:style>
  <w:style w:type="paragraph" w:styleId="Header">
    <w:name w:val="header"/>
    <w:basedOn w:val="Normal"/>
    <w:link w:val="HeaderChar"/>
    <w:uiPriority w:val="99"/>
    <w:unhideWhenUsed/>
    <w:rsid w:val="009A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EB"/>
    <w:rPr>
      <w:rFonts w:ascii="Arial" w:hAnsi="Arial"/>
    </w:rPr>
  </w:style>
  <w:style w:type="paragraph" w:styleId="Footer">
    <w:name w:val="footer"/>
    <w:basedOn w:val="Normal"/>
    <w:link w:val="FooterChar"/>
    <w:uiPriority w:val="99"/>
    <w:unhideWhenUsed/>
    <w:rsid w:val="009A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EB"/>
    <w:rPr>
      <w:rFonts w:ascii="Arial" w:hAnsi="Arial"/>
    </w:rPr>
  </w:style>
  <w:style w:type="paragraph" w:styleId="CommentSubject">
    <w:name w:val="annotation subject"/>
    <w:basedOn w:val="CommentText"/>
    <w:next w:val="CommentText"/>
    <w:link w:val="CommentSubjectChar"/>
    <w:uiPriority w:val="99"/>
    <w:semiHidden/>
    <w:unhideWhenUsed/>
    <w:rsid w:val="00BB76D7"/>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BB76D7"/>
    <w:rPr>
      <w:rFonts w:ascii="Arial" w:eastAsia="Times New Roman" w:hAnsi="Arial" w:cs="Times New Roman"/>
      <w:b/>
      <w:bCs/>
      <w:sz w:val="20"/>
      <w:szCs w:val="20"/>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4C0A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c0023\AppData\Local\FileSiteCache\NRPortbl\CURRENT\CC0023\24331717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d0003\AppData\Local\FileSiteCache\NRPortbl\CURRENT\ED0003\23086546_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cc0023\AppData\Local\FileSiteCache\NRPortbl\CURRENT\CC0023\24230919_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Age of female Parental Leave Pay recipients</a:t>
            </a:r>
            <a:r>
              <a:rPr lang="en-AU" baseline="0"/>
              <a:t> - </a:t>
            </a:r>
          </a:p>
          <a:p>
            <a:pPr>
              <a:defRPr/>
            </a:pPr>
            <a:r>
              <a:rPr lang="en-AU" baseline="0"/>
              <a:t>as at 31/3/2013</a:t>
            </a:r>
            <a:endParaRPr lang="en-AU"/>
          </a:p>
        </c:rich>
      </c:tx>
      <c:layout/>
      <c:overlay val="1"/>
    </c:title>
    <c:autoTitleDeleted val="0"/>
    <c:plotArea>
      <c:layout>
        <c:manualLayout>
          <c:layoutTarget val="inner"/>
          <c:xMode val="edge"/>
          <c:yMode val="edge"/>
          <c:x val="0.12520345084389425"/>
          <c:y val="0.25957500742812384"/>
          <c:w val="0.85203387327533231"/>
          <c:h val="0.34468156724062343"/>
        </c:manualLayout>
      </c:layout>
      <c:barChart>
        <c:barDir val="col"/>
        <c:grouping val="stacked"/>
        <c:varyColors val="0"/>
        <c:ser>
          <c:idx val="1"/>
          <c:order val="1"/>
          <c:tx>
            <c:v>Female PLP Recipients</c:v>
          </c:tx>
          <c:invertIfNegative val="0"/>
          <c:cat>
            <c:strRef>
              <c:f>Analysis!$Z$5:$Z$40</c:f>
              <c:strCache>
                <c:ptCount val="36"/>
                <c:pt idx="0">
                  <c:v>&lt;15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strCache>
            </c:strRef>
          </c:cat>
          <c:val>
            <c:numRef>
              <c:f>Analysis!$AE$5:$AE$40</c:f>
              <c:numCache>
                <c:formatCode>0.00%</c:formatCode>
                <c:ptCount val="36"/>
                <c:pt idx="0">
                  <c:v>0</c:v>
                </c:pt>
                <c:pt idx="1">
                  <c:v>1.4703287655119684E-5</c:v>
                </c:pt>
                <c:pt idx="2">
                  <c:v>8.0868082103158269E-5</c:v>
                </c:pt>
                <c:pt idx="3">
                  <c:v>7.2781273892842441E-4</c:v>
                </c:pt>
                <c:pt idx="4">
                  <c:v>2.109921778509675E-3</c:v>
                </c:pt>
                <c:pt idx="5">
                  <c:v>5.5210845144974419E-3</c:v>
                </c:pt>
                <c:pt idx="6">
                  <c:v>8.8146209492442514E-3</c:v>
                </c:pt>
                <c:pt idx="7">
                  <c:v>1.2438981356231253E-2</c:v>
                </c:pt>
                <c:pt idx="8">
                  <c:v>1.6173616420631653E-2</c:v>
                </c:pt>
                <c:pt idx="9">
                  <c:v>2.1312415456095982E-2</c:v>
                </c:pt>
                <c:pt idx="10">
                  <c:v>2.8259718873140036E-2</c:v>
                </c:pt>
                <c:pt idx="11">
                  <c:v>3.7486031876727638E-2</c:v>
                </c:pt>
                <c:pt idx="12">
                  <c:v>4.8248838440275242E-2</c:v>
                </c:pt>
                <c:pt idx="13">
                  <c:v>6.0768687878609659E-2</c:v>
                </c:pt>
                <c:pt idx="14">
                  <c:v>7.4251602658354413E-2</c:v>
                </c:pt>
                <c:pt idx="15">
                  <c:v>8.0750455801917309E-2</c:v>
                </c:pt>
                <c:pt idx="16">
                  <c:v>8.4896782920661065E-2</c:v>
                </c:pt>
                <c:pt idx="17">
                  <c:v>8.312503675821914E-2</c:v>
                </c:pt>
                <c:pt idx="18">
                  <c:v>7.7949479503617011E-2</c:v>
                </c:pt>
                <c:pt idx="19">
                  <c:v>7.0899253072987126E-2</c:v>
                </c:pt>
                <c:pt idx="20">
                  <c:v>6.360642239604776E-2</c:v>
                </c:pt>
                <c:pt idx="21">
                  <c:v>5.4225724872081396E-2</c:v>
                </c:pt>
                <c:pt idx="22">
                  <c:v>4.4051049814738577E-2</c:v>
                </c:pt>
                <c:pt idx="23">
                  <c:v>3.4876198317943891E-2</c:v>
                </c:pt>
                <c:pt idx="24">
                  <c:v>2.8039169558313239E-2</c:v>
                </c:pt>
                <c:pt idx="25">
                  <c:v>2.0871316826442391E-2</c:v>
                </c:pt>
                <c:pt idx="26">
                  <c:v>1.4570958066223608E-2</c:v>
                </c:pt>
                <c:pt idx="27">
                  <c:v>9.5718402634829142E-3</c:v>
                </c:pt>
                <c:pt idx="28">
                  <c:v>5.0138210903958123E-3</c:v>
                </c:pt>
                <c:pt idx="29">
                  <c:v>3.2347232841263306E-3</c:v>
                </c:pt>
                <c:pt idx="30">
                  <c:v>1.4629771216844087E-3</c:v>
                </c:pt>
                <c:pt idx="31">
                  <c:v>7.8662588954890318E-4</c:v>
                </c:pt>
                <c:pt idx="32">
                  <c:v>4.3374698582603072E-4</c:v>
                </c:pt>
                <c:pt idx="33">
                  <c:v>2.7201082161971415E-4</c:v>
                </c:pt>
                <c:pt idx="34">
                  <c:v>1.4703287655119685E-4</c:v>
                </c:pt>
                <c:pt idx="35">
                  <c:v>2.3525260248191495E-4</c:v>
                </c:pt>
              </c:numCache>
            </c:numRef>
          </c:val>
        </c:ser>
        <c:dLbls>
          <c:showLegendKey val="0"/>
          <c:showVal val="0"/>
          <c:showCatName val="0"/>
          <c:showSerName val="0"/>
          <c:showPercent val="0"/>
          <c:showBubbleSize val="0"/>
        </c:dLbls>
        <c:gapWidth val="100"/>
        <c:overlap val="100"/>
        <c:axId val="45811584"/>
        <c:axId val="49176960"/>
      </c:barChart>
      <c:lineChart>
        <c:grouping val="standard"/>
        <c:varyColors val="0"/>
        <c:ser>
          <c:idx val="0"/>
          <c:order val="0"/>
          <c:tx>
            <c:v>All new mothers¹</c:v>
          </c:tx>
          <c:spPr>
            <a:ln w="12700"/>
          </c:spPr>
          <c:cat>
            <c:strRef>
              <c:f>Analysis!$Z$5:$Z$40</c:f>
              <c:strCache>
                <c:ptCount val="36"/>
                <c:pt idx="0">
                  <c:v>&lt;15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strCache>
            </c:strRef>
          </c:cat>
          <c:val>
            <c:numRef>
              <c:f>Analysis!$AB$5:$AB$40</c:f>
              <c:numCache>
                <c:formatCode>0.0%</c:formatCode>
                <c:ptCount val="36"/>
                <c:pt idx="0">
                  <c:v>1.2996614912289426E-3</c:v>
                </c:pt>
                <c:pt idx="1">
                  <c:v>3.090011504656568E-3</c:v>
                </c:pt>
                <c:pt idx="2">
                  <c:v>6.355742547668069E-3</c:v>
                </c:pt>
                <c:pt idx="3">
                  <c:v>1.0576326931174303E-2</c:v>
                </c:pt>
                <c:pt idx="4">
                  <c:v>1.6288869659203561E-2</c:v>
                </c:pt>
                <c:pt idx="5">
                  <c:v>2.0940464231127557E-2</c:v>
                </c:pt>
                <c:pt idx="6">
                  <c:v>2.3453585175901889E-2</c:v>
                </c:pt>
                <c:pt idx="7">
                  <c:v>2.6914928535195299E-2</c:v>
                </c:pt>
                <c:pt idx="8">
                  <c:v>3.1079150047908441E-2</c:v>
                </c:pt>
                <c:pt idx="9">
                  <c:v>3.6095445548493622E-2</c:v>
                </c:pt>
                <c:pt idx="10">
                  <c:v>4.2789365320920238E-2</c:v>
                </c:pt>
                <c:pt idx="11">
                  <c:v>4.9373874814748503E-2</c:v>
                </c:pt>
                <c:pt idx="12">
                  <c:v>5.6850243852302758E-2</c:v>
                </c:pt>
                <c:pt idx="13">
                  <c:v>6.3212617325946477E-2</c:v>
                </c:pt>
                <c:pt idx="14">
                  <c:v>6.680326374176522E-2</c:v>
                </c:pt>
                <c:pt idx="15">
                  <c:v>6.7267428560061265E-2</c:v>
                </c:pt>
                <c:pt idx="16">
                  <c:v>6.9097564129342842E-2</c:v>
                </c:pt>
                <c:pt idx="17">
                  <c:v>6.5009598265349772E-2</c:v>
                </c:pt>
                <c:pt idx="18">
                  <c:v>6.0467413972024125E-2</c:v>
                </c:pt>
                <c:pt idx="19">
                  <c:v>5.5408017452597165E-2</c:v>
                </c:pt>
                <c:pt idx="20">
                  <c:v>5.0056860190241269E-2</c:v>
                </c:pt>
                <c:pt idx="21">
                  <c:v>4.391330727379425E-2</c:v>
                </c:pt>
                <c:pt idx="22">
                  <c:v>3.6566241292765325E-2</c:v>
                </c:pt>
                <c:pt idx="23">
                  <c:v>3.005135652168147E-2</c:v>
                </c:pt>
                <c:pt idx="24">
                  <c:v>2.3844809808465702E-2</c:v>
                </c:pt>
                <c:pt idx="25">
                  <c:v>1.6938700404818031E-2</c:v>
                </c:pt>
                <c:pt idx="26">
                  <c:v>1.0897926840993711E-2</c:v>
                </c:pt>
                <c:pt idx="27">
                  <c:v>6.8099609770006335E-3</c:v>
                </c:pt>
                <c:pt idx="28">
                  <c:v>3.73652678728321E-3</c:v>
                </c:pt>
                <c:pt idx="29">
                  <c:v>1.8798675140990063E-3</c:v>
                </c:pt>
                <c:pt idx="30">
                  <c:v>1.0178471372634832E-3</c:v>
                </c:pt>
                <c:pt idx="31">
                  <c:v>5.1058130012565607E-4</c:v>
                </c:pt>
                <c:pt idx="32">
                  <c:v>2.8512981695328845E-4</c:v>
                </c:pt>
                <c:pt idx="33">
                  <c:v>1.1935666756184168E-4</c:v>
                </c:pt>
                <c:pt idx="34">
                  <c:v>8.2886574695723389E-5</c:v>
                </c:pt>
                <c:pt idx="35">
                  <c:v>1.7571953835493357E-4</c:v>
                </c:pt>
              </c:numCache>
            </c:numRef>
          </c:val>
          <c:smooth val="0"/>
        </c:ser>
        <c:dLbls>
          <c:showLegendKey val="0"/>
          <c:showVal val="0"/>
          <c:showCatName val="0"/>
          <c:showSerName val="0"/>
          <c:showPercent val="0"/>
          <c:showBubbleSize val="0"/>
        </c:dLbls>
        <c:marker val="1"/>
        <c:smooth val="0"/>
        <c:axId val="45811584"/>
        <c:axId val="49176960"/>
      </c:lineChart>
      <c:catAx>
        <c:axId val="45811584"/>
        <c:scaling>
          <c:orientation val="minMax"/>
        </c:scaling>
        <c:delete val="0"/>
        <c:axPos val="b"/>
        <c:title>
          <c:tx>
            <c:rich>
              <a:bodyPr/>
              <a:lstStyle/>
              <a:p>
                <a:pPr>
                  <a:defRPr/>
                </a:pPr>
                <a:r>
                  <a:rPr lang="en-AU"/>
                  <a:t>Age</a:t>
                </a:r>
              </a:p>
            </c:rich>
          </c:tx>
          <c:layout>
            <c:manualLayout>
              <c:xMode val="edge"/>
              <c:yMode val="edge"/>
              <c:x val="0.48780565263854903"/>
              <c:y val="0.71915043041562166"/>
            </c:manualLayout>
          </c:layout>
          <c:overlay val="0"/>
        </c:title>
        <c:numFmt formatCode="General" sourceLinked="1"/>
        <c:majorTickMark val="none"/>
        <c:minorTickMark val="none"/>
        <c:tickLblPos val="nextTo"/>
        <c:txPr>
          <a:bodyPr rot="0" vert="horz"/>
          <a:lstStyle/>
          <a:p>
            <a:pPr>
              <a:defRPr/>
            </a:pPr>
            <a:endParaRPr lang="en-US"/>
          </a:p>
        </c:txPr>
        <c:crossAx val="49176960"/>
        <c:crosses val="autoZero"/>
        <c:auto val="1"/>
        <c:lblAlgn val="ctr"/>
        <c:lblOffset val="100"/>
        <c:tickLblSkip val="2"/>
        <c:tickMarkSkip val="1"/>
        <c:noMultiLvlLbl val="0"/>
      </c:catAx>
      <c:valAx>
        <c:axId val="49176960"/>
        <c:scaling>
          <c:orientation val="minMax"/>
          <c:max val="0.1"/>
        </c:scaling>
        <c:delete val="0"/>
        <c:axPos val="l"/>
        <c:majorGridlines/>
        <c:title>
          <c:tx>
            <c:rich>
              <a:bodyPr/>
              <a:lstStyle/>
              <a:p>
                <a:pPr>
                  <a:defRPr/>
                </a:pPr>
                <a:r>
                  <a:rPr lang="en-AU"/>
                  <a:t>Percentage</a:t>
                </a:r>
              </a:p>
            </c:rich>
          </c:tx>
          <c:layout>
            <c:manualLayout>
              <c:xMode val="edge"/>
              <c:yMode val="edge"/>
              <c:x val="2.6016301474055949E-2"/>
              <c:y val="0.26808566340937379"/>
            </c:manualLayout>
          </c:layout>
          <c:overlay val="0"/>
        </c:title>
        <c:numFmt formatCode="0%" sourceLinked="0"/>
        <c:majorTickMark val="out"/>
        <c:minorTickMark val="none"/>
        <c:tickLblPos val="nextTo"/>
        <c:txPr>
          <a:bodyPr rot="0" vert="horz"/>
          <a:lstStyle/>
          <a:p>
            <a:pPr>
              <a:defRPr/>
            </a:pPr>
            <a:endParaRPr lang="en-US"/>
          </a:p>
        </c:txPr>
        <c:crossAx val="45811584"/>
        <c:crosses val="autoZero"/>
        <c:crossBetween val="between"/>
        <c:majorUnit val="2.0000000000000004E-2"/>
      </c:valAx>
    </c:plotArea>
    <c:legend>
      <c:legendPos val="b"/>
      <c:layout>
        <c:manualLayout>
          <c:xMode val="edge"/>
          <c:yMode val="edge"/>
          <c:x val="0.15031783817720459"/>
          <c:y val="0.82816351501448293"/>
          <c:w val="0.50569185990196253"/>
          <c:h val="8.7312919218431026E-2"/>
        </c:manualLayout>
      </c:layout>
      <c:overlay val="0"/>
      <c:spPr>
        <a:ln>
          <a:solidFill>
            <a:schemeClr val="tx1"/>
          </a:solidFill>
        </a:ln>
      </c:spPr>
    </c:legend>
    <c:plotVisOnly val="1"/>
    <c:dispBlanksAs val="gap"/>
    <c:showDLblsOverMax val="0"/>
  </c:chart>
  <c:spPr>
    <a:ln w="3175">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800" b="1" i="0" baseline="0">
                <a:effectLst/>
              </a:rPr>
              <a:t>Adjustable Taxable Income of PLP recipients -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800" b="1" i="0" baseline="0">
                <a:effectLst/>
              </a:rPr>
              <a:t>as at 31/3/2013</a:t>
            </a:r>
            <a:endParaRPr lang="en-AU">
              <a:effectLst/>
            </a:endParaRPr>
          </a:p>
        </c:rich>
      </c:tx>
      <c:layout/>
      <c:overlay val="0"/>
    </c:title>
    <c:autoTitleDeleted val="0"/>
    <c:plotArea>
      <c:layout/>
      <c:barChart>
        <c:barDir val="col"/>
        <c:grouping val="clustered"/>
        <c:varyColors val="0"/>
        <c:ser>
          <c:idx val="0"/>
          <c:order val="0"/>
          <c:invertIfNegative val="0"/>
          <c:cat>
            <c:strRef>
              <c:f>'ATI STD'!$B$26:$B$42</c:f>
              <c:strCache>
                <c:ptCount val="17"/>
                <c:pt idx="0">
                  <c:v>$0 </c:v>
                </c:pt>
                <c:pt idx="1">
                  <c:v>$10,000 </c:v>
                </c:pt>
                <c:pt idx="2">
                  <c:v>$20,000 </c:v>
                </c:pt>
                <c:pt idx="3">
                  <c:v>$30,000 </c:v>
                </c:pt>
                <c:pt idx="4">
                  <c:v>$40,000 </c:v>
                </c:pt>
                <c:pt idx="5">
                  <c:v>$50,000 </c:v>
                </c:pt>
                <c:pt idx="6">
                  <c:v>$60,000 </c:v>
                </c:pt>
                <c:pt idx="7">
                  <c:v>$70,000 </c:v>
                </c:pt>
                <c:pt idx="8">
                  <c:v>$80,000 </c:v>
                </c:pt>
                <c:pt idx="9">
                  <c:v>$90,000 </c:v>
                </c:pt>
                <c:pt idx="10">
                  <c:v>$100,000 </c:v>
                </c:pt>
                <c:pt idx="11">
                  <c:v>$110,000 </c:v>
                </c:pt>
                <c:pt idx="12">
                  <c:v>$120,000 </c:v>
                </c:pt>
                <c:pt idx="13">
                  <c:v>$130,000 </c:v>
                </c:pt>
                <c:pt idx="14">
                  <c:v>$140,000 </c:v>
                </c:pt>
                <c:pt idx="15">
                  <c:v>$150,000 </c:v>
                </c:pt>
                <c:pt idx="16">
                  <c:v>&gt;$150,000</c:v>
                </c:pt>
              </c:strCache>
            </c:strRef>
          </c:cat>
          <c:val>
            <c:numRef>
              <c:f>'ATI STD'!$C$26:$C$42</c:f>
              <c:numCache>
                <c:formatCode>0%</c:formatCode>
                <c:ptCount val="17"/>
                <c:pt idx="0">
                  <c:v>3.4178272505667969E-3</c:v>
                </c:pt>
                <c:pt idx="1">
                  <c:v>3.7574791606293574E-2</c:v>
                </c:pt>
                <c:pt idx="2">
                  <c:v>9.5405110546681896E-2</c:v>
                </c:pt>
                <c:pt idx="3">
                  <c:v>0.14649779247566611</c:v>
                </c:pt>
                <c:pt idx="4">
                  <c:v>0.19137275625181119</c:v>
                </c:pt>
                <c:pt idx="5">
                  <c:v>0.18086357670081654</c:v>
                </c:pt>
                <c:pt idx="6">
                  <c:v>0.14175885992874554</c:v>
                </c:pt>
                <c:pt idx="7">
                  <c:v>0.11236639789986874</c:v>
                </c:pt>
                <c:pt idx="8">
                  <c:v>8.4376012137122203E-2</c:v>
                </c:pt>
                <c:pt idx="9">
                  <c:v>5.4987811738233638E-2</c:v>
                </c:pt>
                <c:pt idx="10">
                  <c:v>3.3798987436714792E-2</c:v>
                </c:pt>
                <c:pt idx="11">
                  <c:v>2.1146208001636465E-2</c:v>
                </c:pt>
                <c:pt idx="12">
                  <c:v>1.429350698054992E-2</c:v>
                </c:pt>
                <c:pt idx="13">
                  <c:v>1.0159725891959157E-2</c:v>
                </c:pt>
                <c:pt idx="14">
                  <c:v>7.2575558699691459E-3</c:v>
                </c:pt>
                <c:pt idx="15">
                  <c:v>6.0046366534272028E-3</c:v>
                </c:pt>
                <c:pt idx="16">
                  <c:v>8.523259976475802E-6</c:v>
                </c:pt>
              </c:numCache>
            </c:numRef>
          </c:val>
        </c:ser>
        <c:dLbls>
          <c:showLegendKey val="0"/>
          <c:showVal val="0"/>
          <c:showCatName val="0"/>
          <c:showSerName val="0"/>
          <c:showPercent val="0"/>
          <c:showBubbleSize val="0"/>
        </c:dLbls>
        <c:gapWidth val="150"/>
        <c:axId val="271330688"/>
        <c:axId val="288168960"/>
      </c:barChart>
      <c:catAx>
        <c:axId val="271330688"/>
        <c:scaling>
          <c:orientation val="minMax"/>
        </c:scaling>
        <c:delete val="0"/>
        <c:axPos val="b"/>
        <c:title>
          <c:tx>
            <c:rich>
              <a:bodyPr/>
              <a:lstStyle/>
              <a:p>
                <a:pPr>
                  <a:defRPr/>
                </a:pPr>
                <a:r>
                  <a:rPr lang="en-AU"/>
                  <a:t>Adjustable Taxable</a:t>
                </a:r>
                <a:r>
                  <a:rPr lang="en-AU" baseline="0"/>
                  <a:t> Income (ATI)</a:t>
                </a:r>
                <a:endParaRPr lang="en-AU"/>
              </a:p>
            </c:rich>
          </c:tx>
          <c:layout/>
          <c:overlay val="0"/>
        </c:title>
        <c:majorTickMark val="out"/>
        <c:minorTickMark val="none"/>
        <c:tickLblPos val="nextTo"/>
        <c:crossAx val="288168960"/>
        <c:crosses val="autoZero"/>
        <c:auto val="1"/>
        <c:lblAlgn val="ctr"/>
        <c:lblOffset val="100"/>
        <c:noMultiLvlLbl val="0"/>
      </c:catAx>
      <c:valAx>
        <c:axId val="288168960"/>
        <c:scaling>
          <c:orientation val="minMax"/>
        </c:scaling>
        <c:delete val="0"/>
        <c:axPos val="l"/>
        <c:title>
          <c:tx>
            <c:rich>
              <a:bodyPr/>
              <a:lstStyle/>
              <a:p>
                <a:pPr>
                  <a:defRPr/>
                </a:pPr>
                <a:r>
                  <a:rPr lang="en-AU"/>
                  <a:t>Percentage</a:t>
                </a:r>
              </a:p>
            </c:rich>
          </c:tx>
          <c:layout/>
          <c:overlay val="0"/>
        </c:title>
        <c:numFmt formatCode="0%" sourceLinked="1"/>
        <c:majorTickMark val="out"/>
        <c:minorTickMark val="none"/>
        <c:tickLblPos val="nextTo"/>
        <c:crossAx val="271330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AU" sz="1600" b="1" i="0" baseline="0">
                <a:effectLst/>
              </a:rPr>
              <a:t>Employers providing Parental Leave Pay</a:t>
            </a:r>
            <a:endParaRPr lang="en-AU" sz="1600">
              <a:effectLst/>
            </a:endParaRPr>
          </a:p>
          <a:p>
            <a:pPr>
              <a:defRPr/>
            </a:pPr>
            <a:r>
              <a:rPr lang="en-AU" sz="1600" b="1" i="0" baseline="0">
                <a:effectLst/>
              </a:rPr>
              <a:t>and recipients, by business size</a:t>
            </a:r>
            <a:endParaRPr lang="en-AU" sz="1600">
              <a:effectLst/>
            </a:endParaRPr>
          </a:p>
          <a:p>
            <a:pPr>
              <a:defRPr/>
            </a:pPr>
            <a:r>
              <a:rPr lang="en-AU" sz="1400" b="1" i="0" baseline="0">
                <a:effectLst/>
              </a:rPr>
              <a:t>January 2011 to March 2013</a:t>
            </a:r>
            <a:endParaRPr lang="en-AU" sz="1400">
              <a:effectLst/>
            </a:endParaRPr>
          </a:p>
        </c:rich>
      </c:tx>
      <c:layout/>
      <c:overlay val="0"/>
    </c:title>
    <c:autoTitleDeleted val="0"/>
    <c:plotArea>
      <c:layout/>
      <c:barChart>
        <c:barDir val="col"/>
        <c:grouping val="clustered"/>
        <c:varyColors val="0"/>
        <c:ser>
          <c:idx val="0"/>
          <c:order val="0"/>
          <c:tx>
            <c:strRef>
              <c:f>Report!$U$53761</c:f>
              <c:strCache>
                <c:ptCount val="1"/>
                <c:pt idx="0">
                  <c:v>Employers providing PLP</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Report!$T$53762:$T$53765</c:f>
              <c:strCache>
                <c:ptCount val="4"/>
                <c:pt idx="0">
                  <c:v>Small business 
(0 - 19 employees)</c:v>
                </c:pt>
                <c:pt idx="1">
                  <c:v>Medium business
(20 - 199 employees)</c:v>
                </c:pt>
                <c:pt idx="2">
                  <c:v>Large business
(200+ employees)</c:v>
                </c:pt>
                <c:pt idx="3">
                  <c:v>Unknown size</c:v>
                </c:pt>
              </c:strCache>
            </c:strRef>
          </c:cat>
          <c:val>
            <c:numRef>
              <c:f>Report!$U$53762:$U$53765</c:f>
              <c:numCache>
                <c:formatCode>0.0%</c:formatCode>
                <c:ptCount val="4"/>
                <c:pt idx="0">
                  <c:v>0.50218421978841021</c:v>
                </c:pt>
                <c:pt idx="1">
                  <c:v>0.38723835945425561</c:v>
                </c:pt>
                <c:pt idx="2">
                  <c:v>0.10103310490466036</c:v>
                </c:pt>
                <c:pt idx="3">
                  <c:v>9.544315852673858E-3</c:v>
                </c:pt>
              </c:numCache>
            </c:numRef>
          </c:val>
        </c:ser>
        <c:ser>
          <c:idx val="1"/>
          <c:order val="1"/>
          <c:tx>
            <c:strRef>
              <c:f>Report!$V$53761</c:f>
              <c:strCache>
                <c:ptCount val="1"/>
                <c:pt idx="0">
                  <c:v>Employees paid PLP</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Report!$T$53762:$T$53765</c:f>
              <c:strCache>
                <c:ptCount val="4"/>
                <c:pt idx="0">
                  <c:v>Small business 
(0 - 19 employees)</c:v>
                </c:pt>
                <c:pt idx="1">
                  <c:v>Medium business
(20 - 199 employees)</c:v>
                </c:pt>
                <c:pt idx="2">
                  <c:v>Large business
(200+ employees)</c:v>
                </c:pt>
                <c:pt idx="3">
                  <c:v>Unknown size</c:v>
                </c:pt>
              </c:strCache>
            </c:strRef>
          </c:cat>
          <c:val>
            <c:numRef>
              <c:f>Report!$V$53762:$V$53765</c:f>
              <c:numCache>
                <c:formatCode>0.0%</c:formatCode>
                <c:ptCount val="4"/>
                <c:pt idx="0">
                  <c:v>0.14410342723413957</c:v>
                </c:pt>
                <c:pt idx="1">
                  <c:v>0.19959229928451205</c:v>
                </c:pt>
                <c:pt idx="2">
                  <c:v>0.64640009656069575</c:v>
                </c:pt>
                <c:pt idx="3">
                  <c:v>9.9041769206525895E-3</c:v>
                </c:pt>
              </c:numCache>
            </c:numRef>
          </c:val>
        </c:ser>
        <c:dLbls>
          <c:showLegendKey val="0"/>
          <c:showVal val="1"/>
          <c:showCatName val="0"/>
          <c:showSerName val="0"/>
          <c:showPercent val="0"/>
          <c:showBubbleSize val="0"/>
        </c:dLbls>
        <c:gapWidth val="75"/>
        <c:axId val="296999552"/>
        <c:axId val="51430912"/>
      </c:barChart>
      <c:catAx>
        <c:axId val="296999552"/>
        <c:scaling>
          <c:orientation val="minMax"/>
        </c:scaling>
        <c:delete val="0"/>
        <c:axPos val="b"/>
        <c:majorTickMark val="none"/>
        <c:minorTickMark val="none"/>
        <c:tickLblPos val="nextTo"/>
        <c:crossAx val="51430912"/>
        <c:crosses val="autoZero"/>
        <c:auto val="1"/>
        <c:lblAlgn val="ctr"/>
        <c:lblOffset val="100"/>
        <c:noMultiLvlLbl val="0"/>
      </c:catAx>
      <c:valAx>
        <c:axId val="51430912"/>
        <c:scaling>
          <c:orientation val="minMax"/>
        </c:scaling>
        <c:delete val="0"/>
        <c:axPos val="l"/>
        <c:numFmt formatCode="0.0%" sourceLinked="1"/>
        <c:majorTickMark val="none"/>
        <c:minorTickMark val="none"/>
        <c:tickLblPos val="nextTo"/>
        <c:crossAx val="296999552"/>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0.67306</cdr:x>
      <cdr:y>0.87126</cdr:y>
    </cdr:from>
    <cdr:to>
      <cdr:x>0.98211</cdr:x>
      <cdr:y>0.97048</cdr:y>
    </cdr:to>
    <cdr:sp macro="" textlink="">
      <cdr:nvSpPr>
        <cdr:cNvPr id="2" name="TextBox 1"/>
        <cdr:cNvSpPr txBox="1"/>
      </cdr:nvSpPr>
      <cdr:spPr>
        <a:xfrm xmlns:a="http://schemas.openxmlformats.org/drawingml/2006/main">
          <a:off x="3857625" y="2200275"/>
          <a:ext cx="1771349" cy="2505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t>¹  ABS, 2011, Births, Table 7.1.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Paid Parental Leave scheme data to 31 March 2013</vt:lpstr>
    </vt:vector>
  </TitlesOfParts>
  <Company>FaHCSIA</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scheme data to 31 March 2013</dc:title>
  <dc:creator>SPARKE, Erica</dc:creator>
  <cp:lastModifiedBy>Fahcsia</cp:lastModifiedBy>
  <cp:revision>2</cp:revision>
  <cp:lastPrinted>2013-07-03T05:59:00Z</cp:lastPrinted>
  <dcterms:created xsi:type="dcterms:W3CDTF">2013-07-31T07:04:00Z</dcterms:created>
  <dcterms:modified xsi:type="dcterms:W3CDTF">2013-07-31T07:04:00Z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