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C3CD" w14:textId="0A33F769" w:rsidR="001A1E48" w:rsidRPr="007C23DA" w:rsidRDefault="00EB0485" w:rsidP="007C23DA">
      <w:pPr>
        <w:jc w:val="center"/>
      </w:pPr>
      <w:bookmarkStart w:id="0" w:name="_Toc266886219"/>
      <w:r>
        <w:rPr>
          <w:noProof/>
        </w:rPr>
        <w:drawing>
          <wp:inline distT="0" distB="0" distL="0" distR="0" wp14:anchorId="06B4714A" wp14:editId="536ACAD8">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bookmarkStart w:id="1" w:name="_Toc509905084"/>
    </w:p>
    <w:p w14:paraId="46210964" w14:textId="796F9269" w:rsidR="00400841" w:rsidRPr="001A1E48" w:rsidRDefault="007E31EC" w:rsidP="007C23DA">
      <w:pPr>
        <w:pStyle w:val="Heading1"/>
        <w:spacing w:before="1320"/>
      </w:pPr>
      <w:bookmarkStart w:id="2" w:name="_Toc510028046"/>
      <w:r w:rsidRPr="001A1E48">
        <w:t>Seasonal Work Incentives Trial</w:t>
      </w:r>
      <w:r w:rsidR="00400841" w:rsidRPr="001A1E48">
        <w:t xml:space="preserve"> Guideline</w:t>
      </w:r>
      <w:bookmarkEnd w:id="0"/>
      <w:r w:rsidR="007B25D9" w:rsidRPr="001A1E48">
        <w:t>s</w:t>
      </w:r>
      <w:bookmarkEnd w:id="1"/>
      <w:bookmarkEnd w:id="2"/>
    </w:p>
    <w:p w14:paraId="7C720AC1" w14:textId="77777777" w:rsidR="00400841" w:rsidRPr="00C50E7E" w:rsidRDefault="00400841" w:rsidP="00C50E7E">
      <w:pPr>
        <w:jc w:val="center"/>
        <w:rPr>
          <w:b/>
          <w:sz w:val="36"/>
          <w:szCs w:val="36"/>
        </w:rPr>
      </w:pPr>
      <w:bookmarkStart w:id="3" w:name="_Toc266886220"/>
      <w:bookmarkStart w:id="4" w:name="_Toc510000081"/>
      <w:bookmarkStart w:id="5" w:name="_Toc510028047"/>
      <w:r w:rsidRPr="00C50E7E">
        <w:rPr>
          <w:b/>
          <w:sz w:val="36"/>
          <w:szCs w:val="36"/>
        </w:rPr>
        <w:t xml:space="preserve">V </w:t>
      </w:r>
      <w:r w:rsidR="007E31EC" w:rsidRPr="00C50E7E">
        <w:rPr>
          <w:b/>
          <w:sz w:val="36"/>
          <w:szCs w:val="36"/>
        </w:rPr>
        <w:t>1</w:t>
      </w:r>
      <w:r w:rsidRPr="00C50E7E">
        <w:rPr>
          <w:b/>
          <w:sz w:val="36"/>
          <w:szCs w:val="36"/>
        </w:rPr>
        <w:t>.</w:t>
      </w:r>
      <w:r w:rsidR="007E31EC" w:rsidRPr="00C50E7E">
        <w:rPr>
          <w:b/>
          <w:sz w:val="36"/>
          <w:szCs w:val="36"/>
        </w:rPr>
        <w:t>0</w:t>
      </w:r>
      <w:bookmarkEnd w:id="3"/>
      <w:bookmarkEnd w:id="4"/>
      <w:bookmarkEnd w:id="5"/>
    </w:p>
    <w:p w14:paraId="7B7B627E" w14:textId="34C87505" w:rsidR="00BC4620" w:rsidRDefault="007C23DA" w:rsidP="007C23DA">
      <w:pPr>
        <w:pStyle w:val="Disclaimer"/>
        <w:pBdr>
          <w:top w:val="single" w:sz="4" w:space="1" w:color="auto"/>
          <w:left w:val="single" w:sz="4" w:space="4" w:color="auto"/>
          <w:bottom w:val="single" w:sz="4" w:space="1" w:color="auto"/>
          <w:right w:val="single" w:sz="4" w:space="4" w:color="auto"/>
        </w:pBdr>
        <w:spacing w:before="4800"/>
        <w:rPr>
          <w:rFonts w:cs="Arial"/>
          <w:b/>
          <w:bCs/>
          <w:sz w:val="36"/>
          <w:szCs w:val="36"/>
        </w:rPr>
      </w:pPr>
      <w:bookmarkStart w:id="6" w:name="_Toc266886221"/>
      <w:bookmarkStart w:id="7" w:name="_Toc509905085"/>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BC4620">
        <w:br w:type="page"/>
      </w:r>
    </w:p>
    <w:p w14:paraId="550A46F8" w14:textId="62D0B34C" w:rsidR="00400841" w:rsidRPr="007E31EC" w:rsidRDefault="00400841" w:rsidP="007C23DA">
      <w:pPr>
        <w:pStyle w:val="Heading2"/>
      </w:pPr>
      <w:bookmarkStart w:id="8" w:name="_Toc510028048"/>
      <w:r w:rsidRPr="007E31EC">
        <w:lastRenderedPageBreak/>
        <w:t>Table of Contents</w:t>
      </w:r>
      <w:bookmarkEnd w:id="6"/>
      <w:bookmarkEnd w:id="7"/>
      <w:bookmarkEnd w:id="8"/>
    </w:p>
    <w:p w14:paraId="603DAAFB" w14:textId="506F004A" w:rsidR="001B123D" w:rsidRDefault="000E0424">
      <w:pPr>
        <w:pStyle w:val="TOC1"/>
        <w:rPr>
          <w:rFonts w:eastAsiaTheme="minorEastAsia" w:cstheme="minorBidi"/>
          <w:b w:val="0"/>
          <w:bCs w:val="0"/>
          <w:noProof/>
          <w:sz w:val="22"/>
          <w:szCs w:val="22"/>
        </w:rPr>
      </w:pPr>
      <w:r>
        <w:rPr>
          <w:rFonts w:cs="Times New Roman"/>
          <w:i/>
          <w:iCs/>
          <w:szCs w:val="24"/>
        </w:rPr>
        <w:fldChar w:fldCharType="begin"/>
      </w:r>
      <w:r>
        <w:rPr>
          <w:rFonts w:cs="Times New Roman"/>
          <w:szCs w:val="24"/>
        </w:rPr>
        <w:instrText xml:space="preserve"> TOC \o "1-3" \h \z \u </w:instrText>
      </w:r>
      <w:r>
        <w:rPr>
          <w:rFonts w:cs="Times New Roman"/>
          <w:i/>
          <w:iCs/>
          <w:szCs w:val="24"/>
        </w:rPr>
        <w:fldChar w:fldCharType="separate"/>
      </w:r>
      <w:hyperlink w:anchor="_Toc510028046" w:history="1">
        <w:r w:rsidR="001B123D" w:rsidRPr="00C33C41">
          <w:rPr>
            <w:rStyle w:val="Hyperlink"/>
            <w:noProof/>
          </w:rPr>
          <w:t>Seasonal Work Incentives Trial Guidelines</w:t>
        </w:r>
        <w:r w:rsidR="001B123D">
          <w:rPr>
            <w:noProof/>
            <w:webHidden/>
          </w:rPr>
          <w:tab/>
        </w:r>
        <w:r w:rsidR="001B123D">
          <w:rPr>
            <w:noProof/>
            <w:webHidden/>
          </w:rPr>
          <w:fldChar w:fldCharType="begin"/>
        </w:r>
        <w:r w:rsidR="001B123D">
          <w:rPr>
            <w:noProof/>
            <w:webHidden/>
          </w:rPr>
          <w:instrText xml:space="preserve"> PAGEREF _Toc510028046 \h </w:instrText>
        </w:r>
        <w:r w:rsidR="001B123D">
          <w:rPr>
            <w:noProof/>
            <w:webHidden/>
          </w:rPr>
        </w:r>
        <w:r w:rsidR="001B123D">
          <w:rPr>
            <w:noProof/>
            <w:webHidden/>
          </w:rPr>
          <w:fldChar w:fldCharType="separate"/>
        </w:r>
        <w:r w:rsidR="00C50E7E">
          <w:rPr>
            <w:noProof/>
            <w:webHidden/>
          </w:rPr>
          <w:t>1</w:t>
        </w:r>
        <w:r w:rsidR="001B123D">
          <w:rPr>
            <w:noProof/>
            <w:webHidden/>
          </w:rPr>
          <w:fldChar w:fldCharType="end"/>
        </w:r>
      </w:hyperlink>
    </w:p>
    <w:p w14:paraId="672D2A86" w14:textId="19CA2495" w:rsidR="001B123D" w:rsidRDefault="00460D23">
      <w:pPr>
        <w:pStyle w:val="TOC2"/>
        <w:tabs>
          <w:tab w:val="right" w:pos="8296"/>
        </w:tabs>
        <w:rPr>
          <w:rFonts w:eastAsiaTheme="minorEastAsia" w:cstheme="minorBidi"/>
          <w:i w:val="0"/>
          <w:iCs w:val="0"/>
          <w:noProof/>
          <w:sz w:val="22"/>
          <w:szCs w:val="22"/>
        </w:rPr>
      </w:pPr>
      <w:hyperlink w:anchor="_Toc510028048" w:history="1">
        <w:r w:rsidR="001B123D" w:rsidRPr="00C33C41">
          <w:rPr>
            <w:rStyle w:val="Hyperlink"/>
            <w:noProof/>
          </w:rPr>
          <w:t>Table of Contents</w:t>
        </w:r>
        <w:r w:rsidR="001B123D">
          <w:rPr>
            <w:noProof/>
            <w:webHidden/>
          </w:rPr>
          <w:tab/>
        </w:r>
        <w:r w:rsidR="001B123D">
          <w:rPr>
            <w:noProof/>
            <w:webHidden/>
          </w:rPr>
          <w:fldChar w:fldCharType="begin"/>
        </w:r>
        <w:r w:rsidR="001B123D">
          <w:rPr>
            <w:noProof/>
            <w:webHidden/>
          </w:rPr>
          <w:instrText xml:space="preserve"> PAGEREF _Toc510028048 \h </w:instrText>
        </w:r>
        <w:r w:rsidR="001B123D">
          <w:rPr>
            <w:noProof/>
            <w:webHidden/>
          </w:rPr>
        </w:r>
        <w:r w:rsidR="001B123D">
          <w:rPr>
            <w:noProof/>
            <w:webHidden/>
          </w:rPr>
          <w:fldChar w:fldCharType="separate"/>
        </w:r>
        <w:r w:rsidR="00C50E7E">
          <w:rPr>
            <w:noProof/>
            <w:webHidden/>
          </w:rPr>
          <w:t>2</w:t>
        </w:r>
        <w:r w:rsidR="001B123D">
          <w:rPr>
            <w:noProof/>
            <w:webHidden/>
          </w:rPr>
          <w:fldChar w:fldCharType="end"/>
        </w:r>
      </w:hyperlink>
    </w:p>
    <w:p w14:paraId="4AC5329E" w14:textId="0273F803" w:rsidR="001B123D" w:rsidRDefault="00460D23">
      <w:pPr>
        <w:pStyle w:val="TOC3"/>
        <w:tabs>
          <w:tab w:val="right" w:pos="8296"/>
        </w:tabs>
        <w:rPr>
          <w:rFonts w:eastAsiaTheme="minorEastAsia" w:cstheme="minorBidi"/>
          <w:noProof/>
          <w:sz w:val="22"/>
          <w:szCs w:val="22"/>
        </w:rPr>
      </w:pPr>
      <w:hyperlink w:anchor="_Toc510028049" w:history="1">
        <w:r w:rsidR="001B123D" w:rsidRPr="00C33C41">
          <w:rPr>
            <w:rStyle w:val="Hyperlink"/>
            <w:noProof/>
          </w:rPr>
          <w:t>Document Change History</w:t>
        </w:r>
        <w:r w:rsidR="001B123D">
          <w:rPr>
            <w:noProof/>
            <w:webHidden/>
          </w:rPr>
          <w:tab/>
        </w:r>
        <w:r w:rsidR="001B123D">
          <w:rPr>
            <w:noProof/>
            <w:webHidden/>
          </w:rPr>
          <w:fldChar w:fldCharType="begin"/>
        </w:r>
        <w:r w:rsidR="001B123D">
          <w:rPr>
            <w:noProof/>
            <w:webHidden/>
          </w:rPr>
          <w:instrText xml:space="preserve"> PAGEREF _Toc510028049 \h </w:instrText>
        </w:r>
        <w:r w:rsidR="001B123D">
          <w:rPr>
            <w:noProof/>
            <w:webHidden/>
          </w:rPr>
        </w:r>
        <w:r w:rsidR="001B123D">
          <w:rPr>
            <w:noProof/>
            <w:webHidden/>
          </w:rPr>
          <w:fldChar w:fldCharType="separate"/>
        </w:r>
        <w:r w:rsidR="00C50E7E">
          <w:rPr>
            <w:noProof/>
            <w:webHidden/>
          </w:rPr>
          <w:t>3</w:t>
        </w:r>
        <w:r w:rsidR="001B123D">
          <w:rPr>
            <w:noProof/>
            <w:webHidden/>
          </w:rPr>
          <w:fldChar w:fldCharType="end"/>
        </w:r>
      </w:hyperlink>
    </w:p>
    <w:p w14:paraId="0A33AC5F" w14:textId="72EFF229" w:rsidR="001B123D" w:rsidRDefault="00460D23">
      <w:pPr>
        <w:pStyle w:val="TOC3"/>
        <w:tabs>
          <w:tab w:val="right" w:pos="8296"/>
        </w:tabs>
        <w:rPr>
          <w:rFonts w:eastAsiaTheme="minorEastAsia" w:cstheme="minorBidi"/>
          <w:noProof/>
          <w:sz w:val="22"/>
          <w:szCs w:val="22"/>
        </w:rPr>
      </w:pPr>
      <w:hyperlink w:anchor="_Toc510028050" w:history="1">
        <w:r w:rsidR="001B123D" w:rsidRPr="00C33C41">
          <w:rPr>
            <w:rStyle w:val="Hyperlink"/>
            <w:noProof/>
          </w:rPr>
          <w:t>Background</w:t>
        </w:r>
        <w:r w:rsidR="001B123D">
          <w:rPr>
            <w:noProof/>
            <w:webHidden/>
          </w:rPr>
          <w:tab/>
        </w:r>
        <w:r w:rsidR="001B123D">
          <w:rPr>
            <w:noProof/>
            <w:webHidden/>
          </w:rPr>
          <w:fldChar w:fldCharType="begin"/>
        </w:r>
        <w:r w:rsidR="001B123D">
          <w:rPr>
            <w:noProof/>
            <w:webHidden/>
          </w:rPr>
          <w:instrText xml:space="preserve"> PAGEREF _Toc510028050 \h </w:instrText>
        </w:r>
        <w:r w:rsidR="001B123D">
          <w:rPr>
            <w:noProof/>
            <w:webHidden/>
          </w:rPr>
        </w:r>
        <w:r w:rsidR="001B123D">
          <w:rPr>
            <w:noProof/>
            <w:webHidden/>
          </w:rPr>
          <w:fldChar w:fldCharType="separate"/>
        </w:r>
        <w:r w:rsidR="00C50E7E">
          <w:rPr>
            <w:noProof/>
            <w:webHidden/>
          </w:rPr>
          <w:t>3</w:t>
        </w:r>
        <w:r w:rsidR="001B123D">
          <w:rPr>
            <w:noProof/>
            <w:webHidden/>
          </w:rPr>
          <w:fldChar w:fldCharType="end"/>
        </w:r>
      </w:hyperlink>
    </w:p>
    <w:p w14:paraId="7B686B3C" w14:textId="3AA62300" w:rsidR="001B123D" w:rsidRDefault="00460D23">
      <w:pPr>
        <w:pStyle w:val="TOC3"/>
        <w:tabs>
          <w:tab w:val="right" w:pos="8296"/>
        </w:tabs>
        <w:rPr>
          <w:rFonts w:eastAsiaTheme="minorEastAsia" w:cstheme="minorBidi"/>
          <w:noProof/>
          <w:sz w:val="22"/>
          <w:szCs w:val="22"/>
        </w:rPr>
      </w:pPr>
      <w:hyperlink w:anchor="_Toc510028051" w:history="1">
        <w:r w:rsidR="001B123D" w:rsidRPr="00C33C41">
          <w:rPr>
            <w:rStyle w:val="Hyperlink"/>
            <w:noProof/>
          </w:rPr>
          <w:t>Disability Employment Services Grant Agreement Clauses:</w:t>
        </w:r>
        <w:r w:rsidR="001B123D">
          <w:rPr>
            <w:noProof/>
            <w:webHidden/>
          </w:rPr>
          <w:tab/>
        </w:r>
        <w:r w:rsidR="001B123D">
          <w:rPr>
            <w:noProof/>
            <w:webHidden/>
          </w:rPr>
          <w:fldChar w:fldCharType="begin"/>
        </w:r>
        <w:r w:rsidR="001B123D">
          <w:rPr>
            <w:noProof/>
            <w:webHidden/>
          </w:rPr>
          <w:instrText xml:space="preserve"> PAGEREF _Toc510028051 \h </w:instrText>
        </w:r>
        <w:r w:rsidR="001B123D">
          <w:rPr>
            <w:noProof/>
            <w:webHidden/>
          </w:rPr>
        </w:r>
        <w:r w:rsidR="001B123D">
          <w:rPr>
            <w:noProof/>
            <w:webHidden/>
          </w:rPr>
          <w:fldChar w:fldCharType="separate"/>
        </w:r>
        <w:r w:rsidR="00C50E7E">
          <w:rPr>
            <w:noProof/>
            <w:webHidden/>
          </w:rPr>
          <w:t>3</w:t>
        </w:r>
        <w:r w:rsidR="001B123D">
          <w:rPr>
            <w:noProof/>
            <w:webHidden/>
          </w:rPr>
          <w:fldChar w:fldCharType="end"/>
        </w:r>
      </w:hyperlink>
    </w:p>
    <w:p w14:paraId="6FE6DBDF" w14:textId="260BF429" w:rsidR="001B123D" w:rsidRDefault="00460D23">
      <w:pPr>
        <w:pStyle w:val="TOC3"/>
        <w:tabs>
          <w:tab w:val="right" w:pos="8296"/>
        </w:tabs>
        <w:rPr>
          <w:rFonts w:eastAsiaTheme="minorEastAsia" w:cstheme="minorBidi"/>
          <w:noProof/>
          <w:sz w:val="22"/>
          <w:szCs w:val="22"/>
        </w:rPr>
      </w:pPr>
      <w:hyperlink w:anchor="_Toc510028052" w:history="1">
        <w:r w:rsidR="001B123D" w:rsidRPr="00C33C41">
          <w:rPr>
            <w:rStyle w:val="Hyperlink"/>
            <w:noProof/>
          </w:rPr>
          <w:t>Reference documents relevant to this guideline:</w:t>
        </w:r>
        <w:r w:rsidR="001B123D">
          <w:rPr>
            <w:noProof/>
            <w:webHidden/>
          </w:rPr>
          <w:tab/>
        </w:r>
        <w:r w:rsidR="001B123D">
          <w:rPr>
            <w:noProof/>
            <w:webHidden/>
          </w:rPr>
          <w:fldChar w:fldCharType="begin"/>
        </w:r>
        <w:r w:rsidR="001B123D">
          <w:rPr>
            <w:noProof/>
            <w:webHidden/>
          </w:rPr>
          <w:instrText xml:space="preserve"> PAGEREF _Toc510028052 \h </w:instrText>
        </w:r>
        <w:r w:rsidR="001B123D">
          <w:rPr>
            <w:noProof/>
            <w:webHidden/>
          </w:rPr>
        </w:r>
        <w:r w:rsidR="001B123D">
          <w:rPr>
            <w:noProof/>
            <w:webHidden/>
          </w:rPr>
          <w:fldChar w:fldCharType="separate"/>
        </w:r>
        <w:r w:rsidR="00C50E7E">
          <w:rPr>
            <w:noProof/>
            <w:webHidden/>
          </w:rPr>
          <w:t>4</w:t>
        </w:r>
        <w:r w:rsidR="001B123D">
          <w:rPr>
            <w:noProof/>
            <w:webHidden/>
          </w:rPr>
          <w:fldChar w:fldCharType="end"/>
        </w:r>
      </w:hyperlink>
    </w:p>
    <w:p w14:paraId="068DFC9E" w14:textId="00BA1E70" w:rsidR="001B123D" w:rsidRDefault="00460D23">
      <w:pPr>
        <w:pStyle w:val="TOC3"/>
        <w:tabs>
          <w:tab w:val="right" w:pos="8296"/>
        </w:tabs>
        <w:rPr>
          <w:rFonts w:eastAsiaTheme="minorEastAsia" w:cstheme="minorBidi"/>
          <w:noProof/>
          <w:sz w:val="22"/>
          <w:szCs w:val="22"/>
        </w:rPr>
      </w:pPr>
      <w:hyperlink w:anchor="_Toc510028053" w:history="1">
        <w:r w:rsidR="001B123D" w:rsidRPr="00C33C41">
          <w:rPr>
            <w:rStyle w:val="Hyperlink"/>
            <w:noProof/>
          </w:rPr>
          <w:t>Explanatory Note:</w:t>
        </w:r>
        <w:r w:rsidR="001B123D">
          <w:rPr>
            <w:noProof/>
            <w:webHidden/>
          </w:rPr>
          <w:tab/>
        </w:r>
        <w:r w:rsidR="001B123D">
          <w:rPr>
            <w:noProof/>
            <w:webHidden/>
          </w:rPr>
          <w:fldChar w:fldCharType="begin"/>
        </w:r>
        <w:r w:rsidR="001B123D">
          <w:rPr>
            <w:noProof/>
            <w:webHidden/>
          </w:rPr>
          <w:instrText xml:space="preserve"> PAGEREF _Toc510028053 \h </w:instrText>
        </w:r>
        <w:r w:rsidR="001B123D">
          <w:rPr>
            <w:noProof/>
            <w:webHidden/>
          </w:rPr>
        </w:r>
        <w:r w:rsidR="001B123D">
          <w:rPr>
            <w:noProof/>
            <w:webHidden/>
          </w:rPr>
          <w:fldChar w:fldCharType="separate"/>
        </w:r>
        <w:r w:rsidR="00C50E7E">
          <w:rPr>
            <w:noProof/>
            <w:webHidden/>
          </w:rPr>
          <w:t>4</w:t>
        </w:r>
        <w:r w:rsidR="001B123D">
          <w:rPr>
            <w:noProof/>
            <w:webHidden/>
          </w:rPr>
          <w:fldChar w:fldCharType="end"/>
        </w:r>
      </w:hyperlink>
    </w:p>
    <w:p w14:paraId="1020DD98" w14:textId="33899F23" w:rsidR="001B123D" w:rsidRDefault="00460D23">
      <w:pPr>
        <w:pStyle w:val="TOC3"/>
        <w:tabs>
          <w:tab w:val="right" w:pos="8296"/>
        </w:tabs>
        <w:rPr>
          <w:rFonts w:eastAsiaTheme="minorEastAsia" w:cstheme="minorBidi"/>
          <w:noProof/>
          <w:sz w:val="22"/>
          <w:szCs w:val="22"/>
        </w:rPr>
      </w:pPr>
      <w:hyperlink w:anchor="_Toc510028054" w:history="1">
        <w:r w:rsidR="001B123D" w:rsidRPr="00C33C41">
          <w:rPr>
            <w:rStyle w:val="Hyperlink"/>
            <w:noProof/>
          </w:rPr>
          <w:t>Seasonal Work Incentives Trial Guidelines</w:t>
        </w:r>
        <w:r w:rsidR="001B123D">
          <w:rPr>
            <w:noProof/>
            <w:webHidden/>
          </w:rPr>
          <w:tab/>
        </w:r>
        <w:r w:rsidR="001B123D">
          <w:rPr>
            <w:noProof/>
            <w:webHidden/>
          </w:rPr>
          <w:fldChar w:fldCharType="begin"/>
        </w:r>
        <w:r w:rsidR="001B123D">
          <w:rPr>
            <w:noProof/>
            <w:webHidden/>
          </w:rPr>
          <w:instrText xml:space="preserve"> PAGEREF _Toc510028054 \h </w:instrText>
        </w:r>
        <w:r w:rsidR="001B123D">
          <w:rPr>
            <w:noProof/>
            <w:webHidden/>
          </w:rPr>
        </w:r>
        <w:r w:rsidR="001B123D">
          <w:rPr>
            <w:noProof/>
            <w:webHidden/>
          </w:rPr>
          <w:fldChar w:fldCharType="separate"/>
        </w:r>
        <w:r w:rsidR="00C50E7E">
          <w:rPr>
            <w:noProof/>
            <w:webHidden/>
          </w:rPr>
          <w:t>5</w:t>
        </w:r>
        <w:r w:rsidR="001B123D">
          <w:rPr>
            <w:noProof/>
            <w:webHidden/>
          </w:rPr>
          <w:fldChar w:fldCharType="end"/>
        </w:r>
      </w:hyperlink>
    </w:p>
    <w:p w14:paraId="068DF103" w14:textId="7C40E27C" w:rsidR="00400841" w:rsidRPr="007C23DA" w:rsidRDefault="000E0424" w:rsidP="007C23DA">
      <w:pPr>
        <w:pStyle w:val="TOC1"/>
      </w:pPr>
      <w:r>
        <w:rPr>
          <w:rFonts w:cs="Times New Roman"/>
          <w:szCs w:val="24"/>
        </w:rPr>
        <w:fldChar w:fldCharType="end"/>
      </w:r>
      <w:r w:rsidR="00400841" w:rsidRPr="00CE2473">
        <w:br w:type="page"/>
      </w:r>
      <w:r w:rsidR="007E31EC" w:rsidRPr="007C23DA">
        <w:lastRenderedPageBreak/>
        <w:t xml:space="preserve">Seasonal Work Incentives Trial </w:t>
      </w:r>
      <w:r w:rsidR="00400841" w:rsidRPr="007C23DA">
        <w:t>Guideline</w:t>
      </w:r>
      <w:r w:rsidR="0051098D" w:rsidRPr="007C23DA">
        <w:t>s</w:t>
      </w:r>
      <w:r w:rsidR="00400841" w:rsidRPr="007C23DA">
        <w:t xml:space="preserve"> </w:t>
      </w:r>
    </w:p>
    <w:p w14:paraId="0E63B19F" w14:textId="77777777" w:rsidR="00A150B1" w:rsidRPr="008C1962" w:rsidRDefault="00400841" w:rsidP="00A150B1">
      <w:pPr>
        <w:pStyle w:val="Heading3"/>
      </w:pPr>
      <w:bookmarkStart w:id="9" w:name="_Toc266886168"/>
      <w:bookmarkStart w:id="10" w:name="_Toc266886222"/>
      <w:bookmarkStart w:id="11" w:name="_Toc266886367"/>
      <w:bookmarkStart w:id="12" w:name="_Toc510028049"/>
      <w:r w:rsidRPr="00C20978">
        <w:t>Document Change History</w:t>
      </w:r>
      <w:bookmarkStart w:id="13" w:name="_Toc258589510"/>
      <w:bookmarkStart w:id="14" w:name="_Toc259007303"/>
      <w:bookmarkStart w:id="15" w:name="_Toc266886169"/>
      <w:bookmarkStart w:id="16" w:name="_Toc266886223"/>
      <w:bookmarkStart w:id="17" w:name="_Toc266886368"/>
      <w:bookmarkEnd w:id="9"/>
      <w:bookmarkEnd w:id="10"/>
      <w:bookmarkEnd w:id="11"/>
      <w:bookmarkEnd w:id="12"/>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93"/>
        <w:gridCol w:w="1080"/>
        <w:gridCol w:w="4636"/>
      </w:tblGrid>
      <w:tr w:rsidR="00DA17FF" w:rsidRPr="00411BA9" w14:paraId="6AB2E2C0" w14:textId="77777777" w:rsidTr="00AE45D6">
        <w:trPr>
          <w:tblHeader/>
          <w:jc w:val="center"/>
        </w:trPr>
        <w:tc>
          <w:tcPr>
            <w:tcW w:w="1110" w:type="dxa"/>
            <w:shd w:val="clear" w:color="auto" w:fill="auto"/>
            <w:vAlign w:val="center"/>
          </w:tcPr>
          <w:p w14:paraId="21A1D6B6" w14:textId="77777777" w:rsidR="00DA17FF" w:rsidRPr="00411BA9" w:rsidRDefault="00DA17FF" w:rsidP="0000043B">
            <w:pPr>
              <w:pStyle w:val="TableHeadingCentred"/>
              <w:rPr>
                <w:color w:val="000000" w:themeColor="text1"/>
                <w:szCs w:val="22"/>
              </w:rPr>
            </w:pPr>
            <w:r w:rsidRPr="00411BA9">
              <w:rPr>
                <w:color w:val="000000" w:themeColor="text1"/>
                <w:szCs w:val="22"/>
              </w:rPr>
              <w:t>Version</w:t>
            </w:r>
          </w:p>
        </w:tc>
        <w:tc>
          <w:tcPr>
            <w:tcW w:w="1593" w:type="dxa"/>
            <w:shd w:val="clear" w:color="auto" w:fill="auto"/>
            <w:vAlign w:val="center"/>
          </w:tcPr>
          <w:p w14:paraId="58B6D590" w14:textId="77777777" w:rsidR="00DA17FF" w:rsidRPr="00411BA9" w:rsidRDefault="00DA17FF" w:rsidP="0000043B">
            <w:pPr>
              <w:pStyle w:val="TableHeadingCentred"/>
              <w:rPr>
                <w:color w:val="000000" w:themeColor="text1"/>
                <w:szCs w:val="22"/>
              </w:rPr>
            </w:pPr>
            <w:r w:rsidRPr="00411BA9">
              <w:rPr>
                <w:color w:val="000000" w:themeColor="text1"/>
                <w:szCs w:val="22"/>
              </w:rPr>
              <w:t>Effective Date</w:t>
            </w:r>
          </w:p>
        </w:tc>
        <w:tc>
          <w:tcPr>
            <w:tcW w:w="1080" w:type="dxa"/>
            <w:shd w:val="clear" w:color="auto" w:fill="auto"/>
            <w:vAlign w:val="center"/>
          </w:tcPr>
          <w:p w14:paraId="792BE028" w14:textId="77777777" w:rsidR="00DA17FF" w:rsidRPr="00411BA9" w:rsidRDefault="00DA17FF" w:rsidP="0000043B">
            <w:pPr>
              <w:pStyle w:val="TableHeadingCentred"/>
              <w:rPr>
                <w:color w:val="000000" w:themeColor="text1"/>
                <w:szCs w:val="22"/>
              </w:rPr>
            </w:pPr>
            <w:r w:rsidRPr="00411BA9">
              <w:rPr>
                <w:color w:val="000000" w:themeColor="text1"/>
                <w:szCs w:val="22"/>
              </w:rPr>
              <w:t>End Date</w:t>
            </w:r>
          </w:p>
        </w:tc>
        <w:tc>
          <w:tcPr>
            <w:tcW w:w="4636" w:type="dxa"/>
            <w:shd w:val="clear" w:color="auto" w:fill="auto"/>
            <w:vAlign w:val="center"/>
          </w:tcPr>
          <w:p w14:paraId="23435F7C" w14:textId="77777777" w:rsidR="00DA17FF" w:rsidRPr="00411BA9" w:rsidRDefault="00DA17FF" w:rsidP="007E31EC">
            <w:pPr>
              <w:pStyle w:val="TableHeadingCentred"/>
              <w:rPr>
                <w:color w:val="000000" w:themeColor="text1"/>
                <w:szCs w:val="22"/>
              </w:rPr>
            </w:pPr>
            <w:r w:rsidRPr="00411BA9">
              <w:rPr>
                <w:color w:val="000000" w:themeColor="text1"/>
                <w:szCs w:val="22"/>
              </w:rPr>
              <w:t>Change &amp; Location</w:t>
            </w:r>
          </w:p>
        </w:tc>
      </w:tr>
      <w:tr w:rsidR="00DA17FF" w:rsidRPr="00411BA9" w14:paraId="678836F2" w14:textId="77777777" w:rsidTr="00DA17FF">
        <w:trPr>
          <w:jc w:val="center"/>
        </w:trPr>
        <w:tc>
          <w:tcPr>
            <w:tcW w:w="1110" w:type="dxa"/>
          </w:tcPr>
          <w:p w14:paraId="6BB1BD42" w14:textId="77777777" w:rsidR="00DA17FF" w:rsidRPr="00E45E23" w:rsidRDefault="00DA17FF" w:rsidP="0000043B">
            <w:pPr>
              <w:pStyle w:val="TableTextCentred"/>
              <w:rPr>
                <w:sz w:val="22"/>
                <w:szCs w:val="22"/>
              </w:rPr>
            </w:pPr>
            <w:r w:rsidRPr="00E45E23">
              <w:rPr>
                <w:sz w:val="22"/>
                <w:szCs w:val="22"/>
              </w:rPr>
              <w:t>1.0</w:t>
            </w:r>
          </w:p>
        </w:tc>
        <w:tc>
          <w:tcPr>
            <w:tcW w:w="1593" w:type="dxa"/>
          </w:tcPr>
          <w:p w14:paraId="1CB68131" w14:textId="77777777" w:rsidR="00DA17FF" w:rsidRPr="00E45E23" w:rsidRDefault="00DA17FF" w:rsidP="0000043B">
            <w:pPr>
              <w:pStyle w:val="TableTextCentred"/>
              <w:rPr>
                <w:sz w:val="22"/>
                <w:szCs w:val="22"/>
              </w:rPr>
            </w:pPr>
            <w:r w:rsidRPr="00E45E23">
              <w:rPr>
                <w:sz w:val="22"/>
                <w:szCs w:val="22"/>
              </w:rPr>
              <w:t>1 July 2018</w:t>
            </w:r>
          </w:p>
        </w:tc>
        <w:tc>
          <w:tcPr>
            <w:tcW w:w="1080" w:type="dxa"/>
            <w:shd w:val="clear" w:color="auto" w:fill="auto"/>
          </w:tcPr>
          <w:p w14:paraId="20870427" w14:textId="77777777" w:rsidR="00DA17FF" w:rsidRPr="00E45E23" w:rsidRDefault="00DA17FF" w:rsidP="00DA17FF">
            <w:pPr>
              <w:pStyle w:val="TableTextCentred"/>
              <w:rPr>
                <w:sz w:val="22"/>
                <w:szCs w:val="22"/>
              </w:rPr>
            </w:pPr>
          </w:p>
        </w:tc>
        <w:tc>
          <w:tcPr>
            <w:tcW w:w="4636" w:type="dxa"/>
          </w:tcPr>
          <w:p w14:paraId="76B70D5A" w14:textId="1BB7F86B" w:rsidR="00DA17FF" w:rsidRPr="00E45E23" w:rsidRDefault="007B25D9" w:rsidP="007E31EC">
            <w:pPr>
              <w:pStyle w:val="TableText"/>
              <w:rPr>
                <w:sz w:val="22"/>
                <w:szCs w:val="22"/>
              </w:rPr>
            </w:pPr>
            <w:r w:rsidRPr="00E45E23">
              <w:rPr>
                <w:sz w:val="22"/>
                <w:szCs w:val="22"/>
              </w:rPr>
              <w:t>Original version of document</w:t>
            </w:r>
          </w:p>
        </w:tc>
      </w:tr>
    </w:tbl>
    <w:p w14:paraId="5BA18973" w14:textId="77777777" w:rsidR="007C23DA" w:rsidRDefault="007C23DA" w:rsidP="0092102F"/>
    <w:p w14:paraId="6FB0C87D" w14:textId="2D817CE8" w:rsidR="00400841" w:rsidRPr="0051098D" w:rsidRDefault="00400841" w:rsidP="007C23DA">
      <w:pPr>
        <w:pStyle w:val="Heading3"/>
        <w:rPr>
          <w:rFonts w:asciiTheme="minorHAnsi" w:hAnsiTheme="minorHAnsi" w:cstheme="minorHAnsi"/>
        </w:rPr>
      </w:pPr>
      <w:bookmarkStart w:id="18" w:name="_Toc510028050"/>
      <w:r w:rsidRPr="0051098D">
        <w:rPr>
          <w:rFonts w:asciiTheme="minorHAnsi" w:hAnsiTheme="minorHAnsi" w:cstheme="minorHAnsi"/>
        </w:rPr>
        <w:t>Background</w:t>
      </w:r>
      <w:bookmarkEnd w:id="13"/>
      <w:bookmarkEnd w:id="14"/>
      <w:bookmarkEnd w:id="15"/>
      <w:bookmarkEnd w:id="16"/>
      <w:bookmarkEnd w:id="17"/>
      <w:bookmarkEnd w:id="18"/>
    </w:p>
    <w:p w14:paraId="6C0856CC" w14:textId="77777777" w:rsidR="004D6A6B" w:rsidRPr="00754D4D" w:rsidRDefault="007C4A3D" w:rsidP="00AE45D6">
      <w:pPr>
        <w:rPr>
          <w:rFonts w:asciiTheme="minorHAnsi" w:hAnsiTheme="minorHAnsi" w:cstheme="minorHAnsi"/>
          <w:szCs w:val="22"/>
        </w:rPr>
      </w:pPr>
      <w:r w:rsidRPr="00754D4D">
        <w:rPr>
          <w:rFonts w:asciiTheme="minorHAnsi" w:hAnsiTheme="minorHAnsi" w:cstheme="minorHAnsi"/>
          <w:szCs w:val="22"/>
        </w:rPr>
        <w:t xml:space="preserve">The Seasonal Work Incentives Trial is aimed at increasing the number of eligible job seekers who undertake horticultural seasonal work. </w:t>
      </w:r>
      <w:r w:rsidR="004D6A6B" w:rsidRPr="00754D4D">
        <w:rPr>
          <w:rFonts w:asciiTheme="minorHAnsi" w:hAnsiTheme="minorHAnsi" w:cstheme="minorHAnsi"/>
          <w:szCs w:val="22"/>
        </w:rPr>
        <w:t>Qualifying Seasonal Horticultural Work is defined as work that includes one or more of the following activities:</w:t>
      </w:r>
    </w:p>
    <w:p w14:paraId="16F6C5D3" w14:textId="77777777" w:rsidR="004D6A6B" w:rsidRPr="00754D4D" w:rsidRDefault="004D6A6B" w:rsidP="004D6A6B">
      <w:pPr>
        <w:pStyle w:val="SubSectionText"/>
        <w:numPr>
          <w:ilvl w:val="0"/>
          <w:numId w:val="35"/>
        </w:numPr>
        <w:spacing w:before="0" w:after="6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harvesting of crops including all vegetables, fruits, grains, seeds, hops, nuts, fungi, olives, flowers, broad acre crops, sugar and sandalwood;</w:t>
      </w:r>
    </w:p>
    <w:p w14:paraId="140FF0EB" w14:textId="77777777" w:rsidR="004D6A6B" w:rsidRPr="00754D4D" w:rsidRDefault="004D6A6B" w:rsidP="004D6A6B">
      <w:pPr>
        <w:pStyle w:val="SubSectionText"/>
        <w:numPr>
          <w:ilvl w:val="0"/>
          <w:numId w:val="35"/>
        </w:numPr>
        <w:spacing w:before="0" w:after="6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pruning and trimming vines and fruit trees;</w:t>
      </w:r>
    </w:p>
    <w:p w14:paraId="429A22DD" w14:textId="77777777" w:rsidR="004D6A6B" w:rsidRPr="00754D4D" w:rsidRDefault="004D6A6B" w:rsidP="004D6A6B">
      <w:pPr>
        <w:pStyle w:val="SubSectionText"/>
        <w:numPr>
          <w:ilvl w:val="0"/>
          <w:numId w:val="35"/>
        </w:numPr>
        <w:spacing w:before="0" w:after="6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thinning and trimming flowers;</w:t>
      </w:r>
    </w:p>
    <w:p w14:paraId="2E385AAB" w14:textId="77777777" w:rsidR="004D6A6B" w:rsidRPr="00754D4D" w:rsidRDefault="004D6A6B" w:rsidP="004D6A6B">
      <w:pPr>
        <w:pStyle w:val="SubSectionText"/>
        <w:numPr>
          <w:ilvl w:val="0"/>
          <w:numId w:val="35"/>
        </w:numPr>
        <w:spacing w:before="0" w:after="6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chipping and weeding;</w:t>
      </w:r>
    </w:p>
    <w:p w14:paraId="42FB188E" w14:textId="77777777" w:rsidR="004D6A6B" w:rsidRPr="00754D4D" w:rsidRDefault="004D6A6B" w:rsidP="004D6A6B">
      <w:pPr>
        <w:pStyle w:val="SubSectionText"/>
        <w:numPr>
          <w:ilvl w:val="0"/>
          <w:numId w:val="35"/>
        </w:numPr>
        <w:spacing w:before="0" w:after="6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operating harvesting equipment;</w:t>
      </w:r>
    </w:p>
    <w:p w14:paraId="35E9CF89" w14:textId="77777777" w:rsidR="004D6A6B" w:rsidRPr="00754D4D" w:rsidRDefault="004D6A6B" w:rsidP="004D6A6B">
      <w:pPr>
        <w:pStyle w:val="SubSectionText"/>
        <w:numPr>
          <w:ilvl w:val="0"/>
          <w:numId w:val="35"/>
        </w:numPr>
        <w:spacing w:before="0" w:after="6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planting;</w:t>
      </w:r>
    </w:p>
    <w:p w14:paraId="65CB8D57" w14:textId="77777777" w:rsidR="004D6A6B" w:rsidRPr="00754D4D" w:rsidRDefault="004D6A6B" w:rsidP="004D6A6B">
      <w:pPr>
        <w:pStyle w:val="SubSectionText"/>
        <w:numPr>
          <w:ilvl w:val="0"/>
          <w:numId w:val="35"/>
        </w:numPr>
        <w:spacing w:before="0" w:after="6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irrigating;</w:t>
      </w:r>
    </w:p>
    <w:p w14:paraId="4CFA22E3" w14:textId="77777777" w:rsidR="004D6A6B" w:rsidRPr="00754D4D" w:rsidRDefault="004D6A6B" w:rsidP="004D6A6B">
      <w:pPr>
        <w:pStyle w:val="SubSectionText"/>
        <w:numPr>
          <w:ilvl w:val="0"/>
          <w:numId w:val="35"/>
        </w:numPr>
        <w:spacing w:before="0" w:after="6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siloing;</w:t>
      </w:r>
    </w:p>
    <w:p w14:paraId="331947F7" w14:textId="77777777" w:rsidR="004D6A6B" w:rsidRPr="00754D4D" w:rsidRDefault="004D6A6B" w:rsidP="004D6A6B">
      <w:pPr>
        <w:pStyle w:val="SubSectionText"/>
        <w:numPr>
          <w:ilvl w:val="0"/>
          <w:numId w:val="35"/>
        </w:numPr>
        <w:spacing w:before="0" w:after="6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packing and canning; and</w:t>
      </w:r>
    </w:p>
    <w:p w14:paraId="6BEA9EFA" w14:textId="1014DE0C" w:rsidR="004D6A6B" w:rsidRPr="00754D4D" w:rsidRDefault="004D6A6B" w:rsidP="004D6A6B">
      <w:pPr>
        <w:pStyle w:val="SubSectionText"/>
        <w:numPr>
          <w:ilvl w:val="0"/>
          <w:numId w:val="35"/>
        </w:numPr>
        <w:spacing w:before="0" w:after="120"/>
        <w:ind w:left="426" w:hanging="426"/>
        <w:rPr>
          <w:rFonts w:asciiTheme="minorHAnsi" w:hAnsiTheme="minorHAnsi" w:cstheme="minorHAnsi"/>
          <w:bCs w:val="0"/>
          <w:szCs w:val="22"/>
          <w:lang w:eastAsia="en-US"/>
        </w:rPr>
      </w:pPr>
      <w:r w:rsidRPr="00754D4D">
        <w:rPr>
          <w:rFonts w:asciiTheme="minorHAnsi" w:hAnsiTheme="minorHAnsi" w:cstheme="minorHAnsi"/>
          <w:bCs w:val="0"/>
          <w:szCs w:val="22"/>
          <w:lang w:eastAsia="en-US"/>
        </w:rPr>
        <w:t>any other like activities, as specified in any guidelines</w:t>
      </w:r>
      <w:r w:rsidR="00245755" w:rsidRPr="00754D4D">
        <w:rPr>
          <w:rFonts w:asciiTheme="minorHAnsi" w:hAnsiTheme="minorHAnsi" w:cstheme="minorHAnsi"/>
          <w:bCs w:val="0"/>
          <w:szCs w:val="22"/>
          <w:lang w:eastAsia="en-US"/>
        </w:rPr>
        <w:t>.</w:t>
      </w:r>
    </w:p>
    <w:p w14:paraId="22E1CB44" w14:textId="77777777" w:rsidR="007C4A3D" w:rsidRPr="00754D4D" w:rsidRDefault="007C4A3D" w:rsidP="00AE45D6">
      <w:pPr>
        <w:rPr>
          <w:rFonts w:asciiTheme="minorHAnsi" w:hAnsiTheme="minorHAnsi" w:cstheme="minorHAnsi"/>
          <w:szCs w:val="22"/>
        </w:rPr>
      </w:pPr>
      <w:r w:rsidRPr="00754D4D">
        <w:rPr>
          <w:rFonts w:asciiTheme="minorHAnsi" w:hAnsiTheme="minorHAnsi" w:cstheme="minorHAnsi"/>
          <w:szCs w:val="22"/>
        </w:rPr>
        <w:t>The incentives available under the Trial are:</w:t>
      </w:r>
    </w:p>
    <w:p w14:paraId="4B3FBFA7" w14:textId="40BB60C9" w:rsidR="007C4A3D" w:rsidRPr="00754D4D" w:rsidRDefault="00B4217C" w:rsidP="00AE45D6">
      <w:pPr>
        <w:pStyle w:val="ListParagraph"/>
        <w:numPr>
          <w:ilvl w:val="0"/>
          <w:numId w:val="36"/>
        </w:numPr>
        <w:rPr>
          <w:rFonts w:asciiTheme="minorHAnsi" w:hAnsiTheme="minorHAnsi" w:cstheme="minorHAnsi"/>
          <w:szCs w:val="22"/>
        </w:rPr>
      </w:pPr>
      <w:r w:rsidRPr="00754D4D">
        <w:rPr>
          <w:rFonts w:asciiTheme="minorHAnsi" w:hAnsiTheme="minorHAnsi" w:cstheme="minorHAnsi"/>
          <w:szCs w:val="22"/>
        </w:rPr>
        <w:t>a</w:t>
      </w:r>
      <w:r w:rsidR="007C4A3D" w:rsidRPr="00754D4D">
        <w:rPr>
          <w:rFonts w:asciiTheme="minorHAnsi" w:hAnsiTheme="minorHAnsi" w:cstheme="minorHAnsi"/>
          <w:szCs w:val="22"/>
        </w:rPr>
        <w:t xml:space="preserve"> Provider Seasonal Work Incentive Payment of $100 per week for up to six weeks for DES Providers who place eligible DES Partic</w:t>
      </w:r>
      <w:r w:rsidR="004D6A6B" w:rsidRPr="00754D4D">
        <w:rPr>
          <w:rFonts w:asciiTheme="minorHAnsi" w:hAnsiTheme="minorHAnsi" w:cstheme="minorHAnsi"/>
          <w:szCs w:val="22"/>
        </w:rPr>
        <w:t>ipants with eligible Employers.</w:t>
      </w:r>
    </w:p>
    <w:p w14:paraId="67A83C3D" w14:textId="6F7CC8AC" w:rsidR="007C4A3D" w:rsidRPr="00754D4D" w:rsidRDefault="00B4217C" w:rsidP="00AE45D6">
      <w:pPr>
        <w:pStyle w:val="ListParagraph"/>
        <w:numPr>
          <w:ilvl w:val="0"/>
          <w:numId w:val="36"/>
        </w:numPr>
        <w:rPr>
          <w:rFonts w:asciiTheme="minorHAnsi" w:hAnsiTheme="minorHAnsi" w:cstheme="minorHAnsi"/>
          <w:szCs w:val="22"/>
        </w:rPr>
      </w:pPr>
      <w:r w:rsidRPr="00754D4D">
        <w:rPr>
          <w:rFonts w:asciiTheme="minorHAnsi" w:hAnsiTheme="minorHAnsi" w:cstheme="minorHAnsi"/>
          <w:szCs w:val="22"/>
        </w:rPr>
        <w:t>a</w:t>
      </w:r>
      <w:r w:rsidR="007C4A3D" w:rsidRPr="00754D4D">
        <w:rPr>
          <w:rFonts w:asciiTheme="minorHAnsi" w:hAnsiTheme="minorHAnsi" w:cstheme="minorHAnsi"/>
          <w:szCs w:val="22"/>
        </w:rPr>
        <w:t xml:space="preserve"> Seasonal Work Living Away and Travel Allowance of $300 each year for eligible Participants where the job is mor</w:t>
      </w:r>
      <w:r w:rsidR="004D6A6B" w:rsidRPr="00754D4D">
        <w:rPr>
          <w:rFonts w:asciiTheme="minorHAnsi" w:hAnsiTheme="minorHAnsi" w:cstheme="minorHAnsi"/>
          <w:szCs w:val="22"/>
        </w:rPr>
        <w:t xml:space="preserve">e than </w:t>
      </w:r>
      <w:proofErr w:type="spellStart"/>
      <w:r w:rsidR="004D6A6B" w:rsidRPr="00754D4D">
        <w:rPr>
          <w:rFonts w:asciiTheme="minorHAnsi" w:hAnsiTheme="minorHAnsi" w:cstheme="minorHAnsi"/>
          <w:szCs w:val="22"/>
        </w:rPr>
        <w:t>120km</w:t>
      </w:r>
      <w:proofErr w:type="spellEnd"/>
      <w:r w:rsidR="004D6A6B" w:rsidRPr="00754D4D">
        <w:rPr>
          <w:rFonts w:asciiTheme="minorHAnsi" w:hAnsiTheme="minorHAnsi" w:cstheme="minorHAnsi"/>
          <w:szCs w:val="22"/>
        </w:rPr>
        <w:t xml:space="preserve"> from their home.</w:t>
      </w:r>
    </w:p>
    <w:p w14:paraId="3C1BD072" w14:textId="68B2D8C2" w:rsidR="007C4A3D" w:rsidRPr="00754D4D" w:rsidRDefault="00B4217C" w:rsidP="00AE45D6">
      <w:pPr>
        <w:pStyle w:val="ListParagraph"/>
        <w:numPr>
          <w:ilvl w:val="0"/>
          <w:numId w:val="36"/>
        </w:numPr>
        <w:rPr>
          <w:rFonts w:asciiTheme="minorHAnsi" w:hAnsiTheme="minorHAnsi" w:cstheme="minorHAnsi"/>
          <w:szCs w:val="22"/>
        </w:rPr>
      </w:pPr>
      <w:r w:rsidRPr="00754D4D">
        <w:rPr>
          <w:rFonts w:asciiTheme="minorHAnsi" w:hAnsiTheme="minorHAnsi" w:cstheme="minorHAnsi"/>
          <w:szCs w:val="22"/>
        </w:rPr>
        <w:t>a</w:t>
      </w:r>
      <w:r w:rsidR="007C4A3D" w:rsidRPr="00754D4D">
        <w:rPr>
          <w:rFonts w:asciiTheme="minorHAnsi" w:hAnsiTheme="minorHAnsi" w:cstheme="minorHAnsi"/>
          <w:szCs w:val="22"/>
        </w:rPr>
        <w:t xml:space="preserve"> Seasonal Horticulture Work Income Exemption allowing eligible Participants in receipt of </w:t>
      </w:r>
      <w:proofErr w:type="spellStart"/>
      <w:r w:rsidR="007C4A3D" w:rsidRPr="00754D4D">
        <w:rPr>
          <w:rFonts w:asciiTheme="minorHAnsi" w:hAnsiTheme="minorHAnsi" w:cstheme="minorHAnsi"/>
          <w:szCs w:val="22"/>
        </w:rPr>
        <w:t>Newstart</w:t>
      </w:r>
      <w:proofErr w:type="spellEnd"/>
      <w:r w:rsidR="007C4A3D" w:rsidRPr="00754D4D">
        <w:rPr>
          <w:rFonts w:asciiTheme="minorHAnsi" w:hAnsiTheme="minorHAnsi" w:cstheme="minorHAnsi"/>
          <w:szCs w:val="22"/>
        </w:rPr>
        <w:t xml:space="preserve"> and Youth Allowance (Other) to earn up to $5,000 each year from seasonal horticultural work without it being counted under t</w:t>
      </w:r>
      <w:r w:rsidR="00754D4D" w:rsidRPr="00754D4D">
        <w:rPr>
          <w:rFonts w:asciiTheme="minorHAnsi" w:hAnsiTheme="minorHAnsi" w:cstheme="minorHAnsi"/>
          <w:szCs w:val="22"/>
        </w:rPr>
        <w:t>he social security income test.</w:t>
      </w:r>
    </w:p>
    <w:p w14:paraId="5AABA387" w14:textId="77777777" w:rsidR="00AE45D6" w:rsidRPr="0051098D" w:rsidRDefault="00AE45D6" w:rsidP="00AE45D6">
      <w:pPr>
        <w:pStyle w:val="ListParagraph"/>
        <w:rPr>
          <w:rFonts w:asciiTheme="minorHAnsi" w:hAnsiTheme="minorHAnsi" w:cstheme="minorHAnsi"/>
          <w:sz w:val="24"/>
        </w:rPr>
      </w:pPr>
    </w:p>
    <w:p w14:paraId="1218688E" w14:textId="54BF8B25" w:rsidR="00B4217C" w:rsidRPr="00754D4D" w:rsidRDefault="007C4A3D" w:rsidP="00AE45D6">
      <w:pPr>
        <w:rPr>
          <w:rFonts w:asciiTheme="minorHAnsi" w:hAnsiTheme="minorHAnsi" w:cstheme="minorHAnsi"/>
          <w:szCs w:val="22"/>
        </w:rPr>
      </w:pPr>
      <w:r w:rsidRPr="00754D4D">
        <w:rPr>
          <w:rFonts w:asciiTheme="minorHAnsi" w:hAnsiTheme="minorHAnsi" w:cstheme="minorHAnsi"/>
          <w:szCs w:val="22"/>
        </w:rPr>
        <w:t xml:space="preserve">The Trial runs for two years, from 1 July 2017 to 30 June 2019 and is capped at 3,800 places over each financial year of the Trial. In total, there are 7,600 places available under the Trial over the two year period. Places are available for job seekers participating in </w:t>
      </w:r>
      <w:proofErr w:type="spellStart"/>
      <w:r w:rsidRPr="00754D4D">
        <w:rPr>
          <w:rFonts w:asciiTheme="minorHAnsi" w:hAnsiTheme="minorHAnsi" w:cstheme="minorHAnsi"/>
          <w:szCs w:val="22"/>
        </w:rPr>
        <w:t>jobactive</w:t>
      </w:r>
      <w:proofErr w:type="spellEnd"/>
      <w:r w:rsidRPr="00754D4D">
        <w:rPr>
          <w:rFonts w:asciiTheme="minorHAnsi" w:hAnsiTheme="minorHAnsi" w:cstheme="minorHAnsi"/>
          <w:szCs w:val="22"/>
        </w:rPr>
        <w:t>, Transition to Work and DES. The Department</w:t>
      </w:r>
      <w:r w:rsidR="008C3107" w:rsidRPr="00754D4D">
        <w:rPr>
          <w:rFonts w:asciiTheme="minorHAnsi" w:hAnsiTheme="minorHAnsi" w:cstheme="minorHAnsi"/>
          <w:szCs w:val="22"/>
        </w:rPr>
        <w:t xml:space="preserve"> of </w:t>
      </w:r>
      <w:r w:rsidR="00AE45D6" w:rsidRPr="00754D4D">
        <w:rPr>
          <w:rFonts w:asciiTheme="minorHAnsi" w:hAnsiTheme="minorHAnsi" w:cstheme="minorHAnsi"/>
          <w:szCs w:val="22"/>
        </w:rPr>
        <w:t xml:space="preserve">Jobs and Small Business </w:t>
      </w:r>
      <w:r w:rsidRPr="00754D4D">
        <w:rPr>
          <w:rFonts w:asciiTheme="minorHAnsi" w:hAnsiTheme="minorHAnsi" w:cstheme="minorHAnsi"/>
          <w:szCs w:val="22"/>
        </w:rPr>
        <w:t>will manage the places across States/Territories according to the expected demand for labour. Use of places will be monitored closely and adjustments made during the Trial where required.</w:t>
      </w:r>
    </w:p>
    <w:p w14:paraId="4D6FB978" w14:textId="123F5E8E" w:rsidR="00B4217C" w:rsidRDefault="00B4217C" w:rsidP="00AE45D6">
      <w:pPr>
        <w:rPr>
          <w:rFonts w:asciiTheme="minorHAnsi" w:hAnsiTheme="minorHAnsi" w:cstheme="minorHAnsi"/>
          <w:szCs w:val="22"/>
        </w:rPr>
      </w:pPr>
      <w:r w:rsidRPr="00754D4D">
        <w:rPr>
          <w:rFonts w:asciiTheme="minorHAnsi" w:hAnsiTheme="minorHAnsi" w:cstheme="minorHAnsi"/>
          <w:szCs w:val="22"/>
        </w:rPr>
        <w:t>Where a placement leads to an offer of ongoing employment, the Trial placement must be ended so the Participant can be anchored in a normal employment placement.</w:t>
      </w:r>
    </w:p>
    <w:p w14:paraId="241B2ABB" w14:textId="77777777" w:rsidR="007C23DA" w:rsidRPr="00754D4D" w:rsidRDefault="007C23DA" w:rsidP="00AE45D6">
      <w:pPr>
        <w:rPr>
          <w:rFonts w:asciiTheme="minorHAnsi" w:hAnsiTheme="minorHAnsi" w:cstheme="minorHAnsi"/>
          <w:szCs w:val="22"/>
        </w:rPr>
      </w:pPr>
    </w:p>
    <w:p w14:paraId="522B1F0A" w14:textId="1FEC1CE8" w:rsidR="00400841" w:rsidRPr="0051098D" w:rsidRDefault="00DA17FF" w:rsidP="007C23DA">
      <w:pPr>
        <w:pStyle w:val="Heading3"/>
        <w:rPr>
          <w:rFonts w:asciiTheme="minorHAnsi" w:hAnsiTheme="minorHAnsi" w:cstheme="minorHAnsi"/>
        </w:rPr>
      </w:pPr>
      <w:bookmarkStart w:id="19" w:name="_Toc259007308"/>
      <w:bookmarkStart w:id="20" w:name="_Toc266886175"/>
      <w:bookmarkStart w:id="21" w:name="_Toc266886229"/>
      <w:bookmarkStart w:id="22" w:name="_Toc266886373"/>
      <w:bookmarkStart w:id="23" w:name="_Toc510028051"/>
      <w:r w:rsidRPr="0051098D">
        <w:rPr>
          <w:rFonts w:asciiTheme="minorHAnsi" w:hAnsiTheme="minorHAnsi" w:cstheme="minorHAnsi"/>
        </w:rPr>
        <w:t>Disability Employment Services Grant Agreement Clauses</w:t>
      </w:r>
      <w:r w:rsidR="00400841" w:rsidRPr="0051098D">
        <w:rPr>
          <w:rFonts w:asciiTheme="minorHAnsi" w:hAnsiTheme="minorHAnsi" w:cstheme="minorHAnsi"/>
        </w:rPr>
        <w:t>:</w:t>
      </w:r>
      <w:bookmarkEnd w:id="19"/>
      <w:bookmarkEnd w:id="20"/>
      <w:bookmarkEnd w:id="21"/>
      <w:bookmarkEnd w:id="22"/>
      <w:bookmarkEnd w:id="23"/>
    </w:p>
    <w:p w14:paraId="5B52926E" w14:textId="39AC6403" w:rsidR="00400841" w:rsidRDefault="00400841" w:rsidP="00400841">
      <w:pPr>
        <w:rPr>
          <w:rFonts w:asciiTheme="minorHAnsi" w:hAnsiTheme="minorHAnsi" w:cstheme="minorHAnsi"/>
          <w:szCs w:val="22"/>
        </w:rPr>
      </w:pPr>
      <w:r w:rsidRPr="00754D4D">
        <w:rPr>
          <w:rFonts w:asciiTheme="minorHAnsi" w:hAnsiTheme="minorHAnsi" w:cstheme="minorHAnsi"/>
          <w:szCs w:val="22"/>
        </w:rPr>
        <w:t>Clause 2</w:t>
      </w:r>
      <w:r w:rsidR="007E31EC" w:rsidRPr="00754D4D">
        <w:rPr>
          <w:rFonts w:asciiTheme="minorHAnsi" w:hAnsiTheme="minorHAnsi" w:cstheme="minorHAnsi"/>
          <w:szCs w:val="22"/>
        </w:rPr>
        <w:t>2</w:t>
      </w:r>
      <w:r w:rsidRPr="00754D4D">
        <w:rPr>
          <w:rFonts w:asciiTheme="minorHAnsi" w:hAnsiTheme="minorHAnsi" w:cstheme="minorHAnsi"/>
          <w:szCs w:val="22"/>
        </w:rPr>
        <w:t xml:space="preserve"> – Evidence to support claims for payment</w:t>
      </w:r>
    </w:p>
    <w:p w14:paraId="25858CB3" w14:textId="07F980D0" w:rsidR="00ED7A2F" w:rsidRPr="00754D4D" w:rsidRDefault="00ED7A2F" w:rsidP="00400841">
      <w:pPr>
        <w:rPr>
          <w:rFonts w:asciiTheme="minorHAnsi" w:hAnsiTheme="minorHAnsi" w:cstheme="minorHAnsi"/>
          <w:szCs w:val="22"/>
        </w:rPr>
      </w:pPr>
      <w:r>
        <w:rPr>
          <w:rFonts w:asciiTheme="minorHAnsi" w:hAnsiTheme="minorHAnsi" w:cstheme="minorHAnsi"/>
          <w:szCs w:val="22"/>
        </w:rPr>
        <w:t xml:space="preserve">Clause 103 – Seasonal </w:t>
      </w:r>
      <w:r w:rsidR="001D337C">
        <w:rPr>
          <w:rFonts w:asciiTheme="minorHAnsi" w:hAnsiTheme="minorHAnsi" w:cstheme="minorHAnsi"/>
          <w:szCs w:val="22"/>
        </w:rPr>
        <w:t xml:space="preserve">Work Incentives for Job Seekers </w:t>
      </w:r>
      <w:r>
        <w:rPr>
          <w:rFonts w:asciiTheme="minorHAnsi" w:hAnsiTheme="minorHAnsi" w:cstheme="minorHAnsi"/>
          <w:szCs w:val="22"/>
        </w:rPr>
        <w:t>Trial</w:t>
      </w:r>
    </w:p>
    <w:p w14:paraId="09C870F6" w14:textId="117C697B" w:rsidR="00C50E7E" w:rsidRDefault="00400841" w:rsidP="00400841">
      <w:pPr>
        <w:rPr>
          <w:rFonts w:asciiTheme="minorHAnsi" w:hAnsiTheme="minorHAnsi" w:cstheme="minorHAnsi"/>
          <w:szCs w:val="22"/>
        </w:rPr>
      </w:pPr>
      <w:r w:rsidRPr="00754D4D">
        <w:rPr>
          <w:rFonts w:asciiTheme="minorHAnsi" w:hAnsiTheme="minorHAnsi" w:cstheme="minorHAnsi"/>
          <w:szCs w:val="22"/>
        </w:rPr>
        <w:t xml:space="preserve">Annexure </w:t>
      </w:r>
      <w:r w:rsidR="007E31EC" w:rsidRPr="00754D4D">
        <w:rPr>
          <w:rFonts w:asciiTheme="minorHAnsi" w:hAnsiTheme="minorHAnsi" w:cstheme="minorHAnsi"/>
          <w:szCs w:val="22"/>
        </w:rPr>
        <w:t>A</w:t>
      </w:r>
      <w:r w:rsidRPr="00754D4D">
        <w:rPr>
          <w:rFonts w:asciiTheme="minorHAnsi" w:hAnsiTheme="minorHAnsi" w:cstheme="minorHAnsi"/>
          <w:szCs w:val="22"/>
        </w:rPr>
        <w:t xml:space="preserve"> – Definition</w:t>
      </w:r>
      <w:r w:rsidR="007A0F45" w:rsidRPr="00754D4D">
        <w:rPr>
          <w:rFonts w:asciiTheme="minorHAnsi" w:hAnsiTheme="minorHAnsi" w:cstheme="minorHAnsi"/>
          <w:szCs w:val="22"/>
        </w:rPr>
        <w:t>s</w:t>
      </w:r>
    </w:p>
    <w:p w14:paraId="6CE7425D" w14:textId="77777777" w:rsidR="00C50E7E" w:rsidRDefault="00C50E7E">
      <w:pPr>
        <w:rPr>
          <w:rFonts w:asciiTheme="minorHAnsi" w:hAnsiTheme="minorHAnsi" w:cstheme="minorHAnsi"/>
          <w:szCs w:val="22"/>
        </w:rPr>
      </w:pPr>
      <w:r>
        <w:rPr>
          <w:rFonts w:asciiTheme="minorHAnsi" w:hAnsiTheme="minorHAnsi" w:cstheme="minorHAnsi"/>
          <w:szCs w:val="22"/>
        </w:rPr>
        <w:br w:type="page"/>
      </w:r>
    </w:p>
    <w:p w14:paraId="69A24F87" w14:textId="77777777" w:rsidR="00400841" w:rsidRPr="0051098D" w:rsidRDefault="00400841" w:rsidP="007C23DA">
      <w:pPr>
        <w:pStyle w:val="Heading3"/>
        <w:rPr>
          <w:rFonts w:asciiTheme="minorHAnsi" w:hAnsiTheme="minorHAnsi" w:cstheme="minorHAnsi"/>
        </w:rPr>
      </w:pPr>
      <w:bookmarkStart w:id="24" w:name="_Toc258589515"/>
      <w:bookmarkStart w:id="25" w:name="_Toc259007309"/>
      <w:bookmarkStart w:id="26" w:name="_Toc266886176"/>
      <w:bookmarkStart w:id="27" w:name="_Toc266886230"/>
      <w:bookmarkStart w:id="28" w:name="_Toc266886374"/>
      <w:bookmarkStart w:id="29" w:name="_Toc510028052"/>
      <w:r w:rsidRPr="0051098D">
        <w:rPr>
          <w:rFonts w:asciiTheme="minorHAnsi" w:hAnsiTheme="minorHAnsi" w:cstheme="minorHAnsi"/>
        </w:rPr>
        <w:lastRenderedPageBreak/>
        <w:t xml:space="preserve">Reference documents relevant to </w:t>
      </w:r>
      <w:r w:rsidR="00DA17FF" w:rsidRPr="0051098D">
        <w:rPr>
          <w:rFonts w:asciiTheme="minorHAnsi" w:hAnsiTheme="minorHAnsi" w:cstheme="minorHAnsi"/>
        </w:rPr>
        <w:t>this guideline</w:t>
      </w:r>
      <w:r w:rsidRPr="0051098D">
        <w:rPr>
          <w:rFonts w:asciiTheme="minorHAnsi" w:hAnsiTheme="minorHAnsi" w:cstheme="minorHAnsi"/>
        </w:rPr>
        <w:t>:</w:t>
      </w:r>
      <w:bookmarkEnd w:id="24"/>
      <w:bookmarkEnd w:id="25"/>
      <w:bookmarkEnd w:id="26"/>
      <w:bookmarkEnd w:id="27"/>
      <w:bookmarkEnd w:id="28"/>
      <w:bookmarkEnd w:id="29"/>
    </w:p>
    <w:p w14:paraId="172A010A" w14:textId="1860A6D0" w:rsidR="007C4A3D" w:rsidRPr="00754D4D" w:rsidRDefault="007C4A3D" w:rsidP="007C4A3D">
      <w:pPr>
        <w:rPr>
          <w:rFonts w:asciiTheme="minorHAnsi" w:hAnsiTheme="minorHAnsi" w:cstheme="minorHAnsi"/>
          <w:szCs w:val="22"/>
        </w:rPr>
      </w:pPr>
      <w:r w:rsidRPr="00754D4D">
        <w:rPr>
          <w:rFonts w:asciiTheme="minorHAnsi" w:hAnsiTheme="minorHAnsi" w:cstheme="minorHAnsi"/>
          <w:szCs w:val="22"/>
        </w:rPr>
        <w:t>DES Documentary Evidence for Claims for Payment Guideline</w:t>
      </w:r>
      <w:r w:rsidR="008B776C">
        <w:rPr>
          <w:rFonts w:asciiTheme="minorHAnsi" w:hAnsiTheme="minorHAnsi" w:cstheme="minorHAnsi"/>
          <w:szCs w:val="22"/>
        </w:rPr>
        <w:t>s</w:t>
      </w:r>
    </w:p>
    <w:p w14:paraId="6FC68D66" w14:textId="348A6265" w:rsidR="00AE45D6" w:rsidRPr="00754D4D" w:rsidRDefault="007C4A3D" w:rsidP="00AE45D6">
      <w:pPr>
        <w:rPr>
          <w:rFonts w:asciiTheme="minorHAnsi" w:hAnsiTheme="minorHAnsi" w:cstheme="minorHAnsi"/>
          <w:szCs w:val="22"/>
        </w:rPr>
      </w:pPr>
      <w:r w:rsidRPr="00754D4D">
        <w:rPr>
          <w:rFonts w:asciiTheme="minorHAnsi" w:hAnsiTheme="minorHAnsi" w:cstheme="minorHAnsi"/>
          <w:szCs w:val="22"/>
        </w:rPr>
        <w:t>DES Outcome Guideline</w:t>
      </w:r>
      <w:r w:rsidR="003C44A4">
        <w:rPr>
          <w:rFonts w:asciiTheme="minorHAnsi" w:hAnsiTheme="minorHAnsi" w:cstheme="minorHAnsi"/>
          <w:szCs w:val="22"/>
        </w:rPr>
        <w:t>s</w:t>
      </w:r>
    </w:p>
    <w:p w14:paraId="00070B5E" w14:textId="7F86C1D2" w:rsidR="007C4A3D" w:rsidRPr="00754D4D" w:rsidRDefault="007C4A3D" w:rsidP="00AE45D6">
      <w:pPr>
        <w:rPr>
          <w:rFonts w:asciiTheme="minorHAnsi" w:hAnsiTheme="minorHAnsi" w:cstheme="minorHAnsi"/>
          <w:szCs w:val="22"/>
        </w:rPr>
      </w:pPr>
      <w:r w:rsidRPr="00754D4D">
        <w:rPr>
          <w:rFonts w:asciiTheme="minorHAnsi" w:hAnsiTheme="minorHAnsi" w:cstheme="minorHAnsi"/>
          <w:szCs w:val="22"/>
        </w:rPr>
        <w:t>DES Job Seeker Compliance Framework Guideline</w:t>
      </w:r>
    </w:p>
    <w:p w14:paraId="73E12F6E" w14:textId="77777777" w:rsidR="00AE45D6" w:rsidRPr="0051098D" w:rsidRDefault="00AE45D6" w:rsidP="00AE45D6">
      <w:pPr>
        <w:rPr>
          <w:rFonts w:asciiTheme="minorHAnsi" w:hAnsiTheme="minorHAnsi" w:cstheme="minorHAnsi"/>
          <w:sz w:val="24"/>
        </w:rPr>
      </w:pPr>
    </w:p>
    <w:p w14:paraId="294BD6A3" w14:textId="77777777" w:rsidR="00F279FB" w:rsidRPr="0051098D" w:rsidRDefault="00400841" w:rsidP="00AE45D6">
      <w:pPr>
        <w:pStyle w:val="Heading3"/>
        <w:rPr>
          <w:rFonts w:asciiTheme="minorHAnsi" w:hAnsiTheme="minorHAnsi" w:cstheme="minorHAnsi"/>
        </w:rPr>
      </w:pPr>
      <w:bookmarkStart w:id="30" w:name="_Toc258589516"/>
      <w:bookmarkStart w:id="31" w:name="_Toc266886177"/>
      <w:bookmarkStart w:id="32" w:name="_Toc266886231"/>
      <w:bookmarkStart w:id="33" w:name="_Toc510028053"/>
      <w:r w:rsidRPr="0051098D">
        <w:rPr>
          <w:rFonts w:asciiTheme="minorHAnsi" w:hAnsiTheme="minorHAnsi" w:cstheme="minorHAnsi"/>
        </w:rPr>
        <w:t>Explanatory Note:</w:t>
      </w:r>
      <w:bookmarkEnd w:id="30"/>
      <w:bookmarkEnd w:id="31"/>
      <w:bookmarkEnd w:id="32"/>
      <w:bookmarkEnd w:id="33"/>
    </w:p>
    <w:p w14:paraId="124299B1" w14:textId="73FD73FF" w:rsidR="005F085D" w:rsidRPr="00754D4D" w:rsidRDefault="005F085D" w:rsidP="005F085D">
      <w:pPr>
        <w:rPr>
          <w:rFonts w:asciiTheme="minorHAnsi" w:hAnsiTheme="minorHAnsi" w:cstheme="minorHAnsi"/>
          <w:szCs w:val="22"/>
        </w:rPr>
      </w:pPr>
      <w:r w:rsidRPr="00754D4D">
        <w:rPr>
          <w:rFonts w:asciiTheme="minorHAnsi" w:hAnsiTheme="minorHAnsi" w:cstheme="minorHAnsi"/>
          <w:szCs w:val="22"/>
        </w:rPr>
        <w:t>All capitalised terms have the same meaning as in Disability Employment Services Grant Agreement.</w:t>
      </w:r>
      <w:r w:rsidR="00754D4D" w:rsidRPr="00754D4D">
        <w:rPr>
          <w:rFonts w:asciiTheme="minorHAnsi" w:hAnsiTheme="minorHAnsi" w:cstheme="minorHAnsi"/>
          <w:szCs w:val="22"/>
        </w:rPr>
        <w:t xml:space="preserve"> </w:t>
      </w:r>
      <w:r w:rsidRPr="00754D4D">
        <w:rPr>
          <w:rFonts w:asciiTheme="minorHAnsi" w:hAnsiTheme="minorHAnsi" w:cstheme="minorHAnsi"/>
          <w:szCs w:val="22"/>
        </w:rPr>
        <w:t>In this document, “must” means that compliance is mandatory and “should” means that compliance represents best practice.</w:t>
      </w:r>
    </w:p>
    <w:p w14:paraId="19A12A0D" w14:textId="77777777" w:rsidR="00E45E23" w:rsidRDefault="00E45E23">
      <w:pPr>
        <w:rPr>
          <w:b/>
          <w:sz w:val="24"/>
        </w:rPr>
      </w:pPr>
      <w:bookmarkStart w:id="34" w:name="_Toc259007310"/>
      <w:bookmarkStart w:id="35" w:name="_Toc266886178"/>
      <w:bookmarkStart w:id="36" w:name="_Toc266886232"/>
      <w:bookmarkStart w:id="37" w:name="_Toc266886375"/>
      <w:r>
        <w:br w:type="page"/>
      </w:r>
    </w:p>
    <w:p w14:paraId="5BC0C661" w14:textId="69DB3585" w:rsidR="00400841" w:rsidRPr="0051098D" w:rsidRDefault="007B25D9" w:rsidP="00E45E23">
      <w:pPr>
        <w:pStyle w:val="Heading3"/>
      </w:pPr>
      <w:bookmarkStart w:id="38" w:name="_Toc510028054"/>
      <w:bookmarkStart w:id="39" w:name="_GoBack"/>
      <w:bookmarkEnd w:id="39"/>
      <w:r w:rsidRPr="0051098D">
        <w:lastRenderedPageBreak/>
        <w:t>Seasonal Work Incentives Trial Guideline</w:t>
      </w:r>
      <w:bookmarkEnd w:id="34"/>
      <w:bookmarkEnd w:id="35"/>
      <w:bookmarkEnd w:id="36"/>
      <w:bookmarkEnd w:id="37"/>
      <w:r w:rsidR="00FB367E">
        <w:t>s</w:t>
      </w:r>
      <w:bookmarkEnd w:id="38"/>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400841" w:rsidRPr="00411BA9" w14:paraId="263503A3" w14:textId="77777777" w:rsidTr="00AE45D6">
        <w:trPr>
          <w:tblHeader/>
          <w:jc w:val="center"/>
        </w:trPr>
        <w:tc>
          <w:tcPr>
            <w:tcW w:w="3598" w:type="dxa"/>
            <w:shd w:val="clear" w:color="auto" w:fill="auto"/>
          </w:tcPr>
          <w:p w14:paraId="1BD3C4DA" w14:textId="77777777" w:rsidR="00400841" w:rsidRPr="00411BA9" w:rsidRDefault="00400841" w:rsidP="00400841">
            <w:pPr>
              <w:pStyle w:val="TableHeadingCentred"/>
              <w:rPr>
                <w:rFonts w:asciiTheme="minorHAnsi" w:hAnsiTheme="minorHAnsi" w:cstheme="minorHAnsi"/>
                <w:color w:val="000000" w:themeColor="text1"/>
                <w:szCs w:val="22"/>
              </w:rPr>
            </w:pPr>
            <w:r w:rsidRPr="00411BA9">
              <w:rPr>
                <w:rFonts w:asciiTheme="minorHAnsi" w:hAnsiTheme="minorHAnsi" w:cstheme="minorHAnsi"/>
                <w:color w:val="000000" w:themeColor="text1"/>
                <w:szCs w:val="22"/>
              </w:rPr>
              <w:t>Who is Responsible:</w:t>
            </w:r>
          </w:p>
        </w:tc>
        <w:tc>
          <w:tcPr>
            <w:tcW w:w="6783" w:type="dxa"/>
            <w:shd w:val="clear" w:color="auto" w:fill="auto"/>
          </w:tcPr>
          <w:p w14:paraId="2633A45B" w14:textId="77777777" w:rsidR="00400841" w:rsidRPr="00411BA9" w:rsidRDefault="00400841" w:rsidP="007C4A3D">
            <w:pPr>
              <w:pStyle w:val="TableHeadingCentred"/>
              <w:rPr>
                <w:rFonts w:asciiTheme="minorHAnsi" w:hAnsiTheme="minorHAnsi" w:cstheme="minorHAnsi"/>
                <w:color w:val="000000" w:themeColor="text1"/>
                <w:szCs w:val="22"/>
              </w:rPr>
            </w:pPr>
            <w:r w:rsidRPr="00411BA9">
              <w:rPr>
                <w:rFonts w:asciiTheme="minorHAnsi" w:hAnsiTheme="minorHAnsi" w:cstheme="minorHAnsi"/>
                <w:color w:val="000000" w:themeColor="text1"/>
                <w:szCs w:val="22"/>
              </w:rPr>
              <w:t>What is Required:</w:t>
            </w:r>
          </w:p>
        </w:tc>
      </w:tr>
      <w:tr w:rsidR="00400841" w:rsidRPr="00411BA9" w14:paraId="119BB75E" w14:textId="77777777" w:rsidTr="00363A85">
        <w:trPr>
          <w:jc w:val="center"/>
        </w:trPr>
        <w:tc>
          <w:tcPr>
            <w:tcW w:w="3598" w:type="dxa"/>
          </w:tcPr>
          <w:p w14:paraId="5AD9501E" w14:textId="77777777" w:rsidR="00400841" w:rsidRPr="00411BA9" w:rsidRDefault="007C4A3D" w:rsidP="00400841">
            <w:pPr>
              <w:pStyle w:val="TableNumberedleftbold"/>
              <w:rPr>
                <w:rFonts w:asciiTheme="minorHAnsi" w:hAnsiTheme="minorHAnsi" w:cstheme="minorHAnsi"/>
              </w:rPr>
            </w:pPr>
            <w:r w:rsidRPr="00411BA9">
              <w:rPr>
                <w:rFonts w:asciiTheme="minorHAnsi" w:hAnsiTheme="minorHAnsi" w:cstheme="minorHAnsi"/>
              </w:rPr>
              <w:t>1. DES Provider</w:t>
            </w:r>
          </w:p>
          <w:p w14:paraId="5DE368D0" w14:textId="77777777" w:rsidR="00400841" w:rsidRPr="00411BA9" w:rsidRDefault="00400841" w:rsidP="00400841">
            <w:pPr>
              <w:pStyle w:val="NormalBold"/>
              <w:rPr>
                <w:rFonts w:asciiTheme="minorHAnsi" w:hAnsiTheme="minorHAnsi" w:cstheme="minorHAnsi"/>
                <w:szCs w:val="22"/>
              </w:rPr>
            </w:pPr>
          </w:p>
          <w:p w14:paraId="7838CC33" w14:textId="77777777" w:rsidR="00DA17FF" w:rsidRPr="00411BA9" w:rsidRDefault="00D50DD1" w:rsidP="00400841">
            <w:pPr>
              <w:pStyle w:val="NormalBold"/>
              <w:rPr>
                <w:rFonts w:asciiTheme="minorHAnsi" w:hAnsiTheme="minorHAnsi" w:cstheme="minorHAnsi"/>
                <w:szCs w:val="22"/>
              </w:rPr>
            </w:pPr>
            <w:r w:rsidRPr="00411BA9">
              <w:rPr>
                <w:rFonts w:asciiTheme="minorHAnsi" w:hAnsiTheme="minorHAnsi" w:cstheme="minorHAnsi"/>
                <w:szCs w:val="22"/>
              </w:rPr>
              <w:t xml:space="preserve">The </w:t>
            </w:r>
            <w:r w:rsidR="007C4A3D" w:rsidRPr="00411BA9">
              <w:rPr>
                <w:rFonts w:asciiTheme="minorHAnsi" w:hAnsiTheme="minorHAnsi" w:cstheme="minorHAnsi"/>
                <w:szCs w:val="22"/>
              </w:rPr>
              <w:t>DES Provider determines Participant eligibility for the Trial</w:t>
            </w:r>
          </w:p>
          <w:p w14:paraId="35FEBC29" w14:textId="77777777" w:rsidR="00400841" w:rsidRPr="00411BA9" w:rsidRDefault="00400841" w:rsidP="00400841">
            <w:pPr>
              <w:pStyle w:val="NormalBold"/>
              <w:rPr>
                <w:rFonts w:asciiTheme="minorHAnsi" w:hAnsiTheme="minorHAnsi" w:cstheme="minorHAnsi"/>
                <w:szCs w:val="22"/>
              </w:rPr>
            </w:pPr>
          </w:p>
          <w:p w14:paraId="08853FA6" w14:textId="77777777" w:rsidR="00400841" w:rsidRPr="00411BA9" w:rsidRDefault="00DA17FF" w:rsidP="002F3542">
            <w:pPr>
              <w:pStyle w:val="NormalItalic"/>
              <w:rPr>
                <w:rFonts w:asciiTheme="minorHAnsi" w:hAnsiTheme="minorHAnsi" w:cstheme="minorHAnsi"/>
                <w:szCs w:val="22"/>
              </w:rPr>
            </w:pPr>
            <w:r w:rsidRPr="00411BA9">
              <w:rPr>
                <w:rFonts w:asciiTheme="minorHAnsi" w:hAnsiTheme="minorHAnsi" w:cstheme="minorHAnsi"/>
                <w:szCs w:val="22"/>
              </w:rPr>
              <w:t xml:space="preserve">Disability Employment Services Grant Agreement </w:t>
            </w:r>
            <w:r w:rsidR="00400841" w:rsidRPr="00411BA9">
              <w:rPr>
                <w:rFonts w:asciiTheme="minorHAnsi" w:hAnsiTheme="minorHAnsi" w:cstheme="minorHAnsi"/>
                <w:szCs w:val="22"/>
              </w:rPr>
              <w:t>Clause</w:t>
            </w:r>
            <w:r w:rsidRPr="00411BA9">
              <w:rPr>
                <w:rFonts w:asciiTheme="minorHAnsi" w:hAnsiTheme="minorHAnsi" w:cstheme="minorHAnsi"/>
                <w:szCs w:val="22"/>
              </w:rPr>
              <w:t>s</w:t>
            </w:r>
            <w:r w:rsidR="00400841" w:rsidRPr="00411BA9">
              <w:rPr>
                <w:rFonts w:asciiTheme="minorHAnsi" w:hAnsiTheme="minorHAnsi" w:cstheme="minorHAnsi"/>
                <w:szCs w:val="22"/>
              </w:rPr>
              <w:t xml:space="preserve"> References:</w:t>
            </w:r>
          </w:p>
          <w:p w14:paraId="7AE7731B" w14:textId="17AFE561" w:rsidR="00400841" w:rsidRPr="00411BA9" w:rsidRDefault="009176B7" w:rsidP="0015514D">
            <w:pPr>
              <w:numPr>
                <w:ilvl w:val="0"/>
                <w:numId w:val="24"/>
              </w:numPr>
              <w:rPr>
                <w:rFonts w:asciiTheme="minorHAnsi" w:hAnsiTheme="minorHAnsi" w:cstheme="minorHAnsi"/>
                <w:szCs w:val="22"/>
              </w:rPr>
            </w:pPr>
            <w:r w:rsidRPr="00411BA9">
              <w:rPr>
                <w:rFonts w:asciiTheme="minorHAnsi" w:hAnsiTheme="minorHAnsi" w:cstheme="minorHAnsi"/>
                <w:szCs w:val="22"/>
              </w:rPr>
              <w:t>Clause 10</w:t>
            </w:r>
            <w:r w:rsidR="00AE45D6" w:rsidRPr="00411BA9">
              <w:rPr>
                <w:rFonts w:asciiTheme="minorHAnsi" w:hAnsiTheme="minorHAnsi" w:cstheme="minorHAnsi"/>
                <w:szCs w:val="22"/>
              </w:rPr>
              <w:t>3</w:t>
            </w:r>
          </w:p>
          <w:p w14:paraId="1C37CEAB" w14:textId="51FF6BD7" w:rsidR="009176B7" w:rsidRPr="00411BA9" w:rsidRDefault="009176B7" w:rsidP="0015514D">
            <w:pPr>
              <w:numPr>
                <w:ilvl w:val="0"/>
                <w:numId w:val="24"/>
              </w:numPr>
              <w:rPr>
                <w:rFonts w:asciiTheme="minorHAnsi" w:hAnsiTheme="minorHAnsi" w:cstheme="minorHAnsi"/>
                <w:szCs w:val="22"/>
              </w:rPr>
            </w:pPr>
            <w:r w:rsidRPr="00411BA9">
              <w:rPr>
                <w:rFonts w:asciiTheme="minorHAnsi" w:hAnsiTheme="minorHAnsi" w:cstheme="minorHAnsi"/>
                <w:szCs w:val="22"/>
              </w:rPr>
              <w:t>Clause 10</w:t>
            </w:r>
            <w:r w:rsidR="00AE45D6" w:rsidRPr="00411BA9">
              <w:rPr>
                <w:rFonts w:asciiTheme="minorHAnsi" w:hAnsiTheme="minorHAnsi" w:cstheme="minorHAnsi"/>
                <w:szCs w:val="22"/>
              </w:rPr>
              <w:t>3</w:t>
            </w:r>
            <w:r w:rsidRPr="00411BA9">
              <w:rPr>
                <w:rFonts w:asciiTheme="minorHAnsi" w:hAnsiTheme="minorHAnsi" w:cstheme="minorHAnsi"/>
                <w:szCs w:val="22"/>
              </w:rPr>
              <w:t>.3</w:t>
            </w:r>
          </w:p>
        </w:tc>
        <w:tc>
          <w:tcPr>
            <w:tcW w:w="6783" w:type="dxa"/>
          </w:tcPr>
          <w:p w14:paraId="24003357" w14:textId="77777777" w:rsidR="00400841" w:rsidRPr="00411BA9" w:rsidRDefault="007C4A3D" w:rsidP="00402359">
            <w:pPr>
              <w:rPr>
                <w:rFonts w:asciiTheme="minorHAnsi" w:hAnsiTheme="minorHAnsi" w:cstheme="minorHAnsi"/>
                <w:szCs w:val="22"/>
              </w:rPr>
            </w:pPr>
            <w:r w:rsidRPr="00411BA9">
              <w:rPr>
                <w:rFonts w:asciiTheme="minorHAnsi" w:hAnsiTheme="minorHAnsi" w:cstheme="minorHAnsi"/>
                <w:szCs w:val="22"/>
              </w:rPr>
              <w:t>Under the Trial, DES Providers will be responsible for placing eligible Participants into Qualifying Seasonal Horticultural Work.</w:t>
            </w:r>
          </w:p>
          <w:p w14:paraId="36BE5371" w14:textId="77777777" w:rsidR="007C4A3D" w:rsidRPr="00411BA9" w:rsidRDefault="007C4A3D" w:rsidP="00402359">
            <w:pPr>
              <w:rPr>
                <w:rFonts w:asciiTheme="minorHAnsi" w:hAnsiTheme="minorHAnsi" w:cstheme="minorHAnsi"/>
                <w:szCs w:val="22"/>
              </w:rPr>
            </w:pPr>
          </w:p>
          <w:p w14:paraId="3E93F0CA" w14:textId="77777777" w:rsidR="007C4A3D" w:rsidRPr="00411BA9" w:rsidRDefault="007C4A3D" w:rsidP="007C4A3D">
            <w:pPr>
              <w:rPr>
                <w:rFonts w:asciiTheme="minorHAnsi" w:hAnsiTheme="minorHAnsi" w:cstheme="minorHAnsi"/>
                <w:szCs w:val="22"/>
              </w:rPr>
            </w:pPr>
            <w:r w:rsidRPr="00411BA9">
              <w:rPr>
                <w:rFonts w:asciiTheme="minorHAnsi" w:hAnsiTheme="minorHAnsi" w:cstheme="minorHAnsi"/>
                <w:szCs w:val="22"/>
              </w:rPr>
              <w:t xml:space="preserve">To be eligible for the Trial, Participants must be in </w:t>
            </w:r>
            <w:proofErr w:type="spellStart"/>
            <w:r w:rsidRPr="00411BA9">
              <w:rPr>
                <w:rFonts w:asciiTheme="minorHAnsi" w:hAnsiTheme="minorHAnsi" w:cstheme="minorHAnsi"/>
                <w:szCs w:val="22"/>
              </w:rPr>
              <w:t>jobactive</w:t>
            </w:r>
            <w:proofErr w:type="spellEnd"/>
            <w:r w:rsidRPr="00411BA9">
              <w:rPr>
                <w:rFonts w:asciiTheme="minorHAnsi" w:hAnsiTheme="minorHAnsi" w:cstheme="minorHAnsi"/>
                <w:szCs w:val="22"/>
              </w:rPr>
              <w:t xml:space="preserve">, Transition to Work or DES and be in receipt of </w:t>
            </w:r>
            <w:proofErr w:type="spellStart"/>
            <w:r w:rsidRPr="00411BA9">
              <w:rPr>
                <w:rFonts w:asciiTheme="minorHAnsi" w:hAnsiTheme="minorHAnsi" w:cstheme="minorHAnsi"/>
                <w:szCs w:val="22"/>
              </w:rPr>
              <w:t>Newstart</w:t>
            </w:r>
            <w:proofErr w:type="spellEnd"/>
            <w:r w:rsidRPr="00411BA9">
              <w:rPr>
                <w:rFonts w:asciiTheme="minorHAnsi" w:hAnsiTheme="minorHAnsi" w:cstheme="minorHAnsi"/>
                <w:szCs w:val="22"/>
              </w:rPr>
              <w:t xml:space="preserve"> Allowance or Youth Allowance (Other) and have been receiving those payments continuously for three months. This includes periods where a Participant has been on a nil rate.</w:t>
            </w:r>
          </w:p>
          <w:p w14:paraId="4C894DF3" w14:textId="77777777" w:rsidR="00EC0B74" w:rsidRPr="00411BA9" w:rsidRDefault="00EC0B74" w:rsidP="007C4A3D">
            <w:pPr>
              <w:rPr>
                <w:rFonts w:asciiTheme="minorHAnsi" w:hAnsiTheme="minorHAnsi" w:cstheme="minorHAnsi"/>
                <w:szCs w:val="22"/>
              </w:rPr>
            </w:pPr>
          </w:p>
          <w:p w14:paraId="4A803194" w14:textId="5A744D0D" w:rsidR="007C4A3D" w:rsidRPr="00411BA9" w:rsidRDefault="00EC0B74" w:rsidP="007C4A3D">
            <w:pPr>
              <w:rPr>
                <w:rFonts w:asciiTheme="minorHAnsi" w:hAnsiTheme="minorHAnsi" w:cstheme="minorHAnsi"/>
                <w:szCs w:val="22"/>
              </w:rPr>
            </w:pPr>
            <w:r w:rsidRPr="00411BA9">
              <w:rPr>
                <w:rFonts w:asciiTheme="minorHAnsi" w:hAnsiTheme="minorHAnsi" w:cstheme="minorHAnsi"/>
                <w:szCs w:val="22"/>
              </w:rPr>
              <w:t>DES Providers must ensure that Participants are aware of the nature of the work and relevant working conditions so that they have a realistic view</w:t>
            </w:r>
            <w:r w:rsidR="005E14A1" w:rsidRPr="00411BA9">
              <w:rPr>
                <w:rFonts w:asciiTheme="minorHAnsi" w:hAnsiTheme="minorHAnsi" w:cstheme="minorHAnsi"/>
                <w:szCs w:val="22"/>
              </w:rPr>
              <w:t xml:space="preserve"> of what the job will involve. </w:t>
            </w:r>
            <w:r w:rsidRPr="00411BA9">
              <w:rPr>
                <w:rFonts w:asciiTheme="minorHAnsi" w:hAnsiTheme="minorHAnsi" w:cstheme="minorHAnsi"/>
                <w:szCs w:val="22"/>
              </w:rPr>
              <w:t>DES Providers should refer Participants who have the capacity to complete the six weeks of the trial.</w:t>
            </w:r>
          </w:p>
          <w:p w14:paraId="32FACD7D" w14:textId="77777777" w:rsidR="00EC0B74" w:rsidRPr="00411BA9" w:rsidRDefault="00EC0B74" w:rsidP="007C4A3D">
            <w:pPr>
              <w:rPr>
                <w:rFonts w:asciiTheme="minorHAnsi" w:hAnsiTheme="minorHAnsi" w:cstheme="minorHAnsi"/>
                <w:szCs w:val="22"/>
              </w:rPr>
            </w:pPr>
          </w:p>
          <w:p w14:paraId="5AA9FC44" w14:textId="01849C73" w:rsidR="007C4A3D" w:rsidRPr="00411BA9" w:rsidRDefault="007C4A3D" w:rsidP="007C4A3D">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xml:space="preserve">: DES Providers will be able to check for any eligible Participants on their caseload in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w:t>
            </w:r>
          </w:p>
          <w:p w14:paraId="463F9DF6" w14:textId="77777777" w:rsidR="00400841" w:rsidRPr="00411BA9" w:rsidRDefault="00400841" w:rsidP="007C4A3D">
            <w:pPr>
              <w:pStyle w:val="Level2NumberBullet"/>
              <w:numPr>
                <w:ilvl w:val="0"/>
                <w:numId w:val="0"/>
              </w:numPr>
              <w:rPr>
                <w:rFonts w:asciiTheme="minorHAnsi" w:hAnsiTheme="minorHAnsi" w:cstheme="minorHAnsi"/>
                <w:b/>
                <w:szCs w:val="22"/>
              </w:rPr>
            </w:pPr>
          </w:p>
        </w:tc>
      </w:tr>
      <w:tr w:rsidR="007C4A3D" w:rsidRPr="00411BA9" w14:paraId="0C301E61" w14:textId="77777777" w:rsidTr="007C4A3D">
        <w:trPr>
          <w:jc w:val="center"/>
        </w:trPr>
        <w:tc>
          <w:tcPr>
            <w:tcW w:w="3598" w:type="dxa"/>
            <w:tcBorders>
              <w:top w:val="single" w:sz="4" w:space="0" w:color="auto"/>
              <w:left w:val="single" w:sz="4" w:space="0" w:color="auto"/>
              <w:bottom w:val="single" w:sz="4" w:space="0" w:color="auto"/>
              <w:right w:val="single" w:sz="4" w:space="0" w:color="auto"/>
            </w:tcBorders>
          </w:tcPr>
          <w:p w14:paraId="1DD65230" w14:textId="77777777" w:rsidR="007C4A3D" w:rsidRPr="00411BA9" w:rsidRDefault="007C4A3D" w:rsidP="006532B3">
            <w:pPr>
              <w:pStyle w:val="TableNumberedleftbold"/>
              <w:rPr>
                <w:rFonts w:asciiTheme="minorHAnsi" w:hAnsiTheme="minorHAnsi" w:cstheme="minorHAnsi"/>
              </w:rPr>
            </w:pPr>
            <w:r w:rsidRPr="00411BA9">
              <w:rPr>
                <w:rFonts w:asciiTheme="minorHAnsi" w:hAnsiTheme="minorHAnsi" w:cstheme="minorHAnsi"/>
              </w:rPr>
              <w:t>2. DES Provider</w:t>
            </w:r>
          </w:p>
          <w:p w14:paraId="421BC864" w14:textId="77777777" w:rsidR="007C4A3D" w:rsidRPr="00411BA9" w:rsidRDefault="007C4A3D" w:rsidP="007C4A3D">
            <w:pPr>
              <w:pStyle w:val="TableNumberedleftbold"/>
              <w:rPr>
                <w:rFonts w:asciiTheme="minorHAnsi" w:hAnsiTheme="minorHAnsi" w:cstheme="minorHAnsi"/>
              </w:rPr>
            </w:pPr>
          </w:p>
          <w:p w14:paraId="3EE36CB6" w14:textId="17D260B6" w:rsidR="007C4A3D" w:rsidRPr="00411BA9" w:rsidRDefault="007C4A3D" w:rsidP="007C4A3D">
            <w:pPr>
              <w:pStyle w:val="TableNumberedleftbold"/>
              <w:rPr>
                <w:rFonts w:asciiTheme="minorHAnsi" w:hAnsiTheme="minorHAnsi" w:cstheme="minorHAnsi"/>
              </w:rPr>
            </w:pPr>
            <w:r w:rsidRPr="00411BA9">
              <w:rPr>
                <w:rFonts w:asciiTheme="minorHAnsi" w:hAnsiTheme="minorHAnsi" w:cstheme="minorHAnsi"/>
              </w:rPr>
              <w:t>The DES Provider sources a Qualifyi</w:t>
            </w:r>
            <w:r w:rsidR="009311B5" w:rsidRPr="00411BA9">
              <w:rPr>
                <w:rFonts w:asciiTheme="minorHAnsi" w:hAnsiTheme="minorHAnsi" w:cstheme="minorHAnsi"/>
              </w:rPr>
              <w:t>ng Seasonal Horticultural Work V</w:t>
            </w:r>
            <w:r w:rsidRPr="00411BA9">
              <w:rPr>
                <w:rFonts w:asciiTheme="minorHAnsi" w:hAnsiTheme="minorHAnsi" w:cstheme="minorHAnsi"/>
              </w:rPr>
              <w:t>acancy</w:t>
            </w:r>
            <w:r w:rsidR="005E14A1" w:rsidRPr="00411BA9">
              <w:rPr>
                <w:rFonts w:asciiTheme="minorHAnsi" w:hAnsiTheme="minorHAnsi" w:cstheme="minorHAnsi"/>
              </w:rPr>
              <w:t>.</w:t>
            </w:r>
          </w:p>
          <w:p w14:paraId="35CE476D" w14:textId="77777777" w:rsidR="007C4A3D" w:rsidRPr="00411BA9" w:rsidRDefault="007C4A3D" w:rsidP="007C4A3D">
            <w:pPr>
              <w:pStyle w:val="TableNumberedleftbold"/>
              <w:rPr>
                <w:rFonts w:asciiTheme="minorHAnsi" w:hAnsiTheme="minorHAnsi" w:cstheme="minorHAnsi"/>
              </w:rPr>
            </w:pPr>
          </w:p>
          <w:p w14:paraId="4596FB1C" w14:textId="77777777" w:rsidR="007C4A3D" w:rsidRPr="00411BA9" w:rsidRDefault="007C4A3D" w:rsidP="009176B7">
            <w:pPr>
              <w:pStyle w:val="NormalItalic"/>
              <w:rPr>
                <w:rFonts w:asciiTheme="minorHAnsi" w:hAnsiTheme="minorHAnsi" w:cstheme="minorHAnsi"/>
                <w:szCs w:val="22"/>
              </w:rPr>
            </w:pPr>
            <w:r w:rsidRPr="00411BA9">
              <w:rPr>
                <w:rFonts w:asciiTheme="minorHAnsi" w:hAnsiTheme="minorHAnsi" w:cstheme="minorHAnsi"/>
                <w:szCs w:val="22"/>
              </w:rPr>
              <w:t>Disability Employment Services Grant Agreement Clauses References:</w:t>
            </w:r>
          </w:p>
          <w:p w14:paraId="4C2C4B32" w14:textId="4ED8FA63" w:rsidR="007C4A3D" w:rsidRPr="00411BA9" w:rsidRDefault="009176B7" w:rsidP="006532B3">
            <w:pPr>
              <w:numPr>
                <w:ilvl w:val="0"/>
                <w:numId w:val="24"/>
              </w:numPr>
              <w:rPr>
                <w:rFonts w:asciiTheme="minorHAnsi" w:hAnsiTheme="minorHAnsi" w:cstheme="minorHAnsi"/>
                <w:b/>
                <w:bCs/>
                <w:szCs w:val="22"/>
              </w:rPr>
            </w:pPr>
            <w:r w:rsidRPr="00411BA9">
              <w:rPr>
                <w:rFonts w:asciiTheme="minorHAnsi" w:hAnsiTheme="minorHAnsi" w:cstheme="minorHAnsi"/>
                <w:szCs w:val="22"/>
              </w:rPr>
              <w:t>Clause 10</w:t>
            </w:r>
            <w:r w:rsidR="00AE45D6" w:rsidRPr="00411BA9">
              <w:rPr>
                <w:rFonts w:asciiTheme="minorHAnsi" w:hAnsiTheme="minorHAnsi" w:cstheme="minorHAnsi"/>
                <w:szCs w:val="22"/>
              </w:rPr>
              <w:t>3</w:t>
            </w:r>
            <w:r w:rsidRPr="00411BA9">
              <w:rPr>
                <w:rFonts w:asciiTheme="minorHAnsi" w:hAnsiTheme="minorHAnsi" w:cstheme="minorHAnsi"/>
                <w:szCs w:val="22"/>
              </w:rPr>
              <w:t>.2</w:t>
            </w:r>
          </w:p>
        </w:tc>
        <w:tc>
          <w:tcPr>
            <w:tcW w:w="6783" w:type="dxa"/>
            <w:tcBorders>
              <w:top w:val="single" w:sz="4" w:space="0" w:color="auto"/>
              <w:left w:val="single" w:sz="4" w:space="0" w:color="auto"/>
              <w:bottom w:val="single" w:sz="4" w:space="0" w:color="auto"/>
              <w:right w:val="single" w:sz="4" w:space="0" w:color="auto"/>
            </w:tcBorders>
          </w:tcPr>
          <w:p w14:paraId="5A4D97D3" w14:textId="77777777" w:rsidR="00EC0B74" w:rsidRPr="00411BA9" w:rsidRDefault="00EC0B74" w:rsidP="00EC0B74">
            <w:pPr>
              <w:rPr>
                <w:rFonts w:asciiTheme="minorHAnsi" w:hAnsiTheme="minorHAnsi" w:cstheme="minorHAnsi"/>
                <w:szCs w:val="22"/>
              </w:rPr>
            </w:pPr>
            <w:r w:rsidRPr="00411BA9">
              <w:rPr>
                <w:rFonts w:asciiTheme="minorHAnsi" w:hAnsiTheme="minorHAnsi" w:cstheme="minorHAnsi"/>
                <w:szCs w:val="22"/>
              </w:rPr>
              <w:t>DES Providers are encouraged to work with suitable Employers in the seasonal horticultural industry to understand their needs and to identify opportunities for employment under the Trial.</w:t>
            </w:r>
          </w:p>
          <w:p w14:paraId="6DC6719C" w14:textId="77777777" w:rsidR="00EC0B74" w:rsidRPr="00411BA9" w:rsidRDefault="00EC0B74" w:rsidP="00EC0B74">
            <w:pPr>
              <w:rPr>
                <w:rFonts w:asciiTheme="minorHAnsi" w:hAnsiTheme="minorHAnsi" w:cstheme="minorHAnsi"/>
                <w:szCs w:val="22"/>
              </w:rPr>
            </w:pPr>
          </w:p>
          <w:p w14:paraId="71016674" w14:textId="77777777" w:rsidR="00EC0B74" w:rsidRPr="00411BA9" w:rsidRDefault="00EC0B74" w:rsidP="00EC0B74">
            <w:pPr>
              <w:rPr>
                <w:rFonts w:asciiTheme="minorHAnsi" w:hAnsiTheme="minorHAnsi" w:cstheme="minorHAnsi"/>
                <w:szCs w:val="22"/>
              </w:rPr>
            </w:pPr>
            <w:r w:rsidRPr="00411BA9">
              <w:rPr>
                <w:rFonts w:asciiTheme="minorHAnsi" w:hAnsiTheme="minorHAnsi" w:cstheme="minorHAnsi"/>
                <w:szCs w:val="22"/>
              </w:rPr>
              <w:t>DES Providers should provide Employers with information about the Trial to ensure they are aware of the opportunity available to them to have Participants placed to assist with their seasonal labour needs.</w:t>
            </w:r>
          </w:p>
          <w:p w14:paraId="5DC468D9" w14:textId="77777777" w:rsidR="00EC0B74" w:rsidRPr="00411BA9" w:rsidRDefault="00EC0B74" w:rsidP="00EC0B74">
            <w:pPr>
              <w:rPr>
                <w:rFonts w:asciiTheme="minorHAnsi" w:hAnsiTheme="minorHAnsi" w:cstheme="minorHAnsi"/>
                <w:szCs w:val="22"/>
              </w:rPr>
            </w:pPr>
          </w:p>
          <w:p w14:paraId="52F73EA6" w14:textId="77777777" w:rsidR="00EC0B74" w:rsidRPr="00411BA9" w:rsidRDefault="00EC0B74" w:rsidP="00EC0B74">
            <w:pPr>
              <w:rPr>
                <w:rFonts w:asciiTheme="minorHAnsi" w:hAnsiTheme="minorHAnsi" w:cstheme="minorHAnsi"/>
                <w:szCs w:val="22"/>
              </w:rPr>
            </w:pPr>
            <w:r w:rsidRPr="00411BA9">
              <w:rPr>
                <w:rFonts w:asciiTheme="minorHAnsi" w:hAnsiTheme="minorHAnsi" w:cstheme="minorHAnsi"/>
                <w:szCs w:val="22"/>
              </w:rPr>
              <w:t>DES Providers and Employers should work together to identify opportunities for Participants to obtain ongoing positions with the Trial Employer after their participation in the Trial is complete.</w:t>
            </w:r>
          </w:p>
          <w:p w14:paraId="722B3CC5" w14:textId="77777777" w:rsidR="008C3107" w:rsidRPr="00411BA9" w:rsidRDefault="008C3107" w:rsidP="00EC0B74">
            <w:pPr>
              <w:rPr>
                <w:rFonts w:asciiTheme="minorHAnsi" w:hAnsiTheme="minorHAnsi" w:cstheme="minorHAnsi"/>
                <w:szCs w:val="22"/>
              </w:rPr>
            </w:pPr>
          </w:p>
          <w:p w14:paraId="7FC742EE" w14:textId="77777777" w:rsidR="007C4A3D" w:rsidRPr="00411BA9" w:rsidRDefault="00EC0B74" w:rsidP="00EC0B74">
            <w:pPr>
              <w:rPr>
                <w:rFonts w:asciiTheme="minorHAnsi" w:hAnsiTheme="minorHAnsi" w:cstheme="minorHAnsi"/>
                <w:szCs w:val="22"/>
              </w:rPr>
            </w:pPr>
            <w:r w:rsidRPr="00411BA9">
              <w:rPr>
                <w:rFonts w:asciiTheme="minorHAnsi" w:hAnsiTheme="minorHAnsi" w:cstheme="minorHAnsi"/>
                <w:szCs w:val="22"/>
              </w:rPr>
              <w:t xml:space="preserve">Where eligible Participants participate in the Trial but are unable to complete their six weeks of participation, the DES Provider </w:t>
            </w:r>
            <w:r w:rsidR="00B4217C" w:rsidRPr="00411BA9">
              <w:rPr>
                <w:rFonts w:asciiTheme="minorHAnsi" w:hAnsiTheme="minorHAnsi" w:cstheme="minorHAnsi"/>
                <w:szCs w:val="22"/>
              </w:rPr>
              <w:t>can</w:t>
            </w:r>
            <w:r w:rsidRPr="00411BA9">
              <w:rPr>
                <w:rFonts w:asciiTheme="minorHAnsi" w:hAnsiTheme="minorHAnsi" w:cstheme="minorHAnsi"/>
                <w:szCs w:val="22"/>
              </w:rPr>
              <w:t xml:space="preserve"> refer another eligible Participant to fill the Vacancy for that Employer. For example, where a Participant commences in the Trial but leaves after week four, then the DES Provider may refer another eligible Participant by lodging a new Qualifying Seasonal Horticultural Work Vacancy</w:t>
            </w:r>
            <w:r w:rsidR="007C4A3D" w:rsidRPr="00411BA9">
              <w:rPr>
                <w:rFonts w:asciiTheme="minorHAnsi" w:hAnsiTheme="minorHAnsi" w:cstheme="minorHAnsi"/>
                <w:szCs w:val="22"/>
              </w:rPr>
              <w:t>.</w:t>
            </w:r>
          </w:p>
          <w:p w14:paraId="1A5F9DEC" w14:textId="77777777" w:rsidR="008C3107" w:rsidRPr="00411BA9" w:rsidRDefault="008C3107" w:rsidP="00EC0B74">
            <w:pPr>
              <w:rPr>
                <w:rFonts w:asciiTheme="minorHAnsi" w:hAnsiTheme="minorHAnsi" w:cstheme="minorHAnsi"/>
                <w:szCs w:val="22"/>
              </w:rPr>
            </w:pPr>
          </w:p>
          <w:p w14:paraId="613A2B24" w14:textId="5772A478" w:rsidR="008C3107" w:rsidRPr="00411BA9" w:rsidRDefault="008C3107" w:rsidP="008C3107">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xml:space="preserve">: DES Providers must record all Qualifying Seasonal Horticultural Work Vacancies in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 xml:space="preserve"> after ensuring that the Vacancy complies with the definition of Qualifying Seasonal Horticultural Work in the introduction of this Guideline.</w:t>
            </w:r>
          </w:p>
          <w:p w14:paraId="0F95FE11" w14:textId="77777777" w:rsidR="008C3107" w:rsidRPr="00411BA9" w:rsidRDefault="008C3107" w:rsidP="008C3107">
            <w:pPr>
              <w:rPr>
                <w:rFonts w:asciiTheme="minorHAnsi" w:hAnsiTheme="minorHAnsi" w:cstheme="minorHAnsi"/>
                <w:szCs w:val="22"/>
              </w:rPr>
            </w:pPr>
          </w:p>
          <w:p w14:paraId="08407A91" w14:textId="77777777" w:rsidR="008C3107" w:rsidRPr="00411BA9" w:rsidRDefault="008C3107" w:rsidP="008C3107">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DES Providers must ensure that details of each Vacancy are complete and up to date, including job description, employer details, hours, occupation and category/specific occupation.</w:t>
            </w:r>
          </w:p>
          <w:p w14:paraId="2CAABC7B" w14:textId="77777777" w:rsidR="008C3107" w:rsidRPr="00411BA9" w:rsidRDefault="008C3107" w:rsidP="008C3107">
            <w:pPr>
              <w:rPr>
                <w:rFonts w:asciiTheme="minorHAnsi" w:hAnsiTheme="minorHAnsi" w:cstheme="minorHAnsi"/>
                <w:szCs w:val="22"/>
              </w:rPr>
            </w:pPr>
          </w:p>
          <w:p w14:paraId="2D0D902E" w14:textId="77777777" w:rsidR="008C3107" w:rsidRPr="00411BA9" w:rsidRDefault="008C3107" w:rsidP="008C3107">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DES Providers must select the Vacancy type ‘Qualifying Seasonal Horticultural Work’, to attract the Provider Seasonal Work Incentive Payment and the Seasonal Work Living Away and Travel Allowance.</w:t>
            </w:r>
          </w:p>
          <w:p w14:paraId="7C60F1D9" w14:textId="77777777" w:rsidR="007C4A3D" w:rsidRPr="00411BA9" w:rsidRDefault="007C4A3D" w:rsidP="007C4A3D">
            <w:pPr>
              <w:rPr>
                <w:rFonts w:asciiTheme="minorHAnsi" w:hAnsiTheme="minorHAnsi" w:cstheme="minorHAnsi"/>
                <w:szCs w:val="22"/>
              </w:rPr>
            </w:pPr>
          </w:p>
          <w:p w14:paraId="2E2B1A6D" w14:textId="77777777" w:rsidR="008C3107" w:rsidRPr="00411BA9" w:rsidRDefault="008C3107" w:rsidP="008C3107">
            <w:pPr>
              <w:pStyle w:val="TableBlackHeading"/>
              <w:rPr>
                <w:rFonts w:asciiTheme="minorHAnsi" w:hAnsiTheme="minorHAnsi" w:cstheme="minorHAnsi"/>
                <w:b w:val="0"/>
                <w:sz w:val="22"/>
                <w:szCs w:val="22"/>
                <w:u w:val="single"/>
              </w:rPr>
            </w:pPr>
            <w:r w:rsidRPr="00411BA9">
              <w:rPr>
                <w:rFonts w:asciiTheme="minorHAnsi" w:hAnsiTheme="minorHAnsi" w:cstheme="minorHAnsi"/>
                <w:b w:val="0"/>
                <w:sz w:val="22"/>
                <w:szCs w:val="22"/>
                <w:u w:val="single"/>
              </w:rPr>
              <w:t>Checking Minimum Wage</w:t>
            </w:r>
          </w:p>
          <w:p w14:paraId="46A1A688" w14:textId="77777777" w:rsidR="008C3107" w:rsidRPr="00411BA9" w:rsidRDefault="008C3107" w:rsidP="008C3107">
            <w:pPr>
              <w:rPr>
                <w:rFonts w:asciiTheme="minorHAnsi" w:hAnsiTheme="minorHAnsi" w:cstheme="minorHAnsi"/>
                <w:szCs w:val="22"/>
              </w:rPr>
            </w:pPr>
            <w:r w:rsidRPr="00411BA9">
              <w:rPr>
                <w:rFonts w:asciiTheme="minorHAnsi" w:hAnsiTheme="minorHAnsi" w:cstheme="minorHAnsi"/>
                <w:szCs w:val="22"/>
              </w:rPr>
              <w:t>At the time of lodging a Qualifying Seasonal Horticultural Work Vacancy, DES Providers must make sure the relevant minimum wage for the eligible Participant is satisfied and that the Participant has information relating to the National Minimum Wage and the Fair Work Ombudsman.</w:t>
            </w:r>
          </w:p>
          <w:p w14:paraId="427E8E91" w14:textId="77777777" w:rsidR="00B4217C" w:rsidRPr="00411BA9" w:rsidRDefault="00B4217C" w:rsidP="008C3107">
            <w:pPr>
              <w:rPr>
                <w:rFonts w:asciiTheme="minorHAnsi" w:hAnsiTheme="minorHAnsi" w:cstheme="minorHAnsi"/>
                <w:szCs w:val="22"/>
              </w:rPr>
            </w:pPr>
          </w:p>
        </w:tc>
      </w:tr>
      <w:tr w:rsidR="008C3107" w:rsidRPr="00411BA9" w14:paraId="33464726" w14:textId="77777777" w:rsidTr="008C3107">
        <w:trPr>
          <w:jc w:val="center"/>
        </w:trPr>
        <w:tc>
          <w:tcPr>
            <w:tcW w:w="3598" w:type="dxa"/>
            <w:tcBorders>
              <w:top w:val="single" w:sz="4" w:space="0" w:color="auto"/>
              <w:left w:val="single" w:sz="4" w:space="0" w:color="auto"/>
              <w:bottom w:val="single" w:sz="4" w:space="0" w:color="auto"/>
              <w:right w:val="single" w:sz="4" w:space="0" w:color="auto"/>
            </w:tcBorders>
          </w:tcPr>
          <w:p w14:paraId="2D0A3094" w14:textId="77777777" w:rsidR="008C3107" w:rsidRPr="00411BA9" w:rsidRDefault="00C2231C" w:rsidP="0061288E">
            <w:pPr>
              <w:pStyle w:val="TableNumberedleftbold"/>
              <w:rPr>
                <w:rFonts w:asciiTheme="minorHAnsi" w:hAnsiTheme="minorHAnsi" w:cstheme="minorHAnsi"/>
              </w:rPr>
            </w:pPr>
            <w:r w:rsidRPr="00411BA9">
              <w:rPr>
                <w:rFonts w:asciiTheme="minorHAnsi" w:hAnsiTheme="minorHAnsi" w:cstheme="minorHAnsi"/>
              </w:rPr>
              <w:lastRenderedPageBreak/>
              <w:t>3</w:t>
            </w:r>
            <w:r w:rsidR="008C3107" w:rsidRPr="00411BA9">
              <w:rPr>
                <w:rFonts w:asciiTheme="minorHAnsi" w:hAnsiTheme="minorHAnsi" w:cstheme="minorHAnsi"/>
              </w:rPr>
              <w:t>. DES Provider</w:t>
            </w:r>
          </w:p>
          <w:p w14:paraId="7AF66039" w14:textId="77777777" w:rsidR="008C3107" w:rsidRPr="00411BA9" w:rsidRDefault="008C3107" w:rsidP="0061288E">
            <w:pPr>
              <w:pStyle w:val="TableNumberedleftbold"/>
              <w:rPr>
                <w:rFonts w:asciiTheme="minorHAnsi" w:hAnsiTheme="minorHAnsi" w:cstheme="minorHAnsi"/>
              </w:rPr>
            </w:pPr>
          </w:p>
          <w:p w14:paraId="58D66F54" w14:textId="51F6DED1" w:rsidR="008C3107" w:rsidRPr="00411BA9" w:rsidRDefault="008C3107" w:rsidP="0061288E">
            <w:pPr>
              <w:pStyle w:val="TableNumberedleftbold"/>
              <w:rPr>
                <w:rFonts w:asciiTheme="minorHAnsi" w:hAnsiTheme="minorHAnsi" w:cstheme="minorHAnsi"/>
              </w:rPr>
            </w:pPr>
            <w:r w:rsidRPr="00411BA9">
              <w:rPr>
                <w:rFonts w:asciiTheme="minorHAnsi" w:hAnsiTheme="minorHAnsi" w:cstheme="minorHAnsi"/>
              </w:rPr>
              <w:t>The DES Provider refers eligible Participants to Qualifyi</w:t>
            </w:r>
            <w:r w:rsidR="00687530" w:rsidRPr="00411BA9">
              <w:rPr>
                <w:rFonts w:asciiTheme="minorHAnsi" w:hAnsiTheme="minorHAnsi" w:cstheme="minorHAnsi"/>
              </w:rPr>
              <w:t>ng Seasonal Horticultural Work  V</w:t>
            </w:r>
            <w:r w:rsidRPr="00411BA9">
              <w:rPr>
                <w:rFonts w:asciiTheme="minorHAnsi" w:hAnsiTheme="minorHAnsi" w:cstheme="minorHAnsi"/>
              </w:rPr>
              <w:t>acancies</w:t>
            </w:r>
            <w:r w:rsidR="003F62BB" w:rsidRPr="00411BA9">
              <w:rPr>
                <w:rFonts w:asciiTheme="minorHAnsi" w:hAnsiTheme="minorHAnsi" w:cstheme="minorHAnsi"/>
              </w:rPr>
              <w:t>.</w:t>
            </w:r>
          </w:p>
          <w:p w14:paraId="3579D6D6" w14:textId="77777777" w:rsidR="008C3107" w:rsidRPr="00411BA9" w:rsidRDefault="008C3107" w:rsidP="0061288E">
            <w:pPr>
              <w:pStyle w:val="TableNumberedleftbold"/>
              <w:rPr>
                <w:rFonts w:asciiTheme="minorHAnsi" w:hAnsiTheme="minorHAnsi" w:cstheme="minorHAnsi"/>
              </w:rPr>
            </w:pPr>
          </w:p>
          <w:p w14:paraId="1E33AA1C" w14:textId="77777777" w:rsidR="008C3107" w:rsidRPr="00411BA9" w:rsidRDefault="008C3107" w:rsidP="009176B7">
            <w:pPr>
              <w:pStyle w:val="NormalItalic"/>
              <w:rPr>
                <w:rFonts w:asciiTheme="minorHAnsi" w:hAnsiTheme="minorHAnsi" w:cstheme="minorHAnsi"/>
                <w:szCs w:val="22"/>
              </w:rPr>
            </w:pPr>
            <w:r w:rsidRPr="00411BA9">
              <w:rPr>
                <w:rFonts w:asciiTheme="minorHAnsi" w:hAnsiTheme="minorHAnsi" w:cstheme="minorHAnsi"/>
                <w:szCs w:val="22"/>
              </w:rPr>
              <w:t>Disability Employment Services Grant Agreement Clauses References:</w:t>
            </w:r>
          </w:p>
          <w:p w14:paraId="3F11A9E5" w14:textId="750A754A" w:rsidR="008C3107" w:rsidRPr="00411BA9" w:rsidRDefault="009176B7" w:rsidP="0061288E">
            <w:pPr>
              <w:numPr>
                <w:ilvl w:val="0"/>
                <w:numId w:val="24"/>
              </w:numPr>
              <w:rPr>
                <w:rFonts w:asciiTheme="minorHAnsi" w:hAnsiTheme="minorHAnsi" w:cstheme="minorHAnsi"/>
                <w:b/>
                <w:bCs/>
                <w:szCs w:val="22"/>
              </w:rPr>
            </w:pPr>
            <w:r w:rsidRPr="00411BA9">
              <w:rPr>
                <w:rFonts w:asciiTheme="minorHAnsi" w:hAnsiTheme="minorHAnsi" w:cstheme="minorHAnsi"/>
                <w:szCs w:val="22"/>
              </w:rPr>
              <w:t>Clause 10</w:t>
            </w:r>
            <w:r w:rsidR="00AE45D6" w:rsidRPr="00411BA9">
              <w:rPr>
                <w:rFonts w:asciiTheme="minorHAnsi" w:hAnsiTheme="minorHAnsi" w:cstheme="minorHAnsi"/>
                <w:szCs w:val="22"/>
              </w:rPr>
              <w:t>3</w:t>
            </w:r>
            <w:r w:rsidRPr="00411BA9">
              <w:rPr>
                <w:rFonts w:asciiTheme="minorHAnsi" w:hAnsiTheme="minorHAnsi" w:cstheme="minorHAnsi"/>
                <w:szCs w:val="22"/>
              </w:rPr>
              <w:t>.3</w:t>
            </w:r>
          </w:p>
        </w:tc>
        <w:tc>
          <w:tcPr>
            <w:tcW w:w="6783" w:type="dxa"/>
            <w:tcBorders>
              <w:top w:val="single" w:sz="4" w:space="0" w:color="auto"/>
              <w:left w:val="single" w:sz="4" w:space="0" w:color="auto"/>
              <w:bottom w:val="single" w:sz="4" w:space="0" w:color="auto"/>
              <w:right w:val="single" w:sz="4" w:space="0" w:color="auto"/>
            </w:tcBorders>
          </w:tcPr>
          <w:p w14:paraId="23AF9919" w14:textId="77777777" w:rsidR="008C3107" w:rsidRPr="00411BA9" w:rsidRDefault="008C3107" w:rsidP="008C3107">
            <w:pPr>
              <w:rPr>
                <w:rFonts w:asciiTheme="minorHAnsi" w:hAnsiTheme="minorHAnsi" w:cstheme="minorHAnsi"/>
                <w:szCs w:val="22"/>
              </w:rPr>
            </w:pPr>
            <w:r w:rsidRPr="00411BA9">
              <w:rPr>
                <w:rFonts w:asciiTheme="minorHAnsi" w:hAnsiTheme="minorHAnsi" w:cstheme="minorHAnsi"/>
                <w:szCs w:val="22"/>
              </w:rPr>
              <w:t>DES Providers must:</w:t>
            </w:r>
          </w:p>
          <w:p w14:paraId="229124EF" w14:textId="473DD8DA" w:rsidR="008C3107" w:rsidRPr="00411BA9" w:rsidRDefault="008C3107" w:rsidP="005A7BDE">
            <w:pPr>
              <w:pStyle w:val="Bullet"/>
              <w:numPr>
                <w:ilvl w:val="0"/>
                <w:numId w:val="38"/>
              </w:numPr>
              <w:rPr>
                <w:rFonts w:asciiTheme="minorHAnsi" w:hAnsiTheme="minorHAnsi" w:cstheme="minorHAnsi"/>
                <w:szCs w:val="22"/>
              </w:rPr>
            </w:pPr>
            <w:r w:rsidRPr="00411BA9">
              <w:rPr>
                <w:rFonts w:asciiTheme="minorHAnsi" w:hAnsiTheme="minorHAnsi" w:cstheme="minorHAnsi"/>
                <w:szCs w:val="22"/>
              </w:rPr>
              <w:t xml:space="preserve">provide eligible Participants with information on the Trial including the Seasonal Horticulture Work Income Exemption Fact Sheet which details how they are required to report their earnings to </w:t>
            </w:r>
            <w:proofErr w:type="spellStart"/>
            <w:r w:rsidRPr="00411BA9">
              <w:rPr>
                <w:rFonts w:asciiTheme="minorHAnsi" w:hAnsiTheme="minorHAnsi" w:cstheme="minorHAnsi"/>
                <w:szCs w:val="22"/>
              </w:rPr>
              <w:t>DHS</w:t>
            </w:r>
            <w:proofErr w:type="spellEnd"/>
            <w:r w:rsidRPr="00411BA9">
              <w:rPr>
                <w:rFonts w:asciiTheme="minorHAnsi" w:hAnsiTheme="minorHAnsi" w:cstheme="minorHAnsi"/>
                <w:szCs w:val="22"/>
              </w:rPr>
              <w:t>;</w:t>
            </w:r>
          </w:p>
          <w:p w14:paraId="354297ED" w14:textId="2AB4F9BD" w:rsidR="008C3107" w:rsidRPr="00411BA9" w:rsidRDefault="008C3107" w:rsidP="005A7BDE">
            <w:pPr>
              <w:pStyle w:val="Bullet"/>
              <w:numPr>
                <w:ilvl w:val="0"/>
                <w:numId w:val="38"/>
              </w:numPr>
              <w:rPr>
                <w:rFonts w:asciiTheme="minorHAnsi" w:hAnsiTheme="minorHAnsi" w:cstheme="minorHAnsi"/>
                <w:szCs w:val="22"/>
              </w:rPr>
            </w:pPr>
            <w:r w:rsidRPr="00411BA9">
              <w:rPr>
                <w:rFonts w:asciiTheme="minorHAnsi" w:hAnsiTheme="minorHAnsi" w:cstheme="minorHAnsi"/>
                <w:szCs w:val="22"/>
              </w:rPr>
              <w:t xml:space="preserve">encourage eligible Participants to consider Qualifying Seasonal Horticultural Work job opportunities within and outside their local area, and explain to them the availability of the Seasonal Work Living Away and Travel Allowance including that it is considered personal (taxable) income but will not affect their </w:t>
            </w:r>
            <w:proofErr w:type="spellStart"/>
            <w:r w:rsidRPr="00411BA9">
              <w:rPr>
                <w:rFonts w:asciiTheme="minorHAnsi" w:hAnsiTheme="minorHAnsi" w:cstheme="minorHAnsi"/>
                <w:szCs w:val="22"/>
              </w:rPr>
              <w:t>Newstart</w:t>
            </w:r>
            <w:proofErr w:type="spellEnd"/>
            <w:r w:rsidRPr="00411BA9">
              <w:rPr>
                <w:rFonts w:asciiTheme="minorHAnsi" w:hAnsiTheme="minorHAnsi" w:cstheme="minorHAnsi"/>
                <w:szCs w:val="22"/>
              </w:rPr>
              <w:t xml:space="preserve"> or Youth Allowance (Other) payments;</w:t>
            </w:r>
          </w:p>
          <w:p w14:paraId="56CB344A" w14:textId="7BDD99A1" w:rsidR="008C3107" w:rsidRPr="00411BA9" w:rsidRDefault="008C3107" w:rsidP="005A7BDE">
            <w:pPr>
              <w:pStyle w:val="Bullet"/>
              <w:numPr>
                <w:ilvl w:val="0"/>
                <w:numId w:val="38"/>
              </w:numPr>
              <w:rPr>
                <w:rFonts w:asciiTheme="minorHAnsi" w:hAnsiTheme="minorHAnsi" w:cstheme="minorHAnsi"/>
                <w:szCs w:val="22"/>
              </w:rPr>
            </w:pPr>
            <w:r w:rsidRPr="00411BA9">
              <w:rPr>
                <w:rFonts w:asciiTheme="minorHAnsi" w:hAnsiTheme="minorHAnsi" w:cstheme="minorHAnsi"/>
                <w:szCs w:val="22"/>
              </w:rPr>
              <w:t>ensure the Participant is aware of the nature of Qualifying Seasonal Horticultural Work and the importance of them continuing in the placement, particularly if they have received the Seasonal Work Living Away and Travel Allowance;</w:t>
            </w:r>
          </w:p>
          <w:p w14:paraId="4CA1E8E1" w14:textId="7F5BAABF" w:rsidR="008C3107" w:rsidRPr="00411BA9" w:rsidRDefault="008C3107" w:rsidP="005A7BDE">
            <w:pPr>
              <w:pStyle w:val="Bullet"/>
              <w:numPr>
                <w:ilvl w:val="0"/>
                <w:numId w:val="38"/>
              </w:numPr>
              <w:rPr>
                <w:rFonts w:asciiTheme="minorHAnsi" w:hAnsiTheme="minorHAnsi" w:cstheme="minorHAnsi"/>
                <w:szCs w:val="22"/>
              </w:rPr>
            </w:pPr>
            <w:r w:rsidRPr="00411BA9">
              <w:rPr>
                <w:rFonts w:asciiTheme="minorHAnsi" w:hAnsiTheme="minorHAnsi" w:cstheme="minorHAnsi"/>
                <w:szCs w:val="22"/>
              </w:rPr>
              <w:t>ensure that any Participants they are going to refer to Qualifying Seasonal Horticultural Work Vacancies meet the needs of Employers; and</w:t>
            </w:r>
          </w:p>
          <w:p w14:paraId="7A6FCC16" w14:textId="7AB26BED" w:rsidR="008C3107" w:rsidRPr="00411BA9" w:rsidRDefault="008C3107" w:rsidP="005A7BDE">
            <w:pPr>
              <w:pStyle w:val="Bullet"/>
              <w:numPr>
                <w:ilvl w:val="0"/>
                <w:numId w:val="38"/>
              </w:numPr>
              <w:rPr>
                <w:rFonts w:asciiTheme="minorHAnsi" w:hAnsiTheme="minorHAnsi" w:cstheme="minorHAnsi"/>
                <w:szCs w:val="22"/>
              </w:rPr>
            </w:pPr>
            <w:r w:rsidRPr="00411BA9">
              <w:rPr>
                <w:rFonts w:asciiTheme="minorHAnsi" w:hAnsiTheme="minorHAnsi" w:cstheme="minorHAnsi"/>
                <w:szCs w:val="22"/>
              </w:rPr>
              <w:t>refer suitable eligible Participants to Qualifying Seasonal Horticultural Work Vacancies.</w:t>
            </w:r>
          </w:p>
          <w:p w14:paraId="2DF56BB8" w14:textId="77777777" w:rsidR="00C2231C" w:rsidRPr="00411BA9" w:rsidRDefault="00C2231C" w:rsidP="00C2231C">
            <w:pPr>
              <w:pStyle w:val="Bullet"/>
              <w:tabs>
                <w:tab w:val="num" w:pos="720"/>
              </w:tabs>
              <w:ind w:left="360" w:hanging="360"/>
              <w:rPr>
                <w:rFonts w:asciiTheme="minorHAnsi" w:hAnsiTheme="minorHAnsi" w:cstheme="minorHAnsi"/>
                <w:szCs w:val="22"/>
              </w:rPr>
            </w:pPr>
          </w:p>
          <w:p w14:paraId="3B3231E8" w14:textId="22792BED"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xml:space="preserve">: The DES Provider must place the Participant into the Qualifying Seasonal Horticultural Work Vacancy and enter the date that the Participant started working when an eligible Participant </w:t>
            </w:r>
            <w:r w:rsidR="00EE0088" w:rsidRPr="00411BA9">
              <w:rPr>
                <w:rFonts w:asciiTheme="minorHAnsi" w:hAnsiTheme="minorHAnsi" w:cstheme="minorHAnsi"/>
                <w:szCs w:val="22"/>
              </w:rPr>
              <w:t xml:space="preserve">is participating in the Trial. </w:t>
            </w:r>
            <w:r w:rsidRPr="00411BA9">
              <w:rPr>
                <w:rFonts w:asciiTheme="minorHAnsi" w:hAnsiTheme="minorHAnsi" w:cstheme="minorHAnsi"/>
                <w:szCs w:val="22"/>
              </w:rPr>
              <w:t>This becomes the Qualifying Seasonal Horticultural Work Placement Start Date.</w:t>
            </w:r>
          </w:p>
          <w:p w14:paraId="0FB176BD" w14:textId="77777777" w:rsidR="00C2231C" w:rsidRPr="00411BA9" w:rsidRDefault="00C2231C" w:rsidP="00C2231C">
            <w:pPr>
              <w:rPr>
                <w:rFonts w:asciiTheme="minorHAnsi" w:hAnsiTheme="minorHAnsi" w:cstheme="minorHAnsi"/>
                <w:szCs w:val="22"/>
              </w:rPr>
            </w:pPr>
          </w:p>
          <w:p w14:paraId="2624E1E4" w14:textId="641C6E61"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xml:space="preserve">: The Qualifying Seasonal Horticultural Work Placement Start Date must be recorded within 28 days of the Participant commencing in the Trial. </w:t>
            </w:r>
            <w:r w:rsidR="00F208A1" w:rsidRPr="00411BA9">
              <w:rPr>
                <w:rFonts w:asciiTheme="minorHAnsi" w:hAnsiTheme="minorHAnsi" w:cstheme="minorHAnsi"/>
                <w:szCs w:val="22"/>
              </w:rPr>
              <w:t>T</w:t>
            </w:r>
            <w:r w:rsidRPr="00411BA9">
              <w:rPr>
                <w:rFonts w:asciiTheme="minorHAnsi" w:hAnsiTheme="minorHAnsi" w:cstheme="minorHAnsi"/>
                <w:szCs w:val="22"/>
              </w:rPr>
              <w:t xml:space="preserve">he Provider Seasonal Work Incentive Payment will not become available unless the Qualifying Seasonal Horticultural Work Placement Start Date has been entered into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w:t>
            </w:r>
          </w:p>
          <w:p w14:paraId="6FFAA844" w14:textId="77777777" w:rsidR="00C2231C" w:rsidRPr="00411BA9" w:rsidRDefault="00C2231C" w:rsidP="00C2231C">
            <w:pPr>
              <w:rPr>
                <w:rFonts w:asciiTheme="minorHAnsi" w:hAnsiTheme="minorHAnsi" w:cstheme="minorHAnsi"/>
                <w:szCs w:val="22"/>
              </w:rPr>
            </w:pPr>
          </w:p>
          <w:p w14:paraId="3108A247" w14:textId="05C62D0B" w:rsidR="00F208A1" w:rsidRPr="00411BA9" w:rsidRDefault="00C2231C" w:rsidP="000F03EC">
            <w:pPr>
              <w:spacing w:after="120"/>
              <w:rPr>
                <w:rFonts w:asciiTheme="minorHAnsi" w:hAnsiTheme="minorHAnsi" w:cstheme="minorHAnsi"/>
                <w:szCs w:val="22"/>
              </w:rPr>
            </w:pPr>
            <w:r w:rsidRPr="00411BA9">
              <w:rPr>
                <w:rFonts w:asciiTheme="minorHAnsi" w:hAnsiTheme="minorHAnsi" w:cstheme="minorHAnsi"/>
                <w:szCs w:val="22"/>
              </w:rPr>
              <w:t xml:space="preserve">Please refer to </w:t>
            </w:r>
            <w:proofErr w:type="spellStart"/>
            <w:r w:rsidRPr="00411BA9">
              <w:rPr>
                <w:rFonts w:asciiTheme="minorHAnsi" w:hAnsiTheme="minorHAnsi" w:cstheme="minorHAnsi"/>
                <w:szCs w:val="22"/>
              </w:rPr>
              <w:t>ESSWeb</w:t>
            </w:r>
            <w:proofErr w:type="spellEnd"/>
            <w:r w:rsidRPr="00411BA9">
              <w:rPr>
                <w:rFonts w:asciiTheme="minorHAnsi" w:hAnsiTheme="minorHAnsi" w:cstheme="minorHAnsi"/>
                <w:szCs w:val="22"/>
              </w:rPr>
              <w:t xml:space="preserve"> Help for further information on how to refer a Participant in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w:t>
            </w:r>
            <w:r w:rsidR="000F03EC" w:rsidRPr="00411BA9">
              <w:rPr>
                <w:rFonts w:asciiTheme="minorHAnsi" w:hAnsiTheme="minorHAnsi" w:cstheme="minorHAnsi"/>
                <w:szCs w:val="22"/>
              </w:rPr>
              <w:t xml:space="preserve"> </w:t>
            </w:r>
          </w:p>
        </w:tc>
      </w:tr>
      <w:tr w:rsidR="00C2231C" w:rsidRPr="00411BA9" w14:paraId="61AE186F" w14:textId="77777777" w:rsidTr="00C2231C">
        <w:trPr>
          <w:jc w:val="center"/>
        </w:trPr>
        <w:tc>
          <w:tcPr>
            <w:tcW w:w="3598" w:type="dxa"/>
            <w:tcBorders>
              <w:top w:val="single" w:sz="4" w:space="0" w:color="auto"/>
              <w:left w:val="single" w:sz="4" w:space="0" w:color="auto"/>
              <w:bottom w:val="single" w:sz="4" w:space="0" w:color="auto"/>
              <w:right w:val="single" w:sz="4" w:space="0" w:color="auto"/>
            </w:tcBorders>
          </w:tcPr>
          <w:p w14:paraId="2A244FFA" w14:textId="77777777" w:rsidR="00C2231C" w:rsidRPr="00411BA9" w:rsidRDefault="00C2231C" w:rsidP="00396869">
            <w:pPr>
              <w:pStyle w:val="TableNumberedleftbold"/>
              <w:rPr>
                <w:rFonts w:asciiTheme="minorHAnsi" w:hAnsiTheme="minorHAnsi" w:cstheme="minorHAnsi"/>
              </w:rPr>
            </w:pPr>
            <w:r w:rsidRPr="00411BA9">
              <w:rPr>
                <w:rFonts w:asciiTheme="minorHAnsi" w:hAnsiTheme="minorHAnsi" w:cstheme="minorHAnsi"/>
              </w:rPr>
              <w:t>4. DES Provider</w:t>
            </w:r>
          </w:p>
          <w:p w14:paraId="4E1CF51F" w14:textId="77777777" w:rsidR="00C2231C" w:rsidRPr="00411BA9" w:rsidRDefault="00C2231C" w:rsidP="00396869">
            <w:pPr>
              <w:pStyle w:val="TableNumberedleftbold"/>
              <w:rPr>
                <w:rFonts w:asciiTheme="minorHAnsi" w:hAnsiTheme="minorHAnsi" w:cstheme="minorHAnsi"/>
              </w:rPr>
            </w:pPr>
          </w:p>
          <w:p w14:paraId="47F49528" w14:textId="6B76E085" w:rsidR="00C2231C" w:rsidRPr="00411BA9" w:rsidRDefault="00C2231C" w:rsidP="00396869">
            <w:pPr>
              <w:pStyle w:val="TableNumberedleftbold"/>
              <w:rPr>
                <w:rFonts w:asciiTheme="minorHAnsi" w:hAnsiTheme="minorHAnsi" w:cstheme="minorHAnsi"/>
              </w:rPr>
            </w:pPr>
            <w:r w:rsidRPr="00411BA9">
              <w:rPr>
                <w:rFonts w:asciiTheme="minorHAnsi" w:hAnsiTheme="minorHAnsi" w:cstheme="minorHAnsi"/>
              </w:rPr>
              <w:t>The DES Provider claims a Provider Seasonal Work Incentive Payment</w:t>
            </w:r>
            <w:r w:rsidR="0086269C" w:rsidRPr="00411BA9">
              <w:rPr>
                <w:rFonts w:asciiTheme="minorHAnsi" w:hAnsiTheme="minorHAnsi" w:cstheme="minorHAnsi"/>
              </w:rPr>
              <w:t>.</w:t>
            </w:r>
          </w:p>
          <w:p w14:paraId="0D0AF2C8" w14:textId="77777777" w:rsidR="00C2231C" w:rsidRPr="00411BA9" w:rsidRDefault="00C2231C" w:rsidP="00396869">
            <w:pPr>
              <w:pStyle w:val="TableNumberedleftbold"/>
              <w:rPr>
                <w:rFonts w:asciiTheme="minorHAnsi" w:hAnsiTheme="minorHAnsi" w:cstheme="minorHAnsi"/>
              </w:rPr>
            </w:pPr>
          </w:p>
          <w:p w14:paraId="78108E90" w14:textId="77777777" w:rsidR="00C2231C" w:rsidRPr="00411BA9" w:rsidRDefault="00C2231C" w:rsidP="009176B7">
            <w:pPr>
              <w:pStyle w:val="NormalItalic"/>
              <w:rPr>
                <w:rFonts w:asciiTheme="minorHAnsi" w:hAnsiTheme="minorHAnsi" w:cstheme="minorHAnsi"/>
                <w:szCs w:val="22"/>
              </w:rPr>
            </w:pPr>
            <w:r w:rsidRPr="00411BA9">
              <w:rPr>
                <w:rFonts w:asciiTheme="minorHAnsi" w:hAnsiTheme="minorHAnsi" w:cstheme="minorHAnsi"/>
                <w:szCs w:val="22"/>
              </w:rPr>
              <w:t>Disability Employment Services Grant Agreement Clauses References:</w:t>
            </w:r>
          </w:p>
          <w:p w14:paraId="2E3A1516" w14:textId="2D42831B" w:rsidR="00C2231C" w:rsidRPr="00411BA9" w:rsidRDefault="009176B7" w:rsidP="009176B7">
            <w:pPr>
              <w:numPr>
                <w:ilvl w:val="0"/>
                <w:numId w:val="24"/>
              </w:numPr>
              <w:rPr>
                <w:rFonts w:asciiTheme="minorHAnsi" w:hAnsiTheme="minorHAnsi" w:cstheme="minorHAnsi"/>
                <w:b/>
                <w:bCs/>
                <w:szCs w:val="22"/>
              </w:rPr>
            </w:pPr>
            <w:r w:rsidRPr="00411BA9">
              <w:rPr>
                <w:rFonts w:asciiTheme="minorHAnsi" w:hAnsiTheme="minorHAnsi" w:cstheme="minorHAnsi"/>
                <w:szCs w:val="22"/>
              </w:rPr>
              <w:lastRenderedPageBreak/>
              <w:t>Clause 10</w:t>
            </w:r>
            <w:r w:rsidR="00AE45D6" w:rsidRPr="00411BA9">
              <w:rPr>
                <w:rFonts w:asciiTheme="minorHAnsi" w:hAnsiTheme="minorHAnsi" w:cstheme="minorHAnsi"/>
                <w:szCs w:val="22"/>
              </w:rPr>
              <w:t>3</w:t>
            </w:r>
            <w:r w:rsidRPr="00411BA9">
              <w:rPr>
                <w:rFonts w:asciiTheme="minorHAnsi" w:hAnsiTheme="minorHAnsi" w:cstheme="minorHAnsi"/>
                <w:szCs w:val="22"/>
              </w:rPr>
              <w:t>.3</w:t>
            </w:r>
          </w:p>
          <w:p w14:paraId="0547C0B1" w14:textId="2DE9CE78" w:rsidR="00C54F64" w:rsidRPr="00411BA9" w:rsidRDefault="00C54F64" w:rsidP="007A0F45">
            <w:pPr>
              <w:numPr>
                <w:ilvl w:val="0"/>
                <w:numId w:val="24"/>
              </w:numPr>
              <w:rPr>
                <w:rFonts w:asciiTheme="minorHAnsi" w:hAnsiTheme="minorHAnsi" w:cstheme="minorHAnsi"/>
                <w:b/>
                <w:bCs/>
                <w:szCs w:val="22"/>
              </w:rPr>
            </w:pPr>
            <w:r w:rsidRPr="00411BA9">
              <w:rPr>
                <w:rFonts w:asciiTheme="minorHAnsi" w:hAnsiTheme="minorHAnsi" w:cstheme="minorHAnsi"/>
                <w:szCs w:val="22"/>
              </w:rPr>
              <w:t xml:space="preserve">Annexure </w:t>
            </w:r>
            <w:proofErr w:type="spellStart"/>
            <w:r w:rsidR="007A0F45" w:rsidRPr="00411BA9">
              <w:rPr>
                <w:rFonts w:asciiTheme="minorHAnsi" w:hAnsiTheme="minorHAnsi" w:cstheme="minorHAnsi"/>
                <w:szCs w:val="22"/>
              </w:rPr>
              <w:t>B3</w:t>
            </w:r>
            <w:proofErr w:type="spellEnd"/>
          </w:p>
        </w:tc>
        <w:tc>
          <w:tcPr>
            <w:tcW w:w="6783" w:type="dxa"/>
            <w:tcBorders>
              <w:top w:val="single" w:sz="4" w:space="0" w:color="auto"/>
              <w:left w:val="single" w:sz="4" w:space="0" w:color="auto"/>
              <w:bottom w:val="single" w:sz="4" w:space="0" w:color="auto"/>
              <w:right w:val="single" w:sz="4" w:space="0" w:color="auto"/>
            </w:tcBorders>
          </w:tcPr>
          <w:p w14:paraId="2CB7F5A8" w14:textId="77777777"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lastRenderedPageBreak/>
              <w:t>DES Providers may claim a Provider Seasonal Work Incentive Payment of $100 per week for up to six weeks for each eligible Participant who participates in the Trial. The payment may be claimed by the DES Provider where:</w:t>
            </w:r>
          </w:p>
          <w:p w14:paraId="28580014" w14:textId="0111F9FD" w:rsidR="00C2231C" w:rsidRPr="00411BA9" w:rsidRDefault="00C2231C" w:rsidP="005A7BDE">
            <w:pPr>
              <w:pStyle w:val="Bullet"/>
              <w:numPr>
                <w:ilvl w:val="0"/>
                <w:numId w:val="38"/>
              </w:numPr>
              <w:rPr>
                <w:rFonts w:asciiTheme="minorHAnsi" w:hAnsiTheme="minorHAnsi" w:cstheme="minorHAnsi"/>
                <w:szCs w:val="22"/>
              </w:rPr>
            </w:pPr>
            <w:r w:rsidRPr="00411BA9">
              <w:rPr>
                <w:rFonts w:asciiTheme="minorHAnsi" w:hAnsiTheme="minorHAnsi" w:cstheme="minorHAnsi"/>
                <w:szCs w:val="22"/>
              </w:rPr>
              <w:t>an eligible Participant with full-time Mutual Obligation requirements worked full-time hours (at least 35 hours per week);</w:t>
            </w:r>
            <w:r w:rsidR="00F208A1" w:rsidRPr="00411BA9">
              <w:rPr>
                <w:rFonts w:asciiTheme="minorHAnsi" w:hAnsiTheme="minorHAnsi" w:cstheme="minorHAnsi"/>
                <w:szCs w:val="22"/>
              </w:rPr>
              <w:t xml:space="preserve"> or</w:t>
            </w:r>
          </w:p>
          <w:p w14:paraId="5307D522" w14:textId="29B017A2" w:rsidR="00C2231C" w:rsidRPr="00411BA9" w:rsidRDefault="00C2231C" w:rsidP="005A7BDE">
            <w:pPr>
              <w:pStyle w:val="Bullet"/>
              <w:numPr>
                <w:ilvl w:val="0"/>
                <w:numId w:val="38"/>
              </w:numPr>
              <w:rPr>
                <w:rFonts w:asciiTheme="minorHAnsi" w:hAnsiTheme="minorHAnsi" w:cstheme="minorHAnsi"/>
                <w:szCs w:val="22"/>
              </w:rPr>
            </w:pPr>
            <w:r w:rsidRPr="00411BA9">
              <w:rPr>
                <w:rFonts w:asciiTheme="minorHAnsi" w:hAnsiTheme="minorHAnsi" w:cstheme="minorHAnsi"/>
                <w:szCs w:val="22"/>
              </w:rPr>
              <w:lastRenderedPageBreak/>
              <w:t xml:space="preserve">an eligible Participant with a Partial Capacity to Work worked hours that meet or exceed the minimum number of hours per week in the range as assessed by </w:t>
            </w:r>
            <w:proofErr w:type="spellStart"/>
            <w:r w:rsidRPr="00411BA9">
              <w:rPr>
                <w:rFonts w:asciiTheme="minorHAnsi" w:hAnsiTheme="minorHAnsi" w:cstheme="minorHAnsi"/>
                <w:szCs w:val="22"/>
              </w:rPr>
              <w:t>DHS</w:t>
            </w:r>
            <w:proofErr w:type="spellEnd"/>
            <w:r w:rsidRPr="00411BA9">
              <w:rPr>
                <w:rFonts w:asciiTheme="minorHAnsi" w:hAnsiTheme="minorHAnsi" w:cstheme="minorHAnsi"/>
                <w:szCs w:val="22"/>
              </w:rPr>
              <w:t xml:space="preserve"> through an Employment Services Assessment (</w:t>
            </w:r>
            <w:proofErr w:type="spellStart"/>
            <w:r w:rsidRPr="00411BA9">
              <w:rPr>
                <w:rFonts w:asciiTheme="minorHAnsi" w:hAnsiTheme="minorHAnsi" w:cstheme="minorHAnsi"/>
                <w:szCs w:val="22"/>
              </w:rPr>
              <w:t>ESAt</w:t>
            </w:r>
            <w:proofErr w:type="spellEnd"/>
            <w:r w:rsidRPr="00411BA9">
              <w:rPr>
                <w:rFonts w:asciiTheme="minorHAnsi" w:hAnsiTheme="minorHAnsi" w:cstheme="minorHAnsi"/>
                <w:szCs w:val="22"/>
              </w:rPr>
              <w:t>) or a Job Capacity Assessment (</w:t>
            </w:r>
            <w:proofErr w:type="spellStart"/>
            <w:r w:rsidRPr="00411BA9">
              <w:rPr>
                <w:rFonts w:asciiTheme="minorHAnsi" w:hAnsiTheme="minorHAnsi" w:cstheme="minorHAnsi"/>
                <w:szCs w:val="22"/>
              </w:rPr>
              <w:t>JCA</w:t>
            </w:r>
            <w:proofErr w:type="spellEnd"/>
            <w:r w:rsidRPr="00411BA9">
              <w:rPr>
                <w:rFonts w:asciiTheme="minorHAnsi" w:hAnsiTheme="minorHAnsi" w:cstheme="minorHAnsi"/>
                <w:szCs w:val="22"/>
              </w:rPr>
              <w:t>); or</w:t>
            </w:r>
          </w:p>
          <w:p w14:paraId="6E885955" w14:textId="175BC130" w:rsidR="00C2231C" w:rsidRPr="00411BA9" w:rsidRDefault="00C2231C" w:rsidP="005A7BDE">
            <w:pPr>
              <w:pStyle w:val="Bullet"/>
              <w:numPr>
                <w:ilvl w:val="0"/>
                <w:numId w:val="38"/>
              </w:numPr>
              <w:rPr>
                <w:rFonts w:asciiTheme="minorHAnsi" w:hAnsiTheme="minorHAnsi" w:cstheme="minorHAnsi"/>
                <w:szCs w:val="22"/>
              </w:rPr>
            </w:pPr>
            <w:r w:rsidRPr="00411BA9">
              <w:rPr>
                <w:rFonts w:asciiTheme="minorHAnsi" w:hAnsiTheme="minorHAnsi" w:cstheme="minorHAnsi"/>
                <w:szCs w:val="22"/>
              </w:rPr>
              <w:t>an eligible Participant with part-time Mutual Obligation requirements and who has been identified as a parent or as having a disability, work</w:t>
            </w:r>
            <w:r w:rsidR="00FE21E1" w:rsidRPr="00411BA9">
              <w:rPr>
                <w:rFonts w:asciiTheme="minorHAnsi" w:hAnsiTheme="minorHAnsi" w:cstheme="minorHAnsi"/>
                <w:szCs w:val="22"/>
              </w:rPr>
              <w:t>ed at least 15 hours each week.</w:t>
            </w:r>
          </w:p>
          <w:p w14:paraId="7FD805DD" w14:textId="77777777" w:rsidR="00C2231C" w:rsidRPr="00411BA9" w:rsidRDefault="00C2231C" w:rsidP="00C2231C">
            <w:pPr>
              <w:rPr>
                <w:rFonts w:asciiTheme="minorHAnsi" w:hAnsiTheme="minorHAnsi" w:cstheme="minorHAnsi"/>
                <w:szCs w:val="22"/>
              </w:rPr>
            </w:pPr>
          </w:p>
          <w:p w14:paraId="1D65F662" w14:textId="77777777"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t>DES Providers should ensure Participants with a Partial Capacity to Work are not required to work above their assessed capacity where they wish to participate in the Trial.</w:t>
            </w:r>
          </w:p>
          <w:p w14:paraId="6BA9D442" w14:textId="77777777" w:rsidR="00C2231C" w:rsidRPr="00411BA9" w:rsidRDefault="00C2231C" w:rsidP="00C2231C">
            <w:pPr>
              <w:rPr>
                <w:rFonts w:asciiTheme="minorHAnsi" w:hAnsiTheme="minorHAnsi" w:cstheme="minorHAnsi"/>
                <w:szCs w:val="22"/>
              </w:rPr>
            </w:pPr>
          </w:p>
          <w:p w14:paraId="6D40CCD4" w14:textId="2EAA6106"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xml:space="preserve">: A DES Provider must record the Vacancy using the Qualifying Seasonal Horticultural Work Vacancy type in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 xml:space="preserve"> and record the Qualifying Seasonal Horticultural Work Placement Start Date for the Provider Seasonal Work Incentive Payment to become available.</w:t>
            </w:r>
          </w:p>
          <w:p w14:paraId="69FECDBC" w14:textId="77777777" w:rsidR="00C2231C" w:rsidRPr="00411BA9" w:rsidRDefault="00C2231C" w:rsidP="00C2231C">
            <w:pPr>
              <w:rPr>
                <w:rFonts w:asciiTheme="minorHAnsi" w:hAnsiTheme="minorHAnsi" w:cstheme="minorHAnsi"/>
                <w:szCs w:val="22"/>
              </w:rPr>
            </w:pPr>
          </w:p>
          <w:p w14:paraId="6F2794B6" w14:textId="22040424"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xml:space="preserve">: A DES Provider may claim the Provider Seasonal Work Incentive Payment at the end of each week through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 The Department encourages DES Providers to claim these incentive payments as</w:t>
            </w:r>
            <w:r w:rsidR="00FE21E1" w:rsidRPr="00411BA9">
              <w:rPr>
                <w:rFonts w:asciiTheme="minorHAnsi" w:hAnsiTheme="minorHAnsi" w:cstheme="minorHAnsi"/>
                <w:szCs w:val="22"/>
              </w:rPr>
              <w:t xml:space="preserve"> soon as they become available.</w:t>
            </w:r>
          </w:p>
          <w:p w14:paraId="5C810E24" w14:textId="77777777" w:rsidR="00C2231C" w:rsidRPr="00411BA9" w:rsidRDefault="00C2231C" w:rsidP="00C2231C">
            <w:pPr>
              <w:rPr>
                <w:rFonts w:asciiTheme="minorHAnsi" w:hAnsiTheme="minorHAnsi" w:cstheme="minorHAnsi"/>
                <w:szCs w:val="22"/>
              </w:rPr>
            </w:pPr>
          </w:p>
          <w:p w14:paraId="5E085703" w14:textId="77777777" w:rsidR="00C2231C" w:rsidRPr="00411BA9" w:rsidRDefault="00C2231C" w:rsidP="00C2231C">
            <w:pPr>
              <w:pStyle w:val="TableBlackHeading"/>
              <w:rPr>
                <w:rFonts w:asciiTheme="minorHAnsi" w:hAnsiTheme="minorHAnsi" w:cstheme="minorHAnsi"/>
                <w:b w:val="0"/>
                <w:sz w:val="22"/>
                <w:szCs w:val="22"/>
                <w:u w:val="single"/>
              </w:rPr>
            </w:pPr>
            <w:r w:rsidRPr="00411BA9">
              <w:rPr>
                <w:rFonts w:asciiTheme="minorHAnsi" w:hAnsiTheme="minorHAnsi" w:cstheme="minorHAnsi"/>
                <w:b w:val="0"/>
                <w:sz w:val="22"/>
                <w:szCs w:val="22"/>
                <w:u w:val="single"/>
              </w:rPr>
              <w:t>Provider Seasonal Work Incentive Payment and Employment Outcome Payments</w:t>
            </w:r>
          </w:p>
          <w:p w14:paraId="00FF096D" w14:textId="77777777"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t>Where a DES Provider chooses to enter a Qualifying Seasonal Horticultural Work Placement Start Date, they cannot claim an Employment Outcome Payment for that Participant with the same Employer for the same period as the placement in the Trial. DES Providers should note that placements into Qualifying Seasonal Horticultural Work do not have any impact on Star Ratings.</w:t>
            </w:r>
          </w:p>
          <w:p w14:paraId="53194D53" w14:textId="77777777" w:rsidR="00C2231C" w:rsidRPr="00411BA9" w:rsidRDefault="00C2231C" w:rsidP="00C2231C">
            <w:pPr>
              <w:rPr>
                <w:rFonts w:asciiTheme="minorHAnsi" w:hAnsiTheme="minorHAnsi" w:cstheme="minorHAnsi"/>
                <w:szCs w:val="22"/>
              </w:rPr>
            </w:pPr>
          </w:p>
          <w:p w14:paraId="0CB841DF" w14:textId="77777777"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Where the DES Provider has entered a Qualifying Seasonal Horticultural Work Placement Start Date and the Participant gains ongoing Employment with the Employer, the DES Provider must update the existing Qualifying Seasonal Horticultural Work Vacancy and record the date the Employment became ongoing. This will be the Job Seeker Placement Start Date and will allow for the tracking of Employment Outcomes. This can be done at any time during the placement and does not have to be after the six weeks of the Trial.  Once a Job Seeker Placement Start Date is recorded against a Qualifying Seasonal Horticultural Work Vacancy, this will cease any Provider Seasonal Work Incentive Payments.</w:t>
            </w:r>
          </w:p>
          <w:p w14:paraId="13C3C95A" w14:textId="77777777" w:rsidR="00C2231C" w:rsidRPr="00411BA9" w:rsidRDefault="00C2231C" w:rsidP="00C2231C">
            <w:pPr>
              <w:rPr>
                <w:rFonts w:asciiTheme="minorHAnsi" w:hAnsiTheme="minorHAnsi" w:cstheme="minorHAnsi"/>
                <w:szCs w:val="22"/>
              </w:rPr>
            </w:pPr>
          </w:p>
          <w:p w14:paraId="59104428" w14:textId="456580B2"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xml:space="preserve">: DES Providers should also be aware that they cannot change from a Job Seeker Placement Start Date to a Qualifying Seasonal Horticultural Work Placement Start Date in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 xml:space="preserve"> after the decision to track for Employment Outcome Payments has been made.</w:t>
            </w:r>
          </w:p>
          <w:p w14:paraId="601390CA" w14:textId="77777777" w:rsidR="00C2231C" w:rsidRPr="00411BA9" w:rsidRDefault="00C2231C" w:rsidP="00C2231C">
            <w:pPr>
              <w:rPr>
                <w:rFonts w:asciiTheme="minorHAnsi" w:hAnsiTheme="minorHAnsi" w:cstheme="minorHAnsi"/>
                <w:szCs w:val="22"/>
              </w:rPr>
            </w:pPr>
          </w:p>
          <w:p w14:paraId="69A6828D" w14:textId="04F93E8B"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t>The Department will monitor Provider Seasonal Work Incentive</w:t>
            </w:r>
            <w:r w:rsidR="00851089" w:rsidRPr="00411BA9">
              <w:rPr>
                <w:rFonts w:asciiTheme="minorHAnsi" w:hAnsiTheme="minorHAnsi" w:cstheme="minorHAnsi"/>
                <w:szCs w:val="22"/>
              </w:rPr>
              <w:t xml:space="preserve"> Payments as part of the Trial.</w:t>
            </w:r>
          </w:p>
          <w:p w14:paraId="33EB4E04" w14:textId="77777777" w:rsidR="00C2231C" w:rsidRPr="00411BA9" w:rsidRDefault="00C2231C" w:rsidP="00C2231C">
            <w:pPr>
              <w:rPr>
                <w:rFonts w:asciiTheme="minorHAnsi" w:hAnsiTheme="minorHAnsi" w:cstheme="minorHAnsi"/>
                <w:szCs w:val="22"/>
              </w:rPr>
            </w:pPr>
          </w:p>
          <w:p w14:paraId="651CAD6B" w14:textId="7A4DD594"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Documentary evidence</w:t>
            </w:r>
            <w:r w:rsidRPr="00411BA9">
              <w:rPr>
                <w:rFonts w:asciiTheme="minorHAnsi" w:hAnsiTheme="minorHAnsi" w:cstheme="minorHAnsi"/>
                <w:szCs w:val="22"/>
              </w:rPr>
              <w:t>: DES Providers must retain a pay slip or Employer payroll summary/</w:t>
            </w:r>
            <w:proofErr w:type="spellStart"/>
            <w:r w:rsidRPr="00411BA9">
              <w:rPr>
                <w:rFonts w:asciiTheme="minorHAnsi" w:hAnsiTheme="minorHAnsi" w:cstheme="minorHAnsi"/>
                <w:szCs w:val="22"/>
              </w:rPr>
              <w:t>ies</w:t>
            </w:r>
            <w:proofErr w:type="spellEnd"/>
            <w:r w:rsidRPr="00411BA9">
              <w:rPr>
                <w:rFonts w:asciiTheme="minorHAnsi" w:hAnsiTheme="minorHAnsi" w:cstheme="minorHAnsi"/>
                <w:szCs w:val="22"/>
              </w:rPr>
              <w:t xml:space="preserve"> confirming the Participant’s participation in the Trial. In cases where Employers use piece rate agreements or tally sheets to record the actual work done by the Participant, these will be considered appropriate forms of Documentary Evidence. DES Providers are not expected to upload this evidence onto the Department’s IT System</w:t>
            </w:r>
            <w:r w:rsidR="008B39CB" w:rsidRPr="00411BA9">
              <w:rPr>
                <w:rFonts w:asciiTheme="minorHAnsi" w:hAnsiTheme="minorHAnsi" w:cstheme="minorHAnsi"/>
                <w:szCs w:val="22"/>
              </w:rPr>
              <w:t>s</w:t>
            </w:r>
            <w:r w:rsidRPr="00411BA9">
              <w:rPr>
                <w:rFonts w:asciiTheme="minorHAnsi" w:hAnsiTheme="minorHAnsi" w:cstheme="minorHAnsi"/>
                <w:szCs w:val="22"/>
              </w:rPr>
              <w:t xml:space="preserve"> but must retain and provide it to the Department if requested.</w:t>
            </w:r>
          </w:p>
          <w:p w14:paraId="1835C408" w14:textId="77777777" w:rsidR="00F208A1" w:rsidRPr="00411BA9" w:rsidRDefault="00F208A1" w:rsidP="00C2231C">
            <w:pPr>
              <w:rPr>
                <w:rFonts w:asciiTheme="minorHAnsi" w:hAnsiTheme="minorHAnsi" w:cstheme="minorHAnsi"/>
                <w:szCs w:val="22"/>
              </w:rPr>
            </w:pPr>
          </w:p>
        </w:tc>
      </w:tr>
      <w:tr w:rsidR="00C2231C" w:rsidRPr="00411BA9" w14:paraId="2D632016" w14:textId="77777777" w:rsidTr="00C2231C">
        <w:trPr>
          <w:jc w:val="center"/>
        </w:trPr>
        <w:tc>
          <w:tcPr>
            <w:tcW w:w="3598" w:type="dxa"/>
            <w:tcBorders>
              <w:top w:val="single" w:sz="4" w:space="0" w:color="auto"/>
              <w:left w:val="single" w:sz="4" w:space="0" w:color="auto"/>
              <w:bottom w:val="single" w:sz="4" w:space="0" w:color="auto"/>
              <w:right w:val="single" w:sz="4" w:space="0" w:color="auto"/>
            </w:tcBorders>
          </w:tcPr>
          <w:p w14:paraId="6EEC36A2" w14:textId="77777777" w:rsidR="00C2231C" w:rsidRPr="00411BA9" w:rsidRDefault="00C2231C" w:rsidP="003B514C">
            <w:pPr>
              <w:pStyle w:val="TableNumberedleftbold"/>
              <w:rPr>
                <w:rFonts w:asciiTheme="minorHAnsi" w:hAnsiTheme="minorHAnsi" w:cstheme="minorHAnsi"/>
              </w:rPr>
            </w:pPr>
            <w:r w:rsidRPr="00411BA9">
              <w:rPr>
                <w:rFonts w:asciiTheme="minorHAnsi" w:hAnsiTheme="minorHAnsi" w:cstheme="minorHAnsi"/>
              </w:rPr>
              <w:lastRenderedPageBreak/>
              <w:t>5. DES Provider</w:t>
            </w:r>
          </w:p>
          <w:p w14:paraId="76F8DCA9" w14:textId="77777777" w:rsidR="00C2231C" w:rsidRPr="00411BA9" w:rsidRDefault="00C2231C" w:rsidP="003B514C">
            <w:pPr>
              <w:pStyle w:val="TableNumberedleftbold"/>
              <w:rPr>
                <w:rFonts w:asciiTheme="minorHAnsi" w:hAnsiTheme="minorHAnsi" w:cstheme="minorHAnsi"/>
              </w:rPr>
            </w:pPr>
          </w:p>
          <w:p w14:paraId="44362A51" w14:textId="77777777" w:rsidR="00C2231C" w:rsidRPr="00411BA9" w:rsidRDefault="00C2231C" w:rsidP="003B514C">
            <w:pPr>
              <w:pStyle w:val="TableNumberedleftbold"/>
              <w:rPr>
                <w:rFonts w:asciiTheme="minorHAnsi" w:hAnsiTheme="minorHAnsi" w:cstheme="minorHAnsi"/>
              </w:rPr>
            </w:pPr>
            <w:r w:rsidRPr="00411BA9">
              <w:rPr>
                <w:rFonts w:asciiTheme="minorHAnsi" w:hAnsiTheme="minorHAnsi" w:cstheme="minorHAnsi"/>
              </w:rPr>
              <w:t>The DES Provider administers the Seasonal Work Living Away and Travel Allowance for Participant, where applicable</w:t>
            </w:r>
          </w:p>
          <w:p w14:paraId="6D02470E" w14:textId="77777777" w:rsidR="00C2231C" w:rsidRPr="00411BA9" w:rsidRDefault="00C2231C" w:rsidP="003B514C">
            <w:pPr>
              <w:pStyle w:val="TableNumberedleftbold"/>
              <w:rPr>
                <w:rFonts w:asciiTheme="minorHAnsi" w:hAnsiTheme="minorHAnsi" w:cstheme="minorHAnsi"/>
              </w:rPr>
            </w:pPr>
          </w:p>
          <w:p w14:paraId="0B6CD7EE" w14:textId="31E64FB2" w:rsidR="00C2231C" w:rsidRPr="00411BA9" w:rsidRDefault="00980EA7" w:rsidP="003B514C">
            <w:pPr>
              <w:pStyle w:val="TableNumberedleftbold"/>
              <w:rPr>
                <w:rFonts w:asciiTheme="minorHAnsi" w:hAnsiTheme="minorHAnsi" w:cstheme="minorHAnsi"/>
              </w:rPr>
            </w:pPr>
            <w:r w:rsidRPr="00411BA9">
              <w:rPr>
                <w:rFonts w:asciiTheme="minorHAnsi" w:hAnsiTheme="minorHAnsi" w:cstheme="minorHAnsi"/>
                <w:b w:val="0"/>
                <w:i/>
              </w:rPr>
              <w:t>Disability Employment Services</w:t>
            </w:r>
            <w:r w:rsidRPr="00411BA9">
              <w:rPr>
                <w:rFonts w:asciiTheme="minorHAnsi" w:hAnsiTheme="minorHAnsi" w:cstheme="minorHAnsi"/>
              </w:rPr>
              <w:t xml:space="preserve"> </w:t>
            </w:r>
            <w:r w:rsidRPr="00411BA9">
              <w:rPr>
                <w:rFonts w:asciiTheme="minorHAnsi" w:hAnsiTheme="minorHAnsi" w:cstheme="minorHAnsi"/>
                <w:b w:val="0"/>
                <w:i/>
              </w:rPr>
              <w:t>Grant Agreement Clauses References:</w:t>
            </w:r>
          </w:p>
          <w:p w14:paraId="69A4720B" w14:textId="6BAC79F3" w:rsidR="00C2231C" w:rsidRPr="00411BA9" w:rsidRDefault="009176B7" w:rsidP="003B514C">
            <w:pPr>
              <w:numPr>
                <w:ilvl w:val="0"/>
                <w:numId w:val="24"/>
              </w:numPr>
              <w:rPr>
                <w:rFonts w:asciiTheme="minorHAnsi" w:hAnsiTheme="minorHAnsi" w:cstheme="minorHAnsi"/>
                <w:b/>
                <w:bCs/>
                <w:szCs w:val="22"/>
              </w:rPr>
            </w:pPr>
            <w:r w:rsidRPr="00411BA9">
              <w:rPr>
                <w:rFonts w:asciiTheme="minorHAnsi" w:hAnsiTheme="minorHAnsi" w:cstheme="minorHAnsi"/>
                <w:szCs w:val="22"/>
              </w:rPr>
              <w:t>Clause 10</w:t>
            </w:r>
            <w:r w:rsidR="00AE45D6" w:rsidRPr="00411BA9">
              <w:rPr>
                <w:rFonts w:asciiTheme="minorHAnsi" w:hAnsiTheme="minorHAnsi" w:cstheme="minorHAnsi"/>
                <w:szCs w:val="22"/>
              </w:rPr>
              <w:t>3</w:t>
            </w:r>
            <w:r w:rsidRPr="00411BA9">
              <w:rPr>
                <w:rFonts w:asciiTheme="minorHAnsi" w:hAnsiTheme="minorHAnsi" w:cstheme="minorHAnsi"/>
                <w:szCs w:val="22"/>
              </w:rPr>
              <w:t>.4</w:t>
            </w:r>
          </w:p>
          <w:p w14:paraId="64B7ECC1" w14:textId="7DA29EEB" w:rsidR="00C54F64" w:rsidRPr="00411BA9" w:rsidRDefault="00C54F64" w:rsidP="007A0F45">
            <w:pPr>
              <w:numPr>
                <w:ilvl w:val="0"/>
                <w:numId w:val="24"/>
              </w:numPr>
              <w:rPr>
                <w:rFonts w:asciiTheme="minorHAnsi" w:hAnsiTheme="minorHAnsi" w:cstheme="minorHAnsi"/>
                <w:b/>
                <w:bCs/>
                <w:szCs w:val="22"/>
              </w:rPr>
            </w:pPr>
            <w:r w:rsidRPr="00411BA9">
              <w:rPr>
                <w:rFonts w:asciiTheme="minorHAnsi" w:hAnsiTheme="minorHAnsi" w:cstheme="minorHAnsi"/>
                <w:szCs w:val="22"/>
              </w:rPr>
              <w:t xml:space="preserve">Annexure </w:t>
            </w:r>
            <w:proofErr w:type="spellStart"/>
            <w:r w:rsidR="007A0F45" w:rsidRPr="00411BA9">
              <w:rPr>
                <w:rFonts w:asciiTheme="minorHAnsi" w:hAnsiTheme="minorHAnsi" w:cstheme="minorHAnsi"/>
                <w:szCs w:val="22"/>
              </w:rPr>
              <w:t>B3</w:t>
            </w:r>
            <w:proofErr w:type="spellEnd"/>
          </w:p>
        </w:tc>
        <w:tc>
          <w:tcPr>
            <w:tcW w:w="6783" w:type="dxa"/>
            <w:tcBorders>
              <w:top w:val="single" w:sz="4" w:space="0" w:color="auto"/>
              <w:left w:val="single" w:sz="4" w:space="0" w:color="auto"/>
              <w:bottom w:val="single" w:sz="4" w:space="0" w:color="auto"/>
              <w:right w:val="single" w:sz="4" w:space="0" w:color="auto"/>
            </w:tcBorders>
          </w:tcPr>
          <w:p w14:paraId="7F02A35E" w14:textId="77777777"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t xml:space="preserve">DES Participants will have access to a Seasonal Work Living Away and Travel Allowance of up to $300 in each year, where they take up Qualifying Seasonal Horticultural Work more than </w:t>
            </w:r>
            <w:proofErr w:type="spellStart"/>
            <w:r w:rsidRPr="00411BA9">
              <w:rPr>
                <w:rFonts w:asciiTheme="minorHAnsi" w:hAnsiTheme="minorHAnsi" w:cstheme="minorHAnsi"/>
                <w:szCs w:val="22"/>
              </w:rPr>
              <w:t>120km</w:t>
            </w:r>
            <w:proofErr w:type="spellEnd"/>
            <w:r w:rsidRPr="00411BA9">
              <w:rPr>
                <w:rFonts w:asciiTheme="minorHAnsi" w:hAnsiTheme="minorHAnsi" w:cstheme="minorHAnsi"/>
                <w:szCs w:val="22"/>
              </w:rPr>
              <w:t xml:space="preserve"> from their home</w:t>
            </w:r>
            <w:r w:rsidR="00F208A1" w:rsidRPr="00411BA9">
              <w:rPr>
                <w:rFonts w:asciiTheme="minorHAnsi" w:hAnsiTheme="minorHAnsi" w:cstheme="minorHAnsi"/>
                <w:szCs w:val="22"/>
              </w:rPr>
              <w:t>.</w:t>
            </w:r>
          </w:p>
          <w:p w14:paraId="234245A3" w14:textId="77777777" w:rsidR="00C2231C" w:rsidRPr="00411BA9" w:rsidRDefault="00C2231C" w:rsidP="00C2231C">
            <w:pPr>
              <w:rPr>
                <w:rFonts w:asciiTheme="minorHAnsi" w:hAnsiTheme="minorHAnsi" w:cstheme="minorHAnsi"/>
                <w:szCs w:val="22"/>
              </w:rPr>
            </w:pPr>
          </w:p>
          <w:p w14:paraId="407634B0" w14:textId="43660AF7"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xml:space="preserve">: DES Providers will be able to access the Seasonal Work Living Away and Travel Allowance when they record a Qualifying Seasonal Horticultural Work Placement Start Date in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w:t>
            </w:r>
          </w:p>
          <w:p w14:paraId="11D01FCD" w14:textId="77777777" w:rsidR="00C2231C" w:rsidRPr="00411BA9" w:rsidRDefault="00C2231C" w:rsidP="00C2231C">
            <w:pPr>
              <w:rPr>
                <w:rFonts w:asciiTheme="minorHAnsi" w:hAnsiTheme="minorHAnsi" w:cstheme="minorHAnsi"/>
                <w:szCs w:val="22"/>
              </w:rPr>
            </w:pPr>
          </w:p>
          <w:p w14:paraId="7860C978" w14:textId="3A083880"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t>DES Providers are responsible for managing the Seasonal Work Living Away and Travel Allowance and administering payments directly to Participants. DES Providers have the discretion and flexibility to tailor the payment to suit the specific circumstances of the Participant and determine how it is administered to the Participant and when. This will include whether the allowance is paid in full at the beginning of the Participant’s placement in the Trial (for example, if the Participant needs the full amount to travel to take up the work) or in instalments throughout the Participant’s participation in the Qualifying Seasonal</w:t>
            </w:r>
            <w:r w:rsidR="00E67781" w:rsidRPr="00411BA9">
              <w:rPr>
                <w:rFonts w:asciiTheme="minorHAnsi" w:hAnsiTheme="minorHAnsi" w:cstheme="minorHAnsi"/>
                <w:szCs w:val="22"/>
              </w:rPr>
              <w:t xml:space="preserve"> Horticultural Work Placement. </w:t>
            </w:r>
            <w:r w:rsidRPr="00411BA9">
              <w:rPr>
                <w:rFonts w:asciiTheme="minorHAnsi" w:hAnsiTheme="minorHAnsi" w:cstheme="minorHAnsi"/>
                <w:szCs w:val="22"/>
              </w:rPr>
              <w:t xml:space="preserve">Where the allowance is paid in instalments, there is no requirement for this to be paid in even amounts. </w:t>
            </w:r>
          </w:p>
          <w:p w14:paraId="341E042B" w14:textId="77777777" w:rsidR="00C2231C" w:rsidRPr="00411BA9" w:rsidRDefault="00C2231C" w:rsidP="00C2231C">
            <w:pPr>
              <w:rPr>
                <w:rFonts w:asciiTheme="minorHAnsi" w:hAnsiTheme="minorHAnsi" w:cstheme="minorHAnsi"/>
                <w:szCs w:val="22"/>
              </w:rPr>
            </w:pPr>
          </w:p>
          <w:p w14:paraId="7E92BDF5" w14:textId="2105235B"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t xml:space="preserve">DES Providers should ensure that the Participant is aware that the allowance is being paid to assist them to take up a placement in Qualifying Seasonal Horticultural Work more than </w:t>
            </w:r>
            <w:proofErr w:type="spellStart"/>
            <w:r w:rsidRPr="00411BA9">
              <w:rPr>
                <w:rFonts w:asciiTheme="minorHAnsi" w:hAnsiTheme="minorHAnsi" w:cstheme="minorHAnsi"/>
                <w:szCs w:val="22"/>
              </w:rPr>
              <w:t>120km</w:t>
            </w:r>
            <w:proofErr w:type="spellEnd"/>
            <w:r w:rsidRPr="00411BA9">
              <w:rPr>
                <w:rFonts w:asciiTheme="minorHAnsi" w:hAnsiTheme="minorHAnsi" w:cstheme="minorHAnsi"/>
                <w:szCs w:val="22"/>
              </w:rPr>
              <w:t xml:space="preserve"> from their home and that they are expected to continue in the placeme</w:t>
            </w:r>
            <w:r w:rsidR="00E67781" w:rsidRPr="00411BA9">
              <w:rPr>
                <w:rFonts w:asciiTheme="minorHAnsi" w:hAnsiTheme="minorHAnsi" w:cstheme="minorHAnsi"/>
                <w:szCs w:val="22"/>
              </w:rPr>
              <w:t>nt for up to six weeks.</w:t>
            </w:r>
          </w:p>
          <w:p w14:paraId="5E8E6620" w14:textId="77777777" w:rsidR="00C2231C" w:rsidRPr="00411BA9" w:rsidRDefault="00C2231C" w:rsidP="00C2231C">
            <w:pPr>
              <w:rPr>
                <w:rFonts w:asciiTheme="minorHAnsi" w:hAnsiTheme="minorHAnsi" w:cstheme="minorHAnsi"/>
                <w:szCs w:val="22"/>
              </w:rPr>
            </w:pPr>
          </w:p>
          <w:p w14:paraId="17F0B8DD" w14:textId="3CBF8112"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t xml:space="preserve">DES Providers can claim the Seasonal Work Living Away and Travel Allowance in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 xml:space="preserve"> to pass on to the Participant at any point after it becomes available. DES Providers must not retain any balance of the Seasonal Work Living Away and Travel Allowance that is not paid to the Participant during their participation in the Trial.</w:t>
            </w:r>
          </w:p>
          <w:p w14:paraId="08F0A498" w14:textId="77777777" w:rsidR="00C2231C" w:rsidRPr="00411BA9" w:rsidRDefault="00C2231C" w:rsidP="00C2231C">
            <w:pPr>
              <w:rPr>
                <w:rFonts w:asciiTheme="minorHAnsi" w:hAnsiTheme="minorHAnsi" w:cstheme="minorHAnsi"/>
                <w:szCs w:val="22"/>
              </w:rPr>
            </w:pPr>
          </w:p>
          <w:p w14:paraId="12E71870" w14:textId="19C75321"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System step</w:t>
            </w:r>
            <w:r w:rsidRPr="00411BA9">
              <w:rPr>
                <w:rFonts w:asciiTheme="minorHAnsi" w:hAnsiTheme="minorHAnsi" w:cstheme="minorHAnsi"/>
                <w:szCs w:val="22"/>
              </w:rPr>
              <w:t xml:space="preserve">: As the Seasonal Work Living Away and Travel Allowance will be considered personal (taxable) income for the Participant, it is a requirement that they declare this income in their annual income tax return. To assist Participant in meeting this requirement, DES Providers </w:t>
            </w:r>
            <w:r w:rsidRPr="00411BA9">
              <w:rPr>
                <w:rFonts w:asciiTheme="minorHAnsi" w:hAnsiTheme="minorHAnsi" w:cstheme="minorHAnsi"/>
                <w:szCs w:val="22"/>
              </w:rPr>
              <w:lastRenderedPageBreak/>
              <w:t xml:space="preserve">must give the Participant a summary of payments. This summary will become available for printing in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 xml:space="preserve"> when the payment has been claimed by the DES Provider.</w:t>
            </w:r>
          </w:p>
          <w:p w14:paraId="46A14386" w14:textId="77777777" w:rsidR="00FA7A4E" w:rsidRPr="00411BA9" w:rsidRDefault="00FA7A4E" w:rsidP="00C2231C">
            <w:pPr>
              <w:rPr>
                <w:rFonts w:asciiTheme="minorHAnsi" w:hAnsiTheme="minorHAnsi" w:cstheme="minorHAnsi"/>
                <w:szCs w:val="22"/>
              </w:rPr>
            </w:pPr>
          </w:p>
          <w:p w14:paraId="33A8466B" w14:textId="38D520C9"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t>Before making any upfront payment to a Participant, DES Providers must ensure that the Participant is aware of the basis for payment. The DES Provider should also advise the Participant of any compliance consequences if they voluntarily leave a placement, have the placement terminated due to misconduct or accept the</w:t>
            </w:r>
            <w:r w:rsidR="00E67781" w:rsidRPr="00411BA9">
              <w:rPr>
                <w:rFonts w:asciiTheme="minorHAnsi" w:hAnsiTheme="minorHAnsi" w:cstheme="minorHAnsi"/>
                <w:szCs w:val="22"/>
              </w:rPr>
              <w:t xml:space="preserve"> placement but do not commence.</w:t>
            </w:r>
          </w:p>
          <w:p w14:paraId="59A24F6F" w14:textId="77777777" w:rsidR="00FA7A4E" w:rsidRPr="00411BA9" w:rsidRDefault="00FA7A4E" w:rsidP="00C2231C">
            <w:pPr>
              <w:rPr>
                <w:rFonts w:asciiTheme="minorHAnsi" w:hAnsiTheme="minorHAnsi" w:cstheme="minorHAnsi"/>
                <w:szCs w:val="22"/>
              </w:rPr>
            </w:pPr>
          </w:p>
          <w:p w14:paraId="42CE49FD" w14:textId="77777777" w:rsidR="00C2231C" w:rsidRPr="00411BA9" w:rsidRDefault="00C2231C" w:rsidP="00C2231C">
            <w:pPr>
              <w:rPr>
                <w:rFonts w:asciiTheme="minorHAnsi" w:hAnsiTheme="minorHAnsi" w:cstheme="minorHAnsi"/>
                <w:szCs w:val="22"/>
              </w:rPr>
            </w:pPr>
            <w:r w:rsidRPr="00411BA9">
              <w:rPr>
                <w:rFonts w:asciiTheme="minorHAnsi" w:hAnsiTheme="minorHAnsi" w:cstheme="minorHAnsi"/>
                <w:szCs w:val="22"/>
              </w:rPr>
              <w:t xml:space="preserve">Note: The Department monitors the Seasonal Work Living Away and Travel Allowance to ensure that the </w:t>
            </w:r>
            <w:proofErr w:type="spellStart"/>
            <w:r w:rsidRPr="00411BA9">
              <w:rPr>
                <w:rFonts w:asciiTheme="minorHAnsi" w:hAnsiTheme="minorHAnsi" w:cstheme="minorHAnsi"/>
                <w:szCs w:val="22"/>
              </w:rPr>
              <w:t>120km</w:t>
            </w:r>
            <w:proofErr w:type="spellEnd"/>
            <w:r w:rsidRPr="00411BA9">
              <w:rPr>
                <w:rFonts w:asciiTheme="minorHAnsi" w:hAnsiTheme="minorHAnsi" w:cstheme="minorHAnsi"/>
                <w:szCs w:val="22"/>
              </w:rPr>
              <w:t xml:space="preserve"> requirement is being met.</w:t>
            </w:r>
          </w:p>
          <w:p w14:paraId="7EF941A1" w14:textId="77777777" w:rsidR="00FA7A4E" w:rsidRPr="00411BA9" w:rsidRDefault="00FA7A4E" w:rsidP="00C2231C">
            <w:pPr>
              <w:rPr>
                <w:rFonts w:asciiTheme="minorHAnsi" w:hAnsiTheme="minorHAnsi" w:cstheme="minorHAnsi"/>
                <w:szCs w:val="22"/>
              </w:rPr>
            </w:pPr>
          </w:p>
          <w:p w14:paraId="3B57ABB5" w14:textId="0ECCC653" w:rsidR="00C2231C" w:rsidRPr="00411BA9" w:rsidRDefault="00C2231C" w:rsidP="00C2231C">
            <w:pPr>
              <w:rPr>
                <w:rFonts w:asciiTheme="minorHAnsi" w:hAnsiTheme="minorHAnsi" w:cstheme="minorHAnsi"/>
                <w:szCs w:val="22"/>
              </w:rPr>
            </w:pPr>
            <w:r w:rsidRPr="00411BA9">
              <w:rPr>
                <w:rFonts w:asciiTheme="minorHAnsi" w:hAnsiTheme="minorHAnsi" w:cstheme="minorHAnsi"/>
                <w:b/>
                <w:szCs w:val="22"/>
              </w:rPr>
              <w:t>Documentary evidence</w:t>
            </w:r>
            <w:r w:rsidRPr="00411BA9">
              <w:rPr>
                <w:rFonts w:asciiTheme="minorHAnsi" w:hAnsiTheme="minorHAnsi" w:cstheme="minorHAnsi"/>
                <w:szCs w:val="22"/>
              </w:rPr>
              <w:t xml:space="preserve">: DES Providers must retain evidence that the Seasonal Work Living Away and Travel Allowance has been passed on to the Participant. This may include a record of transaction (for example, a bank statement or a record of transaction from the DES Provider’s financial system), or a remittance advice, or other valid proof of payment (for example, confirmation that an online bank transfer has taken place). DES Providers should upload this evidence onto the Department’s IT </w:t>
            </w:r>
            <w:r w:rsidR="00EA3DED" w:rsidRPr="00411BA9">
              <w:rPr>
                <w:rFonts w:asciiTheme="minorHAnsi" w:hAnsiTheme="minorHAnsi" w:cstheme="minorHAnsi"/>
                <w:szCs w:val="22"/>
              </w:rPr>
              <w:t>Systems</w:t>
            </w:r>
            <w:r w:rsidRPr="00411BA9">
              <w:rPr>
                <w:rFonts w:asciiTheme="minorHAnsi" w:hAnsiTheme="minorHAnsi" w:cstheme="minorHAnsi"/>
                <w:szCs w:val="22"/>
              </w:rPr>
              <w:t>.</w:t>
            </w:r>
          </w:p>
        </w:tc>
      </w:tr>
    </w:tbl>
    <w:p w14:paraId="4ED2C3F5" w14:textId="77777777" w:rsidR="00400841" w:rsidRPr="0051098D" w:rsidRDefault="00400841" w:rsidP="00201B26">
      <w:pPr>
        <w:rPr>
          <w:rFonts w:asciiTheme="minorHAnsi" w:hAnsiTheme="minorHAnsi" w:cstheme="minorHAnsi"/>
          <w:sz w:val="24"/>
        </w:rPr>
      </w:pPr>
    </w:p>
    <w:sectPr w:rsidR="00400841" w:rsidRPr="0051098D" w:rsidSect="00C50E7E">
      <w:footerReference w:type="default" r:id="rId15"/>
      <w:footerReference w:type="first" r:id="rId16"/>
      <w:pgSz w:w="11906" w:h="16838"/>
      <w:pgMar w:top="1440" w:right="1800" w:bottom="1440" w:left="1800" w:header="708" w:footer="1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EB6E0" w14:textId="77777777" w:rsidR="00487CEF" w:rsidRDefault="00487CEF">
      <w:r>
        <w:separator/>
      </w:r>
    </w:p>
  </w:endnote>
  <w:endnote w:type="continuationSeparator" w:id="0">
    <w:p w14:paraId="4AFCE323" w14:textId="77777777" w:rsidR="00487CEF" w:rsidRDefault="0048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8CC20" w14:textId="77777777" w:rsidR="00C50E7E" w:rsidRPr="00C50E7E" w:rsidRDefault="00C50E7E" w:rsidP="00C50E7E">
    <w:pPr>
      <w:pStyle w:val="Footer"/>
      <w:rPr>
        <w:color w:val="808080" w:themeColor="background1" w:themeShade="80"/>
        <w:sz w:val="16"/>
        <w:szCs w:val="16"/>
      </w:rPr>
    </w:pPr>
    <w:r w:rsidRPr="00C50E7E">
      <w:rPr>
        <w:color w:val="808080" w:themeColor="background1" w:themeShade="80"/>
        <w:sz w:val="16"/>
        <w:szCs w:val="16"/>
      </w:rPr>
      <w:t>Seasonal Work Incentives Trial Guidelines</w:t>
    </w:r>
  </w:p>
  <w:p w14:paraId="282BA4C5" w14:textId="455B4ADE" w:rsidR="00C50E7E" w:rsidRPr="00C50E7E" w:rsidRDefault="00460D23" w:rsidP="00C50E7E">
    <w:pPr>
      <w:pStyle w:val="Footer"/>
      <w:rPr>
        <w:color w:val="808080" w:themeColor="background1" w:themeShade="80"/>
        <w:sz w:val="16"/>
        <w:szCs w:val="16"/>
      </w:rPr>
    </w:pPr>
    <w:r>
      <w:rPr>
        <w:color w:val="808080" w:themeColor="background1" w:themeShade="80"/>
        <w:sz w:val="16"/>
        <w:szCs w:val="16"/>
      </w:rPr>
      <w:t xml:space="preserve">TRIM ID: </w:t>
    </w:r>
    <w:proofErr w:type="spellStart"/>
    <w:r>
      <w:rPr>
        <w:color w:val="808080" w:themeColor="background1" w:themeShade="80"/>
        <w:sz w:val="16"/>
        <w:szCs w:val="16"/>
      </w:rPr>
      <w:t>D18</w:t>
    </w:r>
    <w:proofErr w:type="spellEnd"/>
    <w:r>
      <w:rPr>
        <w:color w:val="808080" w:themeColor="background1" w:themeShade="80"/>
        <w:sz w:val="16"/>
        <w:szCs w:val="16"/>
      </w:rPr>
      <w:t>/232612</w:t>
    </w:r>
  </w:p>
  <w:p w14:paraId="2D5CD570" w14:textId="77777777" w:rsidR="00C50E7E" w:rsidRDefault="00C50E7E" w:rsidP="00C50E7E">
    <w:pPr>
      <w:pStyle w:val="Footer"/>
      <w:rPr>
        <w:color w:val="808080" w:themeColor="background1" w:themeShade="80"/>
        <w:sz w:val="16"/>
        <w:szCs w:val="16"/>
      </w:rPr>
    </w:pPr>
    <w:r w:rsidRPr="00C50E7E">
      <w:rPr>
        <w:color w:val="808080" w:themeColor="background1" w:themeShade="80"/>
        <w:sz w:val="16"/>
        <w:szCs w:val="16"/>
      </w:rPr>
      <w:t xml:space="preserve">ARC Record Number: </w:t>
    </w:r>
    <w:proofErr w:type="spellStart"/>
    <w:r w:rsidRPr="00C50E7E">
      <w:rPr>
        <w:color w:val="808080" w:themeColor="background1" w:themeShade="80"/>
        <w:sz w:val="16"/>
        <w:szCs w:val="16"/>
      </w:rPr>
      <w:t>D18</w:t>
    </w:r>
    <w:proofErr w:type="spellEnd"/>
    <w:r w:rsidRPr="00C50E7E">
      <w:rPr>
        <w:color w:val="808080" w:themeColor="background1" w:themeShade="80"/>
        <w:sz w:val="16"/>
        <w:szCs w:val="16"/>
      </w:rPr>
      <w:t>/350013</w:t>
    </w:r>
  </w:p>
  <w:p w14:paraId="5D74E22F" w14:textId="77777777" w:rsidR="00C50E7E" w:rsidRPr="00C50E7E" w:rsidRDefault="00C50E7E" w:rsidP="00C50E7E">
    <w:pPr>
      <w:pStyle w:val="Footer"/>
      <w:jc w:val="right"/>
      <w:rPr>
        <w:color w:val="808080" w:themeColor="background1" w:themeShade="80"/>
        <w:sz w:val="16"/>
        <w:szCs w:val="16"/>
      </w:rPr>
    </w:pPr>
    <w:r w:rsidRPr="00C50E7E">
      <w:rPr>
        <w:color w:val="808080" w:themeColor="background1" w:themeShade="80"/>
        <w:sz w:val="16"/>
        <w:szCs w:val="16"/>
      </w:rPr>
      <w:t>Effective Date: 1 July 2018</w:t>
    </w:r>
  </w:p>
  <w:sdt>
    <w:sdtPr>
      <w:id w:val="-1611817895"/>
      <w:docPartObj>
        <w:docPartGallery w:val="Page Numbers (Bottom of Page)"/>
        <w:docPartUnique/>
      </w:docPartObj>
    </w:sdtPr>
    <w:sdtEndPr>
      <w:rPr>
        <w:noProof/>
        <w:color w:val="808080" w:themeColor="background1" w:themeShade="80"/>
        <w:sz w:val="16"/>
        <w:szCs w:val="16"/>
      </w:rPr>
    </w:sdtEndPr>
    <w:sdtContent>
      <w:p w14:paraId="3F839ED1" w14:textId="2A3FE8D2" w:rsidR="00A150B1" w:rsidRPr="00C50E7E" w:rsidRDefault="00C50E7E" w:rsidP="00C50E7E">
        <w:pPr>
          <w:pStyle w:val="Footer"/>
          <w:jc w:val="center"/>
          <w:rPr>
            <w:color w:val="808080" w:themeColor="background1" w:themeShade="80"/>
            <w:sz w:val="16"/>
            <w:szCs w:val="16"/>
          </w:rPr>
        </w:pPr>
        <w:r w:rsidRPr="00C50E7E">
          <w:rPr>
            <w:color w:val="808080" w:themeColor="background1" w:themeShade="80"/>
            <w:sz w:val="16"/>
            <w:szCs w:val="16"/>
          </w:rPr>
          <w:fldChar w:fldCharType="begin"/>
        </w:r>
        <w:r w:rsidRPr="00C50E7E">
          <w:rPr>
            <w:color w:val="808080" w:themeColor="background1" w:themeShade="80"/>
            <w:sz w:val="16"/>
            <w:szCs w:val="16"/>
          </w:rPr>
          <w:instrText xml:space="preserve"> PAGE   \* MERGEFORMAT </w:instrText>
        </w:r>
        <w:r w:rsidRPr="00C50E7E">
          <w:rPr>
            <w:color w:val="808080" w:themeColor="background1" w:themeShade="80"/>
            <w:sz w:val="16"/>
            <w:szCs w:val="16"/>
          </w:rPr>
          <w:fldChar w:fldCharType="separate"/>
        </w:r>
        <w:r w:rsidR="00460D23">
          <w:rPr>
            <w:noProof/>
            <w:color w:val="808080" w:themeColor="background1" w:themeShade="80"/>
            <w:sz w:val="16"/>
            <w:szCs w:val="16"/>
          </w:rPr>
          <w:t>7</w:t>
        </w:r>
        <w:r w:rsidRPr="00C50E7E">
          <w:rPr>
            <w:noProof/>
            <w:color w:val="808080" w:themeColor="background1" w:themeShade="80"/>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E802" w14:textId="77777777" w:rsidR="00C50E7E" w:rsidRPr="00C50E7E" w:rsidRDefault="00C50E7E" w:rsidP="00C50E7E">
    <w:pPr>
      <w:pStyle w:val="Footer"/>
      <w:rPr>
        <w:color w:val="808080" w:themeColor="background1" w:themeShade="80"/>
        <w:sz w:val="16"/>
        <w:szCs w:val="16"/>
      </w:rPr>
    </w:pPr>
    <w:r w:rsidRPr="00C50E7E">
      <w:rPr>
        <w:color w:val="808080" w:themeColor="background1" w:themeShade="80"/>
        <w:sz w:val="16"/>
        <w:szCs w:val="16"/>
      </w:rPr>
      <w:t>Seasonal Work Incentives Trial Guidelines</w:t>
    </w:r>
  </w:p>
  <w:p w14:paraId="4543511E" w14:textId="70BD6DF3" w:rsidR="00C50E7E" w:rsidRPr="00C50E7E" w:rsidRDefault="00460D23" w:rsidP="00C50E7E">
    <w:pPr>
      <w:pStyle w:val="Footer"/>
      <w:rPr>
        <w:color w:val="808080" w:themeColor="background1" w:themeShade="80"/>
        <w:sz w:val="16"/>
        <w:szCs w:val="16"/>
      </w:rPr>
    </w:pPr>
    <w:r>
      <w:rPr>
        <w:color w:val="808080" w:themeColor="background1" w:themeShade="80"/>
        <w:sz w:val="16"/>
        <w:szCs w:val="16"/>
      </w:rPr>
      <w:t xml:space="preserve">TRIM ID: </w:t>
    </w:r>
    <w:proofErr w:type="spellStart"/>
    <w:r>
      <w:rPr>
        <w:color w:val="808080" w:themeColor="background1" w:themeShade="80"/>
        <w:sz w:val="16"/>
        <w:szCs w:val="16"/>
      </w:rPr>
      <w:t>D18</w:t>
    </w:r>
    <w:proofErr w:type="spellEnd"/>
    <w:r>
      <w:rPr>
        <w:color w:val="808080" w:themeColor="background1" w:themeShade="80"/>
        <w:sz w:val="16"/>
        <w:szCs w:val="16"/>
      </w:rPr>
      <w:t>/232612</w:t>
    </w:r>
  </w:p>
  <w:p w14:paraId="428BD52C" w14:textId="77777777" w:rsidR="00C50E7E" w:rsidRDefault="00C50E7E" w:rsidP="00C50E7E">
    <w:pPr>
      <w:pStyle w:val="Footer"/>
      <w:rPr>
        <w:color w:val="808080" w:themeColor="background1" w:themeShade="80"/>
        <w:sz w:val="16"/>
        <w:szCs w:val="16"/>
      </w:rPr>
    </w:pPr>
    <w:r w:rsidRPr="00C50E7E">
      <w:rPr>
        <w:color w:val="808080" w:themeColor="background1" w:themeShade="80"/>
        <w:sz w:val="16"/>
        <w:szCs w:val="16"/>
      </w:rPr>
      <w:t xml:space="preserve">ARC Record Number: </w:t>
    </w:r>
    <w:proofErr w:type="spellStart"/>
    <w:r w:rsidRPr="00C50E7E">
      <w:rPr>
        <w:color w:val="808080" w:themeColor="background1" w:themeShade="80"/>
        <w:sz w:val="16"/>
        <w:szCs w:val="16"/>
      </w:rPr>
      <w:t>D18</w:t>
    </w:r>
    <w:proofErr w:type="spellEnd"/>
    <w:r w:rsidRPr="00C50E7E">
      <w:rPr>
        <w:color w:val="808080" w:themeColor="background1" w:themeShade="80"/>
        <w:sz w:val="16"/>
        <w:szCs w:val="16"/>
      </w:rPr>
      <w:t>/350013</w:t>
    </w:r>
  </w:p>
  <w:p w14:paraId="097DDAB2" w14:textId="77777777" w:rsidR="00C50E7E" w:rsidRPr="00C50E7E" w:rsidRDefault="00C50E7E" w:rsidP="00C50E7E">
    <w:pPr>
      <w:pStyle w:val="Footer"/>
      <w:jc w:val="right"/>
      <w:rPr>
        <w:color w:val="808080" w:themeColor="background1" w:themeShade="80"/>
        <w:sz w:val="16"/>
        <w:szCs w:val="16"/>
      </w:rPr>
    </w:pPr>
    <w:r w:rsidRPr="00C50E7E">
      <w:rPr>
        <w:color w:val="808080" w:themeColor="background1" w:themeShade="80"/>
        <w:sz w:val="16"/>
        <w:szCs w:val="16"/>
      </w:rPr>
      <w:t>Effective Date: 1 July 2018</w:t>
    </w:r>
  </w:p>
  <w:sdt>
    <w:sdtPr>
      <w:id w:val="-160159750"/>
      <w:docPartObj>
        <w:docPartGallery w:val="Page Numbers (Bottom of Page)"/>
        <w:docPartUnique/>
      </w:docPartObj>
    </w:sdtPr>
    <w:sdtEndPr>
      <w:rPr>
        <w:noProof/>
        <w:color w:val="808080" w:themeColor="background1" w:themeShade="80"/>
        <w:sz w:val="16"/>
        <w:szCs w:val="16"/>
      </w:rPr>
    </w:sdtEndPr>
    <w:sdtContent>
      <w:p w14:paraId="1E2E8BF4" w14:textId="6A1A2CFF" w:rsidR="00A150B1" w:rsidRPr="00C50E7E" w:rsidRDefault="00C50E7E" w:rsidP="00C50E7E">
        <w:pPr>
          <w:pStyle w:val="Footer"/>
          <w:jc w:val="center"/>
          <w:rPr>
            <w:color w:val="808080" w:themeColor="background1" w:themeShade="80"/>
            <w:sz w:val="16"/>
            <w:szCs w:val="16"/>
          </w:rPr>
        </w:pPr>
        <w:r w:rsidRPr="00C50E7E">
          <w:rPr>
            <w:color w:val="808080" w:themeColor="background1" w:themeShade="80"/>
            <w:sz w:val="16"/>
            <w:szCs w:val="16"/>
          </w:rPr>
          <w:fldChar w:fldCharType="begin"/>
        </w:r>
        <w:r w:rsidRPr="00C50E7E">
          <w:rPr>
            <w:color w:val="808080" w:themeColor="background1" w:themeShade="80"/>
            <w:sz w:val="16"/>
            <w:szCs w:val="16"/>
          </w:rPr>
          <w:instrText xml:space="preserve"> PAGE   \* MERGEFORMAT </w:instrText>
        </w:r>
        <w:r w:rsidRPr="00C50E7E">
          <w:rPr>
            <w:color w:val="808080" w:themeColor="background1" w:themeShade="80"/>
            <w:sz w:val="16"/>
            <w:szCs w:val="16"/>
          </w:rPr>
          <w:fldChar w:fldCharType="separate"/>
        </w:r>
        <w:r w:rsidR="00460D23">
          <w:rPr>
            <w:noProof/>
            <w:color w:val="808080" w:themeColor="background1" w:themeShade="80"/>
            <w:sz w:val="16"/>
            <w:szCs w:val="16"/>
          </w:rPr>
          <w:t>1</w:t>
        </w:r>
        <w:r w:rsidRPr="00C50E7E">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026B1" w14:textId="77777777" w:rsidR="00487CEF" w:rsidRDefault="00487CEF">
      <w:r>
        <w:separator/>
      </w:r>
    </w:p>
  </w:footnote>
  <w:footnote w:type="continuationSeparator" w:id="0">
    <w:p w14:paraId="546E9CDC" w14:textId="77777777" w:rsidR="00487CEF" w:rsidRDefault="00487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E693C"/>
    <w:lvl w:ilvl="0">
      <w:start w:val="1"/>
      <w:numFmt w:val="decimal"/>
      <w:lvlText w:val="%1."/>
      <w:lvlJc w:val="left"/>
      <w:pPr>
        <w:tabs>
          <w:tab w:val="num" w:pos="1492"/>
        </w:tabs>
        <w:ind w:left="1492" w:hanging="360"/>
      </w:pPr>
    </w:lvl>
  </w:abstractNum>
  <w:abstractNum w:abstractNumId="1">
    <w:nsid w:val="FFFFFF7D"/>
    <w:multiLevelType w:val="singleLevel"/>
    <w:tmpl w:val="73B44E22"/>
    <w:lvl w:ilvl="0">
      <w:start w:val="1"/>
      <w:numFmt w:val="decimal"/>
      <w:lvlText w:val="%1."/>
      <w:lvlJc w:val="left"/>
      <w:pPr>
        <w:tabs>
          <w:tab w:val="num" w:pos="1209"/>
        </w:tabs>
        <w:ind w:left="1209" w:hanging="360"/>
      </w:pPr>
    </w:lvl>
  </w:abstractNum>
  <w:abstractNum w:abstractNumId="2">
    <w:nsid w:val="FFFFFF7E"/>
    <w:multiLevelType w:val="singleLevel"/>
    <w:tmpl w:val="0D523D26"/>
    <w:lvl w:ilvl="0">
      <w:start w:val="1"/>
      <w:numFmt w:val="decimal"/>
      <w:lvlText w:val="%1."/>
      <w:lvlJc w:val="left"/>
      <w:pPr>
        <w:tabs>
          <w:tab w:val="num" w:pos="926"/>
        </w:tabs>
        <w:ind w:left="926" w:hanging="360"/>
      </w:pPr>
    </w:lvl>
  </w:abstractNum>
  <w:abstractNum w:abstractNumId="3">
    <w:nsid w:val="FFFFFF7F"/>
    <w:multiLevelType w:val="singleLevel"/>
    <w:tmpl w:val="826CED7A"/>
    <w:lvl w:ilvl="0">
      <w:start w:val="1"/>
      <w:numFmt w:val="decimal"/>
      <w:lvlText w:val="%1."/>
      <w:lvlJc w:val="left"/>
      <w:pPr>
        <w:tabs>
          <w:tab w:val="num" w:pos="643"/>
        </w:tabs>
        <w:ind w:left="643" w:hanging="360"/>
      </w:pPr>
    </w:lvl>
  </w:abstractNum>
  <w:abstractNum w:abstractNumId="4">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9003F6"/>
    <w:lvl w:ilvl="0">
      <w:start w:val="1"/>
      <w:numFmt w:val="decimal"/>
      <w:lvlText w:val="%1."/>
      <w:lvlJc w:val="left"/>
      <w:pPr>
        <w:tabs>
          <w:tab w:val="num" w:pos="360"/>
        </w:tabs>
        <w:ind w:left="360" w:hanging="360"/>
      </w:pPr>
    </w:lvl>
  </w:abstractNum>
  <w:abstractNum w:abstractNumId="9">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nsid w:val="005749EA"/>
    <w:multiLevelType w:val="hybridMultilevel"/>
    <w:tmpl w:val="BB903A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BF617C"/>
    <w:multiLevelType w:val="hybridMultilevel"/>
    <w:tmpl w:val="1C30DCB0"/>
    <w:lvl w:ilvl="0" w:tplc="91BED1C6">
      <w:start w:val="1"/>
      <w:numFmt w:val="lowerLetter"/>
      <w:lvlText w:val="(%1)"/>
      <w:lvlJc w:val="left"/>
      <w:pPr>
        <w:ind w:left="1474" w:hanging="765"/>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14">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0BE5F97"/>
    <w:multiLevelType w:val="hybridMultilevel"/>
    <w:tmpl w:val="D9ECE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B8F0D97"/>
    <w:multiLevelType w:val="hybridMultilevel"/>
    <w:tmpl w:val="0EAC462C"/>
    <w:lvl w:ilvl="0" w:tplc="0F220E7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8E4A29"/>
    <w:multiLevelType w:val="multilevel"/>
    <w:tmpl w:val="1C02EB18"/>
    <w:numStyleLink w:val="BulletList"/>
  </w:abstractNum>
  <w:abstractNum w:abstractNumId="26">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222A4E"/>
    <w:multiLevelType w:val="multilevel"/>
    <w:tmpl w:val="5176946C"/>
    <w:numStyleLink w:val="NumberedList"/>
  </w:abstractNum>
  <w:abstractNum w:abstractNumId="28">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45606B"/>
    <w:multiLevelType w:val="hybridMultilevel"/>
    <w:tmpl w:val="4458508E"/>
    <w:lvl w:ilvl="0" w:tplc="0F220E7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1"/>
  </w:num>
  <w:num w:numId="4">
    <w:abstractNumId w:val="11"/>
    <w:lvlOverride w:ilvl="0">
      <w:startOverride w:val="1"/>
    </w:lvlOverride>
  </w:num>
  <w:num w:numId="5">
    <w:abstractNumId w:val="16"/>
  </w:num>
  <w:num w:numId="6">
    <w:abstractNumId w:val="22"/>
  </w:num>
  <w:num w:numId="7">
    <w:abstractNumId w:val="19"/>
    <w:lvlOverride w:ilvl="0">
      <w:startOverride w:val="1"/>
    </w:lvlOverride>
  </w:num>
  <w:num w:numId="8">
    <w:abstractNumId w:val="15"/>
  </w:num>
  <w:num w:numId="9">
    <w:abstractNumId w:val="14"/>
  </w:num>
  <w:num w:numId="10">
    <w:abstractNumId w:val="12"/>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7"/>
  </w:num>
  <w:num w:numId="24">
    <w:abstractNumId w:val="25"/>
  </w:num>
  <w:num w:numId="25">
    <w:abstractNumId w:val="18"/>
  </w:num>
  <w:num w:numId="26">
    <w:abstractNumId w:val="21"/>
  </w:num>
  <w:num w:numId="27">
    <w:abstractNumId w:val="24"/>
  </w:num>
  <w:num w:numId="28">
    <w:abstractNumId w:val="24"/>
  </w:num>
  <w:num w:numId="29">
    <w:abstractNumId w:val="15"/>
    <w:lvlOverride w:ilvl="0">
      <w:lvl w:ilvl="0">
        <w:start w:val="1"/>
        <w:numFmt w:val="bullet"/>
        <w:lvlText w:val=""/>
        <w:lvlJc w:val="left"/>
        <w:pPr>
          <w:tabs>
            <w:tab w:val="num" w:pos="720"/>
          </w:tabs>
          <w:ind w:left="720" w:hanging="360"/>
        </w:pPr>
        <w:rPr>
          <w:rFonts w:ascii="Symbol" w:hAnsi="Symbol" w:hint="default"/>
          <w:sz w:val="22"/>
        </w:rPr>
      </w:lvl>
    </w:lvlOverride>
    <w:lvlOverride w:ilvl="1">
      <w:lvl w:ilvl="1">
        <w:start w:val="1"/>
        <w:numFmt w:val="bullet"/>
        <w:lvlText w:val=""/>
        <w:lvlJc w:val="left"/>
        <w:pPr>
          <w:tabs>
            <w:tab w:val="num" w:pos="1440"/>
          </w:tabs>
          <w:ind w:left="1440" w:hanging="360"/>
        </w:pPr>
        <w:rPr>
          <w:rFonts w:ascii="Symbol" w:hAnsi="Symbol" w:hint="default"/>
        </w:rPr>
      </w:lvl>
    </w:lvlOverride>
    <w:lvlOverride w:ilvl="2">
      <w:lvl w:ilvl="2">
        <w:start w:val="1"/>
        <w:numFmt w:val="bullet"/>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5"/>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0"/>
  </w:num>
  <w:num w:numId="38">
    <w:abstractNumId w:val="29"/>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607D"/>
    <w:rsid w:val="00022FD0"/>
    <w:rsid w:val="000275A5"/>
    <w:rsid w:val="000313C4"/>
    <w:rsid w:val="00031FC8"/>
    <w:rsid w:val="00032058"/>
    <w:rsid w:val="00032AA6"/>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787"/>
    <w:rsid w:val="00083BB6"/>
    <w:rsid w:val="00087158"/>
    <w:rsid w:val="00087D36"/>
    <w:rsid w:val="000924BC"/>
    <w:rsid w:val="00094EEF"/>
    <w:rsid w:val="00095070"/>
    <w:rsid w:val="000A0FC0"/>
    <w:rsid w:val="000A19E5"/>
    <w:rsid w:val="000A6025"/>
    <w:rsid w:val="000A642C"/>
    <w:rsid w:val="000A6B7B"/>
    <w:rsid w:val="000A6F0E"/>
    <w:rsid w:val="000B4346"/>
    <w:rsid w:val="000B6526"/>
    <w:rsid w:val="000B76A8"/>
    <w:rsid w:val="000C256A"/>
    <w:rsid w:val="000C390D"/>
    <w:rsid w:val="000C42EE"/>
    <w:rsid w:val="000C50C7"/>
    <w:rsid w:val="000D00F5"/>
    <w:rsid w:val="000D3AB0"/>
    <w:rsid w:val="000D3C4C"/>
    <w:rsid w:val="000D4C58"/>
    <w:rsid w:val="000E038D"/>
    <w:rsid w:val="000E0424"/>
    <w:rsid w:val="000E0837"/>
    <w:rsid w:val="000E29B6"/>
    <w:rsid w:val="000E2EA7"/>
    <w:rsid w:val="000E374B"/>
    <w:rsid w:val="000E6ADB"/>
    <w:rsid w:val="000F03EC"/>
    <w:rsid w:val="000F1799"/>
    <w:rsid w:val="000F1821"/>
    <w:rsid w:val="000F2838"/>
    <w:rsid w:val="000F2B64"/>
    <w:rsid w:val="000F4426"/>
    <w:rsid w:val="000F4BF3"/>
    <w:rsid w:val="000F4BF8"/>
    <w:rsid w:val="000F7FDF"/>
    <w:rsid w:val="00100FC5"/>
    <w:rsid w:val="00101E8E"/>
    <w:rsid w:val="00102F56"/>
    <w:rsid w:val="0010417F"/>
    <w:rsid w:val="00104467"/>
    <w:rsid w:val="00110B2B"/>
    <w:rsid w:val="001164C8"/>
    <w:rsid w:val="00123191"/>
    <w:rsid w:val="001241A7"/>
    <w:rsid w:val="001249F9"/>
    <w:rsid w:val="001260E6"/>
    <w:rsid w:val="00131148"/>
    <w:rsid w:val="00131A0F"/>
    <w:rsid w:val="00133599"/>
    <w:rsid w:val="00133BFC"/>
    <w:rsid w:val="00134A79"/>
    <w:rsid w:val="001354F6"/>
    <w:rsid w:val="00137190"/>
    <w:rsid w:val="0014087C"/>
    <w:rsid w:val="00140E00"/>
    <w:rsid w:val="001410AE"/>
    <w:rsid w:val="0014115B"/>
    <w:rsid w:val="0014738A"/>
    <w:rsid w:val="001479B0"/>
    <w:rsid w:val="00150ABB"/>
    <w:rsid w:val="001531BE"/>
    <w:rsid w:val="00154D64"/>
    <w:rsid w:val="0015514D"/>
    <w:rsid w:val="00155882"/>
    <w:rsid w:val="00157694"/>
    <w:rsid w:val="0016080D"/>
    <w:rsid w:val="00165943"/>
    <w:rsid w:val="001720DD"/>
    <w:rsid w:val="00172646"/>
    <w:rsid w:val="0017268B"/>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A0733"/>
    <w:rsid w:val="001A1245"/>
    <w:rsid w:val="001A1E48"/>
    <w:rsid w:val="001A43F2"/>
    <w:rsid w:val="001A59E1"/>
    <w:rsid w:val="001A676D"/>
    <w:rsid w:val="001B123D"/>
    <w:rsid w:val="001B2145"/>
    <w:rsid w:val="001B2367"/>
    <w:rsid w:val="001B25C5"/>
    <w:rsid w:val="001B2BF6"/>
    <w:rsid w:val="001B383A"/>
    <w:rsid w:val="001B4A5B"/>
    <w:rsid w:val="001B52C9"/>
    <w:rsid w:val="001C01D2"/>
    <w:rsid w:val="001C2E79"/>
    <w:rsid w:val="001C2FE2"/>
    <w:rsid w:val="001C3797"/>
    <w:rsid w:val="001C4509"/>
    <w:rsid w:val="001C60BB"/>
    <w:rsid w:val="001C7590"/>
    <w:rsid w:val="001C779C"/>
    <w:rsid w:val="001D10E2"/>
    <w:rsid w:val="001D2836"/>
    <w:rsid w:val="001D337C"/>
    <w:rsid w:val="001D40E3"/>
    <w:rsid w:val="001E0D33"/>
    <w:rsid w:val="001E2239"/>
    <w:rsid w:val="001E3618"/>
    <w:rsid w:val="001E4DBA"/>
    <w:rsid w:val="001F555E"/>
    <w:rsid w:val="002009F3"/>
    <w:rsid w:val="00200EF0"/>
    <w:rsid w:val="00201A2A"/>
    <w:rsid w:val="00201B26"/>
    <w:rsid w:val="00203BE8"/>
    <w:rsid w:val="00203CC4"/>
    <w:rsid w:val="00206D5A"/>
    <w:rsid w:val="00206E24"/>
    <w:rsid w:val="00210ACD"/>
    <w:rsid w:val="0021413C"/>
    <w:rsid w:val="00221320"/>
    <w:rsid w:val="00222A4C"/>
    <w:rsid w:val="0022370F"/>
    <w:rsid w:val="00224E14"/>
    <w:rsid w:val="00225370"/>
    <w:rsid w:val="00225561"/>
    <w:rsid w:val="0022719E"/>
    <w:rsid w:val="00227DF6"/>
    <w:rsid w:val="002300C7"/>
    <w:rsid w:val="0023085C"/>
    <w:rsid w:val="00230A97"/>
    <w:rsid w:val="00231576"/>
    <w:rsid w:val="00231939"/>
    <w:rsid w:val="00232B28"/>
    <w:rsid w:val="0023559A"/>
    <w:rsid w:val="0023752C"/>
    <w:rsid w:val="00240B28"/>
    <w:rsid w:val="002414C2"/>
    <w:rsid w:val="0024185E"/>
    <w:rsid w:val="002444D9"/>
    <w:rsid w:val="00245755"/>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111E"/>
    <w:rsid w:val="0027219B"/>
    <w:rsid w:val="00272354"/>
    <w:rsid w:val="00273403"/>
    <w:rsid w:val="002752E2"/>
    <w:rsid w:val="0028344C"/>
    <w:rsid w:val="002864F0"/>
    <w:rsid w:val="002876F6"/>
    <w:rsid w:val="002903CA"/>
    <w:rsid w:val="00295DFA"/>
    <w:rsid w:val="00297414"/>
    <w:rsid w:val="00297B4A"/>
    <w:rsid w:val="002A17CC"/>
    <w:rsid w:val="002A1F4A"/>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7DD5"/>
    <w:rsid w:val="002D042D"/>
    <w:rsid w:val="002D33BB"/>
    <w:rsid w:val="002D69F4"/>
    <w:rsid w:val="002E0833"/>
    <w:rsid w:val="002E3855"/>
    <w:rsid w:val="002E3AC3"/>
    <w:rsid w:val="002F1A77"/>
    <w:rsid w:val="002F3542"/>
    <w:rsid w:val="002F6C66"/>
    <w:rsid w:val="00300DE4"/>
    <w:rsid w:val="003027D3"/>
    <w:rsid w:val="00303F0C"/>
    <w:rsid w:val="00304DB1"/>
    <w:rsid w:val="00304DF4"/>
    <w:rsid w:val="003064BB"/>
    <w:rsid w:val="003070CF"/>
    <w:rsid w:val="00307FEC"/>
    <w:rsid w:val="0031170D"/>
    <w:rsid w:val="003120E1"/>
    <w:rsid w:val="00313469"/>
    <w:rsid w:val="00316D41"/>
    <w:rsid w:val="003236A5"/>
    <w:rsid w:val="00324C7F"/>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76A9"/>
    <w:rsid w:val="00367ED5"/>
    <w:rsid w:val="00371565"/>
    <w:rsid w:val="00373F08"/>
    <w:rsid w:val="003768E0"/>
    <w:rsid w:val="00377107"/>
    <w:rsid w:val="00380338"/>
    <w:rsid w:val="0038096B"/>
    <w:rsid w:val="00380DBE"/>
    <w:rsid w:val="003906BA"/>
    <w:rsid w:val="00390E77"/>
    <w:rsid w:val="003946F4"/>
    <w:rsid w:val="00394C09"/>
    <w:rsid w:val="00394EAB"/>
    <w:rsid w:val="003951F6"/>
    <w:rsid w:val="0039606B"/>
    <w:rsid w:val="0039608E"/>
    <w:rsid w:val="00396092"/>
    <w:rsid w:val="00396EA8"/>
    <w:rsid w:val="003A2A73"/>
    <w:rsid w:val="003A468F"/>
    <w:rsid w:val="003A6304"/>
    <w:rsid w:val="003A6D56"/>
    <w:rsid w:val="003A70A6"/>
    <w:rsid w:val="003A7CA2"/>
    <w:rsid w:val="003B009A"/>
    <w:rsid w:val="003B00E0"/>
    <w:rsid w:val="003B038E"/>
    <w:rsid w:val="003B578E"/>
    <w:rsid w:val="003B6A6C"/>
    <w:rsid w:val="003C042D"/>
    <w:rsid w:val="003C0624"/>
    <w:rsid w:val="003C2B3E"/>
    <w:rsid w:val="003C44A4"/>
    <w:rsid w:val="003D28FD"/>
    <w:rsid w:val="003D3F74"/>
    <w:rsid w:val="003D73FE"/>
    <w:rsid w:val="003E1E39"/>
    <w:rsid w:val="003E5C6A"/>
    <w:rsid w:val="003E5D2B"/>
    <w:rsid w:val="003F10A5"/>
    <w:rsid w:val="003F212C"/>
    <w:rsid w:val="003F62BB"/>
    <w:rsid w:val="003F77F7"/>
    <w:rsid w:val="00400841"/>
    <w:rsid w:val="00401698"/>
    <w:rsid w:val="00401932"/>
    <w:rsid w:val="00402359"/>
    <w:rsid w:val="00410B89"/>
    <w:rsid w:val="004111E7"/>
    <w:rsid w:val="00411BA9"/>
    <w:rsid w:val="00416D11"/>
    <w:rsid w:val="004225E6"/>
    <w:rsid w:val="0042260E"/>
    <w:rsid w:val="00426E22"/>
    <w:rsid w:val="004306E4"/>
    <w:rsid w:val="00430E81"/>
    <w:rsid w:val="00432983"/>
    <w:rsid w:val="00435A21"/>
    <w:rsid w:val="00435D79"/>
    <w:rsid w:val="00436772"/>
    <w:rsid w:val="00437DC0"/>
    <w:rsid w:val="00440E4E"/>
    <w:rsid w:val="00442A01"/>
    <w:rsid w:val="00443526"/>
    <w:rsid w:val="00444CAB"/>
    <w:rsid w:val="0044546A"/>
    <w:rsid w:val="00447C51"/>
    <w:rsid w:val="004502BB"/>
    <w:rsid w:val="004512EE"/>
    <w:rsid w:val="0045201B"/>
    <w:rsid w:val="00455145"/>
    <w:rsid w:val="00455FDC"/>
    <w:rsid w:val="004568EA"/>
    <w:rsid w:val="004579DB"/>
    <w:rsid w:val="00460D23"/>
    <w:rsid w:val="004638BA"/>
    <w:rsid w:val="004646D4"/>
    <w:rsid w:val="00473836"/>
    <w:rsid w:val="00473B61"/>
    <w:rsid w:val="00473F45"/>
    <w:rsid w:val="00477102"/>
    <w:rsid w:val="00480FB0"/>
    <w:rsid w:val="004845C4"/>
    <w:rsid w:val="00484C2D"/>
    <w:rsid w:val="00487CEF"/>
    <w:rsid w:val="004935F3"/>
    <w:rsid w:val="00493BAB"/>
    <w:rsid w:val="0049436B"/>
    <w:rsid w:val="004963B6"/>
    <w:rsid w:val="004A0704"/>
    <w:rsid w:val="004A10B3"/>
    <w:rsid w:val="004A3B25"/>
    <w:rsid w:val="004A432B"/>
    <w:rsid w:val="004A5069"/>
    <w:rsid w:val="004A5FAB"/>
    <w:rsid w:val="004A6765"/>
    <w:rsid w:val="004B03A3"/>
    <w:rsid w:val="004B0791"/>
    <w:rsid w:val="004B0B5B"/>
    <w:rsid w:val="004B1CEB"/>
    <w:rsid w:val="004B38C7"/>
    <w:rsid w:val="004B44ED"/>
    <w:rsid w:val="004B6325"/>
    <w:rsid w:val="004C0187"/>
    <w:rsid w:val="004C55E5"/>
    <w:rsid w:val="004C5861"/>
    <w:rsid w:val="004C6C3A"/>
    <w:rsid w:val="004D6A6B"/>
    <w:rsid w:val="004E3CF2"/>
    <w:rsid w:val="004F094B"/>
    <w:rsid w:val="004F4D0E"/>
    <w:rsid w:val="004F5F8E"/>
    <w:rsid w:val="004F7D3E"/>
    <w:rsid w:val="00501B64"/>
    <w:rsid w:val="005026D7"/>
    <w:rsid w:val="00504B84"/>
    <w:rsid w:val="0051098D"/>
    <w:rsid w:val="00510A5A"/>
    <w:rsid w:val="00511CA2"/>
    <w:rsid w:val="00512301"/>
    <w:rsid w:val="005138AC"/>
    <w:rsid w:val="0051497F"/>
    <w:rsid w:val="00520367"/>
    <w:rsid w:val="00520B09"/>
    <w:rsid w:val="0052253F"/>
    <w:rsid w:val="00523669"/>
    <w:rsid w:val="00525A42"/>
    <w:rsid w:val="0052693C"/>
    <w:rsid w:val="00531C28"/>
    <w:rsid w:val="00531C83"/>
    <w:rsid w:val="0053699E"/>
    <w:rsid w:val="0054032D"/>
    <w:rsid w:val="00540BE9"/>
    <w:rsid w:val="00540DA7"/>
    <w:rsid w:val="0054216D"/>
    <w:rsid w:val="00542244"/>
    <w:rsid w:val="005422F3"/>
    <w:rsid w:val="00542B54"/>
    <w:rsid w:val="00545CC0"/>
    <w:rsid w:val="0054611C"/>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881"/>
    <w:rsid w:val="0059774F"/>
    <w:rsid w:val="005A0D2D"/>
    <w:rsid w:val="005A1022"/>
    <w:rsid w:val="005A1B34"/>
    <w:rsid w:val="005A2EE2"/>
    <w:rsid w:val="005A4C7D"/>
    <w:rsid w:val="005A4DD5"/>
    <w:rsid w:val="005A6390"/>
    <w:rsid w:val="005A7BDE"/>
    <w:rsid w:val="005B0382"/>
    <w:rsid w:val="005B3A8D"/>
    <w:rsid w:val="005B5B56"/>
    <w:rsid w:val="005C0D7D"/>
    <w:rsid w:val="005C4B41"/>
    <w:rsid w:val="005C5A24"/>
    <w:rsid w:val="005C5AE7"/>
    <w:rsid w:val="005C6788"/>
    <w:rsid w:val="005C6FC0"/>
    <w:rsid w:val="005D16E2"/>
    <w:rsid w:val="005D2313"/>
    <w:rsid w:val="005D2733"/>
    <w:rsid w:val="005D7FC7"/>
    <w:rsid w:val="005E0522"/>
    <w:rsid w:val="005E1487"/>
    <w:rsid w:val="005E14A1"/>
    <w:rsid w:val="005E4DE4"/>
    <w:rsid w:val="005E67F0"/>
    <w:rsid w:val="005E7CCD"/>
    <w:rsid w:val="005F085D"/>
    <w:rsid w:val="005F253B"/>
    <w:rsid w:val="005F2D9B"/>
    <w:rsid w:val="005F38F7"/>
    <w:rsid w:val="005F3B14"/>
    <w:rsid w:val="005F4F4B"/>
    <w:rsid w:val="005F603E"/>
    <w:rsid w:val="005F6262"/>
    <w:rsid w:val="006012D1"/>
    <w:rsid w:val="00603ACE"/>
    <w:rsid w:val="00605088"/>
    <w:rsid w:val="00605E20"/>
    <w:rsid w:val="006064BB"/>
    <w:rsid w:val="0061085D"/>
    <w:rsid w:val="00613ED1"/>
    <w:rsid w:val="006142B6"/>
    <w:rsid w:val="00617347"/>
    <w:rsid w:val="00621EA8"/>
    <w:rsid w:val="00622DB1"/>
    <w:rsid w:val="00626984"/>
    <w:rsid w:val="00630EF3"/>
    <w:rsid w:val="00631717"/>
    <w:rsid w:val="00633496"/>
    <w:rsid w:val="006347A0"/>
    <w:rsid w:val="00635906"/>
    <w:rsid w:val="00635A21"/>
    <w:rsid w:val="0064240C"/>
    <w:rsid w:val="00644214"/>
    <w:rsid w:val="00645ACB"/>
    <w:rsid w:val="00645BB5"/>
    <w:rsid w:val="006464A8"/>
    <w:rsid w:val="0064704C"/>
    <w:rsid w:val="00651115"/>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729D2"/>
    <w:rsid w:val="00673A4C"/>
    <w:rsid w:val="00674687"/>
    <w:rsid w:val="00674CED"/>
    <w:rsid w:val="00675CFA"/>
    <w:rsid w:val="006760FF"/>
    <w:rsid w:val="0067611E"/>
    <w:rsid w:val="006761D8"/>
    <w:rsid w:val="006833B9"/>
    <w:rsid w:val="00684886"/>
    <w:rsid w:val="006856CC"/>
    <w:rsid w:val="00686E4A"/>
    <w:rsid w:val="00687530"/>
    <w:rsid w:val="00687794"/>
    <w:rsid w:val="00694408"/>
    <w:rsid w:val="00695025"/>
    <w:rsid w:val="00695DF8"/>
    <w:rsid w:val="00697210"/>
    <w:rsid w:val="006A023F"/>
    <w:rsid w:val="006A14AB"/>
    <w:rsid w:val="006A2662"/>
    <w:rsid w:val="006A3869"/>
    <w:rsid w:val="006A4898"/>
    <w:rsid w:val="006A57EC"/>
    <w:rsid w:val="006A5FE1"/>
    <w:rsid w:val="006A7EAC"/>
    <w:rsid w:val="006B029D"/>
    <w:rsid w:val="006B1B0A"/>
    <w:rsid w:val="006B2519"/>
    <w:rsid w:val="006B2A73"/>
    <w:rsid w:val="006B3240"/>
    <w:rsid w:val="006B4488"/>
    <w:rsid w:val="006B54E5"/>
    <w:rsid w:val="006B5BE9"/>
    <w:rsid w:val="006B71B7"/>
    <w:rsid w:val="006C0BCB"/>
    <w:rsid w:val="006C0C70"/>
    <w:rsid w:val="006C1AC7"/>
    <w:rsid w:val="006C288A"/>
    <w:rsid w:val="006C3569"/>
    <w:rsid w:val="006C740D"/>
    <w:rsid w:val="006D0ABA"/>
    <w:rsid w:val="006D160A"/>
    <w:rsid w:val="006D3DD1"/>
    <w:rsid w:val="006D4477"/>
    <w:rsid w:val="006D4F87"/>
    <w:rsid w:val="006D6036"/>
    <w:rsid w:val="006D6D76"/>
    <w:rsid w:val="006D7789"/>
    <w:rsid w:val="006E07E8"/>
    <w:rsid w:val="006E39C1"/>
    <w:rsid w:val="006E66F9"/>
    <w:rsid w:val="006E7E0F"/>
    <w:rsid w:val="006F12FD"/>
    <w:rsid w:val="006F3A53"/>
    <w:rsid w:val="006F5A89"/>
    <w:rsid w:val="006F5C35"/>
    <w:rsid w:val="006F7447"/>
    <w:rsid w:val="00701211"/>
    <w:rsid w:val="00705240"/>
    <w:rsid w:val="00714839"/>
    <w:rsid w:val="0072146B"/>
    <w:rsid w:val="007233A1"/>
    <w:rsid w:val="00723F54"/>
    <w:rsid w:val="00724CC5"/>
    <w:rsid w:val="00726C37"/>
    <w:rsid w:val="007338DB"/>
    <w:rsid w:val="00740C30"/>
    <w:rsid w:val="007414F5"/>
    <w:rsid w:val="0074188B"/>
    <w:rsid w:val="00743995"/>
    <w:rsid w:val="00746F39"/>
    <w:rsid w:val="007521A6"/>
    <w:rsid w:val="0075303D"/>
    <w:rsid w:val="00753D3B"/>
    <w:rsid w:val="007548F7"/>
    <w:rsid w:val="00754D4D"/>
    <w:rsid w:val="00756D2A"/>
    <w:rsid w:val="00757CDC"/>
    <w:rsid w:val="00757FDE"/>
    <w:rsid w:val="00762A73"/>
    <w:rsid w:val="007673E1"/>
    <w:rsid w:val="00772DA2"/>
    <w:rsid w:val="00773A6B"/>
    <w:rsid w:val="00774C50"/>
    <w:rsid w:val="00775DB3"/>
    <w:rsid w:val="00776965"/>
    <w:rsid w:val="0078342F"/>
    <w:rsid w:val="00783A13"/>
    <w:rsid w:val="00784E12"/>
    <w:rsid w:val="007853FD"/>
    <w:rsid w:val="007900BE"/>
    <w:rsid w:val="00792A8C"/>
    <w:rsid w:val="00795591"/>
    <w:rsid w:val="00796891"/>
    <w:rsid w:val="007A0F45"/>
    <w:rsid w:val="007A118B"/>
    <w:rsid w:val="007A25F2"/>
    <w:rsid w:val="007A3821"/>
    <w:rsid w:val="007A7769"/>
    <w:rsid w:val="007B25D9"/>
    <w:rsid w:val="007B40F1"/>
    <w:rsid w:val="007B4288"/>
    <w:rsid w:val="007B6CD8"/>
    <w:rsid w:val="007C0DAC"/>
    <w:rsid w:val="007C15F4"/>
    <w:rsid w:val="007C2270"/>
    <w:rsid w:val="007C23DA"/>
    <w:rsid w:val="007C48ED"/>
    <w:rsid w:val="007C4A3D"/>
    <w:rsid w:val="007C5937"/>
    <w:rsid w:val="007C7AB1"/>
    <w:rsid w:val="007D18B3"/>
    <w:rsid w:val="007D1FFD"/>
    <w:rsid w:val="007D2964"/>
    <w:rsid w:val="007D3E1E"/>
    <w:rsid w:val="007D4E40"/>
    <w:rsid w:val="007D61F9"/>
    <w:rsid w:val="007D7E17"/>
    <w:rsid w:val="007E09B2"/>
    <w:rsid w:val="007E31EC"/>
    <w:rsid w:val="007E482C"/>
    <w:rsid w:val="007E57F5"/>
    <w:rsid w:val="007E78C1"/>
    <w:rsid w:val="007F2964"/>
    <w:rsid w:val="007F29AC"/>
    <w:rsid w:val="007F3EC0"/>
    <w:rsid w:val="008034E7"/>
    <w:rsid w:val="0080776D"/>
    <w:rsid w:val="00812501"/>
    <w:rsid w:val="0081305D"/>
    <w:rsid w:val="008149E0"/>
    <w:rsid w:val="008208E0"/>
    <w:rsid w:val="00822215"/>
    <w:rsid w:val="0082324A"/>
    <w:rsid w:val="00824EB7"/>
    <w:rsid w:val="008300D2"/>
    <w:rsid w:val="00830857"/>
    <w:rsid w:val="00832135"/>
    <w:rsid w:val="00835419"/>
    <w:rsid w:val="008410E6"/>
    <w:rsid w:val="00841610"/>
    <w:rsid w:val="008428CE"/>
    <w:rsid w:val="00845111"/>
    <w:rsid w:val="008468DC"/>
    <w:rsid w:val="00851089"/>
    <w:rsid w:val="00852FE8"/>
    <w:rsid w:val="00853F76"/>
    <w:rsid w:val="00856F7B"/>
    <w:rsid w:val="00857DF8"/>
    <w:rsid w:val="0086269C"/>
    <w:rsid w:val="0086428A"/>
    <w:rsid w:val="008669DE"/>
    <w:rsid w:val="00866CDF"/>
    <w:rsid w:val="00870756"/>
    <w:rsid w:val="0087254A"/>
    <w:rsid w:val="0087350B"/>
    <w:rsid w:val="0087642D"/>
    <w:rsid w:val="00877076"/>
    <w:rsid w:val="008824EA"/>
    <w:rsid w:val="00882933"/>
    <w:rsid w:val="008864C0"/>
    <w:rsid w:val="0089006C"/>
    <w:rsid w:val="00890896"/>
    <w:rsid w:val="00894843"/>
    <w:rsid w:val="00894E33"/>
    <w:rsid w:val="00896022"/>
    <w:rsid w:val="00897D0E"/>
    <w:rsid w:val="008A3531"/>
    <w:rsid w:val="008A5AB1"/>
    <w:rsid w:val="008A6DA4"/>
    <w:rsid w:val="008A74CE"/>
    <w:rsid w:val="008B15E4"/>
    <w:rsid w:val="008B2A3F"/>
    <w:rsid w:val="008B3412"/>
    <w:rsid w:val="008B39CB"/>
    <w:rsid w:val="008B481E"/>
    <w:rsid w:val="008B6C33"/>
    <w:rsid w:val="008B776C"/>
    <w:rsid w:val="008C05A8"/>
    <w:rsid w:val="008C3107"/>
    <w:rsid w:val="008C3882"/>
    <w:rsid w:val="008C45E6"/>
    <w:rsid w:val="008C476D"/>
    <w:rsid w:val="008C520A"/>
    <w:rsid w:val="008C6198"/>
    <w:rsid w:val="008C683F"/>
    <w:rsid w:val="008D09D8"/>
    <w:rsid w:val="008D5BFB"/>
    <w:rsid w:val="008D6A4F"/>
    <w:rsid w:val="008E021B"/>
    <w:rsid w:val="008E3BF0"/>
    <w:rsid w:val="008E4811"/>
    <w:rsid w:val="008E5257"/>
    <w:rsid w:val="008E7EC6"/>
    <w:rsid w:val="008F032E"/>
    <w:rsid w:val="008F0796"/>
    <w:rsid w:val="008F3343"/>
    <w:rsid w:val="008F523D"/>
    <w:rsid w:val="008F5976"/>
    <w:rsid w:val="008F6A8B"/>
    <w:rsid w:val="009059F9"/>
    <w:rsid w:val="009065F4"/>
    <w:rsid w:val="00910E27"/>
    <w:rsid w:val="0091565A"/>
    <w:rsid w:val="009169E9"/>
    <w:rsid w:val="009176B7"/>
    <w:rsid w:val="0092102F"/>
    <w:rsid w:val="009219ED"/>
    <w:rsid w:val="009220FE"/>
    <w:rsid w:val="0092295F"/>
    <w:rsid w:val="0092401F"/>
    <w:rsid w:val="009254EE"/>
    <w:rsid w:val="0092621D"/>
    <w:rsid w:val="00930EFF"/>
    <w:rsid w:val="009311B5"/>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7E4D"/>
    <w:rsid w:val="009604A1"/>
    <w:rsid w:val="00960615"/>
    <w:rsid w:val="00960D5A"/>
    <w:rsid w:val="00963A8A"/>
    <w:rsid w:val="00966EC1"/>
    <w:rsid w:val="00967787"/>
    <w:rsid w:val="00970F6E"/>
    <w:rsid w:val="00973834"/>
    <w:rsid w:val="00974D0C"/>
    <w:rsid w:val="009751AA"/>
    <w:rsid w:val="00980EA7"/>
    <w:rsid w:val="009811CD"/>
    <w:rsid w:val="0098479A"/>
    <w:rsid w:val="009902FB"/>
    <w:rsid w:val="00992044"/>
    <w:rsid w:val="00992CBA"/>
    <w:rsid w:val="00993A8D"/>
    <w:rsid w:val="0099449A"/>
    <w:rsid w:val="009975B0"/>
    <w:rsid w:val="009A0324"/>
    <w:rsid w:val="009A2CAF"/>
    <w:rsid w:val="009A5F83"/>
    <w:rsid w:val="009A6D31"/>
    <w:rsid w:val="009B3BB3"/>
    <w:rsid w:val="009B3DFC"/>
    <w:rsid w:val="009B4270"/>
    <w:rsid w:val="009B4332"/>
    <w:rsid w:val="009B6361"/>
    <w:rsid w:val="009C62F7"/>
    <w:rsid w:val="009C770A"/>
    <w:rsid w:val="009D0B4C"/>
    <w:rsid w:val="009D17A2"/>
    <w:rsid w:val="009D17AC"/>
    <w:rsid w:val="009D1FFD"/>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3201"/>
    <w:rsid w:val="00A133FE"/>
    <w:rsid w:val="00A150B1"/>
    <w:rsid w:val="00A15B52"/>
    <w:rsid w:val="00A16424"/>
    <w:rsid w:val="00A179A5"/>
    <w:rsid w:val="00A17F37"/>
    <w:rsid w:val="00A20772"/>
    <w:rsid w:val="00A21B4D"/>
    <w:rsid w:val="00A24355"/>
    <w:rsid w:val="00A25DDA"/>
    <w:rsid w:val="00A27765"/>
    <w:rsid w:val="00A27C28"/>
    <w:rsid w:val="00A30660"/>
    <w:rsid w:val="00A33A39"/>
    <w:rsid w:val="00A35440"/>
    <w:rsid w:val="00A40552"/>
    <w:rsid w:val="00A411AA"/>
    <w:rsid w:val="00A424CA"/>
    <w:rsid w:val="00A45873"/>
    <w:rsid w:val="00A479EA"/>
    <w:rsid w:val="00A47BA9"/>
    <w:rsid w:val="00A47F6C"/>
    <w:rsid w:val="00A47F7A"/>
    <w:rsid w:val="00A51833"/>
    <w:rsid w:val="00A519B4"/>
    <w:rsid w:val="00A52160"/>
    <w:rsid w:val="00A56C96"/>
    <w:rsid w:val="00A57DD5"/>
    <w:rsid w:val="00A624AC"/>
    <w:rsid w:val="00A62D42"/>
    <w:rsid w:val="00A6313B"/>
    <w:rsid w:val="00A63C13"/>
    <w:rsid w:val="00A6700D"/>
    <w:rsid w:val="00A716B5"/>
    <w:rsid w:val="00A71A51"/>
    <w:rsid w:val="00A74C2C"/>
    <w:rsid w:val="00A761C9"/>
    <w:rsid w:val="00A80EE4"/>
    <w:rsid w:val="00A821C4"/>
    <w:rsid w:val="00A832CC"/>
    <w:rsid w:val="00A834C4"/>
    <w:rsid w:val="00A86B25"/>
    <w:rsid w:val="00A92A9F"/>
    <w:rsid w:val="00A94A26"/>
    <w:rsid w:val="00A95589"/>
    <w:rsid w:val="00AA0822"/>
    <w:rsid w:val="00AA08DC"/>
    <w:rsid w:val="00AA139B"/>
    <w:rsid w:val="00AA1A18"/>
    <w:rsid w:val="00AA5DEC"/>
    <w:rsid w:val="00AA7823"/>
    <w:rsid w:val="00AB7406"/>
    <w:rsid w:val="00AB7FD1"/>
    <w:rsid w:val="00AC1563"/>
    <w:rsid w:val="00AC2B04"/>
    <w:rsid w:val="00AD097A"/>
    <w:rsid w:val="00AD1F4D"/>
    <w:rsid w:val="00AD30FC"/>
    <w:rsid w:val="00AD3B8C"/>
    <w:rsid w:val="00AD4571"/>
    <w:rsid w:val="00AD48F9"/>
    <w:rsid w:val="00AD4CF3"/>
    <w:rsid w:val="00AD5A44"/>
    <w:rsid w:val="00AD7D7D"/>
    <w:rsid w:val="00AE0807"/>
    <w:rsid w:val="00AE0D2E"/>
    <w:rsid w:val="00AE0D8C"/>
    <w:rsid w:val="00AE0F57"/>
    <w:rsid w:val="00AE1294"/>
    <w:rsid w:val="00AE412C"/>
    <w:rsid w:val="00AE45D6"/>
    <w:rsid w:val="00AE73C7"/>
    <w:rsid w:val="00AF4C43"/>
    <w:rsid w:val="00B00335"/>
    <w:rsid w:val="00B01C82"/>
    <w:rsid w:val="00B01E5F"/>
    <w:rsid w:val="00B0336B"/>
    <w:rsid w:val="00B06A05"/>
    <w:rsid w:val="00B1307A"/>
    <w:rsid w:val="00B16759"/>
    <w:rsid w:val="00B22258"/>
    <w:rsid w:val="00B22E8B"/>
    <w:rsid w:val="00B236EC"/>
    <w:rsid w:val="00B27384"/>
    <w:rsid w:val="00B367B3"/>
    <w:rsid w:val="00B367BD"/>
    <w:rsid w:val="00B37658"/>
    <w:rsid w:val="00B4077C"/>
    <w:rsid w:val="00B40CBD"/>
    <w:rsid w:val="00B4217C"/>
    <w:rsid w:val="00B43D2B"/>
    <w:rsid w:val="00B50146"/>
    <w:rsid w:val="00B50EF9"/>
    <w:rsid w:val="00B52051"/>
    <w:rsid w:val="00B57064"/>
    <w:rsid w:val="00B61375"/>
    <w:rsid w:val="00B617EA"/>
    <w:rsid w:val="00B63A38"/>
    <w:rsid w:val="00B66588"/>
    <w:rsid w:val="00B66B91"/>
    <w:rsid w:val="00B67058"/>
    <w:rsid w:val="00B70396"/>
    <w:rsid w:val="00B7116B"/>
    <w:rsid w:val="00B73C09"/>
    <w:rsid w:val="00B81CF9"/>
    <w:rsid w:val="00B822B5"/>
    <w:rsid w:val="00B8398C"/>
    <w:rsid w:val="00B84A12"/>
    <w:rsid w:val="00B854DE"/>
    <w:rsid w:val="00B953E6"/>
    <w:rsid w:val="00B95AE9"/>
    <w:rsid w:val="00B971A8"/>
    <w:rsid w:val="00BA0FF2"/>
    <w:rsid w:val="00BA1B5E"/>
    <w:rsid w:val="00BA2871"/>
    <w:rsid w:val="00BA2AF3"/>
    <w:rsid w:val="00BA75D7"/>
    <w:rsid w:val="00BB0B68"/>
    <w:rsid w:val="00BB1EAB"/>
    <w:rsid w:val="00BB57F9"/>
    <w:rsid w:val="00BB79D7"/>
    <w:rsid w:val="00BB7F70"/>
    <w:rsid w:val="00BC2E3F"/>
    <w:rsid w:val="00BC4183"/>
    <w:rsid w:val="00BC4342"/>
    <w:rsid w:val="00BC4620"/>
    <w:rsid w:val="00BC5022"/>
    <w:rsid w:val="00BC50C3"/>
    <w:rsid w:val="00BC5917"/>
    <w:rsid w:val="00BC6BFE"/>
    <w:rsid w:val="00BC7D83"/>
    <w:rsid w:val="00BD1945"/>
    <w:rsid w:val="00BD3062"/>
    <w:rsid w:val="00BD3D82"/>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C00F4C"/>
    <w:rsid w:val="00C0114B"/>
    <w:rsid w:val="00C012E3"/>
    <w:rsid w:val="00C053C1"/>
    <w:rsid w:val="00C07B27"/>
    <w:rsid w:val="00C07F34"/>
    <w:rsid w:val="00C12995"/>
    <w:rsid w:val="00C13BCF"/>
    <w:rsid w:val="00C1705E"/>
    <w:rsid w:val="00C17213"/>
    <w:rsid w:val="00C17431"/>
    <w:rsid w:val="00C2231C"/>
    <w:rsid w:val="00C240D5"/>
    <w:rsid w:val="00C24F3D"/>
    <w:rsid w:val="00C25152"/>
    <w:rsid w:val="00C25F9F"/>
    <w:rsid w:val="00C2723A"/>
    <w:rsid w:val="00C27252"/>
    <w:rsid w:val="00C27316"/>
    <w:rsid w:val="00C274B0"/>
    <w:rsid w:val="00C3176B"/>
    <w:rsid w:val="00C32027"/>
    <w:rsid w:val="00C349DE"/>
    <w:rsid w:val="00C44A5F"/>
    <w:rsid w:val="00C469E9"/>
    <w:rsid w:val="00C47D41"/>
    <w:rsid w:val="00C50E7E"/>
    <w:rsid w:val="00C54F64"/>
    <w:rsid w:val="00C55901"/>
    <w:rsid w:val="00C55CB4"/>
    <w:rsid w:val="00C55E59"/>
    <w:rsid w:val="00C56298"/>
    <w:rsid w:val="00C57CFD"/>
    <w:rsid w:val="00C57F0A"/>
    <w:rsid w:val="00C61813"/>
    <w:rsid w:val="00C6378C"/>
    <w:rsid w:val="00C63BA6"/>
    <w:rsid w:val="00C640A7"/>
    <w:rsid w:val="00C66046"/>
    <w:rsid w:val="00C726CF"/>
    <w:rsid w:val="00C743B9"/>
    <w:rsid w:val="00C75432"/>
    <w:rsid w:val="00C811BA"/>
    <w:rsid w:val="00C811EF"/>
    <w:rsid w:val="00C81664"/>
    <w:rsid w:val="00C87B2F"/>
    <w:rsid w:val="00C9044D"/>
    <w:rsid w:val="00C91747"/>
    <w:rsid w:val="00C93260"/>
    <w:rsid w:val="00C96B55"/>
    <w:rsid w:val="00C96CEC"/>
    <w:rsid w:val="00CA14DC"/>
    <w:rsid w:val="00CA2842"/>
    <w:rsid w:val="00CA536D"/>
    <w:rsid w:val="00CA6B7F"/>
    <w:rsid w:val="00CA79B9"/>
    <w:rsid w:val="00CB0E19"/>
    <w:rsid w:val="00CB1233"/>
    <w:rsid w:val="00CB3356"/>
    <w:rsid w:val="00CB5A89"/>
    <w:rsid w:val="00CB65FA"/>
    <w:rsid w:val="00CB70E0"/>
    <w:rsid w:val="00CC0B33"/>
    <w:rsid w:val="00CC0F3D"/>
    <w:rsid w:val="00CC1273"/>
    <w:rsid w:val="00CC1BAE"/>
    <w:rsid w:val="00CC56AC"/>
    <w:rsid w:val="00CC7009"/>
    <w:rsid w:val="00CC750F"/>
    <w:rsid w:val="00CD054A"/>
    <w:rsid w:val="00CD1BA4"/>
    <w:rsid w:val="00CD51AD"/>
    <w:rsid w:val="00CD56CB"/>
    <w:rsid w:val="00CD6BFD"/>
    <w:rsid w:val="00CE0939"/>
    <w:rsid w:val="00CE207A"/>
    <w:rsid w:val="00CE346B"/>
    <w:rsid w:val="00CE392E"/>
    <w:rsid w:val="00CE5872"/>
    <w:rsid w:val="00CE7AE4"/>
    <w:rsid w:val="00CF1516"/>
    <w:rsid w:val="00CF2B1D"/>
    <w:rsid w:val="00CF2DE0"/>
    <w:rsid w:val="00CF365A"/>
    <w:rsid w:val="00CF46CD"/>
    <w:rsid w:val="00CF7001"/>
    <w:rsid w:val="00D02205"/>
    <w:rsid w:val="00D023B0"/>
    <w:rsid w:val="00D03740"/>
    <w:rsid w:val="00D03A97"/>
    <w:rsid w:val="00D050A4"/>
    <w:rsid w:val="00D054E6"/>
    <w:rsid w:val="00D102BE"/>
    <w:rsid w:val="00D10502"/>
    <w:rsid w:val="00D115AF"/>
    <w:rsid w:val="00D11FC6"/>
    <w:rsid w:val="00D135B6"/>
    <w:rsid w:val="00D218DD"/>
    <w:rsid w:val="00D2199E"/>
    <w:rsid w:val="00D2278A"/>
    <w:rsid w:val="00D233D4"/>
    <w:rsid w:val="00D2428D"/>
    <w:rsid w:val="00D2485C"/>
    <w:rsid w:val="00D25FB6"/>
    <w:rsid w:val="00D26DAF"/>
    <w:rsid w:val="00D30039"/>
    <w:rsid w:val="00D33594"/>
    <w:rsid w:val="00D337E0"/>
    <w:rsid w:val="00D348E4"/>
    <w:rsid w:val="00D3516C"/>
    <w:rsid w:val="00D36F7C"/>
    <w:rsid w:val="00D458F9"/>
    <w:rsid w:val="00D50DD1"/>
    <w:rsid w:val="00D566BC"/>
    <w:rsid w:val="00D618BF"/>
    <w:rsid w:val="00D61E0F"/>
    <w:rsid w:val="00D62B62"/>
    <w:rsid w:val="00D6770B"/>
    <w:rsid w:val="00D70DA1"/>
    <w:rsid w:val="00D718C4"/>
    <w:rsid w:val="00D71C83"/>
    <w:rsid w:val="00D736FC"/>
    <w:rsid w:val="00D7466B"/>
    <w:rsid w:val="00D759F6"/>
    <w:rsid w:val="00D767A0"/>
    <w:rsid w:val="00D771FE"/>
    <w:rsid w:val="00D807E7"/>
    <w:rsid w:val="00D8110E"/>
    <w:rsid w:val="00D81AE2"/>
    <w:rsid w:val="00D832BF"/>
    <w:rsid w:val="00D8597A"/>
    <w:rsid w:val="00D863DA"/>
    <w:rsid w:val="00D86E38"/>
    <w:rsid w:val="00D91508"/>
    <w:rsid w:val="00D91C7A"/>
    <w:rsid w:val="00D9274E"/>
    <w:rsid w:val="00D929F4"/>
    <w:rsid w:val="00D937B1"/>
    <w:rsid w:val="00D93D64"/>
    <w:rsid w:val="00D947A6"/>
    <w:rsid w:val="00D94865"/>
    <w:rsid w:val="00DA0ADA"/>
    <w:rsid w:val="00DA17FF"/>
    <w:rsid w:val="00DB5E9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365"/>
    <w:rsid w:val="00DE5099"/>
    <w:rsid w:val="00DE5C5C"/>
    <w:rsid w:val="00DE6F09"/>
    <w:rsid w:val="00DF079F"/>
    <w:rsid w:val="00DF0A19"/>
    <w:rsid w:val="00DF1D81"/>
    <w:rsid w:val="00DF2A30"/>
    <w:rsid w:val="00DF3EEA"/>
    <w:rsid w:val="00DF514F"/>
    <w:rsid w:val="00E02307"/>
    <w:rsid w:val="00E035AB"/>
    <w:rsid w:val="00E04BC1"/>
    <w:rsid w:val="00E06797"/>
    <w:rsid w:val="00E1050E"/>
    <w:rsid w:val="00E11A67"/>
    <w:rsid w:val="00E13525"/>
    <w:rsid w:val="00E158E0"/>
    <w:rsid w:val="00E1774F"/>
    <w:rsid w:val="00E20F50"/>
    <w:rsid w:val="00E2211D"/>
    <w:rsid w:val="00E221F8"/>
    <w:rsid w:val="00E25F5F"/>
    <w:rsid w:val="00E260B4"/>
    <w:rsid w:val="00E31F8D"/>
    <w:rsid w:val="00E340E3"/>
    <w:rsid w:val="00E36B26"/>
    <w:rsid w:val="00E40EBB"/>
    <w:rsid w:val="00E44744"/>
    <w:rsid w:val="00E457C1"/>
    <w:rsid w:val="00E45E23"/>
    <w:rsid w:val="00E5092C"/>
    <w:rsid w:val="00E60F2F"/>
    <w:rsid w:val="00E67781"/>
    <w:rsid w:val="00E72F44"/>
    <w:rsid w:val="00E741F1"/>
    <w:rsid w:val="00E76081"/>
    <w:rsid w:val="00E76F15"/>
    <w:rsid w:val="00E807AC"/>
    <w:rsid w:val="00E82CF4"/>
    <w:rsid w:val="00E833E3"/>
    <w:rsid w:val="00E91923"/>
    <w:rsid w:val="00E9196D"/>
    <w:rsid w:val="00E95F5C"/>
    <w:rsid w:val="00EA0A94"/>
    <w:rsid w:val="00EA33F1"/>
    <w:rsid w:val="00EA380F"/>
    <w:rsid w:val="00EA3DED"/>
    <w:rsid w:val="00EA5001"/>
    <w:rsid w:val="00EA6F22"/>
    <w:rsid w:val="00EB0485"/>
    <w:rsid w:val="00EB0C87"/>
    <w:rsid w:val="00EB2727"/>
    <w:rsid w:val="00EB2C3E"/>
    <w:rsid w:val="00EB3679"/>
    <w:rsid w:val="00EB50A0"/>
    <w:rsid w:val="00EB5D94"/>
    <w:rsid w:val="00EB6606"/>
    <w:rsid w:val="00EC0378"/>
    <w:rsid w:val="00EC0B74"/>
    <w:rsid w:val="00EC3816"/>
    <w:rsid w:val="00EC4612"/>
    <w:rsid w:val="00EC4B14"/>
    <w:rsid w:val="00EC4D2C"/>
    <w:rsid w:val="00EC509F"/>
    <w:rsid w:val="00EC597E"/>
    <w:rsid w:val="00ED0927"/>
    <w:rsid w:val="00ED2EB1"/>
    <w:rsid w:val="00ED622B"/>
    <w:rsid w:val="00ED7A2F"/>
    <w:rsid w:val="00ED7B78"/>
    <w:rsid w:val="00EE0088"/>
    <w:rsid w:val="00EE20A4"/>
    <w:rsid w:val="00EE54DC"/>
    <w:rsid w:val="00EE5CD9"/>
    <w:rsid w:val="00EE628F"/>
    <w:rsid w:val="00EE7EB0"/>
    <w:rsid w:val="00EF4F81"/>
    <w:rsid w:val="00EF710E"/>
    <w:rsid w:val="00F0145A"/>
    <w:rsid w:val="00F0326A"/>
    <w:rsid w:val="00F03760"/>
    <w:rsid w:val="00F03AB1"/>
    <w:rsid w:val="00F04CC0"/>
    <w:rsid w:val="00F0649D"/>
    <w:rsid w:val="00F06D9F"/>
    <w:rsid w:val="00F07DEB"/>
    <w:rsid w:val="00F12B61"/>
    <w:rsid w:val="00F1364F"/>
    <w:rsid w:val="00F13CB1"/>
    <w:rsid w:val="00F140A7"/>
    <w:rsid w:val="00F17044"/>
    <w:rsid w:val="00F171DE"/>
    <w:rsid w:val="00F208A1"/>
    <w:rsid w:val="00F2490F"/>
    <w:rsid w:val="00F24BF0"/>
    <w:rsid w:val="00F25C93"/>
    <w:rsid w:val="00F2722D"/>
    <w:rsid w:val="00F273F8"/>
    <w:rsid w:val="00F279FB"/>
    <w:rsid w:val="00F30DE7"/>
    <w:rsid w:val="00F34EA7"/>
    <w:rsid w:val="00F36F91"/>
    <w:rsid w:val="00F37C93"/>
    <w:rsid w:val="00F407A9"/>
    <w:rsid w:val="00F43762"/>
    <w:rsid w:val="00F45710"/>
    <w:rsid w:val="00F46CD5"/>
    <w:rsid w:val="00F46D11"/>
    <w:rsid w:val="00F47B42"/>
    <w:rsid w:val="00F60ACC"/>
    <w:rsid w:val="00F6290B"/>
    <w:rsid w:val="00F62AF2"/>
    <w:rsid w:val="00F636C9"/>
    <w:rsid w:val="00F643BD"/>
    <w:rsid w:val="00F70009"/>
    <w:rsid w:val="00F73225"/>
    <w:rsid w:val="00F7393D"/>
    <w:rsid w:val="00F74AD0"/>
    <w:rsid w:val="00F836C3"/>
    <w:rsid w:val="00F83F55"/>
    <w:rsid w:val="00F8499D"/>
    <w:rsid w:val="00F85374"/>
    <w:rsid w:val="00F901B9"/>
    <w:rsid w:val="00F91D9E"/>
    <w:rsid w:val="00F92C13"/>
    <w:rsid w:val="00F92C65"/>
    <w:rsid w:val="00F944F9"/>
    <w:rsid w:val="00F94AC3"/>
    <w:rsid w:val="00FA005F"/>
    <w:rsid w:val="00FA0A0C"/>
    <w:rsid w:val="00FA1F2C"/>
    <w:rsid w:val="00FA3CCE"/>
    <w:rsid w:val="00FA5504"/>
    <w:rsid w:val="00FA6610"/>
    <w:rsid w:val="00FA6645"/>
    <w:rsid w:val="00FA7A4E"/>
    <w:rsid w:val="00FB2AD9"/>
    <w:rsid w:val="00FB367E"/>
    <w:rsid w:val="00FB454B"/>
    <w:rsid w:val="00FC1ED6"/>
    <w:rsid w:val="00FC20B2"/>
    <w:rsid w:val="00FC2184"/>
    <w:rsid w:val="00FC4EFF"/>
    <w:rsid w:val="00FC57E1"/>
    <w:rsid w:val="00FC679E"/>
    <w:rsid w:val="00FC683B"/>
    <w:rsid w:val="00FD109A"/>
    <w:rsid w:val="00FD1E2A"/>
    <w:rsid w:val="00FD2FCA"/>
    <w:rsid w:val="00FD3C6E"/>
    <w:rsid w:val="00FD5927"/>
    <w:rsid w:val="00FD65EE"/>
    <w:rsid w:val="00FD7547"/>
    <w:rsid w:val="00FD780B"/>
    <w:rsid w:val="00FD7C95"/>
    <w:rsid w:val="00FE134D"/>
    <w:rsid w:val="00FE15B3"/>
    <w:rsid w:val="00FE21E1"/>
    <w:rsid w:val="00FE31EA"/>
    <w:rsid w:val="00FE4A50"/>
    <w:rsid w:val="00FF19E1"/>
    <w:rsid w:val="00FF26AC"/>
    <w:rsid w:val="00FF350A"/>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14:docId w14:val="4B8C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B52051"/>
    <w:pPr>
      <w:spacing w:before="5040" w:after="240"/>
      <w:contextualSpacing/>
      <w:jc w:val="center"/>
      <w:outlineLvl w:val="0"/>
    </w:pPr>
    <w:rPr>
      <w:b/>
      <w:sz w:val="52"/>
    </w:rPr>
  </w:style>
  <w:style w:type="paragraph" w:styleId="Heading2">
    <w:name w:val="heading 2"/>
    <w:basedOn w:val="Normal"/>
    <w:next w:val="Normal"/>
    <w:link w:val="Heading2Char"/>
    <w:qFormat/>
    <w:rsid w:val="008B2A3F"/>
    <w:pPr>
      <w:spacing w:after="480"/>
      <w:outlineLvl w:val="1"/>
    </w:pPr>
    <w:rPr>
      <w:rFonts w:cs="Arial"/>
      <w:b/>
      <w:bCs/>
      <w:sz w:val="36"/>
      <w:szCs w:val="36"/>
    </w:rPr>
  </w:style>
  <w:style w:type="paragraph" w:styleId="Heading3">
    <w:name w:val="heading 3"/>
    <w:basedOn w:val="Normal"/>
    <w:next w:val="Normal"/>
    <w:qFormat/>
    <w:rsid w:val="006B71B7"/>
    <w:pPr>
      <w:spacing w:after="240"/>
      <w:outlineLvl w:val="2"/>
    </w:pPr>
    <w:rPr>
      <w:b/>
      <w:sz w:val="24"/>
    </w:rPr>
  </w:style>
  <w:style w:type="paragraph" w:styleId="Heading4">
    <w:name w:val="heading 4"/>
    <w:basedOn w:val="Normal"/>
    <w:next w:val="Normal"/>
    <w:link w:val="Heading4Char"/>
    <w:qFormat/>
    <w:rsid w:val="007C23DA"/>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7C23DA"/>
    <w:pPr>
      <w:tabs>
        <w:tab w:val="right" w:pos="8296"/>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8B2A3F"/>
    <w:rPr>
      <w:rFonts w:ascii="Calibri" w:hAnsi="Calibri" w:cs="Arial"/>
      <w:b/>
      <w:bCs/>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7C23DA"/>
    <w:rPr>
      <w:rFonts w:ascii="Calibri" w:hAnsi="Calibri"/>
      <w:b/>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customStyle="1" w:styleId="guidelinetext">
    <w:name w:val="guideline text"/>
    <w:basedOn w:val="Normal"/>
    <w:link w:val="guidelinetextChar"/>
    <w:qFormat/>
    <w:rsid w:val="00EC0B74"/>
    <w:pPr>
      <w:spacing w:before="120" w:line="264" w:lineRule="auto"/>
      <w:ind w:left="144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EC0B74"/>
    <w:rPr>
      <w:rFonts w:asciiTheme="minorHAnsi" w:eastAsiaTheme="minorHAnsi" w:hAnsiTheme="minorHAnsi" w:cstheme="minorBidi"/>
      <w:sz w:val="22"/>
      <w:szCs w:val="22"/>
      <w:lang w:eastAsia="en-US"/>
    </w:rPr>
  </w:style>
  <w:style w:type="paragraph" w:customStyle="1" w:styleId="SubSectionText">
    <w:name w:val="SubSection_Text"/>
    <w:basedOn w:val="Normal"/>
    <w:rsid w:val="00EC0B74"/>
    <w:pPr>
      <w:tabs>
        <w:tab w:val="num" w:pos="1417"/>
      </w:tabs>
      <w:spacing w:before="60" w:after="140"/>
      <w:ind w:left="1417" w:hanging="567"/>
    </w:pPr>
    <w:rPr>
      <w:rFonts w:ascii="Arial" w:hAnsi="Arial" w:cs="Arial"/>
      <w:bCs/>
      <w:szCs w:val="26"/>
    </w:rPr>
  </w:style>
  <w:style w:type="paragraph" w:styleId="ListParagraph">
    <w:name w:val="List Paragraph"/>
    <w:basedOn w:val="Normal"/>
    <w:uiPriority w:val="34"/>
    <w:qFormat/>
    <w:rsid w:val="00AE45D6"/>
    <w:pPr>
      <w:ind w:left="720"/>
      <w:contextualSpacing/>
    </w:pPr>
  </w:style>
  <w:style w:type="character" w:customStyle="1" w:styleId="FooterChar">
    <w:name w:val="Footer Char"/>
    <w:basedOn w:val="DefaultParagraphFont"/>
    <w:link w:val="Footer"/>
    <w:uiPriority w:val="99"/>
    <w:rsid w:val="00C50E7E"/>
    <w:rPr>
      <w:rFonts w:ascii="Calibri" w:hAnsi="Calibri" w:cs="Arial"/>
      <w:color w:val="808080"/>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B52051"/>
    <w:pPr>
      <w:spacing w:before="5040" w:after="240"/>
      <w:contextualSpacing/>
      <w:jc w:val="center"/>
      <w:outlineLvl w:val="0"/>
    </w:pPr>
    <w:rPr>
      <w:b/>
      <w:sz w:val="52"/>
    </w:rPr>
  </w:style>
  <w:style w:type="paragraph" w:styleId="Heading2">
    <w:name w:val="heading 2"/>
    <w:basedOn w:val="Normal"/>
    <w:next w:val="Normal"/>
    <w:link w:val="Heading2Char"/>
    <w:qFormat/>
    <w:rsid w:val="008B2A3F"/>
    <w:pPr>
      <w:spacing w:after="480"/>
      <w:outlineLvl w:val="1"/>
    </w:pPr>
    <w:rPr>
      <w:rFonts w:cs="Arial"/>
      <w:b/>
      <w:bCs/>
      <w:sz w:val="36"/>
      <w:szCs w:val="36"/>
    </w:rPr>
  </w:style>
  <w:style w:type="paragraph" w:styleId="Heading3">
    <w:name w:val="heading 3"/>
    <w:basedOn w:val="Normal"/>
    <w:next w:val="Normal"/>
    <w:qFormat/>
    <w:rsid w:val="006B71B7"/>
    <w:pPr>
      <w:spacing w:after="240"/>
      <w:outlineLvl w:val="2"/>
    </w:pPr>
    <w:rPr>
      <w:b/>
      <w:sz w:val="24"/>
    </w:rPr>
  </w:style>
  <w:style w:type="paragraph" w:styleId="Heading4">
    <w:name w:val="heading 4"/>
    <w:basedOn w:val="Normal"/>
    <w:next w:val="Normal"/>
    <w:link w:val="Heading4Char"/>
    <w:qFormat/>
    <w:rsid w:val="007C23DA"/>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7C23DA"/>
    <w:pPr>
      <w:tabs>
        <w:tab w:val="right" w:pos="8296"/>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8B2A3F"/>
    <w:rPr>
      <w:rFonts w:ascii="Calibri" w:hAnsi="Calibri" w:cs="Arial"/>
      <w:b/>
      <w:bCs/>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7C23DA"/>
    <w:rPr>
      <w:rFonts w:ascii="Calibri" w:hAnsi="Calibri"/>
      <w:b/>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customStyle="1" w:styleId="guidelinetext">
    <w:name w:val="guideline text"/>
    <w:basedOn w:val="Normal"/>
    <w:link w:val="guidelinetextChar"/>
    <w:qFormat/>
    <w:rsid w:val="00EC0B74"/>
    <w:pPr>
      <w:spacing w:before="120" w:line="264" w:lineRule="auto"/>
      <w:ind w:left="144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EC0B74"/>
    <w:rPr>
      <w:rFonts w:asciiTheme="minorHAnsi" w:eastAsiaTheme="minorHAnsi" w:hAnsiTheme="minorHAnsi" w:cstheme="minorBidi"/>
      <w:sz w:val="22"/>
      <w:szCs w:val="22"/>
      <w:lang w:eastAsia="en-US"/>
    </w:rPr>
  </w:style>
  <w:style w:type="paragraph" w:customStyle="1" w:styleId="SubSectionText">
    <w:name w:val="SubSection_Text"/>
    <w:basedOn w:val="Normal"/>
    <w:rsid w:val="00EC0B74"/>
    <w:pPr>
      <w:tabs>
        <w:tab w:val="num" w:pos="1417"/>
      </w:tabs>
      <w:spacing w:before="60" w:after="140"/>
      <w:ind w:left="1417" w:hanging="567"/>
    </w:pPr>
    <w:rPr>
      <w:rFonts w:ascii="Arial" w:hAnsi="Arial" w:cs="Arial"/>
      <w:bCs/>
      <w:szCs w:val="26"/>
    </w:rPr>
  </w:style>
  <w:style w:type="paragraph" w:styleId="ListParagraph">
    <w:name w:val="List Paragraph"/>
    <w:basedOn w:val="Normal"/>
    <w:uiPriority w:val="34"/>
    <w:qFormat/>
    <w:rsid w:val="00AE45D6"/>
    <w:pPr>
      <w:ind w:left="720"/>
      <w:contextualSpacing/>
    </w:pPr>
  </w:style>
  <w:style w:type="character" w:customStyle="1" w:styleId="FooterChar">
    <w:name w:val="Footer Char"/>
    <w:basedOn w:val="DefaultParagraphFont"/>
    <w:link w:val="Footer"/>
    <w:uiPriority w:val="99"/>
    <w:rsid w:val="00C50E7E"/>
    <w:rPr>
      <w:rFonts w:ascii="Calibri" w:hAnsi="Calibri" w:cs="Arial"/>
      <w:color w:val="80808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73729">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2.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3.xml><?xml version="1.0" encoding="utf-8"?>
<ds:datastoreItem xmlns:ds="http://schemas.openxmlformats.org/officeDocument/2006/customXml" ds:itemID="{610DE6BF-299E-461C-906C-660316CF6F80}">
  <ds:schemaRefs>
    <ds:schemaRef ds:uri="4ff5bc6b-1238-418a-b0ee-f48830a30d6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9BC5D-8EA9-4865-9621-0B20CD36D858}">
  <ds:schemaRefs>
    <ds:schemaRef ds:uri="office.server.policy"/>
  </ds:schemaRefs>
</ds:datastoreItem>
</file>

<file path=customXml/itemProps6.xml><?xml version="1.0" encoding="utf-8"?>
<ds:datastoreItem xmlns:ds="http://schemas.openxmlformats.org/officeDocument/2006/customXml" ds:itemID="{A61C3768-A0F7-4738-BB7F-C1CC5B42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6BE547D9</Template>
  <TotalTime>0</TotalTime>
  <Pages>9</Pages>
  <Words>2420</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16408</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OSBORNE, Erin</dc:creator>
  <cp:lastModifiedBy>OSBORNE,Erin</cp:lastModifiedBy>
  <cp:revision>3</cp:revision>
  <cp:lastPrinted>2009-05-04T00:46:00Z</cp:lastPrinted>
  <dcterms:created xsi:type="dcterms:W3CDTF">2018-04-04T05:51:00Z</dcterms:created>
  <dcterms:modified xsi:type="dcterms:W3CDTF">2018-04-10T03:10:00Z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ies>
</file>