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66886219" w:displacedByCustomXml="next"/>
    <w:sdt>
      <w:sdtPr>
        <w:rPr>
          <w:b/>
          <w:sz w:val="52"/>
        </w:rPr>
        <w:id w:val="-979068328"/>
        <w:docPartObj>
          <w:docPartGallery w:val="Cover Pages"/>
          <w:docPartUnique/>
        </w:docPartObj>
      </w:sdtPr>
      <w:sdtEndPr>
        <w:rPr>
          <w:sz w:val="36"/>
          <w:szCs w:val="36"/>
        </w:rPr>
      </w:sdtEndPr>
      <w:sdtContent>
        <w:p w14:paraId="52E2E5AC" w14:textId="31EA5397" w:rsidR="00204077" w:rsidRDefault="00204077" w:rsidP="00C5252D">
          <w:pPr>
            <w:spacing w:before="120" w:after="120"/>
            <w:ind w:left="-567"/>
            <w:jc w:val="center"/>
            <w:rPr>
              <w:b/>
            </w:rPr>
          </w:pPr>
          <w:r>
            <w:rPr>
              <w:noProof/>
            </w:rPr>
            <w:drawing>
              <wp:inline distT="0" distB="0" distL="0" distR="0" wp14:anchorId="066834A2" wp14:editId="66B7E25F">
                <wp:extent cx="3924300" cy="2714625"/>
                <wp:effectExtent l="0" t="0" r="0" b="9525"/>
                <wp:docPr id="2" name="Picture 2" descr="Australian Government Crest and Disability Employment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Crest and Disability Employment Services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24300" cy="2714625"/>
                        </a:xfrm>
                        <a:prstGeom prst="rect">
                          <a:avLst/>
                        </a:prstGeom>
                        <a:noFill/>
                        <a:ln>
                          <a:noFill/>
                        </a:ln>
                      </pic:spPr>
                    </pic:pic>
                  </a:graphicData>
                </a:graphic>
              </wp:inline>
            </w:drawing>
          </w:r>
        </w:p>
        <w:p w14:paraId="6591D465" w14:textId="2097C765" w:rsidR="00FC467C" w:rsidRPr="007B711B" w:rsidRDefault="005334C1" w:rsidP="00243D30">
          <w:pPr>
            <w:pStyle w:val="Heading1"/>
            <w:spacing w:before="1320"/>
          </w:pPr>
          <w:bookmarkStart w:id="1" w:name="_Toc509842074"/>
          <w:bookmarkStart w:id="2" w:name="_Toc510517242"/>
          <w:r w:rsidRPr="007B711B">
            <w:t>Relocation Assistance</w:t>
          </w:r>
          <w:r w:rsidR="001A532B" w:rsidRPr="007B711B">
            <w:t xml:space="preserve"> to Take U</w:t>
          </w:r>
          <w:r w:rsidR="00204077" w:rsidRPr="007B711B">
            <w:t>p a Job Guideline</w:t>
          </w:r>
          <w:r w:rsidR="00EA0894" w:rsidRPr="007B711B">
            <w:t>s</w:t>
          </w:r>
          <w:bookmarkEnd w:id="1"/>
          <w:bookmarkEnd w:id="2"/>
        </w:p>
        <w:p w14:paraId="268E0986" w14:textId="77777777" w:rsidR="00D92F45" w:rsidRPr="00450249" w:rsidRDefault="00204077" w:rsidP="00450249">
          <w:pPr>
            <w:jc w:val="center"/>
            <w:rPr>
              <w:b/>
              <w:sz w:val="36"/>
              <w:szCs w:val="36"/>
            </w:rPr>
          </w:pPr>
          <w:bookmarkStart w:id="3" w:name="_Toc509999709"/>
          <w:bookmarkStart w:id="4" w:name="_Toc510517243"/>
          <w:proofErr w:type="spellStart"/>
          <w:r w:rsidRPr="00450249">
            <w:rPr>
              <w:b/>
              <w:sz w:val="36"/>
              <w:szCs w:val="36"/>
            </w:rPr>
            <w:t>V1.</w:t>
          </w:r>
          <w:r w:rsidR="00D92F45" w:rsidRPr="00450249">
            <w:rPr>
              <w:b/>
              <w:sz w:val="36"/>
              <w:szCs w:val="36"/>
            </w:rPr>
            <w:t>0</w:t>
          </w:r>
          <w:proofErr w:type="spellEnd"/>
        </w:p>
      </w:sdtContent>
    </w:sdt>
    <w:bookmarkEnd w:id="4" w:displacedByCustomXml="prev"/>
    <w:bookmarkEnd w:id="3" w:displacedByCustomXml="prev"/>
    <w:p w14:paraId="3210238F" w14:textId="77777777" w:rsidR="00D92F45" w:rsidRDefault="00D92F45" w:rsidP="00D92F45">
      <w:pPr>
        <w:rPr>
          <w:rFonts w:eastAsiaTheme="majorEastAsia" w:cstheme="majorBidi"/>
          <w:sz w:val="20"/>
          <w:szCs w:val="20"/>
        </w:rPr>
      </w:pPr>
    </w:p>
    <w:p w14:paraId="297C9C0C" w14:textId="7246B351" w:rsidR="00523898" w:rsidRDefault="00243D30" w:rsidP="00243D30">
      <w:pPr>
        <w:pStyle w:val="Disclaimer"/>
        <w:pBdr>
          <w:top w:val="single" w:sz="4" w:space="1" w:color="auto"/>
          <w:left w:val="single" w:sz="4" w:space="4" w:color="auto"/>
          <w:bottom w:val="single" w:sz="4" w:space="1" w:color="auto"/>
          <w:right w:val="single" w:sz="4" w:space="4" w:color="auto"/>
        </w:pBdr>
        <w:spacing w:before="4800"/>
        <w:rPr>
          <w:rFonts w:cs="Arial"/>
          <w:b/>
          <w:bCs/>
          <w:sz w:val="36"/>
          <w:szCs w:val="36"/>
        </w:rPr>
      </w:pPr>
      <w:bookmarkStart w:id="5" w:name="_Toc391474999"/>
      <w:bookmarkStart w:id="6" w:name="_Toc398814434"/>
      <w:bookmarkStart w:id="7" w:name="_Toc482347672"/>
      <w:bookmarkStart w:id="8" w:name="_Toc309825664"/>
      <w:bookmarkStart w:id="9" w:name="_Toc266886221"/>
      <w:bookmarkEnd w:id="0"/>
      <w:r w:rsidRPr="00EB34AA">
        <w:rPr>
          <w:b/>
        </w:rPr>
        <w:t>Disclaimer</w:t>
      </w:r>
      <w:r>
        <w:br/>
      </w:r>
      <w:r w:rsidRPr="00402359">
        <w:t xml:space="preserve">This document is not a stand-alone document and does not contain the entirety of </w:t>
      </w:r>
      <w:r>
        <w:t>Disability Employment Services</w:t>
      </w:r>
      <w:r w:rsidRPr="00402359">
        <w:t xml:space="preserve"> Providers' obligations. It should be read in conjunction with the </w:t>
      </w:r>
      <w:r>
        <w:t>Disability Employment Services Grant Agreement</w:t>
      </w:r>
      <w:r w:rsidRPr="00402359">
        <w:t xml:space="preserve"> and any relevant guidelines or reference material issued by </w:t>
      </w:r>
      <w:r>
        <w:t xml:space="preserve">the Department of Social Services </w:t>
      </w:r>
      <w:r w:rsidRPr="00402359">
        <w:t xml:space="preserve">under or in connection with </w:t>
      </w:r>
      <w:r>
        <w:t>the Disability Employment Services Grant Agreement</w:t>
      </w:r>
      <w:r w:rsidRPr="00402359">
        <w:t>.</w:t>
      </w:r>
      <w:r w:rsidR="00523898">
        <w:br w:type="page"/>
      </w:r>
    </w:p>
    <w:p w14:paraId="2B95AFAF" w14:textId="1E727EF1" w:rsidR="00694D94" w:rsidRDefault="00694D94" w:rsidP="00243D30">
      <w:pPr>
        <w:pStyle w:val="Heading2"/>
      </w:pPr>
      <w:bookmarkStart w:id="10" w:name="_Toc509842075"/>
      <w:bookmarkStart w:id="11" w:name="_Toc510517244"/>
      <w:r w:rsidRPr="009367AC">
        <w:lastRenderedPageBreak/>
        <w:t>Table of Contents</w:t>
      </w:r>
      <w:bookmarkEnd w:id="5"/>
      <w:bookmarkEnd w:id="6"/>
      <w:bookmarkEnd w:id="7"/>
      <w:bookmarkEnd w:id="10"/>
      <w:bookmarkEnd w:id="11"/>
    </w:p>
    <w:p w14:paraId="66A7FC79" w14:textId="20086F0A" w:rsidR="00795CFE" w:rsidRDefault="00E85F05">
      <w:pPr>
        <w:pStyle w:val="TOC1"/>
        <w:tabs>
          <w:tab w:val="right" w:pos="9628"/>
        </w:tabs>
        <w:rPr>
          <w:rFonts w:eastAsiaTheme="minorEastAsia" w:cstheme="minorBidi"/>
          <w:b w:val="0"/>
          <w:bCs w:val="0"/>
          <w:noProof/>
          <w:sz w:val="22"/>
          <w:szCs w:val="22"/>
        </w:rPr>
      </w:pPr>
      <w:r>
        <w:rPr>
          <w:i/>
          <w:iCs/>
        </w:rPr>
        <w:fldChar w:fldCharType="begin"/>
      </w:r>
      <w:r>
        <w:instrText xml:space="preserve"> TOC \o "1-3" \h \z \u </w:instrText>
      </w:r>
      <w:r>
        <w:rPr>
          <w:i/>
          <w:iCs/>
        </w:rPr>
        <w:fldChar w:fldCharType="separate"/>
      </w:r>
      <w:hyperlink w:anchor="_Toc510517242" w:history="1">
        <w:r w:rsidR="00795CFE" w:rsidRPr="003764B5">
          <w:rPr>
            <w:rStyle w:val="Hyperlink"/>
            <w:noProof/>
          </w:rPr>
          <w:t>Relocation Assistance to Take Up a Job Guidelines</w:t>
        </w:r>
        <w:r w:rsidR="00795CFE">
          <w:rPr>
            <w:noProof/>
            <w:webHidden/>
          </w:rPr>
          <w:tab/>
        </w:r>
        <w:r w:rsidR="00795CFE">
          <w:rPr>
            <w:noProof/>
            <w:webHidden/>
          </w:rPr>
          <w:fldChar w:fldCharType="begin"/>
        </w:r>
        <w:r w:rsidR="00795CFE">
          <w:rPr>
            <w:noProof/>
            <w:webHidden/>
          </w:rPr>
          <w:instrText xml:space="preserve"> PAGEREF _Toc510517242 \h </w:instrText>
        </w:r>
        <w:r w:rsidR="00795CFE">
          <w:rPr>
            <w:noProof/>
            <w:webHidden/>
          </w:rPr>
        </w:r>
        <w:r w:rsidR="00795CFE">
          <w:rPr>
            <w:noProof/>
            <w:webHidden/>
          </w:rPr>
          <w:fldChar w:fldCharType="separate"/>
        </w:r>
        <w:r w:rsidR="00477122">
          <w:rPr>
            <w:noProof/>
            <w:webHidden/>
          </w:rPr>
          <w:t>1</w:t>
        </w:r>
        <w:r w:rsidR="00795CFE">
          <w:rPr>
            <w:noProof/>
            <w:webHidden/>
          </w:rPr>
          <w:fldChar w:fldCharType="end"/>
        </w:r>
      </w:hyperlink>
    </w:p>
    <w:p w14:paraId="36343A04" w14:textId="55C40613" w:rsidR="00795CFE" w:rsidRDefault="008C7FE5">
      <w:pPr>
        <w:pStyle w:val="TOC2"/>
        <w:tabs>
          <w:tab w:val="right" w:pos="9628"/>
        </w:tabs>
        <w:rPr>
          <w:rFonts w:eastAsiaTheme="minorEastAsia" w:cstheme="minorBidi"/>
          <w:i w:val="0"/>
          <w:iCs w:val="0"/>
          <w:noProof/>
          <w:sz w:val="22"/>
          <w:szCs w:val="22"/>
        </w:rPr>
      </w:pPr>
      <w:hyperlink w:anchor="_Toc510517244" w:history="1">
        <w:r w:rsidR="00795CFE" w:rsidRPr="003764B5">
          <w:rPr>
            <w:rStyle w:val="Hyperlink"/>
            <w:noProof/>
          </w:rPr>
          <w:t>Table of Contents</w:t>
        </w:r>
        <w:r w:rsidR="00795CFE">
          <w:rPr>
            <w:noProof/>
            <w:webHidden/>
          </w:rPr>
          <w:tab/>
        </w:r>
        <w:r w:rsidR="00795CFE">
          <w:rPr>
            <w:noProof/>
            <w:webHidden/>
          </w:rPr>
          <w:fldChar w:fldCharType="begin"/>
        </w:r>
        <w:r w:rsidR="00795CFE">
          <w:rPr>
            <w:noProof/>
            <w:webHidden/>
          </w:rPr>
          <w:instrText xml:space="preserve"> PAGEREF _Toc510517244 \h </w:instrText>
        </w:r>
        <w:r w:rsidR="00795CFE">
          <w:rPr>
            <w:noProof/>
            <w:webHidden/>
          </w:rPr>
        </w:r>
        <w:r w:rsidR="00795CFE">
          <w:rPr>
            <w:noProof/>
            <w:webHidden/>
          </w:rPr>
          <w:fldChar w:fldCharType="separate"/>
        </w:r>
        <w:r w:rsidR="00477122">
          <w:rPr>
            <w:noProof/>
            <w:webHidden/>
          </w:rPr>
          <w:t>2</w:t>
        </w:r>
        <w:r w:rsidR="00795CFE">
          <w:rPr>
            <w:noProof/>
            <w:webHidden/>
          </w:rPr>
          <w:fldChar w:fldCharType="end"/>
        </w:r>
      </w:hyperlink>
    </w:p>
    <w:p w14:paraId="0CA28B71" w14:textId="41BC288D" w:rsidR="00795CFE" w:rsidRDefault="008C7FE5">
      <w:pPr>
        <w:pStyle w:val="TOC3"/>
        <w:tabs>
          <w:tab w:val="right" w:pos="9628"/>
        </w:tabs>
        <w:rPr>
          <w:rFonts w:eastAsiaTheme="minorEastAsia" w:cstheme="minorBidi"/>
          <w:noProof/>
          <w:sz w:val="22"/>
          <w:szCs w:val="22"/>
        </w:rPr>
      </w:pPr>
      <w:hyperlink w:anchor="_Toc510517245" w:history="1">
        <w:r w:rsidR="00795CFE" w:rsidRPr="003764B5">
          <w:rPr>
            <w:rStyle w:val="Hyperlink"/>
            <w:noProof/>
          </w:rPr>
          <w:t>Document Change History</w:t>
        </w:r>
        <w:r w:rsidR="00795CFE">
          <w:rPr>
            <w:noProof/>
            <w:webHidden/>
          </w:rPr>
          <w:tab/>
        </w:r>
        <w:r w:rsidR="00795CFE">
          <w:rPr>
            <w:noProof/>
            <w:webHidden/>
          </w:rPr>
          <w:fldChar w:fldCharType="begin"/>
        </w:r>
        <w:r w:rsidR="00795CFE">
          <w:rPr>
            <w:noProof/>
            <w:webHidden/>
          </w:rPr>
          <w:instrText xml:space="preserve"> PAGEREF _Toc510517245 \h </w:instrText>
        </w:r>
        <w:r w:rsidR="00795CFE">
          <w:rPr>
            <w:noProof/>
            <w:webHidden/>
          </w:rPr>
        </w:r>
        <w:r w:rsidR="00795CFE">
          <w:rPr>
            <w:noProof/>
            <w:webHidden/>
          </w:rPr>
          <w:fldChar w:fldCharType="separate"/>
        </w:r>
        <w:r w:rsidR="00477122">
          <w:rPr>
            <w:noProof/>
            <w:webHidden/>
          </w:rPr>
          <w:t>3</w:t>
        </w:r>
        <w:r w:rsidR="00795CFE">
          <w:rPr>
            <w:noProof/>
            <w:webHidden/>
          </w:rPr>
          <w:fldChar w:fldCharType="end"/>
        </w:r>
      </w:hyperlink>
    </w:p>
    <w:p w14:paraId="52CC1550" w14:textId="715431CF" w:rsidR="00795CFE" w:rsidRDefault="008C7FE5">
      <w:pPr>
        <w:pStyle w:val="TOC3"/>
        <w:tabs>
          <w:tab w:val="right" w:pos="9628"/>
        </w:tabs>
        <w:rPr>
          <w:rFonts w:eastAsiaTheme="minorEastAsia" w:cstheme="minorBidi"/>
          <w:noProof/>
          <w:sz w:val="22"/>
          <w:szCs w:val="22"/>
        </w:rPr>
      </w:pPr>
      <w:hyperlink w:anchor="_Toc510517246" w:history="1">
        <w:r w:rsidR="00795CFE" w:rsidRPr="003764B5">
          <w:rPr>
            <w:rStyle w:val="Hyperlink"/>
            <w:noProof/>
          </w:rPr>
          <w:t>Background</w:t>
        </w:r>
        <w:r w:rsidR="00795CFE">
          <w:rPr>
            <w:noProof/>
            <w:webHidden/>
          </w:rPr>
          <w:tab/>
        </w:r>
        <w:r w:rsidR="00795CFE">
          <w:rPr>
            <w:noProof/>
            <w:webHidden/>
          </w:rPr>
          <w:fldChar w:fldCharType="begin"/>
        </w:r>
        <w:r w:rsidR="00795CFE">
          <w:rPr>
            <w:noProof/>
            <w:webHidden/>
          </w:rPr>
          <w:instrText xml:space="preserve"> PAGEREF _Toc510517246 \h </w:instrText>
        </w:r>
        <w:r w:rsidR="00795CFE">
          <w:rPr>
            <w:noProof/>
            <w:webHidden/>
          </w:rPr>
        </w:r>
        <w:r w:rsidR="00795CFE">
          <w:rPr>
            <w:noProof/>
            <w:webHidden/>
          </w:rPr>
          <w:fldChar w:fldCharType="separate"/>
        </w:r>
        <w:r w:rsidR="00477122">
          <w:rPr>
            <w:noProof/>
            <w:webHidden/>
          </w:rPr>
          <w:t>3</w:t>
        </w:r>
        <w:r w:rsidR="00795CFE">
          <w:rPr>
            <w:noProof/>
            <w:webHidden/>
          </w:rPr>
          <w:fldChar w:fldCharType="end"/>
        </w:r>
      </w:hyperlink>
    </w:p>
    <w:p w14:paraId="7A5A7ECB" w14:textId="02875093" w:rsidR="00795CFE" w:rsidRDefault="008C7FE5">
      <w:pPr>
        <w:pStyle w:val="TOC3"/>
        <w:tabs>
          <w:tab w:val="right" w:pos="9628"/>
        </w:tabs>
        <w:rPr>
          <w:rFonts w:eastAsiaTheme="minorEastAsia" w:cstheme="minorBidi"/>
          <w:noProof/>
          <w:sz w:val="22"/>
          <w:szCs w:val="22"/>
        </w:rPr>
      </w:pPr>
      <w:hyperlink w:anchor="_Toc510517247" w:history="1">
        <w:r w:rsidR="00795CFE" w:rsidRPr="003764B5">
          <w:rPr>
            <w:rStyle w:val="Hyperlink"/>
            <w:noProof/>
          </w:rPr>
          <w:t>Disability Employment Services Grant Agreement Clauses:</w:t>
        </w:r>
        <w:r w:rsidR="00795CFE">
          <w:rPr>
            <w:noProof/>
            <w:webHidden/>
          </w:rPr>
          <w:tab/>
        </w:r>
        <w:r w:rsidR="00795CFE">
          <w:rPr>
            <w:noProof/>
            <w:webHidden/>
          </w:rPr>
          <w:fldChar w:fldCharType="begin"/>
        </w:r>
        <w:r w:rsidR="00795CFE">
          <w:rPr>
            <w:noProof/>
            <w:webHidden/>
          </w:rPr>
          <w:instrText xml:space="preserve"> PAGEREF _Toc510517247 \h </w:instrText>
        </w:r>
        <w:r w:rsidR="00795CFE">
          <w:rPr>
            <w:noProof/>
            <w:webHidden/>
          </w:rPr>
        </w:r>
        <w:r w:rsidR="00795CFE">
          <w:rPr>
            <w:noProof/>
            <w:webHidden/>
          </w:rPr>
          <w:fldChar w:fldCharType="separate"/>
        </w:r>
        <w:r w:rsidR="00477122">
          <w:rPr>
            <w:noProof/>
            <w:webHidden/>
          </w:rPr>
          <w:t>3</w:t>
        </w:r>
        <w:r w:rsidR="00795CFE">
          <w:rPr>
            <w:noProof/>
            <w:webHidden/>
          </w:rPr>
          <w:fldChar w:fldCharType="end"/>
        </w:r>
      </w:hyperlink>
    </w:p>
    <w:p w14:paraId="7CBF1EB0" w14:textId="342453A4" w:rsidR="00795CFE" w:rsidRDefault="008C7FE5">
      <w:pPr>
        <w:pStyle w:val="TOC3"/>
        <w:tabs>
          <w:tab w:val="right" w:pos="9628"/>
        </w:tabs>
        <w:rPr>
          <w:rFonts w:eastAsiaTheme="minorEastAsia" w:cstheme="minorBidi"/>
          <w:noProof/>
          <w:sz w:val="22"/>
          <w:szCs w:val="22"/>
        </w:rPr>
      </w:pPr>
      <w:hyperlink w:anchor="_Toc510517248" w:history="1">
        <w:r w:rsidR="00795CFE" w:rsidRPr="003764B5">
          <w:rPr>
            <w:rStyle w:val="Hyperlink"/>
            <w:noProof/>
          </w:rPr>
          <w:t>Reference documents relevant to this Guideline:</w:t>
        </w:r>
        <w:r w:rsidR="00795CFE">
          <w:rPr>
            <w:noProof/>
            <w:webHidden/>
          </w:rPr>
          <w:tab/>
        </w:r>
        <w:r w:rsidR="00795CFE">
          <w:rPr>
            <w:noProof/>
            <w:webHidden/>
          </w:rPr>
          <w:fldChar w:fldCharType="begin"/>
        </w:r>
        <w:r w:rsidR="00795CFE">
          <w:rPr>
            <w:noProof/>
            <w:webHidden/>
          </w:rPr>
          <w:instrText xml:space="preserve"> PAGEREF _Toc510517248 \h </w:instrText>
        </w:r>
        <w:r w:rsidR="00795CFE">
          <w:rPr>
            <w:noProof/>
            <w:webHidden/>
          </w:rPr>
        </w:r>
        <w:r w:rsidR="00795CFE">
          <w:rPr>
            <w:noProof/>
            <w:webHidden/>
          </w:rPr>
          <w:fldChar w:fldCharType="separate"/>
        </w:r>
        <w:r w:rsidR="00477122">
          <w:rPr>
            <w:noProof/>
            <w:webHidden/>
          </w:rPr>
          <w:t>3</w:t>
        </w:r>
        <w:r w:rsidR="00795CFE">
          <w:rPr>
            <w:noProof/>
            <w:webHidden/>
          </w:rPr>
          <w:fldChar w:fldCharType="end"/>
        </w:r>
      </w:hyperlink>
    </w:p>
    <w:p w14:paraId="4B094A56" w14:textId="511CC287" w:rsidR="00795CFE" w:rsidRDefault="008C7FE5">
      <w:pPr>
        <w:pStyle w:val="TOC3"/>
        <w:tabs>
          <w:tab w:val="right" w:pos="9628"/>
        </w:tabs>
        <w:rPr>
          <w:rFonts w:eastAsiaTheme="minorEastAsia" w:cstheme="minorBidi"/>
          <w:noProof/>
          <w:sz w:val="22"/>
          <w:szCs w:val="22"/>
        </w:rPr>
      </w:pPr>
      <w:hyperlink w:anchor="_Toc510517249" w:history="1">
        <w:r w:rsidR="00795CFE" w:rsidRPr="003764B5">
          <w:rPr>
            <w:rStyle w:val="Hyperlink"/>
            <w:noProof/>
          </w:rPr>
          <w:t>Explanatory Note:</w:t>
        </w:r>
        <w:r w:rsidR="00795CFE">
          <w:rPr>
            <w:noProof/>
            <w:webHidden/>
          </w:rPr>
          <w:tab/>
        </w:r>
        <w:r w:rsidR="00795CFE">
          <w:rPr>
            <w:noProof/>
            <w:webHidden/>
          </w:rPr>
          <w:fldChar w:fldCharType="begin"/>
        </w:r>
        <w:r w:rsidR="00795CFE">
          <w:rPr>
            <w:noProof/>
            <w:webHidden/>
          </w:rPr>
          <w:instrText xml:space="preserve"> PAGEREF _Toc510517249 \h </w:instrText>
        </w:r>
        <w:r w:rsidR="00795CFE">
          <w:rPr>
            <w:noProof/>
            <w:webHidden/>
          </w:rPr>
        </w:r>
        <w:r w:rsidR="00795CFE">
          <w:rPr>
            <w:noProof/>
            <w:webHidden/>
          </w:rPr>
          <w:fldChar w:fldCharType="separate"/>
        </w:r>
        <w:r w:rsidR="00477122">
          <w:rPr>
            <w:noProof/>
            <w:webHidden/>
          </w:rPr>
          <w:t>3</w:t>
        </w:r>
        <w:r w:rsidR="00795CFE">
          <w:rPr>
            <w:noProof/>
            <w:webHidden/>
          </w:rPr>
          <w:fldChar w:fldCharType="end"/>
        </w:r>
      </w:hyperlink>
    </w:p>
    <w:p w14:paraId="3E759D95" w14:textId="7349028C" w:rsidR="00795CFE" w:rsidRDefault="008C7FE5">
      <w:pPr>
        <w:pStyle w:val="TOC3"/>
        <w:tabs>
          <w:tab w:val="right" w:pos="9628"/>
        </w:tabs>
        <w:rPr>
          <w:rFonts w:eastAsiaTheme="minorEastAsia" w:cstheme="minorBidi"/>
          <w:noProof/>
          <w:sz w:val="22"/>
          <w:szCs w:val="22"/>
        </w:rPr>
      </w:pPr>
      <w:hyperlink w:anchor="_Toc510517250" w:history="1">
        <w:r w:rsidR="00795CFE" w:rsidRPr="003764B5">
          <w:rPr>
            <w:rStyle w:val="Hyperlink"/>
            <w:noProof/>
          </w:rPr>
          <w:t>Relocation Assistance to Take Up a Job Guidelines</w:t>
        </w:r>
        <w:r w:rsidR="00795CFE">
          <w:rPr>
            <w:noProof/>
            <w:webHidden/>
          </w:rPr>
          <w:tab/>
        </w:r>
        <w:r w:rsidR="00795CFE">
          <w:rPr>
            <w:noProof/>
            <w:webHidden/>
          </w:rPr>
          <w:fldChar w:fldCharType="begin"/>
        </w:r>
        <w:r w:rsidR="00795CFE">
          <w:rPr>
            <w:noProof/>
            <w:webHidden/>
          </w:rPr>
          <w:instrText xml:space="preserve"> PAGEREF _Toc510517250 \h </w:instrText>
        </w:r>
        <w:r w:rsidR="00795CFE">
          <w:rPr>
            <w:noProof/>
            <w:webHidden/>
          </w:rPr>
        </w:r>
        <w:r w:rsidR="00795CFE">
          <w:rPr>
            <w:noProof/>
            <w:webHidden/>
          </w:rPr>
          <w:fldChar w:fldCharType="separate"/>
        </w:r>
        <w:r w:rsidR="00477122">
          <w:rPr>
            <w:noProof/>
            <w:webHidden/>
          </w:rPr>
          <w:t>4</w:t>
        </w:r>
        <w:r w:rsidR="00795CFE">
          <w:rPr>
            <w:noProof/>
            <w:webHidden/>
          </w:rPr>
          <w:fldChar w:fldCharType="end"/>
        </w:r>
      </w:hyperlink>
    </w:p>
    <w:p w14:paraId="412B3CE3" w14:textId="4E9B2E6F" w:rsidR="00795CFE" w:rsidRDefault="008C7FE5">
      <w:pPr>
        <w:pStyle w:val="TOC3"/>
        <w:tabs>
          <w:tab w:val="right" w:pos="9628"/>
        </w:tabs>
        <w:rPr>
          <w:rFonts w:eastAsiaTheme="minorEastAsia" w:cstheme="minorBidi"/>
          <w:noProof/>
          <w:sz w:val="22"/>
          <w:szCs w:val="22"/>
        </w:rPr>
      </w:pPr>
      <w:hyperlink w:anchor="_Toc510517251" w:history="1">
        <w:r w:rsidR="00795CFE" w:rsidRPr="003764B5">
          <w:rPr>
            <w:rStyle w:val="Hyperlink"/>
            <w:noProof/>
          </w:rPr>
          <w:t>Additional information – Relocation Assistance to Take Up a Job</w:t>
        </w:r>
        <w:r w:rsidR="00795CFE">
          <w:rPr>
            <w:noProof/>
            <w:webHidden/>
          </w:rPr>
          <w:tab/>
        </w:r>
        <w:r w:rsidR="00795CFE">
          <w:rPr>
            <w:noProof/>
            <w:webHidden/>
          </w:rPr>
          <w:fldChar w:fldCharType="begin"/>
        </w:r>
        <w:r w:rsidR="00795CFE">
          <w:rPr>
            <w:noProof/>
            <w:webHidden/>
          </w:rPr>
          <w:instrText xml:space="preserve"> PAGEREF _Toc510517251 \h </w:instrText>
        </w:r>
        <w:r w:rsidR="00795CFE">
          <w:rPr>
            <w:noProof/>
            <w:webHidden/>
          </w:rPr>
        </w:r>
        <w:r w:rsidR="00795CFE">
          <w:rPr>
            <w:noProof/>
            <w:webHidden/>
          </w:rPr>
          <w:fldChar w:fldCharType="separate"/>
        </w:r>
        <w:r w:rsidR="00477122">
          <w:rPr>
            <w:noProof/>
            <w:webHidden/>
          </w:rPr>
          <w:t>9</w:t>
        </w:r>
        <w:r w:rsidR="00795CFE">
          <w:rPr>
            <w:noProof/>
            <w:webHidden/>
          </w:rPr>
          <w:fldChar w:fldCharType="end"/>
        </w:r>
      </w:hyperlink>
    </w:p>
    <w:p w14:paraId="599A278A" w14:textId="7C1FAFCB" w:rsidR="000611C3" w:rsidRDefault="00E85F05" w:rsidP="00EA0894">
      <w:pPr>
        <w:rPr>
          <w:b/>
          <w:sz w:val="20"/>
          <w:szCs w:val="20"/>
        </w:rPr>
      </w:pPr>
      <w:r>
        <w:fldChar w:fldCharType="end"/>
      </w:r>
      <w:bookmarkStart w:id="12" w:name="_Toc266886168"/>
      <w:bookmarkStart w:id="13" w:name="_Toc266886222"/>
      <w:bookmarkStart w:id="14" w:name="_Toc266886367"/>
      <w:r w:rsidR="00985D8B">
        <w:br w:type="page"/>
      </w:r>
      <w:bookmarkStart w:id="15" w:name="_Toc482347673"/>
      <w:r w:rsidR="000611C3" w:rsidRPr="00243D30">
        <w:rPr>
          <w:b/>
          <w:sz w:val="20"/>
          <w:szCs w:val="20"/>
        </w:rPr>
        <w:lastRenderedPageBreak/>
        <w:t>Relocation Assistance to take up a Job Guideline</w:t>
      </w:r>
      <w:r w:rsidR="00EA0894" w:rsidRPr="00243D30">
        <w:rPr>
          <w:b/>
          <w:sz w:val="20"/>
          <w:szCs w:val="20"/>
        </w:rPr>
        <w:t>s</w:t>
      </w:r>
      <w:r w:rsidR="000611C3" w:rsidRPr="00243D30">
        <w:rPr>
          <w:b/>
          <w:sz w:val="20"/>
          <w:szCs w:val="20"/>
        </w:rPr>
        <w:t xml:space="preserve"> </w:t>
      </w:r>
    </w:p>
    <w:p w14:paraId="03F0EDA7" w14:textId="77777777" w:rsidR="00243D30" w:rsidRPr="00243D30" w:rsidRDefault="00243D30" w:rsidP="00EA0894">
      <w:pPr>
        <w:rPr>
          <w:b/>
          <w:sz w:val="20"/>
          <w:szCs w:val="20"/>
        </w:rPr>
      </w:pPr>
    </w:p>
    <w:p w14:paraId="09EBAEA1" w14:textId="77777777" w:rsidR="00E90AEB" w:rsidRPr="00657F0C" w:rsidRDefault="0059576B" w:rsidP="00243D30">
      <w:pPr>
        <w:pStyle w:val="Heading3"/>
        <w:spacing w:before="0"/>
      </w:pPr>
      <w:bookmarkStart w:id="16" w:name="_Toc510517245"/>
      <w:r w:rsidRPr="00657F0C">
        <w:t>Document Change History</w:t>
      </w:r>
      <w:bookmarkStart w:id="17" w:name="_Toc258589510"/>
      <w:bookmarkStart w:id="18" w:name="_Toc259007303"/>
      <w:bookmarkStart w:id="19" w:name="_Toc266886169"/>
      <w:bookmarkStart w:id="20" w:name="_Toc266886223"/>
      <w:bookmarkStart w:id="21" w:name="_Toc266886368"/>
      <w:bookmarkEnd w:id="12"/>
      <w:bookmarkEnd w:id="13"/>
      <w:bookmarkEnd w:id="14"/>
      <w:bookmarkEnd w:id="15"/>
      <w:bookmarkEnd w:id="16"/>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1515"/>
        <w:gridCol w:w="1320"/>
        <w:gridCol w:w="6095"/>
      </w:tblGrid>
      <w:tr w:rsidR="008F61F1" w:rsidRPr="00657F0C" w14:paraId="1B1258F4" w14:textId="77777777" w:rsidTr="00641742">
        <w:tc>
          <w:tcPr>
            <w:tcW w:w="959" w:type="dxa"/>
            <w:shd w:val="clear" w:color="auto" w:fill="auto"/>
            <w:vAlign w:val="center"/>
          </w:tcPr>
          <w:p w14:paraId="319713A2" w14:textId="77777777" w:rsidR="008F61F1" w:rsidRPr="007758E6" w:rsidRDefault="008F61F1" w:rsidP="009D56ED">
            <w:pPr>
              <w:pStyle w:val="TableHeadingCentred"/>
              <w:rPr>
                <w:color w:val="auto"/>
                <w:sz w:val="22"/>
                <w:szCs w:val="22"/>
              </w:rPr>
            </w:pPr>
            <w:r w:rsidRPr="007758E6">
              <w:rPr>
                <w:color w:val="auto"/>
                <w:sz w:val="22"/>
                <w:szCs w:val="22"/>
              </w:rPr>
              <w:t>Version</w:t>
            </w:r>
          </w:p>
        </w:tc>
        <w:tc>
          <w:tcPr>
            <w:tcW w:w="1515" w:type="dxa"/>
            <w:shd w:val="clear" w:color="auto" w:fill="auto"/>
            <w:vAlign w:val="center"/>
          </w:tcPr>
          <w:p w14:paraId="0BD8E9B9" w14:textId="77777777" w:rsidR="008F61F1" w:rsidRPr="007758E6" w:rsidRDefault="008F61F1" w:rsidP="009D56ED">
            <w:pPr>
              <w:pStyle w:val="TableHeadingCentred"/>
              <w:rPr>
                <w:color w:val="auto"/>
                <w:sz w:val="22"/>
                <w:szCs w:val="22"/>
              </w:rPr>
            </w:pPr>
            <w:r w:rsidRPr="007758E6">
              <w:rPr>
                <w:color w:val="auto"/>
                <w:sz w:val="22"/>
                <w:szCs w:val="22"/>
              </w:rPr>
              <w:t>Effective Date</w:t>
            </w:r>
          </w:p>
        </w:tc>
        <w:tc>
          <w:tcPr>
            <w:tcW w:w="1320" w:type="dxa"/>
            <w:shd w:val="clear" w:color="auto" w:fill="auto"/>
            <w:vAlign w:val="center"/>
          </w:tcPr>
          <w:p w14:paraId="1B8B16B5" w14:textId="77777777" w:rsidR="008F61F1" w:rsidRPr="007758E6" w:rsidRDefault="008F61F1" w:rsidP="009D56ED">
            <w:pPr>
              <w:pStyle w:val="TableHeadingCentred"/>
              <w:rPr>
                <w:color w:val="auto"/>
                <w:sz w:val="22"/>
                <w:szCs w:val="22"/>
              </w:rPr>
            </w:pPr>
            <w:r w:rsidRPr="007758E6">
              <w:rPr>
                <w:color w:val="auto"/>
                <w:sz w:val="22"/>
                <w:szCs w:val="22"/>
              </w:rPr>
              <w:t>End Date</w:t>
            </w:r>
          </w:p>
        </w:tc>
        <w:tc>
          <w:tcPr>
            <w:tcW w:w="6095" w:type="dxa"/>
            <w:shd w:val="clear" w:color="auto" w:fill="auto"/>
            <w:vAlign w:val="center"/>
          </w:tcPr>
          <w:p w14:paraId="41F2CF95" w14:textId="77777777" w:rsidR="008F61F1" w:rsidRPr="007758E6" w:rsidRDefault="008F61F1" w:rsidP="009D56ED">
            <w:pPr>
              <w:pStyle w:val="TableHeadingCentred"/>
              <w:rPr>
                <w:color w:val="auto"/>
                <w:sz w:val="22"/>
                <w:szCs w:val="22"/>
              </w:rPr>
            </w:pPr>
            <w:r w:rsidRPr="007758E6">
              <w:rPr>
                <w:color w:val="auto"/>
                <w:sz w:val="22"/>
                <w:szCs w:val="22"/>
              </w:rPr>
              <w:t xml:space="preserve">Change &amp; Location </w:t>
            </w:r>
          </w:p>
        </w:tc>
      </w:tr>
      <w:tr w:rsidR="008F61F1" w:rsidRPr="00692AC4" w14:paraId="0A67E39D" w14:textId="77777777" w:rsidTr="00641742">
        <w:tc>
          <w:tcPr>
            <w:tcW w:w="959" w:type="dxa"/>
          </w:tcPr>
          <w:p w14:paraId="29EB499B" w14:textId="77777777" w:rsidR="008F61F1" w:rsidRPr="001D1A92" w:rsidRDefault="008F61F1" w:rsidP="006A7E77">
            <w:pPr>
              <w:pStyle w:val="TableTextCentred"/>
              <w:rPr>
                <w:sz w:val="22"/>
                <w:szCs w:val="22"/>
              </w:rPr>
            </w:pPr>
            <w:r w:rsidRPr="001D1A92">
              <w:rPr>
                <w:sz w:val="22"/>
                <w:szCs w:val="22"/>
              </w:rPr>
              <w:t>1.0</w:t>
            </w:r>
          </w:p>
        </w:tc>
        <w:tc>
          <w:tcPr>
            <w:tcW w:w="1515" w:type="dxa"/>
          </w:tcPr>
          <w:p w14:paraId="4273854B" w14:textId="77777777" w:rsidR="008F61F1" w:rsidRPr="001D1A92" w:rsidRDefault="008F61F1" w:rsidP="003D433C">
            <w:pPr>
              <w:pStyle w:val="TableTextCentred"/>
              <w:rPr>
                <w:sz w:val="22"/>
                <w:szCs w:val="22"/>
              </w:rPr>
            </w:pPr>
            <w:r w:rsidRPr="001D1A92">
              <w:rPr>
                <w:sz w:val="22"/>
                <w:szCs w:val="22"/>
              </w:rPr>
              <w:t>01 July 2018</w:t>
            </w:r>
          </w:p>
        </w:tc>
        <w:tc>
          <w:tcPr>
            <w:tcW w:w="1320" w:type="dxa"/>
            <w:shd w:val="clear" w:color="auto" w:fill="auto"/>
          </w:tcPr>
          <w:p w14:paraId="64CD5ABF" w14:textId="77777777" w:rsidR="008F61F1" w:rsidRPr="001D1A92" w:rsidRDefault="008F61F1" w:rsidP="006A7E77">
            <w:pPr>
              <w:pStyle w:val="TableTextCentred"/>
              <w:rPr>
                <w:sz w:val="22"/>
                <w:szCs w:val="22"/>
                <w:highlight w:val="yellow"/>
              </w:rPr>
            </w:pPr>
          </w:p>
        </w:tc>
        <w:tc>
          <w:tcPr>
            <w:tcW w:w="6095" w:type="dxa"/>
          </w:tcPr>
          <w:p w14:paraId="351F3CAF" w14:textId="77777777" w:rsidR="008F61F1" w:rsidRPr="001D1A92" w:rsidRDefault="00770173" w:rsidP="008C74C4">
            <w:pPr>
              <w:pStyle w:val="TableTextCentred"/>
              <w:jc w:val="left"/>
              <w:rPr>
                <w:sz w:val="22"/>
                <w:szCs w:val="22"/>
              </w:rPr>
            </w:pPr>
            <w:r w:rsidRPr="001D1A92">
              <w:rPr>
                <w:sz w:val="22"/>
                <w:szCs w:val="22"/>
              </w:rPr>
              <w:t>Original version of document.</w:t>
            </w:r>
          </w:p>
        </w:tc>
      </w:tr>
    </w:tbl>
    <w:p w14:paraId="6CE6BBDE" w14:textId="77777777" w:rsidR="00243D30" w:rsidRDefault="00243D30" w:rsidP="00AD53BF">
      <w:bookmarkStart w:id="22" w:name="_Toc482347674"/>
      <w:bookmarkStart w:id="23" w:name="_Toc258589516"/>
      <w:bookmarkStart w:id="24" w:name="_Toc309825667"/>
      <w:bookmarkStart w:id="25" w:name="_Toc266886177"/>
      <w:bookmarkStart w:id="26" w:name="_Toc266886231"/>
      <w:bookmarkEnd w:id="17"/>
      <w:bookmarkEnd w:id="18"/>
      <w:bookmarkEnd w:id="19"/>
      <w:bookmarkEnd w:id="20"/>
      <w:bookmarkEnd w:id="21"/>
    </w:p>
    <w:p w14:paraId="6242CB7F" w14:textId="20F18778" w:rsidR="00481296" w:rsidRPr="00372A58" w:rsidRDefault="00481296" w:rsidP="00243D30">
      <w:pPr>
        <w:pStyle w:val="Heading3"/>
        <w:spacing w:before="0"/>
      </w:pPr>
      <w:bookmarkStart w:id="27" w:name="_Toc510517246"/>
      <w:r w:rsidRPr="00372A58">
        <w:t>Background</w:t>
      </w:r>
      <w:bookmarkEnd w:id="27"/>
      <w:r w:rsidRPr="00372A58">
        <w:t xml:space="preserve"> </w:t>
      </w:r>
    </w:p>
    <w:p w14:paraId="5BAF0B55" w14:textId="1323F063" w:rsidR="00C2015B" w:rsidRDefault="00481296" w:rsidP="000611C3">
      <w:pPr>
        <w:ind w:right="-23"/>
        <w:rPr>
          <w:sz w:val="22"/>
          <w:szCs w:val="22"/>
        </w:rPr>
      </w:pPr>
      <w:r w:rsidRPr="001A7B99">
        <w:rPr>
          <w:sz w:val="22"/>
          <w:szCs w:val="22"/>
        </w:rPr>
        <w:t>This Guideline specifies DES Providers’ responsibilities in managing the Relocation Assistance to Ta</w:t>
      </w:r>
      <w:r w:rsidR="001A7B99" w:rsidRPr="001A7B99">
        <w:rPr>
          <w:sz w:val="22"/>
          <w:szCs w:val="22"/>
        </w:rPr>
        <w:t>ke Up a Job Program (</w:t>
      </w:r>
      <w:proofErr w:type="spellStart"/>
      <w:r w:rsidR="001A7B99" w:rsidRPr="001A7B99">
        <w:rPr>
          <w:sz w:val="22"/>
          <w:szCs w:val="22"/>
        </w:rPr>
        <w:t>RATTUAJ</w:t>
      </w:r>
      <w:proofErr w:type="spellEnd"/>
      <w:r w:rsidR="001A7B99" w:rsidRPr="001A7B99">
        <w:rPr>
          <w:sz w:val="22"/>
          <w:szCs w:val="22"/>
        </w:rPr>
        <w:t xml:space="preserve">). </w:t>
      </w:r>
      <w:proofErr w:type="spellStart"/>
      <w:r w:rsidRPr="001A7B99">
        <w:rPr>
          <w:sz w:val="22"/>
          <w:szCs w:val="22"/>
        </w:rPr>
        <w:t>RATTUAJ</w:t>
      </w:r>
      <w:proofErr w:type="spellEnd"/>
      <w:r w:rsidRPr="001A7B99">
        <w:rPr>
          <w:sz w:val="22"/>
          <w:szCs w:val="22"/>
        </w:rPr>
        <w:t xml:space="preserve"> provides assistance to long-term unemployed job seekers to relocate to take up ongoing work, and can help Employers to find staff outside of their local areas. </w:t>
      </w:r>
      <w:proofErr w:type="spellStart"/>
      <w:r w:rsidRPr="001A7B99">
        <w:rPr>
          <w:sz w:val="22"/>
          <w:szCs w:val="22"/>
        </w:rPr>
        <w:t>RATTUAJ</w:t>
      </w:r>
      <w:proofErr w:type="spellEnd"/>
      <w:r w:rsidRPr="001A7B99">
        <w:rPr>
          <w:sz w:val="22"/>
          <w:szCs w:val="22"/>
        </w:rPr>
        <w:t xml:space="preserve"> can provide up to $9,000 (GST exclusive) to assist the job seeker with moving. The program’s intent is to provide practical and financial assistance to job seekers who need financial help to relocate to take up a job.</w:t>
      </w:r>
      <w:bookmarkEnd w:id="22"/>
    </w:p>
    <w:p w14:paraId="64C9D4B6" w14:textId="77777777" w:rsidR="00243D30" w:rsidRPr="001A7B99" w:rsidRDefault="00243D30" w:rsidP="000611C3">
      <w:pPr>
        <w:ind w:right="-23"/>
        <w:rPr>
          <w:sz w:val="22"/>
          <w:szCs w:val="22"/>
        </w:rPr>
      </w:pPr>
    </w:p>
    <w:p w14:paraId="6552B58F" w14:textId="242087FF" w:rsidR="007A49A3" w:rsidRPr="00243D30" w:rsidRDefault="00142857" w:rsidP="00243D30">
      <w:pPr>
        <w:pStyle w:val="Heading3"/>
        <w:spacing w:before="0"/>
      </w:pPr>
      <w:bookmarkStart w:id="28" w:name="_Toc510517247"/>
      <w:r w:rsidRPr="00243D30">
        <w:t xml:space="preserve">Disability Employment Services </w:t>
      </w:r>
      <w:r w:rsidR="00D92F45" w:rsidRPr="00243D30">
        <w:t>Grant Agreement</w:t>
      </w:r>
      <w:r w:rsidR="007A49A3" w:rsidRPr="00243D30">
        <w:t xml:space="preserve"> Clauses</w:t>
      </w:r>
      <w:r w:rsidR="00052E08" w:rsidRPr="00243D30">
        <w:t>:</w:t>
      </w:r>
      <w:bookmarkEnd w:id="28"/>
    </w:p>
    <w:p w14:paraId="310C2E8E" w14:textId="5426A7CC" w:rsidR="00E5394B" w:rsidRPr="001A7B99" w:rsidRDefault="00E5394B" w:rsidP="00243D30">
      <w:pPr>
        <w:tabs>
          <w:tab w:val="left" w:pos="8931"/>
        </w:tabs>
        <w:rPr>
          <w:rFonts w:eastAsiaTheme="minorEastAsia"/>
          <w:noProof/>
          <w:sz w:val="22"/>
          <w:szCs w:val="22"/>
        </w:rPr>
      </w:pPr>
      <w:r w:rsidRPr="001A7B99">
        <w:rPr>
          <w:rFonts w:eastAsiaTheme="minorEastAsia"/>
          <w:noProof/>
          <w:sz w:val="22"/>
          <w:szCs w:val="22"/>
        </w:rPr>
        <w:t>Clause 2</w:t>
      </w:r>
      <w:r w:rsidR="00541513" w:rsidRPr="001A7B99">
        <w:rPr>
          <w:rFonts w:eastAsiaTheme="minorEastAsia"/>
          <w:noProof/>
          <w:sz w:val="22"/>
          <w:szCs w:val="22"/>
        </w:rPr>
        <w:t>6 – Debts and offsetting</w:t>
      </w:r>
    </w:p>
    <w:p w14:paraId="3B62BDE0" w14:textId="3ECC1D18" w:rsidR="007A49A3" w:rsidRPr="001A7B99" w:rsidRDefault="007A49A3" w:rsidP="00243D30">
      <w:pPr>
        <w:tabs>
          <w:tab w:val="left" w:pos="8931"/>
        </w:tabs>
        <w:rPr>
          <w:rFonts w:asciiTheme="minorHAnsi" w:hAnsiTheme="minorHAnsi" w:cstheme="minorHAnsi"/>
          <w:b/>
          <w:sz w:val="22"/>
          <w:szCs w:val="22"/>
        </w:rPr>
      </w:pPr>
      <w:r w:rsidRPr="001A7B99">
        <w:rPr>
          <w:rFonts w:asciiTheme="minorHAnsi" w:hAnsiTheme="minorHAnsi" w:cstheme="minorHAnsi"/>
          <w:sz w:val="22"/>
          <w:szCs w:val="22"/>
        </w:rPr>
        <w:t xml:space="preserve">Clause </w:t>
      </w:r>
      <w:r w:rsidR="00D92F45" w:rsidRPr="001A7B99">
        <w:rPr>
          <w:rFonts w:eastAsiaTheme="minorEastAsia"/>
          <w:noProof/>
          <w:sz w:val="22"/>
          <w:szCs w:val="22"/>
        </w:rPr>
        <w:t>15</w:t>
      </w:r>
      <w:r w:rsidR="00673D96" w:rsidRPr="001A7B99">
        <w:rPr>
          <w:rFonts w:eastAsiaTheme="minorEastAsia"/>
          <w:noProof/>
          <w:sz w:val="22"/>
          <w:szCs w:val="22"/>
        </w:rPr>
        <w:t>7</w:t>
      </w:r>
      <w:r w:rsidR="00541513" w:rsidRPr="001A7B99">
        <w:rPr>
          <w:rFonts w:eastAsiaTheme="minorEastAsia"/>
          <w:noProof/>
          <w:sz w:val="22"/>
          <w:szCs w:val="22"/>
        </w:rPr>
        <w:t xml:space="preserve"> - </w:t>
      </w:r>
      <w:bookmarkStart w:id="29" w:name="_Ref487642267"/>
      <w:bookmarkStart w:id="30" w:name="_Toc492481415"/>
      <w:r w:rsidR="00541513" w:rsidRPr="001A7B99">
        <w:rPr>
          <w:rFonts w:eastAsiaTheme="minorEastAsia"/>
          <w:noProof/>
          <w:sz w:val="22"/>
          <w:szCs w:val="22"/>
        </w:rPr>
        <w:t>Relocation Assistance to Take Up a Job</w:t>
      </w:r>
      <w:r w:rsidR="00541513" w:rsidRPr="001A7B99">
        <w:rPr>
          <w:rFonts w:asciiTheme="minorHAnsi" w:hAnsiTheme="minorHAnsi" w:cstheme="minorHAnsi"/>
          <w:b/>
          <w:sz w:val="22"/>
          <w:szCs w:val="22"/>
        </w:rPr>
        <w:t xml:space="preserve"> </w:t>
      </w:r>
      <w:bookmarkEnd w:id="29"/>
      <w:bookmarkEnd w:id="30"/>
    </w:p>
    <w:p w14:paraId="561B0E5E" w14:textId="6E300D89" w:rsidR="00E5394B" w:rsidRPr="001A7B99" w:rsidRDefault="00E5394B" w:rsidP="00243D30">
      <w:pPr>
        <w:tabs>
          <w:tab w:val="left" w:pos="8931"/>
        </w:tabs>
        <w:rPr>
          <w:sz w:val="22"/>
          <w:szCs w:val="22"/>
        </w:rPr>
      </w:pPr>
      <w:r w:rsidRPr="001A7B99">
        <w:rPr>
          <w:sz w:val="22"/>
          <w:szCs w:val="22"/>
        </w:rPr>
        <w:t>Annexure A – Definitions</w:t>
      </w:r>
    </w:p>
    <w:p w14:paraId="4484258C" w14:textId="4F8D06E7" w:rsidR="00565903" w:rsidRDefault="00565903" w:rsidP="00243D30">
      <w:pPr>
        <w:tabs>
          <w:tab w:val="left" w:pos="8931"/>
        </w:tabs>
        <w:rPr>
          <w:sz w:val="22"/>
          <w:szCs w:val="22"/>
        </w:rPr>
      </w:pPr>
      <w:r w:rsidRPr="001A7B99">
        <w:rPr>
          <w:sz w:val="22"/>
          <w:szCs w:val="22"/>
        </w:rPr>
        <w:t xml:space="preserve">Annexure </w:t>
      </w:r>
      <w:proofErr w:type="spellStart"/>
      <w:r w:rsidRPr="001A7B99">
        <w:rPr>
          <w:sz w:val="22"/>
          <w:szCs w:val="22"/>
        </w:rPr>
        <w:t>B</w:t>
      </w:r>
      <w:r w:rsidR="000619A6" w:rsidRPr="001A7B99">
        <w:rPr>
          <w:sz w:val="22"/>
          <w:szCs w:val="22"/>
        </w:rPr>
        <w:t>3</w:t>
      </w:r>
      <w:proofErr w:type="spellEnd"/>
      <w:r w:rsidRPr="001A7B99">
        <w:rPr>
          <w:sz w:val="22"/>
          <w:szCs w:val="22"/>
        </w:rPr>
        <w:t xml:space="preserve"> – Seasonal Worker, </w:t>
      </w:r>
      <w:proofErr w:type="spellStart"/>
      <w:r w:rsidRPr="001A7B99">
        <w:rPr>
          <w:sz w:val="22"/>
          <w:szCs w:val="22"/>
        </w:rPr>
        <w:t>RATTUAJ</w:t>
      </w:r>
      <w:proofErr w:type="spellEnd"/>
      <w:r w:rsidRPr="001A7B99">
        <w:rPr>
          <w:sz w:val="22"/>
          <w:szCs w:val="22"/>
        </w:rPr>
        <w:t xml:space="preserve"> and </w:t>
      </w:r>
      <w:proofErr w:type="spellStart"/>
      <w:r w:rsidRPr="001A7B99">
        <w:rPr>
          <w:sz w:val="22"/>
          <w:szCs w:val="22"/>
        </w:rPr>
        <w:t>PaTH</w:t>
      </w:r>
      <w:proofErr w:type="spellEnd"/>
      <w:r w:rsidRPr="001A7B99">
        <w:rPr>
          <w:sz w:val="22"/>
          <w:szCs w:val="22"/>
        </w:rPr>
        <w:t xml:space="preserve"> Internship Fees</w:t>
      </w:r>
    </w:p>
    <w:p w14:paraId="704EB437" w14:textId="77777777" w:rsidR="00243D30" w:rsidRPr="000611C3" w:rsidRDefault="00243D30" w:rsidP="00243D30">
      <w:pPr>
        <w:tabs>
          <w:tab w:val="left" w:pos="8931"/>
        </w:tabs>
        <w:rPr>
          <w:rFonts w:eastAsiaTheme="minorEastAsia"/>
          <w:noProof/>
          <w:szCs w:val="22"/>
        </w:rPr>
      </w:pPr>
    </w:p>
    <w:p w14:paraId="67031DBD" w14:textId="77777777" w:rsidR="007A49A3" w:rsidRPr="00243D30" w:rsidRDefault="007A49A3" w:rsidP="00243D30">
      <w:pPr>
        <w:pStyle w:val="Heading3"/>
        <w:spacing w:before="0"/>
      </w:pPr>
      <w:bookmarkStart w:id="31" w:name="_Toc510517248"/>
      <w:r w:rsidRPr="00243D30">
        <w:t xml:space="preserve">Reference documents relevant to </w:t>
      </w:r>
      <w:r w:rsidR="00754ED8" w:rsidRPr="00243D30">
        <w:t xml:space="preserve">this </w:t>
      </w:r>
      <w:r w:rsidRPr="00243D30">
        <w:t>Guideline</w:t>
      </w:r>
      <w:r w:rsidR="00052E08" w:rsidRPr="00243D30">
        <w:t>:</w:t>
      </w:r>
      <w:bookmarkEnd w:id="31"/>
    </w:p>
    <w:p w14:paraId="7D98C395" w14:textId="58311958" w:rsidR="007A49A3" w:rsidRPr="001A7B99" w:rsidRDefault="00E5394B" w:rsidP="00A57B4A">
      <w:pPr>
        <w:rPr>
          <w:rFonts w:eastAsiaTheme="minorEastAsia"/>
          <w:noProof/>
          <w:sz w:val="22"/>
          <w:szCs w:val="22"/>
        </w:rPr>
      </w:pPr>
      <w:r w:rsidRPr="001A7B99">
        <w:rPr>
          <w:rFonts w:asciiTheme="minorHAnsi" w:hAnsiTheme="minorHAnsi" w:cstheme="minorHAnsi"/>
          <w:sz w:val="22"/>
          <w:szCs w:val="22"/>
        </w:rPr>
        <w:t>Documentary Evidence for Claims for Payment Guideline</w:t>
      </w:r>
      <w:r w:rsidR="00EA0894" w:rsidRPr="001A7B99">
        <w:rPr>
          <w:rFonts w:asciiTheme="minorHAnsi" w:hAnsiTheme="minorHAnsi" w:cstheme="minorHAnsi"/>
          <w:sz w:val="22"/>
          <w:szCs w:val="22"/>
        </w:rPr>
        <w:t>s</w:t>
      </w:r>
    </w:p>
    <w:p w14:paraId="689428DB" w14:textId="77777777" w:rsidR="00790B15" w:rsidRPr="00790B15" w:rsidRDefault="00790B15" w:rsidP="00790B15">
      <w:pPr>
        <w:ind w:right="-23"/>
        <w:rPr>
          <w:rFonts w:eastAsiaTheme="minorEastAsia"/>
          <w:noProof/>
          <w:szCs w:val="22"/>
        </w:rPr>
      </w:pPr>
    </w:p>
    <w:p w14:paraId="16F051F9" w14:textId="77777777" w:rsidR="000B1218" w:rsidRDefault="000B1218" w:rsidP="00243D30">
      <w:pPr>
        <w:pStyle w:val="Heading3"/>
        <w:spacing w:before="0"/>
      </w:pPr>
      <w:bookmarkStart w:id="32" w:name="_Toc510517249"/>
      <w:bookmarkEnd w:id="8"/>
      <w:bookmarkEnd w:id="23"/>
      <w:bookmarkEnd w:id="24"/>
      <w:bookmarkEnd w:id="25"/>
      <w:bookmarkEnd w:id="26"/>
      <w:r w:rsidRPr="00372A58">
        <w:t>Explanatory Note</w:t>
      </w:r>
      <w:r w:rsidR="00052E08">
        <w:t>:</w:t>
      </w:r>
      <w:bookmarkEnd w:id="32"/>
      <w:r>
        <w:t xml:space="preserve"> </w:t>
      </w:r>
    </w:p>
    <w:p w14:paraId="6310F859" w14:textId="03450AAE" w:rsidR="000619A6" w:rsidRPr="001A7B99" w:rsidRDefault="000B1218" w:rsidP="00C5533C">
      <w:pPr>
        <w:rPr>
          <w:sz w:val="22"/>
          <w:szCs w:val="22"/>
        </w:rPr>
      </w:pPr>
      <w:r w:rsidRPr="001A7B99">
        <w:rPr>
          <w:sz w:val="22"/>
          <w:szCs w:val="22"/>
        </w:rPr>
        <w:t xml:space="preserve">All capitalised terms have the same meaning as in </w:t>
      </w:r>
      <w:r w:rsidR="00A8741D" w:rsidRPr="001A7B99">
        <w:rPr>
          <w:sz w:val="22"/>
          <w:szCs w:val="22"/>
        </w:rPr>
        <w:t xml:space="preserve">the </w:t>
      </w:r>
      <w:r w:rsidRPr="001A7B99">
        <w:rPr>
          <w:sz w:val="22"/>
          <w:szCs w:val="22"/>
        </w:rPr>
        <w:t>Disability Employment Services Grant Agreement.</w:t>
      </w:r>
      <w:r w:rsidR="001A7B99" w:rsidRPr="001A7B99">
        <w:rPr>
          <w:sz w:val="22"/>
          <w:szCs w:val="22"/>
        </w:rPr>
        <w:t xml:space="preserve"> </w:t>
      </w:r>
      <w:r w:rsidRPr="001A7B99">
        <w:rPr>
          <w:sz w:val="22"/>
          <w:szCs w:val="22"/>
        </w:rPr>
        <w:t>In this document, “must” means that compliance is mandatory and “should” means that compliance represents best practice</w:t>
      </w:r>
      <w:r w:rsidR="001A7B99" w:rsidRPr="001A7B99">
        <w:rPr>
          <w:sz w:val="22"/>
          <w:szCs w:val="22"/>
        </w:rPr>
        <w:t>.</w:t>
      </w:r>
    </w:p>
    <w:p w14:paraId="25F95A48" w14:textId="77777777" w:rsidR="000318E7" w:rsidRDefault="000318E7">
      <w:pPr>
        <w:rPr>
          <w:b/>
        </w:rPr>
      </w:pPr>
      <w:r>
        <w:br w:type="page"/>
      </w:r>
    </w:p>
    <w:p w14:paraId="57B7BF52" w14:textId="4FB5AB11" w:rsidR="0044117E" w:rsidRDefault="009D381A" w:rsidP="000318E7">
      <w:pPr>
        <w:pStyle w:val="Heading3"/>
        <w:spacing w:before="0"/>
      </w:pPr>
      <w:bookmarkStart w:id="33" w:name="_Toc510517250"/>
      <w:r>
        <w:lastRenderedPageBreak/>
        <w:t>Relocation Assistance to Take U</w:t>
      </w:r>
      <w:r w:rsidR="00A820FA">
        <w:t>p a Job Guideline</w:t>
      </w:r>
      <w:r w:rsidR="00EA0894">
        <w:t>s</w:t>
      </w:r>
      <w:bookmarkEnd w:id="33"/>
    </w:p>
    <w:p w14:paraId="212E9B84" w14:textId="45E55EB3" w:rsidR="004F62B1" w:rsidRDefault="004F62B1" w:rsidP="004F62B1">
      <w:proofErr w:type="spellStart"/>
      <w:r w:rsidRPr="007D335B">
        <w:rPr>
          <w:rFonts w:cs="Calibri"/>
          <w:sz w:val="22"/>
          <w:szCs w:val="22"/>
        </w:rPr>
        <w:t>RATTUAJ</w:t>
      </w:r>
      <w:proofErr w:type="spellEnd"/>
      <w:r w:rsidRPr="007D335B">
        <w:rPr>
          <w:rFonts w:asciiTheme="minorHAnsi" w:hAnsiTheme="minorHAnsi" w:cstheme="minorHAnsi"/>
          <w:sz w:val="22"/>
          <w:szCs w:val="22"/>
        </w:rPr>
        <w:t xml:space="preserve"> is a way for Employment Services Providers to connect job seekers with work by recognising that job opportunities in some areas, particularly smaller towns, are more limited than in larger regions. Providers include </w:t>
      </w:r>
      <w:proofErr w:type="spellStart"/>
      <w:r w:rsidRPr="007D335B">
        <w:rPr>
          <w:rFonts w:asciiTheme="minorHAnsi" w:hAnsiTheme="minorHAnsi" w:cstheme="minorHAnsi"/>
          <w:sz w:val="22"/>
          <w:szCs w:val="22"/>
        </w:rPr>
        <w:t>jobactive</w:t>
      </w:r>
      <w:proofErr w:type="spellEnd"/>
      <w:r w:rsidRPr="007D335B">
        <w:rPr>
          <w:rFonts w:asciiTheme="minorHAnsi" w:hAnsiTheme="minorHAnsi" w:cstheme="minorHAnsi"/>
          <w:sz w:val="22"/>
          <w:szCs w:val="22"/>
        </w:rPr>
        <w:t xml:space="preserve"> and Disability Employment Services (DES) providers.</w:t>
      </w:r>
      <w:r w:rsidRPr="007D335B" w:rsidDel="004514BC">
        <w:rPr>
          <w:rFonts w:asciiTheme="minorHAnsi" w:hAnsiTheme="minorHAnsi" w:cstheme="minorHAnsi"/>
          <w:sz w:val="22"/>
          <w:szCs w:val="22"/>
        </w:rPr>
        <w:t xml:space="preserve"> </w:t>
      </w:r>
      <w:r w:rsidRPr="007D335B">
        <w:rPr>
          <w:rFonts w:asciiTheme="minorHAnsi" w:hAnsiTheme="minorHAnsi" w:cstheme="minorHAnsi"/>
          <w:sz w:val="22"/>
          <w:szCs w:val="22"/>
        </w:rPr>
        <w:t xml:space="preserve">Up to $6,000 (GST exclusive) is available for individuals moving to regional areas, or up to $3,000 (GST exclusive) is available if the job seeker moves to a capital city. Providers are expected to advise potentially eligible job seekers of the assistance available from </w:t>
      </w:r>
      <w:proofErr w:type="spellStart"/>
      <w:r w:rsidRPr="007D335B">
        <w:rPr>
          <w:rFonts w:asciiTheme="minorHAnsi" w:hAnsiTheme="minorHAnsi" w:cstheme="minorHAnsi"/>
          <w:sz w:val="22"/>
          <w:szCs w:val="22"/>
        </w:rPr>
        <w:t>RATTUAJ</w:t>
      </w:r>
      <w:proofErr w:type="spellEnd"/>
      <w:r w:rsidRPr="007D335B">
        <w:rPr>
          <w:rFonts w:asciiTheme="minorHAnsi" w:hAnsiTheme="minorHAnsi" w:cstheme="minorHAnsi"/>
          <w:sz w:val="22"/>
          <w:szCs w:val="22"/>
        </w:rPr>
        <w:t>.</w:t>
      </w:r>
    </w:p>
    <w:p w14:paraId="2E25C163" w14:textId="77777777" w:rsidR="004F62B1" w:rsidRPr="00A27C28" w:rsidRDefault="004F62B1" w:rsidP="004F62B1"/>
    <w:tbl>
      <w:tblPr>
        <w:tblW w:w="10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8"/>
        <w:gridCol w:w="6783"/>
      </w:tblGrid>
      <w:tr w:rsidR="004F62B1" w:rsidRPr="00372A58" w14:paraId="4B3B2FA6" w14:textId="77777777" w:rsidTr="00980F91">
        <w:trPr>
          <w:tblHeader/>
          <w:jc w:val="center"/>
        </w:trPr>
        <w:tc>
          <w:tcPr>
            <w:tcW w:w="3598" w:type="dxa"/>
            <w:shd w:val="clear" w:color="auto" w:fill="auto"/>
          </w:tcPr>
          <w:p w14:paraId="1410E9AD" w14:textId="77777777" w:rsidR="004F62B1" w:rsidRPr="00372A58" w:rsidRDefault="004F62B1" w:rsidP="00980F91">
            <w:pPr>
              <w:pStyle w:val="TableHeadingCentred"/>
              <w:spacing w:before="120"/>
              <w:rPr>
                <w:color w:val="auto"/>
              </w:rPr>
            </w:pPr>
            <w:r w:rsidRPr="00372A58">
              <w:rPr>
                <w:color w:val="auto"/>
              </w:rPr>
              <w:t>Who is Responsible:</w:t>
            </w:r>
          </w:p>
        </w:tc>
        <w:tc>
          <w:tcPr>
            <w:tcW w:w="6783" w:type="dxa"/>
            <w:shd w:val="clear" w:color="auto" w:fill="auto"/>
          </w:tcPr>
          <w:p w14:paraId="67E159B4" w14:textId="5DF420F2" w:rsidR="004F62B1" w:rsidRPr="00372A58" w:rsidRDefault="004F62B1" w:rsidP="00980F91">
            <w:pPr>
              <w:pStyle w:val="TableHeadingCentred"/>
              <w:rPr>
                <w:color w:val="auto"/>
              </w:rPr>
            </w:pPr>
            <w:r>
              <w:rPr>
                <w:color w:val="auto"/>
              </w:rPr>
              <w:t xml:space="preserve">What is Required: </w:t>
            </w:r>
          </w:p>
        </w:tc>
      </w:tr>
      <w:tr w:rsidR="004F62B1" w:rsidRPr="00372A58" w14:paraId="725A94A1" w14:textId="77777777" w:rsidTr="00980F91">
        <w:trPr>
          <w:jc w:val="center"/>
        </w:trPr>
        <w:tc>
          <w:tcPr>
            <w:tcW w:w="3598" w:type="dxa"/>
          </w:tcPr>
          <w:p w14:paraId="38E720D4" w14:textId="0C43C25E" w:rsidR="004F62B1" w:rsidRPr="00980F91" w:rsidRDefault="004F62B1" w:rsidP="004F62B1">
            <w:pPr>
              <w:pStyle w:val="TableNumberedleftbold"/>
              <w:rPr>
                <w:sz w:val="22"/>
              </w:rPr>
            </w:pPr>
            <w:r w:rsidRPr="00980F91">
              <w:rPr>
                <w:sz w:val="22"/>
              </w:rPr>
              <w:t>1. Provider</w:t>
            </w:r>
          </w:p>
          <w:p w14:paraId="15E32D66" w14:textId="77777777" w:rsidR="004F62B1" w:rsidRPr="00980F91" w:rsidRDefault="004F62B1" w:rsidP="00980F91">
            <w:pPr>
              <w:pStyle w:val="NormalBold"/>
              <w:rPr>
                <w:sz w:val="22"/>
                <w:szCs w:val="22"/>
              </w:rPr>
            </w:pPr>
          </w:p>
          <w:p w14:paraId="4751675D" w14:textId="77777777" w:rsidR="004F62B1" w:rsidRPr="00980F91" w:rsidRDefault="004F62B1" w:rsidP="00980F91">
            <w:pPr>
              <w:pStyle w:val="NormalItalic"/>
              <w:rPr>
                <w:sz w:val="22"/>
                <w:szCs w:val="22"/>
              </w:rPr>
            </w:pPr>
            <w:r w:rsidRPr="00980F91">
              <w:rPr>
                <w:sz w:val="22"/>
                <w:szCs w:val="22"/>
              </w:rPr>
              <w:t>Disability Employment Services Grant Agreement Clauses References:</w:t>
            </w:r>
          </w:p>
          <w:p w14:paraId="37413AC1" w14:textId="77777777" w:rsidR="003676D9" w:rsidRPr="00252FFC" w:rsidRDefault="003676D9" w:rsidP="003676D9">
            <w:pPr>
              <w:pStyle w:val="TableNumberedleftbold"/>
              <w:numPr>
                <w:ilvl w:val="0"/>
                <w:numId w:val="10"/>
              </w:numPr>
              <w:rPr>
                <w:rFonts w:asciiTheme="minorHAnsi" w:hAnsiTheme="minorHAnsi" w:cstheme="minorHAnsi"/>
                <w:b w:val="0"/>
                <w:sz w:val="22"/>
              </w:rPr>
            </w:pPr>
            <w:r w:rsidRPr="00252FFC">
              <w:rPr>
                <w:rFonts w:asciiTheme="minorHAnsi" w:hAnsiTheme="minorHAnsi" w:cstheme="minorHAnsi"/>
                <w:b w:val="0"/>
                <w:sz w:val="22"/>
              </w:rPr>
              <w:t>Clause 157</w:t>
            </w:r>
          </w:p>
          <w:p w14:paraId="18F7354D" w14:textId="5C77D04F" w:rsidR="004F62B1" w:rsidRPr="003676D9" w:rsidRDefault="003676D9" w:rsidP="003676D9">
            <w:pPr>
              <w:numPr>
                <w:ilvl w:val="0"/>
                <w:numId w:val="40"/>
              </w:numPr>
              <w:rPr>
                <w:sz w:val="22"/>
                <w:szCs w:val="22"/>
              </w:rPr>
            </w:pPr>
            <w:r w:rsidRPr="003676D9">
              <w:rPr>
                <w:sz w:val="22"/>
              </w:rPr>
              <w:t>Annexure A – Definitions</w:t>
            </w:r>
          </w:p>
        </w:tc>
        <w:tc>
          <w:tcPr>
            <w:tcW w:w="6783" w:type="dxa"/>
          </w:tcPr>
          <w:p w14:paraId="371E10D5" w14:textId="77777777" w:rsidR="004F62B1" w:rsidRPr="00980F91" w:rsidRDefault="004F62B1" w:rsidP="004F62B1">
            <w:pPr>
              <w:spacing w:after="120"/>
              <w:rPr>
                <w:rFonts w:asciiTheme="minorHAnsi" w:hAnsiTheme="minorHAnsi" w:cstheme="minorHAnsi"/>
                <w:sz w:val="22"/>
                <w:szCs w:val="22"/>
              </w:rPr>
            </w:pPr>
            <w:r w:rsidRPr="00980F91">
              <w:rPr>
                <w:rFonts w:asciiTheme="minorHAnsi" w:hAnsiTheme="minorHAnsi" w:cstheme="minorHAnsi"/>
                <w:sz w:val="22"/>
                <w:szCs w:val="22"/>
              </w:rPr>
              <w:t>DES Providers must deliver the following services:</w:t>
            </w:r>
          </w:p>
          <w:p w14:paraId="17789C44" w14:textId="77777777" w:rsidR="004F62B1" w:rsidRPr="00980F91" w:rsidRDefault="004F62B1" w:rsidP="004F62B1">
            <w:pPr>
              <w:numPr>
                <w:ilvl w:val="0"/>
                <w:numId w:val="19"/>
              </w:numPr>
              <w:contextualSpacing/>
              <w:rPr>
                <w:rFonts w:asciiTheme="minorHAnsi" w:hAnsiTheme="minorHAnsi" w:cstheme="minorHAnsi"/>
                <w:sz w:val="22"/>
                <w:szCs w:val="22"/>
              </w:rPr>
            </w:pPr>
            <w:r w:rsidRPr="00980F91">
              <w:rPr>
                <w:rFonts w:asciiTheme="minorHAnsi" w:hAnsiTheme="minorHAnsi" w:cstheme="minorHAnsi"/>
                <w:sz w:val="22"/>
                <w:szCs w:val="22"/>
              </w:rPr>
              <w:t xml:space="preserve">ensure that the Participant, location and job placement are eligible for </w:t>
            </w:r>
            <w:proofErr w:type="spellStart"/>
            <w:r w:rsidRPr="00980F91">
              <w:rPr>
                <w:rFonts w:asciiTheme="minorHAnsi" w:hAnsiTheme="minorHAnsi" w:cstheme="minorHAnsi"/>
                <w:sz w:val="22"/>
                <w:szCs w:val="22"/>
              </w:rPr>
              <w:t>RATUAJ</w:t>
            </w:r>
            <w:proofErr w:type="spellEnd"/>
            <w:r w:rsidRPr="00980F91">
              <w:rPr>
                <w:rFonts w:asciiTheme="minorHAnsi" w:hAnsiTheme="minorHAnsi" w:cstheme="minorHAnsi"/>
                <w:sz w:val="22"/>
                <w:szCs w:val="22"/>
              </w:rPr>
              <w:t>;</w:t>
            </w:r>
          </w:p>
          <w:p w14:paraId="090F8ADD" w14:textId="77777777" w:rsidR="004F62B1" w:rsidRPr="00980F91" w:rsidRDefault="004F62B1" w:rsidP="004F62B1">
            <w:pPr>
              <w:numPr>
                <w:ilvl w:val="0"/>
                <w:numId w:val="19"/>
              </w:numPr>
              <w:contextualSpacing/>
              <w:rPr>
                <w:rFonts w:asciiTheme="minorHAnsi" w:hAnsiTheme="minorHAnsi" w:cstheme="minorHAnsi"/>
                <w:sz w:val="22"/>
                <w:szCs w:val="22"/>
              </w:rPr>
            </w:pPr>
            <w:r w:rsidRPr="00980F91">
              <w:rPr>
                <w:rFonts w:asciiTheme="minorHAnsi" w:hAnsiTheme="minorHAnsi" w:cstheme="minorHAnsi"/>
                <w:sz w:val="22"/>
                <w:szCs w:val="22"/>
              </w:rPr>
              <w:t>enter into a Relocation Assistance to Take Up a Job Agreement (</w:t>
            </w:r>
            <w:proofErr w:type="spellStart"/>
            <w:r w:rsidRPr="00980F91">
              <w:rPr>
                <w:rFonts w:asciiTheme="minorHAnsi" w:hAnsiTheme="minorHAnsi" w:cstheme="minorHAnsi"/>
                <w:sz w:val="22"/>
                <w:szCs w:val="22"/>
              </w:rPr>
              <w:t>RATTUAJ</w:t>
            </w:r>
            <w:proofErr w:type="spellEnd"/>
            <w:r w:rsidRPr="00980F91">
              <w:rPr>
                <w:rFonts w:asciiTheme="minorHAnsi" w:hAnsiTheme="minorHAnsi" w:cstheme="minorHAnsi"/>
                <w:sz w:val="22"/>
                <w:szCs w:val="22"/>
              </w:rPr>
              <w:t xml:space="preserve"> Agreement);</w:t>
            </w:r>
          </w:p>
          <w:p w14:paraId="344EEF91" w14:textId="77777777" w:rsidR="004F62B1" w:rsidRPr="00980F91" w:rsidRDefault="004F62B1" w:rsidP="004F62B1">
            <w:pPr>
              <w:numPr>
                <w:ilvl w:val="0"/>
                <w:numId w:val="19"/>
              </w:numPr>
              <w:contextualSpacing/>
              <w:rPr>
                <w:rFonts w:asciiTheme="minorHAnsi" w:hAnsiTheme="minorHAnsi" w:cstheme="minorHAnsi"/>
                <w:sz w:val="22"/>
                <w:szCs w:val="22"/>
              </w:rPr>
            </w:pPr>
            <w:r w:rsidRPr="00980F91">
              <w:rPr>
                <w:rFonts w:asciiTheme="minorHAnsi" w:hAnsiTheme="minorHAnsi" w:cstheme="minorHAnsi"/>
                <w:sz w:val="22"/>
                <w:szCs w:val="22"/>
              </w:rPr>
              <w:t xml:space="preserve">assess and pay eligible expenses; and </w:t>
            </w:r>
          </w:p>
          <w:p w14:paraId="373B2080" w14:textId="534958C1" w:rsidR="004F62B1" w:rsidRPr="00980F91" w:rsidRDefault="004F62B1" w:rsidP="004F62B1">
            <w:pPr>
              <w:numPr>
                <w:ilvl w:val="0"/>
                <w:numId w:val="19"/>
              </w:numPr>
              <w:contextualSpacing/>
              <w:rPr>
                <w:b/>
                <w:sz w:val="22"/>
                <w:szCs w:val="22"/>
              </w:rPr>
            </w:pPr>
            <w:r w:rsidRPr="00980F91">
              <w:rPr>
                <w:rFonts w:asciiTheme="minorHAnsi" w:hAnsiTheme="minorHAnsi" w:cstheme="minorHAnsi"/>
                <w:sz w:val="22"/>
                <w:szCs w:val="22"/>
              </w:rPr>
              <w:t>assist Participants with job placements, post placement support and relocations.</w:t>
            </w:r>
          </w:p>
        </w:tc>
      </w:tr>
      <w:tr w:rsidR="004F62B1" w:rsidRPr="00372A58" w14:paraId="25848FD8" w14:textId="77777777" w:rsidTr="00980F91">
        <w:trPr>
          <w:jc w:val="center"/>
        </w:trPr>
        <w:tc>
          <w:tcPr>
            <w:tcW w:w="3598" w:type="dxa"/>
          </w:tcPr>
          <w:p w14:paraId="3A7B88D5" w14:textId="2CE99AA3" w:rsidR="00E96491" w:rsidRDefault="00E96491" w:rsidP="00252FFC">
            <w:pPr>
              <w:rPr>
                <w:b/>
                <w:sz w:val="22"/>
                <w:szCs w:val="22"/>
              </w:rPr>
            </w:pPr>
            <w:r>
              <w:rPr>
                <w:b/>
                <w:sz w:val="22"/>
                <w:szCs w:val="22"/>
              </w:rPr>
              <w:t xml:space="preserve">2. </w:t>
            </w:r>
            <w:r w:rsidR="000C2CEA">
              <w:rPr>
                <w:b/>
                <w:sz w:val="22"/>
                <w:szCs w:val="22"/>
              </w:rPr>
              <w:t>The Provider</w:t>
            </w:r>
          </w:p>
          <w:p w14:paraId="4862C6B8" w14:textId="77777777" w:rsidR="00E96491" w:rsidRDefault="00E96491" w:rsidP="00252FFC">
            <w:pPr>
              <w:rPr>
                <w:b/>
                <w:sz w:val="22"/>
                <w:szCs w:val="22"/>
              </w:rPr>
            </w:pPr>
          </w:p>
          <w:p w14:paraId="490FAAB6" w14:textId="1DCC79A1" w:rsidR="00252FFC" w:rsidRPr="007758E6" w:rsidRDefault="00252FFC" w:rsidP="00252FFC">
            <w:pPr>
              <w:rPr>
                <w:b/>
                <w:sz w:val="22"/>
                <w:szCs w:val="22"/>
              </w:rPr>
            </w:pPr>
            <w:r w:rsidRPr="007758E6">
              <w:rPr>
                <w:b/>
                <w:sz w:val="22"/>
                <w:szCs w:val="22"/>
              </w:rPr>
              <w:t>Participant eligibility</w:t>
            </w:r>
          </w:p>
          <w:p w14:paraId="7914E673" w14:textId="77777777" w:rsidR="00252FFC" w:rsidRPr="007758E6" w:rsidRDefault="00252FFC" w:rsidP="00252FFC">
            <w:pPr>
              <w:rPr>
                <w:i/>
                <w:sz w:val="22"/>
                <w:szCs w:val="22"/>
              </w:rPr>
            </w:pPr>
          </w:p>
          <w:p w14:paraId="31D9BDEB" w14:textId="3D1C111C" w:rsidR="00252FFC" w:rsidRPr="007758E6" w:rsidRDefault="00252FFC" w:rsidP="00252FFC">
            <w:pPr>
              <w:rPr>
                <w:i/>
                <w:sz w:val="22"/>
                <w:szCs w:val="22"/>
              </w:rPr>
            </w:pPr>
            <w:r w:rsidRPr="007758E6">
              <w:rPr>
                <w:i/>
                <w:sz w:val="22"/>
                <w:szCs w:val="22"/>
              </w:rPr>
              <w:t>Disab</w:t>
            </w:r>
            <w:r w:rsidR="00285BEF">
              <w:rPr>
                <w:i/>
                <w:sz w:val="22"/>
                <w:szCs w:val="22"/>
              </w:rPr>
              <w:t>ility Employment Services</w:t>
            </w:r>
            <w:r w:rsidRPr="007758E6">
              <w:rPr>
                <w:i/>
                <w:sz w:val="22"/>
                <w:szCs w:val="22"/>
              </w:rPr>
              <w:t xml:space="preserve"> </w:t>
            </w:r>
            <w:r w:rsidRPr="007758E6">
              <w:rPr>
                <w:bCs/>
                <w:i/>
                <w:sz w:val="22"/>
                <w:szCs w:val="22"/>
              </w:rPr>
              <w:t xml:space="preserve">Grant Agreement Clause </w:t>
            </w:r>
            <w:r w:rsidRPr="007758E6">
              <w:rPr>
                <w:i/>
                <w:sz w:val="22"/>
                <w:szCs w:val="22"/>
              </w:rPr>
              <w:t>References:</w:t>
            </w:r>
          </w:p>
          <w:p w14:paraId="0957A8D5" w14:textId="77777777" w:rsidR="00252FFC" w:rsidRPr="00252FFC" w:rsidRDefault="00252FFC" w:rsidP="00252FFC">
            <w:pPr>
              <w:pStyle w:val="TableNumberedleftbold"/>
              <w:numPr>
                <w:ilvl w:val="0"/>
                <w:numId w:val="10"/>
              </w:numPr>
              <w:rPr>
                <w:rFonts w:asciiTheme="minorHAnsi" w:hAnsiTheme="minorHAnsi" w:cstheme="minorHAnsi"/>
                <w:b w:val="0"/>
                <w:sz w:val="22"/>
              </w:rPr>
            </w:pPr>
            <w:r w:rsidRPr="00252FFC">
              <w:rPr>
                <w:rFonts w:asciiTheme="minorHAnsi" w:hAnsiTheme="minorHAnsi" w:cstheme="minorHAnsi"/>
                <w:b w:val="0"/>
                <w:sz w:val="22"/>
              </w:rPr>
              <w:t>Clause 157</w:t>
            </w:r>
          </w:p>
          <w:p w14:paraId="67909EAB" w14:textId="02F4994C" w:rsidR="004F62B1" w:rsidRPr="00252FFC" w:rsidRDefault="00252FFC" w:rsidP="00252FFC">
            <w:pPr>
              <w:pStyle w:val="TableNumberedleftbold"/>
              <w:numPr>
                <w:ilvl w:val="0"/>
                <w:numId w:val="10"/>
              </w:numPr>
              <w:rPr>
                <w:b w:val="0"/>
                <w:szCs w:val="24"/>
              </w:rPr>
            </w:pPr>
            <w:r w:rsidRPr="00252FFC">
              <w:rPr>
                <w:b w:val="0"/>
                <w:sz w:val="22"/>
              </w:rPr>
              <w:t>Annexure A – Definitions</w:t>
            </w:r>
          </w:p>
        </w:tc>
        <w:tc>
          <w:tcPr>
            <w:tcW w:w="6783" w:type="dxa"/>
          </w:tcPr>
          <w:p w14:paraId="10FB8C86" w14:textId="77777777" w:rsidR="00252FFC" w:rsidRPr="007758E6" w:rsidRDefault="00252FFC" w:rsidP="00252FFC">
            <w:pPr>
              <w:spacing w:after="120"/>
              <w:rPr>
                <w:rFonts w:asciiTheme="minorHAnsi" w:hAnsiTheme="minorHAnsi" w:cs="Calibri"/>
                <w:sz w:val="22"/>
                <w:szCs w:val="22"/>
                <w:lang w:eastAsia="en-US"/>
              </w:rPr>
            </w:pPr>
            <w:r w:rsidRPr="007758E6">
              <w:rPr>
                <w:rFonts w:asciiTheme="minorHAnsi" w:hAnsiTheme="minorHAnsi" w:cs="Calibri"/>
                <w:sz w:val="22"/>
                <w:szCs w:val="22"/>
                <w:lang w:eastAsia="en-US"/>
              </w:rPr>
              <w:t>To be eligible, a Participant must:</w:t>
            </w:r>
          </w:p>
          <w:p w14:paraId="1D4AAD26" w14:textId="77777777" w:rsidR="00252FFC" w:rsidRPr="007758E6" w:rsidRDefault="00252FFC" w:rsidP="00252FFC">
            <w:pPr>
              <w:numPr>
                <w:ilvl w:val="0"/>
                <w:numId w:val="19"/>
              </w:numPr>
              <w:contextualSpacing/>
              <w:rPr>
                <w:rFonts w:asciiTheme="minorHAnsi" w:hAnsiTheme="minorHAnsi" w:cs="Calibri"/>
                <w:sz w:val="22"/>
                <w:szCs w:val="22"/>
                <w:lang w:eastAsia="en-US"/>
              </w:rPr>
            </w:pPr>
            <w:r w:rsidRPr="007758E6">
              <w:rPr>
                <w:rFonts w:asciiTheme="minorHAnsi" w:hAnsiTheme="minorHAnsi" w:cs="Calibri"/>
                <w:sz w:val="22"/>
                <w:szCs w:val="22"/>
                <w:lang w:eastAsia="en-US"/>
              </w:rPr>
              <w:t xml:space="preserve">be registered as a Fully Eligible Participant with a </w:t>
            </w:r>
            <w:proofErr w:type="spellStart"/>
            <w:r w:rsidRPr="007758E6">
              <w:rPr>
                <w:rFonts w:asciiTheme="minorHAnsi" w:hAnsiTheme="minorHAnsi" w:cs="Calibri"/>
                <w:sz w:val="22"/>
                <w:szCs w:val="22"/>
                <w:lang w:eastAsia="en-US"/>
              </w:rPr>
              <w:t>jobactive</w:t>
            </w:r>
            <w:proofErr w:type="spellEnd"/>
            <w:r w:rsidRPr="007758E6">
              <w:rPr>
                <w:rFonts w:asciiTheme="minorHAnsi" w:hAnsiTheme="minorHAnsi" w:cs="Calibri"/>
                <w:sz w:val="22"/>
                <w:szCs w:val="22"/>
                <w:lang w:eastAsia="en-US"/>
              </w:rPr>
              <w:t xml:space="preserve"> provider, or be participating in DES;</w:t>
            </w:r>
          </w:p>
          <w:p w14:paraId="54E154AF" w14:textId="77777777" w:rsidR="00252FFC" w:rsidRPr="007758E6" w:rsidRDefault="00252FFC" w:rsidP="00252FFC">
            <w:pPr>
              <w:numPr>
                <w:ilvl w:val="0"/>
                <w:numId w:val="19"/>
              </w:numPr>
              <w:contextualSpacing/>
              <w:rPr>
                <w:rFonts w:asciiTheme="minorHAnsi" w:hAnsiTheme="minorHAnsi" w:cs="Calibri"/>
                <w:sz w:val="22"/>
                <w:szCs w:val="22"/>
                <w:lang w:eastAsia="en-US"/>
              </w:rPr>
            </w:pPr>
            <w:r w:rsidRPr="007758E6">
              <w:rPr>
                <w:rFonts w:asciiTheme="minorHAnsi" w:hAnsiTheme="minorHAnsi" w:cs="Calibri"/>
                <w:sz w:val="22"/>
                <w:szCs w:val="22"/>
                <w:lang w:eastAsia="en-US"/>
              </w:rPr>
              <w:t>have Mutual Obligation Requirements;</w:t>
            </w:r>
          </w:p>
          <w:p w14:paraId="637A9B28" w14:textId="77777777" w:rsidR="00252FFC" w:rsidRPr="007758E6" w:rsidRDefault="00252FFC" w:rsidP="00252FFC">
            <w:pPr>
              <w:numPr>
                <w:ilvl w:val="0"/>
                <w:numId w:val="19"/>
              </w:numPr>
              <w:contextualSpacing/>
              <w:rPr>
                <w:rFonts w:asciiTheme="minorHAnsi" w:hAnsiTheme="minorHAnsi" w:cs="Calibri"/>
                <w:sz w:val="22"/>
                <w:szCs w:val="22"/>
                <w:lang w:eastAsia="en-US"/>
              </w:rPr>
            </w:pPr>
            <w:r w:rsidRPr="007758E6">
              <w:rPr>
                <w:rFonts w:asciiTheme="minorHAnsi" w:hAnsiTheme="minorHAnsi" w:cs="Calibri"/>
                <w:sz w:val="22"/>
                <w:szCs w:val="22"/>
                <w:lang w:eastAsia="en-US"/>
              </w:rPr>
              <w:t>have been receiving an eligible income support payment (</w:t>
            </w:r>
            <w:proofErr w:type="spellStart"/>
            <w:r w:rsidRPr="007758E6">
              <w:rPr>
                <w:rFonts w:asciiTheme="minorHAnsi" w:hAnsiTheme="minorHAnsi" w:cs="Calibri"/>
                <w:sz w:val="22"/>
                <w:szCs w:val="22"/>
                <w:lang w:eastAsia="en-US"/>
              </w:rPr>
              <w:t>Newstart</w:t>
            </w:r>
            <w:proofErr w:type="spellEnd"/>
            <w:r w:rsidRPr="007758E6">
              <w:rPr>
                <w:rFonts w:asciiTheme="minorHAnsi" w:hAnsiTheme="minorHAnsi" w:cs="Calibri"/>
                <w:sz w:val="22"/>
                <w:szCs w:val="22"/>
                <w:lang w:eastAsia="en-US"/>
              </w:rPr>
              <w:t xml:space="preserve"> Allowance, Youth Allowance (Other) or Parenting Payment) for at least the last 12 months; and </w:t>
            </w:r>
          </w:p>
          <w:p w14:paraId="719F48B6" w14:textId="77777777" w:rsidR="00252FFC" w:rsidRPr="007758E6" w:rsidRDefault="00252FFC" w:rsidP="00252FFC">
            <w:pPr>
              <w:numPr>
                <w:ilvl w:val="0"/>
                <w:numId w:val="19"/>
              </w:numPr>
              <w:contextualSpacing/>
              <w:rPr>
                <w:rFonts w:asciiTheme="minorHAnsi" w:hAnsiTheme="minorHAnsi" w:cs="Calibri"/>
                <w:sz w:val="22"/>
                <w:szCs w:val="22"/>
                <w:lang w:eastAsia="en-US"/>
              </w:rPr>
            </w:pPr>
            <w:r w:rsidRPr="007758E6">
              <w:rPr>
                <w:rFonts w:asciiTheme="minorHAnsi" w:hAnsiTheme="minorHAnsi" w:cs="Calibri"/>
                <w:sz w:val="22"/>
                <w:szCs w:val="22"/>
                <w:lang w:eastAsia="en-US"/>
              </w:rPr>
              <w:t>apply for assistance before moving and starting work.</w:t>
            </w:r>
          </w:p>
          <w:p w14:paraId="3223E13C" w14:textId="06B55FA3" w:rsidR="004F62B1" w:rsidRPr="00252FFC" w:rsidRDefault="00252FFC" w:rsidP="006C091C">
            <w:pPr>
              <w:pStyle w:val="Level2NumberBullet"/>
              <w:numPr>
                <w:ilvl w:val="0"/>
                <w:numId w:val="0"/>
              </w:numPr>
              <w:rPr>
                <w:rFonts w:asciiTheme="minorHAnsi" w:hAnsiTheme="minorHAnsi" w:cs="Calibri"/>
                <w:szCs w:val="22"/>
                <w:lang w:eastAsia="en-US"/>
              </w:rPr>
            </w:pPr>
            <w:r w:rsidRPr="007758E6">
              <w:rPr>
                <w:rFonts w:asciiTheme="minorHAnsi" w:hAnsiTheme="minorHAnsi" w:cs="Calibri"/>
                <w:szCs w:val="22"/>
                <w:lang w:eastAsia="en-US"/>
              </w:rPr>
              <w:t xml:space="preserve">Note: The Department’s IT Systems will flag which Participants are eligible for </w:t>
            </w:r>
            <w:proofErr w:type="spellStart"/>
            <w:r w:rsidRPr="007758E6">
              <w:rPr>
                <w:rFonts w:asciiTheme="minorHAnsi" w:hAnsiTheme="minorHAnsi" w:cs="Calibri"/>
                <w:szCs w:val="22"/>
                <w:lang w:eastAsia="en-US"/>
              </w:rPr>
              <w:t>RATTUAJ</w:t>
            </w:r>
            <w:proofErr w:type="spellEnd"/>
            <w:r w:rsidRPr="007758E6">
              <w:rPr>
                <w:rFonts w:asciiTheme="minorHAnsi" w:hAnsiTheme="minorHAnsi" w:cs="Calibri"/>
                <w:szCs w:val="22"/>
                <w:lang w:eastAsia="en-US"/>
              </w:rPr>
              <w:t>.</w:t>
            </w:r>
          </w:p>
        </w:tc>
      </w:tr>
      <w:tr w:rsidR="006C091C" w:rsidRPr="00372A58" w14:paraId="7D7E5AB5" w14:textId="77777777" w:rsidTr="00980F91">
        <w:trPr>
          <w:jc w:val="center"/>
        </w:trPr>
        <w:tc>
          <w:tcPr>
            <w:tcW w:w="3598" w:type="dxa"/>
          </w:tcPr>
          <w:p w14:paraId="04686C6C" w14:textId="2BC2E89A" w:rsidR="00AA6B26" w:rsidRDefault="00AA6B26" w:rsidP="00980F91">
            <w:pPr>
              <w:pStyle w:val="TableNumberedleftbold"/>
              <w:rPr>
                <w:sz w:val="22"/>
              </w:rPr>
            </w:pPr>
            <w:r>
              <w:rPr>
                <w:sz w:val="22"/>
              </w:rPr>
              <w:t>3. The Provider</w:t>
            </w:r>
          </w:p>
          <w:p w14:paraId="701408FB" w14:textId="77777777" w:rsidR="00AA6B26" w:rsidRDefault="00AA6B26" w:rsidP="00980F91">
            <w:pPr>
              <w:pStyle w:val="TableNumberedleftbold"/>
              <w:rPr>
                <w:sz w:val="22"/>
              </w:rPr>
            </w:pPr>
          </w:p>
          <w:p w14:paraId="6EF9F3D0" w14:textId="3D7C995B" w:rsidR="006C091C" w:rsidRPr="00372A58" w:rsidRDefault="006C091C" w:rsidP="00980F91">
            <w:pPr>
              <w:pStyle w:val="TableNumberedleftbold"/>
              <w:rPr>
                <w:szCs w:val="24"/>
              </w:rPr>
            </w:pPr>
            <w:r w:rsidRPr="007758E6">
              <w:rPr>
                <w:sz w:val="22"/>
              </w:rPr>
              <w:t>Relocation eligibility</w:t>
            </w:r>
          </w:p>
        </w:tc>
        <w:tc>
          <w:tcPr>
            <w:tcW w:w="6783" w:type="dxa"/>
          </w:tcPr>
          <w:p w14:paraId="238F4725" w14:textId="77777777" w:rsidR="006C091C" w:rsidRPr="00A57B4C" w:rsidRDefault="006C091C" w:rsidP="006C091C">
            <w:pPr>
              <w:tabs>
                <w:tab w:val="left" w:pos="0"/>
              </w:tabs>
              <w:spacing w:after="120"/>
              <w:rPr>
                <w:rFonts w:asciiTheme="minorHAnsi" w:hAnsiTheme="minorHAnsi" w:cstheme="minorHAnsi"/>
                <w:sz w:val="22"/>
                <w:szCs w:val="22"/>
              </w:rPr>
            </w:pPr>
            <w:r w:rsidRPr="00A57B4C">
              <w:rPr>
                <w:rFonts w:asciiTheme="minorHAnsi" w:hAnsiTheme="minorHAnsi" w:cstheme="minorHAnsi"/>
                <w:sz w:val="22"/>
                <w:szCs w:val="22"/>
              </w:rPr>
              <w:t>The proposed relocation must:</w:t>
            </w:r>
          </w:p>
          <w:p w14:paraId="4AA90DAA" w14:textId="77777777" w:rsidR="006C091C" w:rsidRPr="00A57B4C" w:rsidRDefault="006C091C" w:rsidP="006C091C">
            <w:pPr>
              <w:numPr>
                <w:ilvl w:val="0"/>
                <w:numId w:val="19"/>
              </w:numPr>
              <w:contextualSpacing/>
              <w:rPr>
                <w:rFonts w:asciiTheme="minorHAnsi" w:hAnsiTheme="minorHAnsi" w:cs="Calibri"/>
                <w:sz w:val="22"/>
                <w:szCs w:val="22"/>
                <w:lang w:eastAsia="en-US"/>
              </w:rPr>
            </w:pPr>
            <w:r w:rsidRPr="00A57B4C">
              <w:rPr>
                <w:rFonts w:asciiTheme="minorHAnsi" w:hAnsiTheme="minorHAnsi" w:cstheme="minorHAnsi"/>
                <w:sz w:val="22"/>
                <w:szCs w:val="22"/>
              </w:rPr>
              <w:t xml:space="preserve">be </w:t>
            </w:r>
            <w:r w:rsidRPr="00A57B4C">
              <w:rPr>
                <w:rFonts w:asciiTheme="minorHAnsi" w:hAnsiTheme="minorHAnsi" w:cs="Calibri"/>
                <w:sz w:val="22"/>
                <w:szCs w:val="22"/>
                <w:lang w:eastAsia="en-US"/>
              </w:rPr>
              <w:t>within Australia;</w:t>
            </w:r>
          </w:p>
          <w:p w14:paraId="527E0793" w14:textId="77777777" w:rsidR="006C091C" w:rsidRPr="00A57B4C" w:rsidRDefault="006C091C" w:rsidP="006C091C">
            <w:pPr>
              <w:numPr>
                <w:ilvl w:val="0"/>
                <w:numId w:val="19"/>
              </w:numPr>
              <w:contextualSpacing/>
              <w:rPr>
                <w:rFonts w:asciiTheme="minorHAnsi" w:hAnsiTheme="minorHAnsi" w:cs="Calibri"/>
                <w:sz w:val="22"/>
                <w:szCs w:val="22"/>
                <w:lang w:eastAsia="en-US"/>
              </w:rPr>
            </w:pPr>
            <w:r w:rsidRPr="00A57B4C">
              <w:rPr>
                <w:rFonts w:asciiTheme="minorHAnsi" w:hAnsiTheme="minorHAnsi" w:cs="Calibri"/>
                <w:sz w:val="22"/>
                <w:szCs w:val="22"/>
                <w:lang w:eastAsia="en-US"/>
              </w:rPr>
              <w:t>be at least 90 minutes away from the job seeker’s current residence (using their regular mode of transport); and</w:t>
            </w:r>
          </w:p>
          <w:p w14:paraId="47F583EB" w14:textId="77777777" w:rsidR="006C091C" w:rsidRPr="00A57B4C" w:rsidRDefault="006C091C" w:rsidP="006C091C">
            <w:pPr>
              <w:numPr>
                <w:ilvl w:val="0"/>
                <w:numId w:val="19"/>
              </w:numPr>
              <w:contextualSpacing/>
              <w:rPr>
                <w:rFonts w:asciiTheme="minorHAnsi" w:hAnsiTheme="minorHAnsi" w:cstheme="minorHAnsi"/>
                <w:sz w:val="22"/>
                <w:szCs w:val="22"/>
              </w:rPr>
            </w:pPr>
            <w:r w:rsidRPr="00A57B4C">
              <w:rPr>
                <w:rFonts w:asciiTheme="minorHAnsi" w:hAnsiTheme="minorHAnsi" w:cs="Calibri"/>
                <w:sz w:val="22"/>
                <w:szCs w:val="22"/>
                <w:lang w:eastAsia="en-US"/>
              </w:rPr>
              <w:t>not be</w:t>
            </w:r>
            <w:r w:rsidRPr="00A57B4C">
              <w:rPr>
                <w:rFonts w:asciiTheme="minorHAnsi" w:hAnsiTheme="minorHAnsi" w:cstheme="minorHAnsi"/>
                <w:sz w:val="22"/>
                <w:szCs w:val="22"/>
              </w:rPr>
              <w:t xml:space="preserve"> within the same capital city.</w:t>
            </w:r>
          </w:p>
          <w:p w14:paraId="30D2AF54" w14:textId="7D216FC4" w:rsidR="006C091C" w:rsidRPr="00A57B4C" w:rsidRDefault="006C091C" w:rsidP="006C091C">
            <w:pPr>
              <w:spacing w:before="120" w:after="120"/>
              <w:rPr>
                <w:sz w:val="22"/>
                <w:szCs w:val="22"/>
              </w:rPr>
            </w:pPr>
            <w:r w:rsidRPr="00A57B4C">
              <w:rPr>
                <w:sz w:val="22"/>
                <w:szCs w:val="22"/>
              </w:rPr>
              <w:t>If the relocation is between capital cities, the relocation must be to a capital city with a lower unemployment rate than the capital city they are relocating fr</w:t>
            </w:r>
            <w:r w:rsidR="00F73C49">
              <w:rPr>
                <w:sz w:val="22"/>
                <w:szCs w:val="22"/>
              </w:rPr>
              <w:t xml:space="preserve">om. Unemployment rates are under </w:t>
            </w:r>
            <w:r w:rsidR="00F73C49" w:rsidRPr="00F73C49">
              <w:rPr>
                <w:b/>
                <w:sz w:val="22"/>
                <w:szCs w:val="22"/>
              </w:rPr>
              <w:t>Additional information</w:t>
            </w:r>
            <w:r w:rsidRPr="00F73C49">
              <w:rPr>
                <w:b/>
                <w:sz w:val="22"/>
                <w:szCs w:val="22"/>
              </w:rPr>
              <w:t xml:space="preserve"> </w:t>
            </w:r>
            <w:r w:rsidRPr="00A57B4C">
              <w:rPr>
                <w:sz w:val="22"/>
                <w:szCs w:val="22"/>
              </w:rPr>
              <w:t>in this Guideline.</w:t>
            </w:r>
          </w:p>
          <w:p w14:paraId="1D9D0501" w14:textId="77777777" w:rsidR="006C091C" w:rsidRPr="00A57B4C" w:rsidRDefault="006C091C" w:rsidP="006C091C">
            <w:pPr>
              <w:spacing w:before="120" w:after="120"/>
              <w:rPr>
                <w:color w:val="000000"/>
                <w:sz w:val="22"/>
                <w:szCs w:val="22"/>
              </w:rPr>
            </w:pPr>
            <w:r w:rsidRPr="00A57B4C">
              <w:rPr>
                <w:sz w:val="22"/>
                <w:szCs w:val="22"/>
              </w:rPr>
              <w:t>DES Providers</w:t>
            </w:r>
            <w:r w:rsidRPr="00A57B4C">
              <w:rPr>
                <w:color w:val="000000"/>
                <w:sz w:val="22"/>
                <w:szCs w:val="22"/>
              </w:rPr>
              <w:t xml:space="preserve"> can use the </w:t>
            </w:r>
            <w:r w:rsidRPr="00A57B4C">
              <w:rPr>
                <w:rFonts w:cs="Calibri"/>
                <w:sz w:val="22"/>
                <w:szCs w:val="22"/>
              </w:rPr>
              <w:t>Relocation Assistance Distance &amp; Region Calculator</w:t>
            </w:r>
            <w:r w:rsidRPr="00A57B4C">
              <w:rPr>
                <w:color w:val="000000"/>
                <w:sz w:val="22"/>
                <w:szCs w:val="22"/>
              </w:rPr>
              <w:t xml:space="preserve"> to assess whether a location is at least 90 minutes away from where the Participant is currently residing.</w:t>
            </w:r>
          </w:p>
          <w:p w14:paraId="060B6069" w14:textId="2BD5C8E3" w:rsidR="006C091C" w:rsidRPr="00372A58" w:rsidRDefault="006C091C" w:rsidP="006C091C">
            <w:pPr>
              <w:pStyle w:val="Level2NumberBullet"/>
              <w:numPr>
                <w:ilvl w:val="0"/>
                <w:numId w:val="0"/>
              </w:numPr>
              <w:rPr>
                <w:b/>
                <w:sz w:val="24"/>
              </w:rPr>
            </w:pPr>
            <w:r w:rsidRPr="00A57B4C">
              <w:rPr>
                <w:rFonts w:asciiTheme="minorHAnsi" w:hAnsiTheme="minorHAnsi" w:cstheme="minorHAnsi"/>
                <w:szCs w:val="22"/>
              </w:rPr>
              <w:t>The calculator can be found on the DES Provider Portal via: DES Provider Portal &gt; DES &gt; Program information &gt; Relocation Assistance to Take Up a Job.</w:t>
            </w:r>
          </w:p>
        </w:tc>
      </w:tr>
      <w:tr w:rsidR="006C091C" w:rsidRPr="00372A58" w14:paraId="7B2C0B2F" w14:textId="77777777" w:rsidTr="00980F91">
        <w:trPr>
          <w:jc w:val="center"/>
        </w:trPr>
        <w:tc>
          <w:tcPr>
            <w:tcW w:w="3598" w:type="dxa"/>
          </w:tcPr>
          <w:p w14:paraId="5FA6490F" w14:textId="7CC24057" w:rsidR="004D0435" w:rsidRDefault="004D0435" w:rsidP="004D0435">
            <w:pPr>
              <w:spacing w:after="240"/>
              <w:rPr>
                <w:b/>
                <w:sz w:val="22"/>
                <w:szCs w:val="22"/>
              </w:rPr>
            </w:pPr>
            <w:r>
              <w:rPr>
                <w:b/>
                <w:sz w:val="22"/>
                <w:szCs w:val="22"/>
              </w:rPr>
              <w:t>4. The Provider</w:t>
            </w:r>
          </w:p>
          <w:p w14:paraId="308167F8" w14:textId="1341D573" w:rsidR="00507EA0" w:rsidRPr="007758E6" w:rsidRDefault="00507EA0" w:rsidP="004D0435">
            <w:pPr>
              <w:spacing w:after="240"/>
              <w:rPr>
                <w:b/>
                <w:sz w:val="22"/>
                <w:szCs w:val="22"/>
              </w:rPr>
            </w:pPr>
            <w:proofErr w:type="spellStart"/>
            <w:r w:rsidRPr="007758E6">
              <w:rPr>
                <w:b/>
                <w:sz w:val="22"/>
                <w:szCs w:val="22"/>
              </w:rPr>
              <w:t>RATTUAJ</w:t>
            </w:r>
            <w:proofErr w:type="spellEnd"/>
            <w:r w:rsidRPr="007758E6">
              <w:rPr>
                <w:b/>
                <w:sz w:val="22"/>
                <w:szCs w:val="22"/>
              </w:rPr>
              <w:t xml:space="preserve"> Placement eligibility</w:t>
            </w:r>
          </w:p>
          <w:p w14:paraId="610811C5" w14:textId="11E0CE56" w:rsidR="00507EA0" w:rsidRPr="00A57B4C" w:rsidRDefault="00285BEF" w:rsidP="004D0435">
            <w:pPr>
              <w:rPr>
                <w:rFonts w:asciiTheme="minorHAnsi" w:hAnsiTheme="minorHAnsi" w:cstheme="minorHAnsi"/>
                <w:i/>
                <w:sz w:val="22"/>
                <w:szCs w:val="22"/>
              </w:rPr>
            </w:pPr>
            <w:r w:rsidRPr="007758E6">
              <w:rPr>
                <w:i/>
                <w:sz w:val="22"/>
                <w:szCs w:val="22"/>
              </w:rPr>
              <w:t>Disab</w:t>
            </w:r>
            <w:r>
              <w:rPr>
                <w:i/>
                <w:sz w:val="22"/>
                <w:szCs w:val="22"/>
              </w:rPr>
              <w:t>ility Employment Services</w:t>
            </w:r>
            <w:r w:rsidRPr="007758E6">
              <w:rPr>
                <w:i/>
                <w:sz w:val="22"/>
                <w:szCs w:val="22"/>
              </w:rPr>
              <w:t xml:space="preserve"> </w:t>
            </w:r>
            <w:r w:rsidR="00507EA0" w:rsidRPr="00A57B4C">
              <w:rPr>
                <w:rFonts w:asciiTheme="minorHAnsi" w:hAnsiTheme="minorHAnsi" w:cstheme="minorHAnsi"/>
                <w:bCs/>
                <w:i/>
                <w:sz w:val="22"/>
                <w:szCs w:val="22"/>
              </w:rPr>
              <w:t>Grant Agreement</w:t>
            </w:r>
            <w:r w:rsidR="00507EA0" w:rsidRPr="00A57B4C">
              <w:rPr>
                <w:rFonts w:asciiTheme="minorHAnsi" w:hAnsiTheme="minorHAnsi" w:cstheme="minorHAnsi"/>
                <w:i/>
                <w:sz w:val="22"/>
                <w:szCs w:val="22"/>
              </w:rPr>
              <w:t xml:space="preserve"> </w:t>
            </w:r>
            <w:r w:rsidR="00507EA0" w:rsidRPr="001B164B">
              <w:rPr>
                <w:rFonts w:asciiTheme="minorHAnsi" w:hAnsiTheme="minorHAnsi" w:cstheme="minorHAnsi"/>
                <w:i/>
                <w:sz w:val="22"/>
                <w:szCs w:val="22"/>
              </w:rPr>
              <w:t>Clauses References:</w:t>
            </w:r>
          </w:p>
          <w:p w14:paraId="0D9E9BFE" w14:textId="77777777" w:rsidR="00507EA0" w:rsidRPr="00676D2F" w:rsidRDefault="00507EA0" w:rsidP="00676D2F">
            <w:pPr>
              <w:pStyle w:val="TableNumberedleftbold"/>
              <w:numPr>
                <w:ilvl w:val="0"/>
                <w:numId w:val="48"/>
              </w:numPr>
              <w:rPr>
                <w:rFonts w:asciiTheme="minorHAnsi" w:hAnsiTheme="minorHAnsi" w:cstheme="minorHAnsi"/>
                <w:b w:val="0"/>
                <w:sz w:val="22"/>
              </w:rPr>
            </w:pPr>
            <w:r w:rsidRPr="00676D2F">
              <w:rPr>
                <w:rFonts w:asciiTheme="minorHAnsi" w:hAnsiTheme="minorHAnsi" w:cstheme="minorHAnsi"/>
                <w:b w:val="0"/>
                <w:sz w:val="22"/>
              </w:rPr>
              <w:t>Clause 157</w:t>
            </w:r>
          </w:p>
          <w:p w14:paraId="7533645B" w14:textId="26DCFBFC" w:rsidR="006C091C" w:rsidRPr="00676D2F" w:rsidRDefault="00507EA0" w:rsidP="00676D2F">
            <w:pPr>
              <w:pStyle w:val="ListParagraph"/>
              <w:numPr>
                <w:ilvl w:val="0"/>
                <w:numId w:val="48"/>
              </w:numPr>
              <w:rPr>
                <w:rFonts w:asciiTheme="minorHAnsi" w:hAnsiTheme="minorHAnsi" w:cstheme="minorHAnsi"/>
                <w:sz w:val="22"/>
                <w:szCs w:val="22"/>
              </w:rPr>
            </w:pPr>
            <w:r w:rsidRPr="00676D2F">
              <w:rPr>
                <w:rFonts w:asciiTheme="minorHAnsi" w:hAnsiTheme="minorHAnsi" w:cstheme="minorHAnsi"/>
                <w:sz w:val="22"/>
                <w:szCs w:val="22"/>
              </w:rPr>
              <w:lastRenderedPageBreak/>
              <w:t>Annexure A – Definitions</w:t>
            </w:r>
          </w:p>
        </w:tc>
        <w:tc>
          <w:tcPr>
            <w:tcW w:w="6783" w:type="dxa"/>
          </w:tcPr>
          <w:p w14:paraId="61E5169F" w14:textId="77777777" w:rsidR="00507EA0" w:rsidRPr="00B3745D" w:rsidRDefault="00507EA0" w:rsidP="00507EA0">
            <w:pPr>
              <w:tabs>
                <w:tab w:val="left" w:pos="0"/>
              </w:tabs>
              <w:spacing w:after="120"/>
              <w:rPr>
                <w:rFonts w:cs="Calibri"/>
                <w:sz w:val="22"/>
                <w:szCs w:val="22"/>
              </w:rPr>
            </w:pPr>
            <w:r w:rsidRPr="00B3745D">
              <w:rPr>
                <w:rFonts w:cs="Calibri"/>
                <w:sz w:val="22"/>
                <w:szCs w:val="22"/>
              </w:rPr>
              <w:lastRenderedPageBreak/>
              <w:t xml:space="preserve">For a </w:t>
            </w:r>
            <w:proofErr w:type="spellStart"/>
            <w:r w:rsidRPr="00B3745D">
              <w:rPr>
                <w:rFonts w:cs="Calibri"/>
                <w:sz w:val="22"/>
                <w:szCs w:val="22"/>
              </w:rPr>
              <w:t>RATTUAJ</w:t>
            </w:r>
            <w:proofErr w:type="spellEnd"/>
            <w:r w:rsidRPr="00B3745D">
              <w:rPr>
                <w:rFonts w:cs="Calibri"/>
                <w:sz w:val="22"/>
                <w:szCs w:val="22"/>
              </w:rPr>
              <w:t xml:space="preserve"> Placement to be eligible:</w:t>
            </w:r>
          </w:p>
          <w:p w14:paraId="2CA1C6CD" w14:textId="77777777" w:rsidR="00507EA0" w:rsidRPr="00B3745D" w:rsidRDefault="00507EA0" w:rsidP="00507EA0">
            <w:pPr>
              <w:numPr>
                <w:ilvl w:val="0"/>
                <w:numId w:val="25"/>
              </w:numPr>
              <w:spacing w:before="120" w:after="120"/>
              <w:contextualSpacing/>
              <w:rPr>
                <w:rFonts w:cs="Calibri"/>
                <w:sz w:val="22"/>
                <w:szCs w:val="22"/>
              </w:rPr>
            </w:pPr>
            <w:r w:rsidRPr="00B3745D">
              <w:rPr>
                <w:rFonts w:cs="Calibri"/>
                <w:sz w:val="22"/>
                <w:szCs w:val="22"/>
              </w:rPr>
              <w:t xml:space="preserve">the Participant must have accepted a job offer; and </w:t>
            </w:r>
          </w:p>
          <w:p w14:paraId="555475AC" w14:textId="77777777" w:rsidR="00507EA0" w:rsidRPr="00B3745D" w:rsidRDefault="00507EA0" w:rsidP="00507EA0">
            <w:pPr>
              <w:numPr>
                <w:ilvl w:val="0"/>
                <w:numId w:val="25"/>
              </w:numPr>
              <w:spacing w:before="120" w:after="120"/>
              <w:ind w:left="714" w:hanging="357"/>
              <w:rPr>
                <w:rFonts w:cs="Calibri"/>
                <w:sz w:val="22"/>
                <w:szCs w:val="22"/>
              </w:rPr>
            </w:pPr>
            <w:r w:rsidRPr="00B3745D">
              <w:rPr>
                <w:rFonts w:cs="Calibri"/>
                <w:sz w:val="22"/>
                <w:szCs w:val="22"/>
              </w:rPr>
              <w:t>the Employer must declare they have, using any method (e.g. advertised in newspaper or shopfront), attempted to employ local</w:t>
            </w:r>
            <w:r w:rsidRPr="00A820FA">
              <w:rPr>
                <w:rFonts w:cs="Calibri"/>
              </w:rPr>
              <w:t xml:space="preserve"> </w:t>
            </w:r>
            <w:r w:rsidRPr="00B3745D">
              <w:rPr>
                <w:rFonts w:cs="Calibri"/>
                <w:sz w:val="22"/>
                <w:szCs w:val="22"/>
              </w:rPr>
              <w:t xml:space="preserve">workers for the position. By signing the </w:t>
            </w:r>
            <w:proofErr w:type="spellStart"/>
            <w:r w:rsidRPr="00B3745D">
              <w:rPr>
                <w:rFonts w:cs="Calibri"/>
                <w:sz w:val="22"/>
                <w:szCs w:val="22"/>
              </w:rPr>
              <w:t>RATTUAJ</w:t>
            </w:r>
            <w:proofErr w:type="spellEnd"/>
            <w:r w:rsidRPr="00B3745D">
              <w:rPr>
                <w:rFonts w:cs="Calibri"/>
                <w:sz w:val="22"/>
                <w:szCs w:val="22"/>
              </w:rPr>
              <w:t xml:space="preserve"> Agreement, the Provider affirms that they have confirmed with </w:t>
            </w:r>
            <w:r w:rsidRPr="00B3745D">
              <w:rPr>
                <w:rFonts w:cs="Calibri"/>
                <w:sz w:val="22"/>
                <w:szCs w:val="22"/>
              </w:rPr>
              <w:lastRenderedPageBreak/>
              <w:t>the Employer they have attempted to employ local workers; and</w:t>
            </w:r>
          </w:p>
          <w:p w14:paraId="2433211A" w14:textId="77777777" w:rsidR="00507EA0" w:rsidRPr="00B3745D" w:rsidRDefault="00507EA0" w:rsidP="00507EA0">
            <w:pPr>
              <w:spacing w:after="120"/>
              <w:contextualSpacing/>
              <w:rPr>
                <w:rFonts w:cs="Calibri"/>
                <w:sz w:val="22"/>
                <w:szCs w:val="22"/>
              </w:rPr>
            </w:pPr>
            <w:r w:rsidRPr="00B3745D">
              <w:rPr>
                <w:rFonts w:cs="Calibri"/>
                <w:sz w:val="22"/>
                <w:szCs w:val="22"/>
              </w:rPr>
              <w:t xml:space="preserve">The </w:t>
            </w:r>
            <w:proofErr w:type="spellStart"/>
            <w:r w:rsidRPr="00B3745D">
              <w:rPr>
                <w:rFonts w:cs="Calibri"/>
                <w:sz w:val="22"/>
                <w:szCs w:val="22"/>
              </w:rPr>
              <w:t>RATTUAJ</w:t>
            </w:r>
            <w:proofErr w:type="spellEnd"/>
            <w:r w:rsidRPr="00B3745D">
              <w:rPr>
                <w:rFonts w:cs="Calibri"/>
                <w:sz w:val="22"/>
                <w:szCs w:val="22"/>
              </w:rPr>
              <w:t xml:space="preserve"> Placement must also:</w:t>
            </w:r>
          </w:p>
          <w:p w14:paraId="58899F36" w14:textId="77777777" w:rsidR="00507EA0" w:rsidRPr="00B3745D" w:rsidRDefault="00507EA0" w:rsidP="00507EA0">
            <w:pPr>
              <w:numPr>
                <w:ilvl w:val="0"/>
                <w:numId w:val="25"/>
              </w:numPr>
              <w:spacing w:before="120" w:after="120"/>
              <w:contextualSpacing/>
              <w:rPr>
                <w:rFonts w:cs="Calibri"/>
                <w:sz w:val="22"/>
                <w:szCs w:val="22"/>
              </w:rPr>
            </w:pPr>
            <w:r w:rsidRPr="00B3745D">
              <w:rPr>
                <w:rFonts w:cs="Calibri"/>
                <w:sz w:val="22"/>
                <w:szCs w:val="22"/>
              </w:rPr>
              <w:t>be for more than six months;</w:t>
            </w:r>
          </w:p>
          <w:p w14:paraId="32ADC05F" w14:textId="77777777" w:rsidR="00507EA0" w:rsidRPr="00B3745D" w:rsidRDefault="00507EA0" w:rsidP="00507EA0">
            <w:pPr>
              <w:numPr>
                <w:ilvl w:val="0"/>
                <w:numId w:val="25"/>
              </w:numPr>
              <w:spacing w:before="120" w:after="120"/>
              <w:contextualSpacing/>
              <w:rPr>
                <w:rFonts w:cs="Calibri"/>
                <w:sz w:val="22"/>
                <w:szCs w:val="22"/>
              </w:rPr>
            </w:pPr>
            <w:r w:rsidRPr="00B3745D">
              <w:rPr>
                <w:rFonts w:cs="Calibri"/>
                <w:sz w:val="22"/>
                <w:szCs w:val="22"/>
              </w:rPr>
              <w:t>at a minimum, pay remuneration in accordance with the relevant award;</w:t>
            </w:r>
          </w:p>
          <w:p w14:paraId="4EB9C99D" w14:textId="77777777" w:rsidR="00507EA0" w:rsidRPr="00B3745D" w:rsidRDefault="00507EA0" w:rsidP="00507EA0">
            <w:pPr>
              <w:numPr>
                <w:ilvl w:val="0"/>
                <w:numId w:val="25"/>
              </w:numPr>
              <w:spacing w:before="120" w:after="120"/>
              <w:contextualSpacing/>
              <w:rPr>
                <w:rFonts w:cs="Calibri"/>
                <w:sz w:val="22"/>
                <w:szCs w:val="22"/>
              </w:rPr>
            </w:pPr>
            <w:r w:rsidRPr="00B3745D">
              <w:rPr>
                <w:rFonts w:cs="Calibri"/>
                <w:sz w:val="22"/>
                <w:szCs w:val="22"/>
              </w:rPr>
              <w:t xml:space="preserve">start within eight weeks of the </w:t>
            </w:r>
            <w:proofErr w:type="spellStart"/>
            <w:r w:rsidRPr="00B3745D">
              <w:rPr>
                <w:rFonts w:cs="Calibri"/>
                <w:sz w:val="22"/>
                <w:szCs w:val="22"/>
              </w:rPr>
              <w:t>RATTUAJ</w:t>
            </w:r>
            <w:proofErr w:type="spellEnd"/>
            <w:r w:rsidRPr="00B3745D">
              <w:rPr>
                <w:rFonts w:cs="Calibri"/>
                <w:sz w:val="22"/>
                <w:szCs w:val="22"/>
              </w:rPr>
              <w:t xml:space="preserve"> Agreement commencement date in </w:t>
            </w:r>
            <w:proofErr w:type="spellStart"/>
            <w:r w:rsidRPr="00B3745D">
              <w:rPr>
                <w:rFonts w:cs="Calibri"/>
                <w:sz w:val="22"/>
                <w:szCs w:val="22"/>
              </w:rPr>
              <w:t>ESSWeb</w:t>
            </w:r>
            <w:proofErr w:type="spellEnd"/>
            <w:r w:rsidRPr="00B3745D">
              <w:rPr>
                <w:rFonts w:cs="Calibri"/>
                <w:sz w:val="22"/>
                <w:szCs w:val="22"/>
              </w:rPr>
              <w:t>;</w:t>
            </w:r>
          </w:p>
          <w:p w14:paraId="4878625A" w14:textId="77777777" w:rsidR="00507EA0" w:rsidRPr="00B3745D" w:rsidRDefault="00507EA0" w:rsidP="00507EA0">
            <w:pPr>
              <w:numPr>
                <w:ilvl w:val="0"/>
                <w:numId w:val="25"/>
              </w:numPr>
              <w:spacing w:before="120" w:after="120"/>
              <w:contextualSpacing/>
              <w:rPr>
                <w:rFonts w:cs="Calibri"/>
                <w:sz w:val="22"/>
                <w:szCs w:val="22"/>
              </w:rPr>
            </w:pPr>
            <w:r w:rsidRPr="00B3745D">
              <w:rPr>
                <w:rFonts w:cs="Calibri"/>
                <w:sz w:val="22"/>
                <w:szCs w:val="22"/>
              </w:rPr>
              <w:t>be lodged in the Department’s IT Systems;</w:t>
            </w:r>
          </w:p>
          <w:p w14:paraId="4D61FA20" w14:textId="77777777" w:rsidR="00507EA0" w:rsidRPr="00B3745D" w:rsidRDefault="00507EA0" w:rsidP="00507EA0">
            <w:pPr>
              <w:numPr>
                <w:ilvl w:val="0"/>
                <w:numId w:val="25"/>
              </w:numPr>
              <w:spacing w:before="120" w:after="120"/>
              <w:contextualSpacing/>
              <w:rPr>
                <w:rFonts w:cs="Calibri"/>
                <w:sz w:val="22"/>
                <w:szCs w:val="22"/>
              </w:rPr>
            </w:pPr>
            <w:r w:rsidRPr="00B3745D">
              <w:rPr>
                <w:rFonts w:cs="Calibri"/>
                <w:sz w:val="22"/>
                <w:szCs w:val="22"/>
              </w:rPr>
              <w:t>not be a Non-Payable Outcome or self-employment; and</w:t>
            </w:r>
          </w:p>
          <w:p w14:paraId="42C578E3" w14:textId="77777777" w:rsidR="00507EA0" w:rsidRPr="00B3745D" w:rsidRDefault="00507EA0" w:rsidP="00507EA0">
            <w:pPr>
              <w:spacing w:before="120" w:after="120"/>
              <w:ind w:left="720"/>
              <w:contextualSpacing/>
              <w:rPr>
                <w:rFonts w:cs="Calibri"/>
                <w:sz w:val="22"/>
                <w:szCs w:val="22"/>
              </w:rPr>
            </w:pPr>
            <w:r w:rsidRPr="00B3745D">
              <w:rPr>
                <w:rFonts w:cs="Calibri"/>
                <w:sz w:val="22"/>
                <w:szCs w:val="22"/>
              </w:rPr>
              <w:t>be open employment that is:</w:t>
            </w:r>
          </w:p>
          <w:p w14:paraId="2CBB7F72" w14:textId="77777777" w:rsidR="00507EA0" w:rsidRPr="00B3745D" w:rsidRDefault="00507EA0" w:rsidP="00507EA0">
            <w:pPr>
              <w:numPr>
                <w:ilvl w:val="1"/>
                <w:numId w:val="25"/>
              </w:numPr>
              <w:spacing w:before="120" w:after="120"/>
              <w:contextualSpacing/>
              <w:rPr>
                <w:rFonts w:cs="Calibri"/>
                <w:sz w:val="22"/>
                <w:szCs w:val="22"/>
              </w:rPr>
            </w:pPr>
            <w:r w:rsidRPr="00B3745D">
              <w:rPr>
                <w:rFonts w:cs="Calibri"/>
                <w:sz w:val="22"/>
                <w:szCs w:val="22"/>
              </w:rPr>
              <w:t>a full-time position (30+ hours per week); or</w:t>
            </w:r>
          </w:p>
          <w:p w14:paraId="3015103B" w14:textId="77777777" w:rsidR="00507EA0" w:rsidRPr="00B3745D" w:rsidRDefault="00507EA0" w:rsidP="00507EA0">
            <w:pPr>
              <w:numPr>
                <w:ilvl w:val="1"/>
                <w:numId w:val="25"/>
              </w:numPr>
              <w:spacing w:before="120" w:after="120"/>
              <w:ind w:left="1434" w:hanging="357"/>
              <w:rPr>
                <w:rFonts w:cs="Calibri"/>
                <w:sz w:val="22"/>
                <w:szCs w:val="22"/>
              </w:rPr>
            </w:pPr>
            <w:r w:rsidRPr="00B3745D">
              <w:rPr>
                <w:rFonts w:cs="Calibri"/>
                <w:sz w:val="22"/>
                <w:szCs w:val="22"/>
              </w:rPr>
              <w:t xml:space="preserve">for a Participant with a </w:t>
            </w:r>
            <w:r w:rsidRPr="00B3745D">
              <w:rPr>
                <w:sz w:val="22"/>
                <w:szCs w:val="22"/>
              </w:rPr>
              <w:t>Partial Capacity to Work (</w:t>
            </w:r>
            <w:proofErr w:type="spellStart"/>
            <w:r w:rsidRPr="00B3745D">
              <w:rPr>
                <w:sz w:val="22"/>
                <w:szCs w:val="22"/>
              </w:rPr>
              <w:t>PCW</w:t>
            </w:r>
            <w:proofErr w:type="spellEnd"/>
            <w:r w:rsidRPr="00B3745D">
              <w:rPr>
                <w:sz w:val="22"/>
                <w:szCs w:val="22"/>
              </w:rPr>
              <w:t>)</w:t>
            </w:r>
            <w:r w:rsidRPr="00B3745D">
              <w:rPr>
                <w:rFonts w:cs="Calibri"/>
                <w:sz w:val="22"/>
                <w:szCs w:val="22"/>
              </w:rPr>
              <w:t xml:space="preserve"> who can choose to work above their </w:t>
            </w:r>
            <w:proofErr w:type="spellStart"/>
            <w:r w:rsidRPr="00B3745D">
              <w:rPr>
                <w:rFonts w:cs="Calibri"/>
                <w:sz w:val="22"/>
                <w:szCs w:val="22"/>
              </w:rPr>
              <w:t>PCW</w:t>
            </w:r>
            <w:proofErr w:type="spellEnd"/>
            <w:r w:rsidRPr="00B3745D">
              <w:rPr>
                <w:rFonts w:cs="Calibri"/>
                <w:sz w:val="22"/>
                <w:szCs w:val="22"/>
              </w:rPr>
              <w:t xml:space="preserve"> hours (however the placement must be a minimum of 15 hours a week).</w:t>
            </w:r>
          </w:p>
          <w:p w14:paraId="4F9DFE27" w14:textId="331C7CC7" w:rsidR="006C091C" w:rsidRPr="00372A58" w:rsidRDefault="00507EA0" w:rsidP="00507EA0">
            <w:pPr>
              <w:pStyle w:val="Level2NumberBullet"/>
              <w:numPr>
                <w:ilvl w:val="0"/>
                <w:numId w:val="0"/>
              </w:numPr>
              <w:ind w:left="66"/>
              <w:rPr>
                <w:b/>
                <w:sz w:val="24"/>
              </w:rPr>
            </w:pPr>
            <w:r w:rsidRPr="00B3745D">
              <w:rPr>
                <w:rFonts w:cs="Calibri"/>
                <w:szCs w:val="22"/>
              </w:rPr>
              <w:t xml:space="preserve">Where a short paid or unpaid </w:t>
            </w:r>
            <w:r w:rsidRPr="00B3745D">
              <w:rPr>
                <w:szCs w:val="22"/>
              </w:rPr>
              <w:t>Work Trial</w:t>
            </w:r>
            <w:r w:rsidRPr="00B3745D">
              <w:rPr>
                <w:rFonts w:cs="Calibri"/>
                <w:szCs w:val="22"/>
              </w:rPr>
              <w:t xml:space="preserve"> has occurred, negotiations for a </w:t>
            </w:r>
            <w:proofErr w:type="spellStart"/>
            <w:r w:rsidRPr="00B3745D">
              <w:rPr>
                <w:rFonts w:cs="Calibri"/>
                <w:szCs w:val="22"/>
              </w:rPr>
              <w:t>RATTUAJ</w:t>
            </w:r>
            <w:proofErr w:type="spellEnd"/>
            <w:r w:rsidRPr="00B3745D">
              <w:rPr>
                <w:rFonts w:cs="Calibri"/>
                <w:szCs w:val="22"/>
              </w:rPr>
              <w:t xml:space="preserve"> Placement </w:t>
            </w:r>
            <w:r w:rsidRPr="00B3745D">
              <w:rPr>
                <w:szCs w:val="22"/>
              </w:rPr>
              <w:t xml:space="preserve">should occur before the Work Trial commences. </w:t>
            </w:r>
            <w:proofErr w:type="spellStart"/>
            <w:r w:rsidRPr="00B3745D">
              <w:rPr>
                <w:szCs w:val="22"/>
              </w:rPr>
              <w:t>RATTUAJ</w:t>
            </w:r>
            <w:proofErr w:type="spellEnd"/>
            <w:r w:rsidRPr="00B3745D">
              <w:rPr>
                <w:szCs w:val="22"/>
              </w:rPr>
              <w:t xml:space="preserve"> financial assistance must only be provided once the Participant receives an offer of ongoing Employment.</w:t>
            </w:r>
          </w:p>
        </w:tc>
      </w:tr>
      <w:tr w:rsidR="009126DF" w:rsidRPr="00372A58" w14:paraId="1E349F82" w14:textId="77777777" w:rsidTr="00980F91">
        <w:trPr>
          <w:jc w:val="center"/>
        </w:trPr>
        <w:tc>
          <w:tcPr>
            <w:tcW w:w="3598" w:type="dxa"/>
          </w:tcPr>
          <w:p w14:paraId="0EBFF883" w14:textId="77777777" w:rsidR="0077371E" w:rsidRDefault="0077371E" w:rsidP="0077371E">
            <w:pPr>
              <w:spacing w:after="240"/>
              <w:rPr>
                <w:b/>
                <w:sz w:val="22"/>
                <w:szCs w:val="22"/>
              </w:rPr>
            </w:pPr>
            <w:r>
              <w:rPr>
                <w:b/>
                <w:sz w:val="22"/>
                <w:szCs w:val="22"/>
              </w:rPr>
              <w:lastRenderedPageBreak/>
              <w:t>5. The Provider</w:t>
            </w:r>
          </w:p>
          <w:p w14:paraId="59AF4F11" w14:textId="590E2576" w:rsidR="0072796D" w:rsidRPr="007758E6" w:rsidRDefault="0072796D" w:rsidP="0077371E">
            <w:pPr>
              <w:spacing w:after="240"/>
              <w:rPr>
                <w:b/>
                <w:sz w:val="22"/>
                <w:szCs w:val="22"/>
              </w:rPr>
            </w:pPr>
            <w:r w:rsidRPr="007758E6">
              <w:rPr>
                <w:b/>
                <w:sz w:val="22"/>
                <w:szCs w:val="22"/>
              </w:rPr>
              <w:t>Amount of relocation assistance</w:t>
            </w:r>
          </w:p>
          <w:p w14:paraId="054257C7" w14:textId="4DDEF707" w:rsidR="0072796D" w:rsidRPr="00B3745D" w:rsidRDefault="00285BEF" w:rsidP="0077371E">
            <w:pPr>
              <w:rPr>
                <w:rFonts w:asciiTheme="minorHAnsi" w:hAnsiTheme="minorHAnsi" w:cstheme="minorHAnsi"/>
                <w:i/>
                <w:sz w:val="22"/>
                <w:szCs w:val="22"/>
              </w:rPr>
            </w:pPr>
            <w:r w:rsidRPr="007758E6">
              <w:rPr>
                <w:i/>
                <w:sz w:val="22"/>
                <w:szCs w:val="22"/>
              </w:rPr>
              <w:t>Disab</w:t>
            </w:r>
            <w:r>
              <w:rPr>
                <w:i/>
                <w:sz w:val="22"/>
                <w:szCs w:val="22"/>
              </w:rPr>
              <w:t>ility Employment Services</w:t>
            </w:r>
            <w:r w:rsidRPr="007758E6">
              <w:rPr>
                <w:i/>
                <w:sz w:val="22"/>
                <w:szCs w:val="22"/>
              </w:rPr>
              <w:t xml:space="preserve"> </w:t>
            </w:r>
            <w:r w:rsidR="0072796D" w:rsidRPr="00B3745D">
              <w:rPr>
                <w:rFonts w:asciiTheme="minorHAnsi" w:hAnsiTheme="minorHAnsi" w:cstheme="minorHAnsi"/>
                <w:bCs/>
                <w:i/>
                <w:sz w:val="22"/>
                <w:szCs w:val="22"/>
              </w:rPr>
              <w:t xml:space="preserve">Grant Agreement </w:t>
            </w:r>
            <w:r w:rsidR="0072796D" w:rsidRPr="001B164B">
              <w:rPr>
                <w:rFonts w:asciiTheme="minorHAnsi" w:hAnsiTheme="minorHAnsi" w:cstheme="minorHAnsi"/>
                <w:bCs/>
                <w:i/>
                <w:sz w:val="22"/>
                <w:szCs w:val="22"/>
              </w:rPr>
              <w:t>Clauses</w:t>
            </w:r>
            <w:r w:rsidR="0072796D" w:rsidRPr="001B164B">
              <w:rPr>
                <w:rFonts w:asciiTheme="minorHAnsi" w:hAnsiTheme="minorHAnsi" w:cstheme="minorHAnsi"/>
                <w:i/>
                <w:sz w:val="22"/>
                <w:szCs w:val="22"/>
              </w:rPr>
              <w:t xml:space="preserve"> References:</w:t>
            </w:r>
          </w:p>
          <w:p w14:paraId="5D2E32E6" w14:textId="77777777" w:rsidR="0072796D" w:rsidRPr="00E11DF2" w:rsidRDefault="0072796D" w:rsidP="00E11DF2">
            <w:pPr>
              <w:pStyle w:val="ListParagraph"/>
              <w:numPr>
                <w:ilvl w:val="0"/>
                <w:numId w:val="49"/>
              </w:numPr>
              <w:rPr>
                <w:rFonts w:asciiTheme="minorHAnsi" w:hAnsiTheme="minorHAnsi" w:cstheme="minorHAnsi"/>
              </w:rPr>
            </w:pPr>
            <w:r w:rsidRPr="00E11DF2">
              <w:rPr>
                <w:rFonts w:asciiTheme="minorHAnsi" w:hAnsiTheme="minorHAnsi" w:cstheme="minorHAnsi"/>
              </w:rPr>
              <w:t>Clause 157</w:t>
            </w:r>
          </w:p>
          <w:p w14:paraId="506397F1" w14:textId="77777777" w:rsidR="0072796D" w:rsidRPr="00E11DF2" w:rsidRDefault="0072796D" w:rsidP="00E11DF2">
            <w:pPr>
              <w:pStyle w:val="ListParagraph"/>
              <w:numPr>
                <w:ilvl w:val="0"/>
                <w:numId w:val="49"/>
              </w:numPr>
              <w:rPr>
                <w:rFonts w:asciiTheme="minorHAnsi" w:hAnsiTheme="minorHAnsi" w:cstheme="minorHAnsi"/>
              </w:rPr>
            </w:pPr>
            <w:r w:rsidRPr="00E11DF2">
              <w:rPr>
                <w:rFonts w:asciiTheme="minorHAnsi" w:hAnsiTheme="minorHAnsi" w:cstheme="minorHAnsi"/>
              </w:rPr>
              <w:t xml:space="preserve">Annexure </w:t>
            </w:r>
            <w:proofErr w:type="spellStart"/>
            <w:r w:rsidRPr="00E11DF2">
              <w:rPr>
                <w:rFonts w:asciiTheme="minorHAnsi" w:hAnsiTheme="minorHAnsi" w:cstheme="minorHAnsi"/>
              </w:rPr>
              <w:t>B3</w:t>
            </w:r>
            <w:proofErr w:type="spellEnd"/>
          </w:p>
          <w:p w14:paraId="59D21C7A" w14:textId="77777777" w:rsidR="009126DF" w:rsidRPr="00372A58" w:rsidRDefault="009126DF" w:rsidP="00980F91">
            <w:pPr>
              <w:pStyle w:val="TableNumberedleftbold"/>
              <w:rPr>
                <w:szCs w:val="24"/>
              </w:rPr>
            </w:pPr>
          </w:p>
        </w:tc>
        <w:tc>
          <w:tcPr>
            <w:tcW w:w="6783" w:type="dxa"/>
          </w:tcPr>
          <w:p w14:paraId="22BB8A87" w14:textId="77777777" w:rsidR="0072796D" w:rsidRPr="00B3745D" w:rsidRDefault="0072796D" w:rsidP="0072796D">
            <w:pPr>
              <w:tabs>
                <w:tab w:val="left" w:pos="0"/>
              </w:tabs>
              <w:spacing w:after="120"/>
              <w:rPr>
                <w:sz w:val="22"/>
                <w:szCs w:val="22"/>
              </w:rPr>
            </w:pPr>
            <w:r w:rsidRPr="00B3745D">
              <w:rPr>
                <w:rFonts w:asciiTheme="minorHAnsi" w:hAnsiTheme="minorHAnsi" w:cstheme="minorHAnsi"/>
                <w:sz w:val="22"/>
                <w:szCs w:val="22"/>
              </w:rPr>
              <w:t>Eligible Participants can</w:t>
            </w:r>
            <w:r w:rsidRPr="00B3745D" w:rsidDel="003A0686">
              <w:rPr>
                <w:rFonts w:asciiTheme="minorHAnsi" w:hAnsiTheme="minorHAnsi" w:cstheme="minorHAnsi"/>
                <w:sz w:val="22"/>
                <w:szCs w:val="22"/>
              </w:rPr>
              <w:t xml:space="preserve"> be </w:t>
            </w:r>
            <w:r w:rsidRPr="00B3745D">
              <w:rPr>
                <w:rFonts w:asciiTheme="minorHAnsi" w:hAnsiTheme="minorHAnsi" w:cstheme="minorHAnsi"/>
                <w:sz w:val="22"/>
                <w:szCs w:val="22"/>
              </w:rPr>
              <w:t>reimbursed up to:</w:t>
            </w:r>
          </w:p>
          <w:p w14:paraId="0FBE1C36" w14:textId="77777777" w:rsidR="0072796D" w:rsidRPr="00B3745D" w:rsidRDefault="0072796D" w:rsidP="0072796D">
            <w:pPr>
              <w:numPr>
                <w:ilvl w:val="0"/>
                <w:numId w:val="25"/>
              </w:numPr>
              <w:spacing w:before="120" w:after="120"/>
              <w:contextualSpacing/>
              <w:rPr>
                <w:rFonts w:cs="Calibri"/>
                <w:sz w:val="22"/>
                <w:szCs w:val="22"/>
              </w:rPr>
            </w:pPr>
            <w:r w:rsidRPr="00B3745D">
              <w:rPr>
                <w:rFonts w:asciiTheme="minorHAnsi" w:hAnsiTheme="minorHAnsi" w:cstheme="minorHAnsi"/>
                <w:sz w:val="22"/>
                <w:szCs w:val="22"/>
              </w:rPr>
              <w:t xml:space="preserve">$3000 (GST exclusive) if </w:t>
            </w:r>
            <w:r w:rsidRPr="00B3745D">
              <w:rPr>
                <w:rFonts w:cs="Calibri"/>
                <w:sz w:val="22"/>
                <w:szCs w:val="22"/>
              </w:rPr>
              <w:t>relocating to a capital city;</w:t>
            </w:r>
          </w:p>
          <w:p w14:paraId="0B4CFBD1" w14:textId="77777777" w:rsidR="0072796D" w:rsidRPr="00B3745D" w:rsidDel="00003AA1" w:rsidRDefault="0072796D" w:rsidP="0072796D">
            <w:pPr>
              <w:numPr>
                <w:ilvl w:val="0"/>
                <w:numId w:val="25"/>
              </w:numPr>
              <w:spacing w:before="120" w:after="120"/>
              <w:contextualSpacing/>
              <w:rPr>
                <w:rFonts w:cs="Calibri"/>
                <w:sz w:val="22"/>
                <w:szCs w:val="22"/>
              </w:rPr>
            </w:pPr>
            <w:r w:rsidRPr="00B3745D">
              <w:rPr>
                <w:rFonts w:cs="Calibri"/>
                <w:sz w:val="22"/>
                <w:szCs w:val="22"/>
              </w:rPr>
              <w:t xml:space="preserve">$6000 (GST exclusive) if relocating to a regional area; </w:t>
            </w:r>
          </w:p>
          <w:p w14:paraId="23653D3F" w14:textId="77777777" w:rsidR="0072796D" w:rsidRPr="00B3745D" w:rsidRDefault="0072796D" w:rsidP="0072796D">
            <w:pPr>
              <w:numPr>
                <w:ilvl w:val="0"/>
                <w:numId w:val="25"/>
              </w:numPr>
              <w:spacing w:before="120" w:after="120"/>
              <w:contextualSpacing/>
              <w:rPr>
                <w:rFonts w:asciiTheme="minorHAnsi" w:hAnsiTheme="minorHAnsi" w:cstheme="minorHAnsi"/>
                <w:sz w:val="22"/>
                <w:szCs w:val="22"/>
              </w:rPr>
            </w:pPr>
            <w:r w:rsidRPr="00B3745D">
              <w:rPr>
                <w:rFonts w:cs="Calibri"/>
                <w:sz w:val="22"/>
                <w:szCs w:val="22"/>
              </w:rPr>
              <w:t>an extra $3000 (GST exclusive</w:t>
            </w:r>
            <w:r w:rsidRPr="00B3745D">
              <w:rPr>
                <w:rFonts w:asciiTheme="minorHAnsi" w:hAnsiTheme="minorHAnsi" w:cstheme="minorHAnsi"/>
                <w:sz w:val="22"/>
                <w:szCs w:val="22"/>
              </w:rPr>
              <w:t>) if relocating with dependent child/children.</w:t>
            </w:r>
          </w:p>
          <w:p w14:paraId="6C9B55BA" w14:textId="77777777" w:rsidR="009126DF" w:rsidRPr="00372A58" w:rsidRDefault="009126DF" w:rsidP="004F62B1">
            <w:pPr>
              <w:pStyle w:val="Level2NumberBullet"/>
              <w:numPr>
                <w:ilvl w:val="0"/>
                <w:numId w:val="0"/>
              </w:numPr>
              <w:ind w:left="1440" w:hanging="360"/>
              <w:rPr>
                <w:b/>
                <w:sz w:val="24"/>
              </w:rPr>
            </w:pPr>
          </w:p>
        </w:tc>
      </w:tr>
      <w:tr w:rsidR="00772DD4" w:rsidRPr="00372A58" w14:paraId="6BA9CE89" w14:textId="77777777" w:rsidTr="00980F91">
        <w:trPr>
          <w:jc w:val="center"/>
        </w:trPr>
        <w:tc>
          <w:tcPr>
            <w:tcW w:w="3598" w:type="dxa"/>
          </w:tcPr>
          <w:p w14:paraId="52E96686" w14:textId="77777777" w:rsidR="00387687" w:rsidRDefault="00387687" w:rsidP="00387687">
            <w:pPr>
              <w:spacing w:after="240"/>
              <w:rPr>
                <w:b/>
                <w:sz w:val="22"/>
                <w:szCs w:val="22"/>
              </w:rPr>
            </w:pPr>
            <w:r>
              <w:rPr>
                <w:b/>
                <w:sz w:val="22"/>
                <w:szCs w:val="22"/>
              </w:rPr>
              <w:t>6. The Provider</w:t>
            </w:r>
          </w:p>
          <w:p w14:paraId="56272AD1" w14:textId="03078797" w:rsidR="00772DD4" w:rsidRPr="007758E6" w:rsidRDefault="00772DD4" w:rsidP="00772DD4">
            <w:pPr>
              <w:rPr>
                <w:b/>
                <w:sz w:val="22"/>
                <w:szCs w:val="22"/>
              </w:rPr>
            </w:pPr>
            <w:r w:rsidRPr="007758E6">
              <w:rPr>
                <w:b/>
                <w:sz w:val="22"/>
                <w:szCs w:val="22"/>
              </w:rPr>
              <w:t>Dependent child/</w:t>
            </w:r>
          </w:p>
          <w:p w14:paraId="4226CE24" w14:textId="37A26F44" w:rsidR="00772DD4" w:rsidRPr="00372A58" w:rsidRDefault="00772DD4" w:rsidP="00772DD4">
            <w:pPr>
              <w:pStyle w:val="TableNumberedleftbold"/>
              <w:rPr>
                <w:szCs w:val="24"/>
              </w:rPr>
            </w:pPr>
            <w:r w:rsidRPr="007758E6">
              <w:rPr>
                <w:sz w:val="22"/>
              </w:rPr>
              <w:t>children</w:t>
            </w:r>
          </w:p>
        </w:tc>
        <w:tc>
          <w:tcPr>
            <w:tcW w:w="6783" w:type="dxa"/>
          </w:tcPr>
          <w:p w14:paraId="770A052F" w14:textId="77777777" w:rsidR="00772DD4" w:rsidRPr="00B21E5B" w:rsidRDefault="00772DD4" w:rsidP="00772DD4">
            <w:pPr>
              <w:spacing w:after="120"/>
              <w:rPr>
                <w:rFonts w:asciiTheme="minorHAnsi" w:hAnsiTheme="minorHAnsi" w:cstheme="minorHAnsi"/>
                <w:sz w:val="22"/>
                <w:szCs w:val="22"/>
              </w:rPr>
            </w:pPr>
            <w:r w:rsidRPr="00B21E5B">
              <w:rPr>
                <w:rFonts w:asciiTheme="minorHAnsi" w:hAnsiTheme="minorHAnsi" w:cstheme="minorHAnsi"/>
                <w:sz w:val="22"/>
                <w:szCs w:val="22"/>
              </w:rPr>
              <w:t>A dependent child is:</w:t>
            </w:r>
          </w:p>
          <w:p w14:paraId="5675D7DB" w14:textId="77777777" w:rsidR="00772DD4" w:rsidRPr="00B21E5B" w:rsidRDefault="00772DD4" w:rsidP="00772DD4">
            <w:pPr>
              <w:numPr>
                <w:ilvl w:val="0"/>
                <w:numId w:val="25"/>
              </w:numPr>
              <w:spacing w:before="120" w:after="120"/>
              <w:contextualSpacing/>
              <w:rPr>
                <w:rFonts w:cs="Calibri"/>
                <w:sz w:val="22"/>
                <w:szCs w:val="22"/>
              </w:rPr>
            </w:pPr>
            <w:r w:rsidRPr="00B21E5B">
              <w:rPr>
                <w:rFonts w:asciiTheme="minorHAnsi" w:hAnsiTheme="minorHAnsi" w:cstheme="minorHAnsi"/>
                <w:sz w:val="22"/>
                <w:szCs w:val="22"/>
              </w:rPr>
              <w:t xml:space="preserve">under 24 </w:t>
            </w:r>
            <w:r w:rsidRPr="00B21E5B">
              <w:rPr>
                <w:rFonts w:cs="Calibri"/>
                <w:sz w:val="22"/>
                <w:szCs w:val="22"/>
              </w:rPr>
              <w:t xml:space="preserve">years of age </w:t>
            </w:r>
          </w:p>
          <w:p w14:paraId="01E6C919" w14:textId="77777777" w:rsidR="00772DD4" w:rsidRPr="00B21E5B" w:rsidRDefault="00772DD4" w:rsidP="00772DD4">
            <w:pPr>
              <w:numPr>
                <w:ilvl w:val="0"/>
                <w:numId w:val="25"/>
              </w:numPr>
              <w:spacing w:before="120" w:after="120"/>
              <w:contextualSpacing/>
              <w:rPr>
                <w:rFonts w:cs="Calibri"/>
                <w:sz w:val="22"/>
                <w:szCs w:val="22"/>
              </w:rPr>
            </w:pPr>
            <w:r w:rsidRPr="00B21E5B">
              <w:rPr>
                <w:rFonts w:cs="Calibri"/>
                <w:sz w:val="22"/>
                <w:szCs w:val="22"/>
              </w:rPr>
              <w:t>financially dependent on the relocating Participant; and</w:t>
            </w:r>
          </w:p>
          <w:p w14:paraId="0DBD8413" w14:textId="0FDFEF53" w:rsidR="00772DD4" w:rsidRPr="00B21E5B" w:rsidRDefault="00772DD4" w:rsidP="00772DD4">
            <w:pPr>
              <w:numPr>
                <w:ilvl w:val="0"/>
                <w:numId w:val="25"/>
              </w:numPr>
              <w:spacing w:before="120" w:after="120"/>
              <w:ind w:left="714" w:hanging="357"/>
              <w:rPr>
                <w:rFonts w:asciiTheme="minorHAnsi" w:hAnsiTheme="minorHAnsi" w:cstheme="minorHAnsi"/>
                <w:sz w:val="22"/>
                <w:szCs w:val="22"/>
              </w:rPr>
            </w:pPr>
            <w:r w:rsidRPr="00B21E5B">
              <w:rPr>
                <w:rFonts w:cs="Calibri"/>
                <w:sz w:val="22"/>
                <w:szCs w:val="22"/>
              </w:rPr>
              <w:t>relocating to</w:t>
            </w:r>
            <w:r w:rsidRPr="00B21E5B">
              <w:rPr>
                <w:rFonts w:asciiTheme="minorHAnsi" w:hAnsiTheme="minorHAnsi" w:cstheme="minorHAnsi"/>
                <w:sz w:val="22"/>
                <w:szCs w:val="22"/>
              </w:rPr>
              <w:t xml:space="preserve"> live with the Participant</w:t>
            </w:r>
            <w:r w:rsidR="00010639">
              <w:rPr>
                <w:rFonts w:asciiTheme="minorHAnsi" w:hAnsiTheme="minorHAnsi" w:cstheme="minorHAnsi"/>
                <w:sz w:val="22"/>
                <w:szCs w:val="22"/>
              </w:rPr>
              <w:t>.</w:t>
            </w:r>
          </w:p>
          <w:p w14:paraId="3A808507" w14:textId="77777777" w:rsidR="00772DD4" w:rsidRPr="00B21E5B" w:rsidRDefault="00772DD4" w:rsidP="00772DD4">
            <w:pPr>
              <w:spacing w:after="120"/>
              <w:rPr>
                <w:rFonts w:asciiTheme="minorHAnsi" w:hAnsiTheme="minorHAnsi" w:cstheme="minorHAnsi"/>
                <w:sz w:val="22"/>
                <w:szCs w:val="22"/>
              </w:rPr>
            </w:pPr>
            <w:r w:rsidRPr="00B21E5B">
              <w:rPr>
                <w:rFonts w:asciiTheme="minorHAnsi" w:hAnsiTheme="minorHAnsi" w:cstheme="minorHAnsi"/>
                <w:sz w:val="22"/>
                <w:szCs w:val="22"/>
              </w:rPr>
              <w:t>Dependents do not include the job seeker’s sibling/s or parent/s.</w:t>
            </w:r>
          </w:p>
          <w:p w14:paraId="6F7C29E4" w14:textId="77777777" w:rsidR="00772DD4" w:rsidRPr="00B21E5B" w:rsidRDefault="00772DD4" w:rsidP="00772DD4">
            <w:pPr>
              <w:spacing w:after="120"/>
              <w:rPr>
                <w:rFonts w:asciiTheme="minorHAnsi" w:hAnsiTheme="minorHAnsi" w:cstheme="minorHAnsi"/>
                <w:sz w:val="22"/>
                <w:szCs w:val="22"/>
              </w:rPr>
            </w:pPr>
            <w:r w:rsidRPr="00B21E5B">
              <w:rPr>
                <w:rFonts w:asciiTheme="minorHAnsi" w:hAnsiTheme="minorHAnsi" w:cstheme="minorHAnsi"/>
                <w:sz w:val="22"/>
                <w:szCs w:val="22"/>
              </w:rPr>
              <w:t>The Participant must be:</w:t>
            </w:r>
          </w:p>
          <w:p w14:paraId="0960138E" w14:textId="77777777" w:rsidR="00772DD4" w:rsidRPr="00B21E5B" w:rsidRDefault="00772DD4" w:rsidP="00772DD4">
            <w:pPr>
              <w:numPr>
                <w:ilvl w:val="0"/>
                <w:numId w:val="25"/>
              </w:numPr>
              <w:spacing w:before="120" w:after="120"/>
              <w:contextualSpacing/>
              <w:rPr>
                <w:rFonts w:cs="Calibri"/>
                <w:sz w:val="22"/>
                <w:szCs w:val="22"/>
              </w:rPr>
            </w:pPr>
            <w:r w:rsidRPr="00B21E5B">
              <w:rPr>
                <w:rFonts w:asciiTheme="minorHAnsi" w:hAnsiTheme="minorHAnsi" w:cstheme="minorHAnsi"/>
                <w:sz w:val="22"/>
                <w:szCs w:val="22"/>
              </w:rPr>
              <w:t xml:space="preserve">a biological </w:t>
            </w:r>
            <w:r w:rsidRPr="00B21E5B">
              <w:rPr>
                <w:rFonts w:cs="Calibri"/>
                <w:sz w:val="22"/>
                <w:szCs w:val="22"/>
              </w:rPr>
              <w:t>parent or legal guardian of the dependent child; and</w:t>
            </w:r>
          </w:p>
          <w:p w14:paraId="45DAEEA6" w14:textId="77777777" w:rsidR="00772DD4" w:rsidRPr="00B21E5B" w:rsidRDefault="00772DD4" w:rsidP="00772DD4">
            <w:pPr>
              <w:numPr>
                <w:ilvl w:val="0"/>
                <w:numId w:val="25"/>
              </w:numPr>
              <w:spacing w:before="120" w:after="120"/>
              <w:contextualSpacing/>
              <w:rPr>
                <w:rFonts w:cs="Calibri"/>
                <w:sz w:val="22"/>
                <w:szCs w:val="22"/>
              </w:rPr>
            </w:pPr>
            <w:r w:rsidRPr="00B21E5B">
              <w:rPr>
                <w:rFonts w:cs="Calibri"/>
                <w:sz w:val="22"/>
                <w:szCs w:val="22"/>
              </w:rPr>
              <w:t>in receipt of Australian Government payment including:</w:t>
            </w:r>
          </w:p>
          <w:p w14:paraId="7B023BC1" w14:textId="77777777" w:rsidR="00772DD4" w:rsidRPr="00B21E5B" w:rsidRDefault="00772DD4" w:rsidP="00772DD4">
            <w:pPr>
              <w:numPr>
                <w:ilvl w:val="1"/>
                <w:numId w:val="25"/>
              </w:numPr>
              <w:spacing w:before="120" w:after="120"/>
              <w:contextualSpacing/>
              <w:rPr>
                <w:rFonts w:cs="Calibri"/>
                <w:sz w:val="22"/>
                <w:szCs w:val="22"/>
              </w:rPr>
            </w:pPr>
            <w:r w:rsidRPr="00B21E5B">
              <w:rPr>
                <w:rFonts w:cs="Calibri"/>
                <w:sz w:val="22"/>
                <w:szCs w:val="22"/>
              </w:rPr>
              <w:t>Parenting Payment;</w:t>
            </w:r>
          </w:p>
          <w:p w14:paraId="1FBB5912" w14:textId="77777777" w:rsidR="00772DD4" w:rsidRPr="00B21E5B" w:rsidRDefault="00772DD4" w:rsidP="00772DD4">
            <w:pPr>
              <w:numPr>
                <w:ilvl w:val="1"/>
                <w:numId w:val="25"/>
              </w:numPr>
              <w:spacing w:before="120" w:after="120"/>
              <w:contextualSpacing/>
              <w:rPr>
                <w:rFonts w:cs="Calibri"/>
                <w:sz w:val="22"/>
                <w:szCs w:val="22"/>
              </w:rPr>
            </w:pPr>
            <w:proofErr w:type="spellStart"/>
            <w:r w:rsidRPr="00B21E5B">
              <w:rPr>
                <w:rFonts w:cs="Calibri"/>
                <w:sz w:val="22"/>
                <w:szCs w:val="22"/>
              </w:rPr>
              <w:t>Newstart</w:t>
            </w:r>
            <w:proofErr w:type="spellEnd"/>
            <w:r w:rsidRPr="00B21E5B">
              <w:rPr>
                <w:rFonts w:cs="Calibri"/>
                <w:sz w:val="22"/>
                <w:szCs w:val="22"/>
              </w:rPr>
              <w:t xml:space="preserve"> Allowance;</w:t>
            </w:r>
          </w:p>
          <w:p w14:paraId="7154C80D" w14:textId="77777777" w:rsidR="00772DD4" w:rsidRPr="00B21E5B" w:rsidRDefault="00772DD4" w:rsidP="00772DD4">
            <w:pPr>
              <w:numPr>
                <w:ilvl w:val="1"/>
                <w:numId w:val="25"/>
              </w:numPr>
              <w:spacing w:before="120" w:after="120"/>
              <w:contextualSpacing/>
              <w:rPr>
                <w:rFonts w:cs="Calibri"/>
                <w:sz w:val="22"/>
                <w:szCs w:val="22"/>
              </w:rPr>
            </w:pPr>
            <w:r w:rsidRPr="00B21E5B">
              <w:rPr>
                <w:rFonts w:cs="Calibri"/>
                <w:sz w:val="22"/>
                <w:szCs w:val="22"/>
              </w:rPr>
              <w:t>Family Tax Benefit; or</w:t>
            </w:r>
          </w:p>
          <w:p w14:paraId="5C8B839F" w14:textId="77777777" w:rsidR="00772DD4" w:rsidRPr="00B21E5B" w:rsidRDefault="00772DD4" w:rsidP="00772DD4">
            <w:pPr>
              <w:numPr>
                <w:ilvl w:val="1"/>
                <w:numId w:val="25"/>
              </w:numPr>
              <w:spacing w:before="120" w:after="120"/>
              <w:ind w:left="1434" w:hanging="357"/>
              <w:rPr>
                <w:rFonts w:cs="Calibri"/>
                <w:sz w:val="22"/>
                <w:szCs w:val="22"/>
              </w:rPr>
            </w:pPr>
            <w:r w:rsidRPr="00B21E5B">
              <w:rPr>
                <w:rFonts w:cs="Calibri"/>
                <w:sz w:val="22"/>
                <w:szCs w:val="22"/>
              </w:rPr>
              <w:t>Childcare Rebate.</w:t>
            </w:r>
          </w:p>
          <w:p w14:paraId="6F454FFD" w14:textId="77777777" w:rsidR="00772DD4" w:rsidRPr="00B21E5B" w:rsidRDefault="00772DD4" w:rsidP="00772DD4">
            <w:pPr>
              <w:spacing w:before="120"/>
              <w:rPr>
                <w:rFonts w:cs="Calibri"/>
                <w:sz w:val="22"/>
                <w:szCs w:val="22"/>
              </w:rPr>
            </w:pPr>
            <w:r w:rsidRPr="00B21E5B">
              <w:rPr>
                <w:rFonts w:cs="Calibri"/>
                <w:sz w:val="22"/>
                <w:szCs w:val="22"/>
              </w:rPr>
              <w:t xml:space="preserve">DES Providers must obtain sufficient Documentary Evidence as outlined in the </w:t>
            </w:r>
            <w:r w:rsidRPr="00B21E5B">
              <w:rPr>
                <w:sz w:val="22"/>
                <w:szCs w:val="22"/>
              </w:rPr>
              <w:t>Documentary Evidence Guidelines</w:t>
            </w:r>
            <w:r w:rsidRPr="00B21E5B">
              <w:rPr>
                <w:rFonts w:cs="Calibri"/>
                <w:sz w:val="22"/>
                <w:szCs w:val="22"/>
              </w:rPr>
              <w:t>.</w:t>
            </w:r>
          </w:p>
          <w:p w14:paraId="511A85F5" w14:textId="77777777" w:rsidR="00772DD4" w:rsidRPr="00B21E5B" w:rsidRDefault="00772DD4" w:rsidP="00772DD4">
            <w:pPr>
              <w:rPr>
                <w:rFonts w:cs="Calibri"/>
                <w:sz w:val="22"/>
                <w:szCs w:val="22"/>
              </w:rPr>
            </w:pPr>
          </w:p>
          <w:p w14:paraId="0191FB53" w14:textId="77777777" w:rsidR="00772DD4" w:rsidRPr="00B21E5B" w:rsidRDefault="00772DD4" w:rsidP="00772DD4">
            <w:pPr>
              <w:rPr>
                <w:rFonts w:cs="Calibri"/>
                <w:sz w:val="22"/>
                <w:szCs w:val="22"/>
              </w:rPr>
            </w:pPr>
            <w:r w:rsidRPr="00B21E5B">
              <w:rPr>
                <w:rFonts w:cs="Calibri"/>
                <w:sz w:val="22"/>
                <w:szCs w:val="22"/>
              </w:rPr>
              <w:t>Where the dependent child/children or Participant does not meet these requirements, the DES Provider can assess if there is a genuine dependency relationship and grant the extra $3000 of assistance. An example would be where the Participant’s ward has a disability and relies upon the Participant’s care.</w:t>
            </w:r>
          </w:p>
          <w:p w14:paraId="5863412B" w14:textId="77777777" w:rsidR="00772DD4" w:rsidRPr="00B21E5B" w:rsidRDefault="00772DD4" w:rsidP="00772DD4">
            <w:pPr>
              <w:rPr>
                <w:rFonts w:cs="Calibri"/>
                <w:sz w:val="22"/>
                <w:szCs w:val="22"/>
              </w:rPr>
            </w:pPr>
          </w:p>
          <w:p w14:paraId="65BF0182" w14:textId="72C7FA4B" w:rsidR="00772DD4" w:rsidRPr="00372A58" w:rsidRDefault="00772DD4" w:rsidP="00491594">
            <w:pPr>
              <w:pStyle w:val="Level2NumberBullet"/>
              <w:numPr>
                <w:ilvl w:val="0"/>
                <w:numId w:val="0"/>
              </w:numPr>
              <w:ind w:left="-75"/>
              <w:rPr>
                <w:b/>
                <w:sz w:val="24"/>
              </w:rPr>
            </w:pPr>
            <w:r w:rsidRPr="00B21E5B">
              <w:rPr>
                <w:rFonts w:cs="Calibri"/>
                <w:szCs w:val="22"/>
              </w:rPr>
              <w:t>Where costs relating to dependent children are incurred, but the total expenditure of the relocation is less than the amount that would be available with the additional $3,000, the Participant is still required to provide proof of dependent children.</w:t>
            </w:r>
          </w:p>
        </w:tc>
      </w:tr>
      <w:tr w:rsidR="00772DD4" w:rsidRPr="00372A58" w14:paraId="3E132B0B" w14:textId="77777777" w:rsidTr="00980F91">
        <w:trPr>
          <w:jc w:val="center"/>
        </w:trPr>
        <w:tc>
          <w:tcPr>
            <w:tcW w:w="3598" w:type="dxa"/>
          </w:tcPr>
          <w:p w14:paraId="417943BB" w14:textId="77777777" w:rsidR="00E56F87" w:rsidRDefault="00E56F87" w:rsidP="00E56F87">
            <w:pPr>
              <w:spacing w:after="240"/>
              <w:rPr>
                <w:b/>
                <w:sz w:val="22"/>
                <w:szCs w:val="22"/>
              </w:rPr>
            </w:pPr>
            <w:r>
              <w:rPr>
                <w:b/>
                <w:sz w:val="22"/>
                <w:szCs w:val="22"/>
              </w:rPr>
              <w:lastRenderedPageBreak/>
              <w:t>7. The Provider</w:t>
            </w:r>
          </w:p>
          <w:p w14:paraId="652B61A8" w14:textId="296276EE" w:rsidR="00772DD4" w:rsidRPr="00243D30" w:rsidRDefault="00772DD4" w:rsidP="00E56F87">
            <w:pPr>
              <w:spacing w:after="240"/>
              <w:rPr>
                <w:b/>
                <w:sz w:val="22"/>
                <w:szCs w:val="22"/>
              </w:rPr>
            </w:pPr>
            <w:r w:rsidRPr="00243D30">
              <w:rPr>
                <w:b/>
                <w:sz w:val="22"/>
                <w:szCs w:val="22"/>
              </w:rPr>
              <w:t>Capital cities and regional areas</w:t>
            </w:r>
          </w:p>
          <w:p w14:paraId="7323E172" w14:textId="319EE2A0" w:rsidR="00772DD4" w:rsidRPr="00243D30" w:rsidRDefault="001B164B" w:rsidP="00772DD4">
            <w:pPr>
              <w:rPr>
                <w:rFonts w:asciiTheme="minorHAnsi" w:hAnsiTheme="minorHAnsi" w:cstheme="minorHAnsi"/>
                <w:i/>
                <w:sz w:val="22"/>
                <w:szCs w:val="22"/>
              </w:rPr>
            </w:pPr>
            <w:r w:rsidRPr="007758E6">
              <w:rPr>
                <w:i/>
                <w:sz w:val="22"/>
                <w:szCs w:val="22"/>
              </w:rPr>
              <w:t>Disab</w:t>
            </w:r>
            <w:r>
              <w:rPr>
                <w:i/>
                <w:sz w:val="22"/>
                <w:szCs w:val="22"/>
              </w:rPr>
              <w:t>ility Employment Services</w:t>
            </w:r>
            <w:r w:rsidRPr="007758E6">
              <w:rPr>
                <w:i/>
                <w:sz w:val="22"/>
                <w:szCs w:val="22"/>
              </w:rPr>
              <w:t xml:space="preserve"> </w:t>
            </w:r>
            <w:r w:rsidR="00772DD4" w:rsidRPr="00243D30">
              <w:rPr>
                <w:rFonts w:asciiTheme="minorHAnsi" w:hAnsiTheme="minorHAnsi" w:cstheme="minorHAnsi"/>
                <w:bCs/>
                <w:i/>
                <w:sz w:val="22"/>
                <w:szCs w:val="22"/>
              </w:rPr>
              <w:t>Grant Agreement</w:t>
            </w:r>
            <w:r w:rsidR="00772DD4" w:rsidRPr="00243D30">
              <w:rPr>
                <w:rFonts w:asciiTheme="minorHAnsi" w:hAnsiTheme="minorHAnsi" w:cstheme="minorHAnsi"/>
                <w:i/>
                <w:sz w:val="22"/>
                <w:szCs w:val="22"/>
              </w:rPr>
              <w:t xml:space="preserve"> Clause</w:t>
            </w:r>
            <w:r w:rsidR="00772DD4">
              <w:rPr>
                <w:rFonts w:asciiTheme="minorHAnsi" w:hAnsiTheme="minorHAnsi" w:cstheme="minorHAnsi"/>
                <w:i/>
                <w:sz w:val="22"/>
                <w:szCs w:val="22"/>
              </w:rPr>
              <w:t>s</w:t>
            </w:r>
            <w:r w:rsidR="00772DD4" w:rsidRPr="00243D30">
              <w:rPr>
                <w:rFonts w:asciiTheme="minorHAnsi" w:hAnsiTheme="minorHAnsi" w:cstheme="minorHAnsi"/>
                <w:i/>
                <w:sz w:val="22"/>
                <w:szCs w:val="22"/>
              </w:rPr>
              <w:t xml:space="preserve"> References:</w:t>
            </w:r>
          </w:p>
          <w:p w14:paraId="428CCC8C" w14:textId="77777777" w:rsidR="00772DD4" w:rsidRPr="00E56F87" w:rsidRDefault="00772DD4" w:rsidP="00E56F87">
            <w:pPr>
              <w:pStyle w:val="ListParagraph"/>
              <w:numPr>
                <w:ilvl w:val="0"/>
                <w:numId w:val="44"/>
              </w:numPr>
              <w:rPr>
                <w:sz w:val="22"/>
                <w:szCs w:val="22"/>
              </w:rPr>
            </w:pPr>
            <w:r w:rsidRPr="00E56F87">
              <w:rPr>
                <w:rFonts w:asciiTheme="minorHAnsi" w:hAnsiTheme="minorHAnsi" w:cstheme="minorHAnsi"/>
                <w:sz w:val="22"/>
                <w:szCs w:val="22"/>
              </w:rPr>
              <w:t>Clause 157</w:t>
            </w:r>
          </w:p>
          <w:p w14:paraId="7F9BEC85" w14:textId="2E8FF3B2" w:rsidR="00772DD4" w:rsidRPr="00372A58" w:rsidRDefault="00772DD4" w:rsidP="00E56F87">
            <w:pPr>
              <w:pStyle w:val="ListParagraph"/>
              <w:numPr>
                <w:ilvl w:val="0"/>
                <w:numId w:val="44"/>
              </w:numPr>
            </w:pPr>
            <w:r w:rsidRPr="00E56F87">
              <w:rPr>
                <w:rFonts w:asciiTheme="minorHAnsi" w:hAnsiTheme="minorHAnsi" w:cstheme="minorHAnsi"/>
                <w:sz w:val="22"/>
              </w:rPr>
              <w:t>Annexure A – Definitions</w:t>
            </w:r>
          </w:p>
        </w:tc>
        <w:tc>
          <w:tcPr>
            <w:tcW w:w="6783" w:type="dxa"/>
          </w:tcPr>
          <w:p w14:paraId="57A0324F" w14:textId="77777777" w:rsidR="00772DD4" w:rsidRPr="00B21E5B" w:rsidRDefault="00772DD4" w:rsidP="00772DD4">
            <w:pPr>
              <w:spacing w:after="120"/>
              <w:rPr>
                <w:rFonts w:asciiTheme="minorHAnsi" w:hAnsiTheme="minorHAnsi" w:cstheme="minorHAnsi"/>
                <w:sz w:val="22"/>
                <w:szCs w:val="22"/>
              </w:rPr>
            </w:pPr>
            <w:r w:rsidRPr="00B21E5B">
              <w:rPr>
                <w:rFonts w:asciiTheme="minorHAnsi" w:hAnsiTheme="minorHAnsi" w:cstheme="minorHAnsi"/>
                <w:sz w:val="22"/>
                <w:szCs w:val="22"/>
              </w:rPr>
              <w:t xml:space="preserve">For the purpose of </w:t>
            </w:r>
            <w:proofErr w:type="spellStart"/>
            <w:r w:rsidRPr="00B21E5B">
              <w:rPr>
                <w:rFonts w:asciiTheme="minorHAnsi" w:hAnsiTheme="minorHAnsi" w:cstheme="minorHAnsi"/>
                <w:sz w:val="22"/>
                <w:szCs w:val="22"/>
              </w:rPr>
              <w:t>RATTUAJ</w:t>
            </w:r>
            <w:proofErr w:type="spellEnd"/>
            <w:r w:rsidRPr="00B21E5B">
              <w:rPr>
                <w:rFonts w:asciiTheme="minorHAnsi" w:hAnsiTheme="minorHAnsi" w:cstheme="minorHAnsi"/>
                <w:sz w:val="22"/>
                <w:szCs w:val="22"/>
              </w:rPr>
              <w:t xml:space="preserve">, capital cities are the 2011 Urban Centre Localities </w:t>
            </w:r>
            <w:r w:rsidRPr="00B21E5B">
              <w:rPr>
                <w:sz w:val="22"/>
                <w:szCs w:val="22"/>
              </w:rPr>
              <w:t>State and Territory Capital Cities</w:t>
            </w:r>
            <w:r w:rsidRPr="00B21E5B">
              <w:rPr>
                <w:rFonts w:asciiTheme="minorHAnsi" w:hAnsiTheme="minorHAnsi" w:cstheme="minorHAnsi"/>
                <w:sz w:val="22"/>
                <w:szCs w:val="22"/>
              </w:rPr>
              <w:t xml:space="preserve"> defined by the </w:t>
            </w:r>
            <w:r w:rsidRPr="00B21E5B">
              <w:rPr>
                <w:sz w:val="22"/>
                <w:szCs w:val="22"/>
              </w:rPr>
              <w:t>Australian Bureau of Statistics</w:t>
            </w:r>
            <w:r w:rsidRPr="00B21E5B">
              <w:rPr>
                <w:rFonts w:asciiTheme="minorHAnsi" w:hAnsiTheme="minorHAnsi" w:cstheme="minorHAnsi"/>
                <w:sz w:val="22"/>
                <w:szCs w:val="22"/>
              </w:rPr>
              <w:t>. All other areas are classified as regional.</w:t>
            </w:r>
          </w:p>
          <w:p w14:paraId="37B6E900" w14:textId="4806A733" w:rsidR="00772DD4" w:rsidRPr="00B21E5B" w:rsidRDefault="00772DD4" w:rsidP="00772DD4">
            <w:pPr>
              <w:spacing w:after="120"/>
              <w:rPr>
                <w:rFonts w:asciiTheme="minorHAnsi" w:hAnsiTheme="minorHAnsi" w:cstheme="minorHAnsi"/>
                <w:sz w:val="22"/>
                <w:szCs w:val="22"/>
              </w:rPr>
            </w:pPr>
            <w:r w:rsidRPr="00B21E5B">
              <w:rPr>
                <w:rFonts w:cs="Calibri"/>
                <w:color w:val="000000"/>
                <w:sz w:val="22"/>
                <w:szCs w:val="22"/>
              </w:rPr>
              <w:t xml:space="preserve">DES Providers can use the </w:t>
            </w:r>
            <w:r w:rsidRPr="00B21E5B">
              <w:rPr>
                <w:rFonts w:cs="Calibri"/>
                <w:sz w:val="22"/>
                <w:szCs w:val="22"/>
              </w:rPr>
              <w:t>Relocation Assistance Distance &amp; Region Calculator</w:t>
            </w:r>
            <w:r w:rsidRPr="00B21E5B">
              <w:rPr>
                <w:rFonts w:cs="Calibri"/>
                <w:color w:val="000000"/>
                <w:sz w:val="22"/>
                <w:szCs w:val="22"/>
              </w:rPr>
              <w:t xml:space="preserve"> to assess whether a location is within a regional area or capital city.</w:t>
            </w:r>
          </w:p>
          <w:p w14:paraId="1BCDB7DC" w14:textId="41AD9F19" w:rsidR="00772DD4" w:rsidRPr="00372A58" w:rsidRDefault="00772DD4" w:rsidP="00772DD4">
            <w:pPr>
              <w:pStyle w:val="Level2NumberBullet"/>
              <w:numPr>
                <w:ilvl w:val="0"/>
                <w:numId w:val="0"/>
              </w:numPr>
              <w:rPr>
                <w:b/>
                <w:sz w:val="24"/>
              </w:rPr>
            </w:pPr>
            <w:r>
              <w:rPr>
                <w:rFonts w:asciiTheme="minorHAnsi" w:hAnsiTheme="minorHAnsi" w:cstheme="minorHAnsi"/>
                <w:szCs w:val="22"/>
              </w:rPr>
              <w:t>T</w:t>
            </w:r>
            <w:r w:rsidRPr="00B21E5B">
              <w:rPr>
                <w:rFonts w:asciiTheme="minorHAnsi" w:hAnsiTheme="minorHAnsi" w:cstheme="minorHAnsi"/>
                <w:szCs w:val="22"/>
              </w:rPr>
              <w:t>he calculator can be found on the DES Provider Portal via: DES Provider Portal &gt; DES &gt; Program information &gt; Relocation Assistance to Take Up a Job.</w:t>
            </w:r>
          </w:p>
        </w:tc>
      </w:tr>
      <w:tr w:rsidR="00772DD4" w:rsidRPr="00372A58" w14:paraId="5383CBE3" w14:textId="77777777" w:rsidTr="00980F91">
        <w:trPr>
          <w:jc w:val="center"/>
        </w:trPr>
        <w:tc>
          <w:tcPr>
            <w:tcW w:w="3598" w:type="dxa"/>
          </w:tcPr>
          <w:p w14:paraId="1879F9C9" w14:textId="320E438D" w:rsidR="00DD10CF" w:rsidRDefault="00DD10CF" w:rsidP="00DD10CF">
            <w:pPr>
              <w:spacing w:after="240"/>
              <w:rPr>
                <w:b/>
                <w:sz w:val="22"/>
                <w:szCs w:val="22"/>
              </w:rPr>
            </w:pPr>
            <w:r>
              <w:rPr>
                <w:b/>
                <w:sz w:val="22"/>
                <w:szCs w:val="22"/>
              </w:rPr>
              <w:t xml:space="preserve">8. The Provider </w:t>
            </w:r>
          </w:p>
          <w:p w14:paraId="318970CC" w14:textId="6762A6AE" w:rsidR="00FD7150" w:rsidRPr="00DD10CF" w:rsidRDefault="00FD7150" w:rsidP="00DD10CF">
            <w:pPr>
              <w:spacing w:after="240"/>
              <w:rPr>
                <w:b/>
                <w:sz w:val="22"/>
                <w:szCs w:val="22"/>
              </w:rPr>
            </w:pPr>
            <w:proofErr w:type="spellStart"/>
            <w:r w:rsidRPr="00243D30">
              <w:rPr>
                <w:b/>
                <w:sz w:val="22"/>
                <w:szCs w:val="22"/>
              </w:rPr>
              <w:t>RATTUAJ</w:t>
            </w:r>
            <w:proofErr w:type="spellEnd"/>
            <w:r w:rsidRPr="00243D30">
              <w:rPr>
                <w:b/>
                <w:sz w:val="22"/>
                <w:szCs w:val="22"/>
              </w:rPr>
              <w:t xml:space="preserve"> Agreement</w:t>
            </w:r>
          </w:p>
          <w:p w14:paraId="00B900AE" w14:textId="77777777" w:rsidR="00FD7150" w:rsidRPr="00243D30" w:rsidRDefault="00FD7150" w:rsidP="00FD7150">
            <w:pPr>
              <w:rPr>
                <w:rFonts w:asciiTheme="minorHAnsi" w:hAnsiTheme="minorHAnsi" w:cstheme="minorHAnsi"/>
                <w:i/>
                <w:sz w:val="22"/>
                <w:szCs w:val="22"/>
              </w:rPr>
            </w:pPr>
            <w:r w:rsidRPr="00243D30">
              <w:rPr>
                <w:rFonts w:asciiTheme="minorHAnsi" w:hAnsiTheme="minorHAnsi" w:cstheme="minorHAnsi"/>
                <w:i/>
                <w:sz w:val="22"/>
                <w:szCs w:val="22"/>
              </w:rPr>
              <w:t xml:space="preserve">DES </w:t>
            </w:r>
            <w:r w:rsidRPr="00243D30">
              <w:rPr>
                <w:rFonts w:asciiTheme="minorHAnsi" w:hAnsiTheme="minorHAnsi" w:cstheme="minorHAnsi"/>
                <w:bCs/>
                <w:i/>
                <w:sz w:val="22"/>
                <w:szCs w:val="22"/>
              </w:rPr>
              <w:t xml:space="preserve">Grant </w:t>
            </w:r>
            <w:r w:rsidRPr="00D573B9">
              <w:rPr>
                <w:rFonts w:asciiTheme="minorHAnsi" w:hAnsiTheme="minorHAnsi" w:cstheme="minorHAnsi"/>
                <w:bCs/>
                <w:i/>
                <w:sz w:val="22"/>
                <w:szCs w:val="22"/>
              </w:rPr>
              <w:t>Agreement</w:t>
            </w:r>
            <w:r w:rsidRPr="00D573B9">
              <w:rPr>
                <w:rFonts w:asciiTheme="minorHAnsi" w:hAnsiTheme="minorHAnsi" w:cstheme="minorHAnsi"/>
                <w:i/>
                <w:sz w:val="22"/>
                <w:szCs w:val="22"/>
              </w:rPr>
              <w:t xml:space="preserve"> Clause</w:t>
            </w:r>
            <w:r>
              <w:rPr>
                <w:rFonts w:asciiTheme="minorHAnsi" w:hAnsiTheme="minorHAnsi" w:cstheme="minorHAnsi"/>
                <w:i/>
                <w:sz w:val="22"/>
                <w:szCs w:val="22"/>
              </w:rPr>
              <w:t>s</w:t>
            </w:r>
            <w:r w:rsidRPr="00B21E5B">
              <w:rPr>
                <w:rFonts w:asciiTheme="minorHAnsi" w:hAnsiTheme="minorHAnsi" w:cstheme="minorHAnsi"/>
                <w:i/>
              </w:rPr>
              <w:t xml:space="preserve"> </w:t>
            </w:r>
            <w:r w:rsidRPr="00243D30">
              <w:rPr>
                <w:rFonts w:asciiTheme="minorHAnsi" w:hAnsiTheme="minorHAnsi" w:cstheme="minorHAnsi"/>
                <w:i/>
                <w:sz w:val="22"/>
                <w:szCs w:val="22"/>
              </w:rPr>
              <w:t>Reference:</w:t>
            </w:r>
          </w:p>
          <w:p w14:paraId="58B873D8" w14:textId="545BBA06" w:rsidR="00772DD4" w:rsidRPr="00DD10CF" w:rsidRDefault="00FD7150" w:rsidP="00DD10CF">
            <w:pPr>
              <w:pStyle w:val="TableNumberedleftbold"/>
              <w:numPr>
                <w:ilvl w:val="0"/>
                <w:numId w:val="45"/>
              </w:numPr>
              <w:rPr>
                <w:b w:val="0"/>
                <w:szCs w:val="24"/>
              </w:rPr>
            </w:pPr>
            <w:r w:rsidRPr="00DD10CF">
              <w:rPr>
                <w:rFonts w:asciiTheme="minorHAnsi" w:hAnsiTheme="minorHAnsi" w:cstheme="minorHAnsi"/>
                <w:b w:val="0"/>
                <w:sz w:val="22"/>
              </w:rPr>
              <w:t>Clause 157</w:t>
            </w:r>
          </w:p>
        </w:tc>
        <w:tc>
          <w:tcPr>
            <w:tcW w:w="6783" w:type="dxa"/>
          </w:tcPr>
          <w:p w14:paraId="17D105C5" w14:textId="77777777" w:rsidR="00FD7150" w:rsidRPr="00B21E5B" w:rsidRDefault="00FD7150" w:rsidP="00FD7150">
            <w:pPr>
              <w:spacing w:after="240"/>
              <w:rPr>
                <w:sz w:val="22"/>
                <w:szCs w:val="22"/>
              </w:rPr>
            </w:pPr>
            <w:r w:rsidRPr="00B21E5B">
              <w:rPr>
                <w:sz w:val="22"/>
                <w:szCs w:val="22"/>
              </w:rPr>
              <w:t xml:space="preserve">DES Providers must explain the </w:t>
            </w:r>
            <w:proofErr w:type="spellStart"/>
            <w:r w:rsidRPr="00B21E5B">
              <w:rPr>
                <w:sz w:val="22"/>
                <w:szCs w:val="22"/>
              </w:rPr>
              <w:t>RATTUAJ</w:t>
            </w:r>
            <w:proofErr w:type="spellEnd"/>
            <w:r w:rsidRPr="00B21E5B">
              <w:rPr>
                <w:sz w:val="22"/>
                <w:szCs w:val="22"/>
              </w:rPr>
              <w:t xml:space="preserve"> Agreement to the Participant and </w:t>
            </w:r>
            <w:r w:rsidRPr="00B21E5B">
              <w:rPr>
                <w:rFonts w:asciiTheme="minorHAnsi" w:hAnsiTheme="minorHAnsi" w:cstheme="minorHAnsi"/>
                <w:sz w:val="22"/>
                <w:szCs w:val="22"/>
              </w:rPr>
              <w:t>have it completed and signed before the Participant completes their relocation and commences employment.</w:t>
            </w:r>
          </w:p>
          <w:p w14:paraId="48D709BE" w14:textId="77777777" w:rsidR="00FD7150" w:rsidRPr="00B21E5B" w:rsidRDefault="00FD7150" w:rsidP="00FD7150">
            <w:pPr>
              <w:spacing w:after="120"/>
              <w:rPr>
                <w:rFonts w:asciiTheme="minorHAnsi" w:hAnsiTheme="minorHAnsi" w:cstheme="minorHAnsi"/>
                <w:sz w:val="22"/>
                <w:szCs w:val="22"/>
              </w:rPr>
            </w:pPr>
            <w:r w:rsidRPr="00B21E5B">
              <w:rPr>
                <w:rFonts w:asciiTheme="minorHAnsi" w:hAnsiTheme="minorHAnsi" w:cstheme="minorHAnsi"/>
                <w:sz w:val="22"/>
                <w:szCs w:val="22"/>
              </w:rPr>
              <w:t xml:space="preserve">DES Providers must end the </w:t>
            </w:r>
            <w:proofErr w:type="spellStart"/>
            <w:r w:rsidRPr="00B21E5B">
              <w:rPr>
                <w:sz w:val="22"/>
                <w:szCs w:val="22"/>
              </w:rPr>
              <w:t>RATTUAJ</w:t>
            </w:r>
            <w:proofErr w:type="spellEnd"/>
            <w:r w:rsidRPr="00B21E5B">
              <w:rPr>
                <w:sz w:val="22"/>
                <w:szCs w:val="22"/>
              </w:rPr>
              <w:t xml:space="preserve"> </w:t>
            </w:r>
            <w:r w:rsidRPr="00B21E5B">
              <w:rPr>
                <w:rFonts w:asciiTheme="minorHAnsi" w:hAnsiTheme="minorHAnsi" w:cstheme="minorHAnsi"/>
                <w:sz w:val="22"/>
                <w:szCs w:val="22"/>
              </w:rPr>
              <w:t xml:space="preserve">Agreement where all </w:t>
            </w:r>
            <w:proofErr w:type="spellStart"/>
            <w:r w:rsidRPr="00B21E5B">
              <w:rPr>
                <w:sz w:val="22"/>
                <w:szCs w:val="22"/>
              </w:rPr>
              <w:t>RATTUAJ</w:t>
            </w:r>
            <w:proofErr w:type="spellEnd"/>
            <w:r w:rsidRPr="00B21E5B">
              <w:rPr>
                <w:sz w:val="22"/>
                <w:szCs w:val="22"/>
              </w:rPr>
              <w:t xml:space="preserve"> </w:t>
            </w:r>
            <w:r w:rsidRPr="00B21E5B">
              <w:rPr>
                <w:rFonts w:asciiTheme="minorHAnsi" w:hAnsiTheme="minorHAnsi" w:cstheme="minorHAnsi"/>
                <w:sz w:val="22"/>
                <w:szCs w:val="22"/>
              </w:rPr>
              <w:t>Payments claimed (including where no claims are required) and where:</w:t>
            </w:r>
          </w:p>
          <w:p w14:paraId="7C9D9A2F" w14:textId="77777777" w:rsidR="00FD7150" w:rsidRPr="00B21E5B" w:rsidRDefault="00FD7150" w:rsidP="00FD7150">
            <w:pPr>
              <w:numPr>
                <w:ilvl w:val="0"/>
                <w:numId w:val="25"/>
              </w:numPr>
              <w:spacing w:before="120" w:after="120"/>
              <w:contextualSpacing/>
              <w:rPr>
                <w:rFonts w:asciiTheme="minorHAnsi" w:hAnsiTheme="minorHAnsi" w:cstheme="minorHAnsi"/>
                <w:sz w:val="22"/>
                <w:szCs w:val="22"/>
              </w:rPr>
            </w:pPr>
            <w:r w:rsidRPr="00B21E5B">
              <w:rPr>
                <w:rFonts w:asciiTheme="minorHAnsi" w:hAnsiTheme="minorHAnsi" w:cstheme="minorHAnsi"/>
                <w:sz w:val="22"/>
                <w:szCs w:val="22"/>
              </w:rPr>
              <w:t>the relocation has been completed;</w:t>
            </w:r>
          </w:p>
          <w:p w14:paraId="4530E6F3" w14:textId="77777777" w:rsidR="00FD7150" w:rsidRPr="00B21E5B" w:rsidRDefault="00FD7150" w:rsidP="00FD7150">
            <w:pPr>
              <w:numPr>
                <w:ilvl w:val="0"/>
                <w:numId w:val="25"/>
              </w:numPr>
              <w:spacing w:before="120" w:after="120"/>
              <w:contextualSpacing/>
              <w:rPr>
                <w:rFonts w:asciiTheme="minorHAnsi" w:hAnsiTheme="minorHAnsi" w:cstheme="minorHAnsi"/>
                <w:sz w:val="22"/>
                <w:szCs w:val="22"/>
              </w:rPr>
            </w:pPr>
            <w:r w:rsidRPr="00B21E5B">
              <w:rPr>
                <w:rFonts w:asciiTheme="minorHAnsi" w:hAnsiTheme="minorHAnsi" w:cstheme="minorHAnsi"/>
                <w:sz w:val="22"/>
                <w:szCs w:val="22"/>
              </w:rPr>
              <w:t>the job did not commence; or</w:t>
            </w:r>
          </w:p>
          <w:p w14:paraId="0018C515" w14:textId="77777777" w:rsidR="00FD7150" w:rsidRPr="00B21E5B" w:rsidRDefault="00FD7150" w:rsidP="00FD7150">
            <w:pPr>
              <w:numPr>
                <w:ilvl w:val="0"/>
                <w:numId w:val="25"/>
              </w:numPr>
              <w:spacing w:before="120" w:after="120"/>
              <w:ind w:left="714" w:hanging="357"/>
              <w:rPr>
                <w:rFonts w:asciiTheme="minorHAnsi" w:hAnsiTheme="minorHAnsi" w:cstheme="minorHAnsi"/>
                <w:sz w:val="22"/>
                <w:szCs w:val="22"/>
              </w:rPr>
            </w:pPr>
            <w:r w:rsidRPr="00B21E5B">
              <w:rPr>
                <w:rFonts w:asciiTheme="minorHAnsi" w:hAnsiTheme="minorHAnsi" w:cstheme="minorHAnsi"/>
                <w:sz w:val="22"/>
                <w:szCs w:val="22"/>
              </w:rPr>
              <w:t>the relocation did not occur.</w:t>
            </w:r>
          </w:p>
          <w:p w14:paraId="3740FF02" w14:textId="514D7112" w:rsidR="00772DD4" w:rsidRPr="00372A58" w:rsidRDefault="00FD7150" w:rsidP="00FD7150">
            <w:pPr>
              <w:pStyle w:val="Level2NumberBullet"/>
              <w:numPr>
                <w:ilvl w:val="0"/>
                <w:numId w:val="0"/>
              </w:numPr>
              <w:rPr>
                <w:b/>
                <w:sz w:val="24"/>
              </w:rPr>
            </w:pPr>
            <w:r w:rsidRPr="00B21E5B">
              <w:rPr>
                <w:rFonts w:asciiTheme="minorHAnsi" w:hAnsiTheme="minorHAnsi" w:cstheme="minorHAnsi"/>
                <w:szCs w:val="22"/>
              </w:rPr>
              <w:t xml:space="preserve">Note: </w:t>
            </w:r>
            <w:r w:rsidRPr="00B21E5B">
              <w:rPr>
                <w:szCs w:val="22"/>
              </w:rPr>
              <w:t xml:space="preserve">The Department’s IT Systems will automatically end the </w:t>
            </w:r>
            <w:proofErr w:type="spellStart"/>
            <w:r w:rsidRPr="00B21E5B">
              <w:rPr>
                <w:szCs w:val="22"/>
              </w:rPr>
              <w:t>RATTUAJ</w:t>
            </w:r>
            <w:proofErr w:type="spellEnd"/>
            <w:r w:rsidRPr="00B21E5B">
              <w:rPr>
                <w:szCs w:val="22"/>
              </w:rPr>
              <w:t xml:space="preserve"> Agreement three months after the approval date. DES Providers can lodge claims for Reimbursement from the date the </w:t>
            </w:r>
            <w:proofErr w:type="spellStart"/>
            <w:r w:rsidRPr="00B21E5B">
              <w:rPr>
                <w:szCs w:val="22"/>
              </w:rPr>
              <w:t>RATTUAJ</w:t>
            </w:r>
            <w:proofErr w:type="spellEnd"/>
            <w:r w:rsidRPr="00B21E5B">
              <w:rPr>
                <w:szCs w:val="22"/>
              </w:rPr>
              <w:t xml:space="preserve"> Agreement is approved and up to 56 days after the </w:t>
            </w:r>
            <w:proofErr w:type="spellStart"/>
            <w:r w:rsidRPr="00B21E5B">
              <w:rPr>
                <w:szCs w:val="22"/>
              </w:rPr>
              <w:t>RATTUAJ</w:t>
            </w:r>
            <w:proofErr w:type="spellEnd"/>
            <w:r w:rsidRPr="00B21E5B">
              <w:rPr>
                <w:szCs w:val="22"/>
              </w:rPr>
              <w:t xml:space="preserve"> Agreement has ended.</w:t>
            </w:r>
          </w:p>
        </w:tc>
      </w:tr>
      <w:tr w:rsidR="004E5160" w:rsidRPr="00372A58" w14:paraId="69D7A66C" w14:textId="77777777" w:rsidTr="00980F91">
        <w:trPr>
          <w:jc w:val="center"/>
        </w:trPr>
        <w:tc>
          <w:tcPr>
            <w:tcW w:w="3598" w:type="dxa"/>
          </w:tcPr>
          <w:p w14:paraId="13009C6E" w14:textId="39D6BDDA" w:rsidR="00C85130" w:rsidRDefault="00C85130" w:rsidP="00C85130">
            <w:pPr>
              <w:spacing w:after="240"/>
              <w:rPr>
                <w:b/>
                <w:sz w:val="22"/>
                <w:szCs w:val="22"/>
              </w:rPr>
            </w:pPr>
            <w:r>
              <w:rPr>
                <w:b/>
                <w:sz w:val="22"/>
                <w:szCs w:val="22"/>
              </w:rPr>
              <w:t>9. The Provider</w:t>
            </w:r>
          </w:p>
          <w:p w14:paraId="1CF8AD5E" w14:textId="307642B3" w:rsidR="004E5160" w:rsidRPr="00C85130" w:rsidRDefault="004E5160" w:rsidP="00C85130">
            <w:pPr>
              <w:spacing w:after="240"/>
              <w:rPr>
                <w:b/>
                <w:sz w:val="22"/>
                <w:szCs w:val="22"/>
              </w:rPr>
            </w:pPr>
            <w:r w:rsidRPr="00243D30">
              <w:rPr>
                <w:b/>
                <w:sz w:val="22"/>
                <w:szCs w:val="22"/>
              </w:rPr>
              <w:t xml:space="preserve">Payment of </w:t>
            </w:r>
            <w:proofErr w:type="spellStart"/>
            <w:r w:rsidRPr="00243D30">
              <w:rPr>
                <w:b/>
                <w:sz w:val="22"/>
                <w:szCs w:val="22"/>
              </w:rPr>
              <w:t>RATTUAJ</w:t>
            </w:r>
            <w:proofErr w:type="spellEnd"/>
          </w:p>
          <w:p w14:paraId="0B1FB596" w14:textId="6DECF59F" w:rsidR="004E5160" w:rsidRPr="00243D30" w:rsidRDefault="00A46972" w:rsidP="004E5160">
            <w:pPr>
              <w:rPr>
                <w:rFonts w:asciiTheme="minorHAnsi" w:hAnsiTheme="minorHAnsi" w:cstheme="minorHAnsi"/>
                <w:i/>
                <w:sz w:val="22"/>
                <w:szCs w:val="22"/>
              </w:rPr>
            </w:pPr>
            <w:r w:rsidRPr="007758E6">
              <w:rPr>
                <w:i/>
                <w:sz w:val="22"/>
                <w:szCs w:val="22"/>
              </w:rPr>
              <w:t>Disab</w:t>
            </w:r>
            <w:r>
              <w:rPr>
                <w:i/>
                <w:sz w:val="22"/>
                <w:szCs w:val="22"/>
              </w:rPr>
              <w:t>ility Employment Services</w:t>
            </w:r>
            <w:r w:rsidRPr="007758E6">
              <w:rPr>
                <w:i/>
                <w:sz w:val="22"/>
                <w:szCs w:val="22"/>
              </w:rPr>
              <w:t xml:space="preserve"> </w:t>
            </w:r>
            <w:r w:rsidR="004E5160" w:rsidRPr="00243D30">
              <w:rPr>
                <w:rFonts w:asciiTheme="minorHAnsi" w:hAnsiTheme="minorHAnsi" w:cstheme="minorHAnsi"/>
                <w:bCs/>
                <w:i/>
                <w:sz w:val="22"/>
                <w:szCs w:val="22"/>
              </w:rPr>
              <w:t>Grant Agreement Clause</w:t>
            </w:r>
            <w:r w:rsidR="004E5160">
              <w:rPr>
                <w:rFonts w:asciiTheme="minorHAnsi" w:hAnsiTheme="minorHAnsi" w:cstheme="minorHAnsi"/>
                <w:bCs/>
                <w:i/>
                <w:sz w:val="22"/>
                <w:szCs w:val="22"/>
              </w:rPr>
              <w:t>s</w:t>
            </w:r>
            <w:r w:rsidR="004E5160" w:rsidRPr="00243D30">
              <w:rPr>
                <w:rFonts w:asciiTheme="minorHAnsi" w:hAnsiTheme="minorHAnsi" w:cstheme="minorHAnsi"/>
                <w:i/>
                <w:sz w:val="22"/>
                <w:szCs w:val="22"/>
              </w:rPr>
              <w:t xml:space="preserve"> References:</w:t>
            </w:r>
          </w:p>
          <w:p w14:paraId="5A85F376" w14:textId="77777777" w:rsidR="004E5160" w:rsidRPr="00A221D6" w:rsidRDefault="004E5160" w:rsidP="00A221D6">
            <w:pPr>
              <w:pStyle w:val="ListParagraph"/>
              <w:numPr>
                <w:ilvl w:val="0"/>
                <w:numId w:val="50"/>
              </w:numPr>
              <w:rPr>
                <w:rFonts w:asciiTheme="minorHAnsi" w:hAnsiTheme="minorHAnsi" w:cstheme="minorHAnsi"/>
                <w:sz w:val="22"/>
                <w:szCs w:val="22"/>
              </w:rPr>
            </w:pPr>
            <w:r w:rsidRPr="00A221D6">
              <w:rPr>
                <w:rFonts w:asciiTheme="minorHAnsi" w:hAnsiTheme="minorHAnsi" w:cstheme="minorHAnsi"/>
                <w:sz w:val="22"/>
                <w:szCs w:val="22"/>
              </w:rPr>
              <w:t>Clause 26</w:t>
            </w:r>
          </w:p>
          <w:p w14:paraId="5FD9EA01" w14:textId="77777777" w:rsidR="004E5160" w:rsidRPr="00A221D6" w:rsidRDefault="004E5160" w:rsidP="00A221D6">
            <w:pPr>
              <w:pStyle w:val="ListParagraph"/>
              <w:numPr>
                <w:ilvl w:val="0"/>
                <w:numId w:val="50"/>
              </w:numPr>
              <w:rPr>
                <w:rFonts w:asciiTheme="minorHAnsi" w:hAnsiTheme="minorHAnsi" w:cstheme="minorHAnsi"/>
                <w:sz w:val="22"/>
                <w:szCs w:val="22"/>
              </w:rPr>
            </w:pPr>
            <w:r w:rsidRPr="00A221D6">
              <w:rPr>
                <w:rFonts w:asciiTheme="minorHAnsi" w:hAnsiTheme="minorHAnsi" w:cstheme="minorHAnsi"/>
                <w:sz w:val="22"/>
                <w:szCs w:val="22"/>
              </w:rPr>
              <w:t>Clause 157</w:t>
            </w:r>
          </w:p>
          <w:p w14:paraId="5873F684" w14:textId="77777777" w:rsidR="004E5160" w:rsidRPr="00372A58" w:rsidRDefault="004E5160" w:rsidP="004E5160">
            <w:pPr>
              <w:pStyle w:val="TableNumberedleftbold"/>
              <w:rPr>
                <w:szCs w:val="24"/>
              </w:rPr>
            </w:pPr>
          </w:p>
        </w:tc>
        <w:tc>
          <w:tcPr>
            <w:tcW w:w="6783" w:type="dxa"/>
          </w:tcPr>
          <w:p w14:paraId="3D295BB6" w14:textId="77777777" w:rsidR="004E5160" w:rsidRPr="003663C1" w:rsidRDefault="004E5160" w:rsidP="004E5160">
            <w:pPr>
              <w:tabs>
                <w:tab w:val="left" w:pos="0"/>
              </w:tabs>
              <w:spacing w:after="120"/>
              <w:rPr>
                <w:rFonts w:asciiTheme="minorHAnsi" w:hAnsiTheme="minorHAnsi" w:cstheme="minorHAnsi"/>
                <w:sz w:val="22"/>
                <w:szCs w:val="22"/>
              </w:rPr>
            </w:pPr>
            <w:proofErr w:type="spellStart"/>
            <w:r w:rsidRPr="003663C1">
              <w:rPr>
                <w:rFonts w:cs="Calibri"/>
                <w:sz w:val="22"/>
                <w:szCs w:val="22"/>
              </w:rPr>
              <w:t>RATTUAJ</w:t>
            </w:r>
            <w:proofErr w:type="spellEnd"/>
            <w:r w:rsidRPr="003663C1">
              <w:rPr>
                <w:rFonts w:asciiTheme="minorHAnsi" w:hAnsiTheme="minorHAnsi" w:cstheme="minorHAnsi"/>
                <w:sz w:val="22"/>
                <w:szCs w:val="22"/>
              </w:rPr>
              <w:t xml:space="preserve"> Payments are flexible and can be used for:</w:t>
            </w:r>
          </w:p>
          <w:p w14:paraId="76B02F41" w14:textId="77777777" w:rsidR="004E5160" w:rsidRPr="003663C1" w:rsidRDefault="004E5160" w:rsidP="004E5160">
            <w:pPr>
              <w:numPr>
                <w:ilvl w:val="0"/>
                <w:numId w:val="25"/>
              </w:numPr>
              <w:spacing w:before="120" w:after="120"/>
              <w:contextualSpacing/>
              <w:rPr>
                <w:rFonts w:asciiTheme="minorHAnsi" w:hAnsiTheme="minorHAnsi" w:cstheme="minorHAnsi"/>
                <w:sz w:val="22"/>
                <w:szCs w:val="22"/>
              </w:rPr>
            </w:pPr>
            <w:r w:rsidRPr="003663C1">
              <w:rPr>
                <w:rFonts w:asciiTheme="minorHAnsi" w:hAnsiTheme="minorHAnsi" w:cstheme="minorHAnsi"/>
                <w:sz w:val="22"/>
                <w:szCs w:val="22"/>
              </w:rPr>
              <w:t>preparing to move;</w:t>
            </w:r>
          </w:p>
          <w:p w14:paraId="6011BE28" w14:textId="77777777" w:rsidR="004E5160" w:rsidRPr="003663C1" w:rsidRDefault="004E5160" w:rsidP="004E5160">
            <w:pPr>
              <w:numPr>
                <w:ilvl w:val="0"/>
                <w:numId w:val="25"/>
              </w:numPr>
              <w:spacing w:before="120" w:after="120"/>
              <w:contextualSpacing/>
              <w:rPr>
                <w:rFonts w:asciiTheme="minorHAnsi" w:hAnsiTheme="minorHAnsi" w:cstheme="minorHAnsi"/>
                <w:sz w:val="22"/>
                <w:szCs w:val="22"/>
              </w:rPr>
            </w:pPr>
            <w:r w:rsidRPr="003663C1">
              <w:rPr>
                <w:rFonts w:asciiTheme="minorHAnsi" w:hAnsiTheme="minorHAnsi" w:cstheme="minorHAnsi"/>
                <w:sz w:val="22"/>
                <w:szCs w:val="22"/>
              </w:rPr>
              <w:t>moving; and</w:t>
            </w:r>
          </w:p>
          <w:p w14:paraId="23B8F3F4" w14:textId="77777777" w:rsidR="004E5160" w:rsidRPr="003663C1" w:rsidRDefault="004E5160" w:rsidP="004E5160">
            <w:pPr>
              <w:numPr>
                <w:ilvl w:val="0"/>
                <w:numId w:val="25"/>
              </w:numPr>
              <w:spacing w:before="120" w:after="120"/>
              <w:ind w:left="714" w:hanging="357"/>
              <w:rPr>
                <w:rFonts w:asciiTheme="minorHAnsi" w:hAnsiTheme="minorHAnsi" w:cstheme="minorHAnsi"/>
                <w:sz w:val="22"/>
                <w:szCs w:val="22"/>
              </w:rPr>
            </w:pPr>
            <w:r w:rsidRPr="003663C1">
              <w:rPr>
                <w:rFonts w:asciiTheme="minorHAnsi" w:hAnsiTheme="minorHAnsi" w:cstheme="minorHAnsi"/>
                <w:sz w:val="22"/>
                <w:szCs w:val="22"/>
              </w:rPr>
              <w:t>settling in the new location.</w:t>
            </w:r>
          </w:p>
          <w:p w14:paraId="09738EF1" w14:textId="77777777" w:rsidR="004E5160" w:rsidRPr="003663C1" w:rsidRDefault="004E5160" w:rsidP="004E5160">
            <w:pPr>
              <w:rPr>
                <w:sz w:val="22"/>
                <w:szCs w:val="22"/>
              </w:rPr>
            </w:pPr>
            <w:r w:rsidRPr="003663C1">
              <w:rPr>
                <w:sz w:val="22"/>
                <w:szCs w:val="22"/>
              </w:rPr>
              <w:t>DES Providers must:</w:t>
            </w:r>
          </w:p>
          <w:p w14:paraId="313F68FA" w14:textId="77777777" w:rsidR="004E5160" w:rsidRPr="003663C1" w:rsidRDefault="004E5160" w:rsidP="004E5160">
            <w:pPr>
              <w:numPr>
                <w:ilvl w:val="0"/>
                <w:numId w:val="25"/>
              </w:numPr>
              <w:spacing w:before="120" w:after="120"/>
              <w:contextualSpacing/>
              <w:rPr>
                <w:sz w:val="22"/>
                <w:szCs w:val="22"/>
              </w:rPr>
            </w:pPr>
            <w:r w:rsidRPr="003663C1">
              <w:rPr>
                <w:sz w:val="22"/>
                <w:szCs w:val="22"/>
              </w:rPr>
              <w:t xml:space="preserve">negotiate with and advise the Participant on eligible relocation costs. Please refer to </w:t>
            </w:r>
            <w:hyperlink w:anchor="_Additional_information_–" w:history="1">
              <w:r w:rsidRPr="003663C1">
                <w:rPr>
                  <w:b/>
                  <w:sz w:val="22"/>
                  <w:szCs w:val="22"/>
                </w:rPr>
                <w:t>Additional</w:t>
              </w:r>
              <w:r w:rsidRPr="003663C1">
                <w:rPr>
                  <w:rFonts w:cs="Calibri"/>
                  <w:b/>
                  <w:sz w:val="22"/>
                  <w:szCs w:val="22"/>
                </w:rPr>
                <w:t xml:space="preserve"> information</w:t>
              </w:r>
            </w:hyperlink>
            <w:r w:rsidRPr="003663C1">
              <w:rPr>
                <w:sz w:val="22"/>
                <w:szCs w:val="22"/>
              </w:rPr>
              <w:t xml:space="preserve"> in this Guideline for examples of eligible relocation costs;</w:t>
            </w:r>
          </w:p>
          <w:p w14:paraId="68AB05DA" w14:textId="77777777" w:rsidR="004E5160" w:rsidRPr="003663C1" w:rsidRDefault="004E5160" w:rsidP="004E5160">
            <w:pPr>
              <w:numPr>
                <w:ilvl w:val="0"/>
                <w:numId w:val="25"/>
              </w:numPr>
              <w:spacing w:before="120" w:after="120"/>
              <w:contextualSpacing/>
              <w:rPr>
                <w:rFonts w:cs="Calibri"/>
                <w:sz w:val="22"/>
                <w:szCs w:val="22"/>
              </w:rPr>
            </w:pPr>
            <w:r w:rsidRPr="003663C1">
              <w:rPr>
                <w:rFonts w:cs="Calibri"/>
                <w:sz w:val="22"/>
                <w:szCs w:val="22"/>
              </w:rPr>
              <w:t xml:space="preserve">obtain and retain at least two (unless there is only one supplier) quotes for the </w:t>
            </w:r>
            <w:r w:rsidRPr="003663C1">
              <w:rPr>
                <w:sz w:val="22"/>
                <w:szCs w:val="22"/>
              </w:rPr>
              <w:t>relocation costs</w:t>
            </w:r>
            <w:r w:rsidRPr="003663C1">
              <w:rPr>
                <w:rFonts w:cs="Calibri"/>
                <w:sz w:val="22"/>
                <w:szCs w:val="22"/>
              </w:rPr>
              <w:t>. Quotes must include:</w:t>
            </w:r>
          </w:p>
          <w:p w14:paraId="040C5D88" w14:textId="77777777" w:rsidR="004E5160" w:rsidRPr="003663C1" w:rsidRDefault="004E5160" w:rsidP="004E5160">
            <w:pPr>
              <w:numPr>
                <w:ilvl w:val="1"/>
                <w:numId w:val="25"/>
              </w:numPr>
              <w:spacing w:before="120" w:after="120"/>
              <w:contextualSpacing/>
              <w:rPr>
                <w:rFonts w:cs="Calibri"/>
                <w:sz w:val="22"/>
                <w:szCs w:val="22"/>
              </w:rPr>
            </w:pPr>
            <w:r w:rsidRPr="003663C1">
              <w:rPr>
                <w:rFonts w:cs="Calibri"/>
                <w:sz w:val="22"/>
                <w:szCs w:val="22"/>
              </w:rPr>
              <w:t>The supplier’s name and ABN;</w:t>
            </w:r>
          </w:p>
          <w:p w14:paraId="696CDC02" w14:textId="77777777" w:rsidR="004E5160" w:rsidRPr="003663C1" w:rsidRDefault="004E5160" w:rsidP="004E5160">
            <w:pPr>
              <w:numPr>
                <w:ilvl w:val="1"/>
                <w:numId w:val="25"/>
              </w:numPr>
              <w:spacing w:before="120" w:after="120"/>
              <w:contextualSpacing/>
              <w:rPr>
                <w:rFonts w:cs="Calibri"/>
                <w:sz w:val="22"/>
                <w:szCs w:val="22"/>
              </w:rPr>
            </w:pPr>
            <w:r w:rsidRPr="003663C1">
              <w:rPr>
                <w:rFonts w:cs="Calibri"/>
                <w:sz w:val="22"/>
                <w:szCs w:val="22"/>
              </w:rPr>
              <w:t>Date of quote;</w:t>
            </w:r>
          </w:p>
          <w:p w14:paraId="10411C03" w14:textId="77777777" w:rsidR="004E5160" w:rsidRPr="003663C1" w:rsidRDefault="004E5160" w:rsidP="004E5160">
            <w:pPr>
              <w:numPr>
                <w:ilvl w:val="1"/>
                <w:numId w:val="25"/>
              </w:numPr>
              <w:spacing w:before="120" w:after="120"/>
              <w:contextualSpacing/>
              <w:rPr>
                <w:rFonts w:cs="Calibri"/>
                <w:sz w:val="22"/>
                <w:szCs w:val="22"/>
              </w:rPr>
            </w:pPr>
            <w:r w:rsidRPr="003663C1">
              <w:rPr>
                <w:rFonts w:cs="Calibri"/>
                <w:sz w:val="22"/>
                <w:szCs w:val="22"/>
              </w:rPr>
              <w:t>Details of items in the quote and/or details of the service delivered;</w:t>
            </w:r>
          </w:p>
          <w:p w14:paraId="2CDC460E" w14:textId="77777777" w:rsidR="004E5160" w:rsidRPr="003663C1" w:rsidRDefault="004E5160" w:rsidP="004E5160">
            <w:pPr>
              <w:numPr>
                <w:ilvl w:val="1"/>
                <w:numId w:val="25"/>
              </w:numPr>
              <w:spacing w:before="120" w:after="120"/>
              <w:contextualSpacing/>
              <w:rPr>
                <w:rFonts w:cs="Calibri"/>
                <w:sz w:val="22"/>
                <w:szCs w:val="22"/>
              </w:rPr>
            </w:pPr>
            <w:r w:rsidRPr="003663C1">
              <w:rPr>
                <w:rFonts w:cs="Calibri"/>
                <w:sz w:val="22"/>
                <w:szCs w:val="22"/>
              </w:rPr>
              <w:t>Quote amount (including GST);</w:t>
            </w:r>
          </w:p>
          <w:p w14:paraId="19784BF3" w14:textId="77777777" w:rsidR="004E5160" w:rsidRPr="00A820FA" w:rsidRDefault="004E5160" w:rsidP="004E5160">
            <w:pPr>
              <w:numPr>
                <w:ilvl w:val="0"/>
                <w:numId w:val="25"/>
              </w:numPr>
              <w:spacing w:before="120" w:after="120"/>
              <w:contextualSpacing/>
            </w:pPr>
            <w:r w:rsidRPr="003663C1">
              <w:rPr>
                <w:sz w:val="22"/>
                <w:szCs w:val="22"/>
              </w:rPr>
              <w:t>ensure that costs represent value for money and, where required, are based on the quotes obtained; and</w:t>
            </w:r>
          </w:p>
          <w:p w14:paraId="370659FB" w14:textId="77777777" w:rsidR="004E5160" w:rsidRPr="003663C1" w:rsidRDefault="004E5160" w:rsidP="004E5160">
            <w:pPr>
              <w:numPr>
                <w:ilvl w:val="0"/>
                <w:numId w:val="25"/>
              </w:numPr>
              <w:spacing w:before="120" w:after="120"/>
              <w:ind w:left="714" w:hanging="357"/>
              <w:rPr>
                <w:rFonts w:asciiTheme="minorHAnsi" w:hAnsiTheme="minorHAnsi" w:cstheme="minorHAnsi"/>
                <w:sz w:val="22"/>
                <w:szCs w:val="22"/>
              </w:rPr>
            </w:pPr>
            <w:r w:rsidRPr="003663C1">
              <w:rPr>
                <w:rFonts w:asciiTheme="minorHAnsi" w:hAnsiTheme="minorHAnsi" w:cstheme="minorHAnsi"/>
                <w:sz w:val="22"/>
                <w:szCs w:val="22"/>
              </w:rPr>
              <w:t xml:space="preserve">obtain sufficient evidence to enable reimbursement of claims in line with the </w:t>
            </w:r>
            <w:r w:rsidRPr="003663C1">
              <w:rPr>
                <w:sz w:val="22"/>
                <w:szCs w:val="22"/>
              </w:rPr>
              <w:t>Documentary</w:t>
            </w:r>
            <w:r w:rsidRPr="003663C1">
              <w:rPr>
                <w:rFonts w:asciiTheme="minorHAnsi" w:hAnsiTheme="minorHAnsi" w:cstheme="minorHAnsi"/>
                <w:sz w:val="22"/>
                <w:szCs w:val="22"/>
              </w:rPr>
              <w:t xml:space="preserve"> Evidence for Claims for Payment Guidelines</w:t>
            </w:r>
            <w:r>
              <w:rPr>
                <w:rFonts w:asciiTheme="minorHAnsi" w:hAnsiTheme="minorHAnsi" w:cstheme="minorHAnsi"/>
                <w:sz w:val="22"/>
                <w:szCs w:val="22"/>
              </w:rPr>
              <w:t>.</w:t>
            </w:r>
          </w:p>
          <w:p w14:paraId="09B6CE93" w14:textId="77777777" w:rsidR="004E5160" w:rsidRPr="003663C1" w:rsidRDefault="004E5160" w:rsidP="004E5160">
            <w:pPr>
              <w:tabs>
                <w:tab w:val="left" w:pos="0"/>
              </w:tabs>
              <w:rPr>
                <w:rFonts w:asciiTheme="minorHAnsi" w:hAnsiTheme="minorHAnsi" w:cstheme="minorHAnsi"/>
                <w:sz w:val="22"/>
                <w:szCs w:val="22"/>
              </w:rPr>
            </w:pPr>
            <w:r w:rsidRPr="003663C1">
              <w:rPr>
                <w:rFonts w:asciiTheme="minorHAnsi" w:hAnsiTheme="minorHAnsi" w:cstheme="minorHAnsi"/>
                <w:sz w:val="22"/>
                <w:szCs w:val="22"/>
              </w:rPr>
              <w:t>Notes:</w:t>
            </w:r>
          </w:p>
          <w:p w14:paraId="451F8F74" w14:textId="33CCBD96" w:rsidR="004E5160" w:rsidRPr="003663C1" w:rsidRDefault="004E5160" w:rsidP="004E5160">
            <w:pPr>
              <w:numPr>
                <w:ilvl w:val="0"/>
                <w:numId w:val="3"/>
              </w:numPr>
              <w:spacing w:before="120" w:after="120"/>
              <w:contextualSpacing/>
              <w:rPr>
                <w:rFonts w:cs="Calibri"/>
                <w:sz w:val="22"/>
                <w:szCs w:val="22"/>
              </w:rPr>
            </w:pPr>
            <w:r w:rsidRPr="003663C1">
              <w:rPr>
                <w:rFonts w:cs="Calibri"/>
                <w:sz w:val="22"/>
                <w:szCs w:val="22"/>
              </w:rPr>
              <w:t xml:space="preserve">Funding must only be provided where the costs are incurred within </w:t>
            </w:r>
            <w:r w:rsidRPr="003663C1">
              <w:rPr>
                <w:rFonts w:cs="Calibri"/>
                <w:sz w:val="22"/>
                <w:szCs w:val="22"/>
              </w:rPr>
              <w:lastRenderedPageBreak/>
              <w:t xml:space="preserve">the </w:t>
            </w:r>
            <w:proofErr w:type="spellStart"/>
            <w:r w:rsidRPr="003663C1">
              <w:rPr>
                <w:rFonts w:cs="Calibri"/>
                <w:sz w:val="22"/>
                <w:szCs w:val="22"/>
              </w:rPr>
              <w:t>RATTUAJ</w:t>
            </w:r>
            <w:proofErr w:type="spellEnd"/>
            <w:r w:rsidRPr="003663C1">
              <w:rPr>
                <w:rFonts w:cs="Calibri"/>
                <w:sz w:val="22"/>
                <w:szCs w:val="22"/>
              </w:rPr>
              <w:t xml:space="preserve"> Agreement period</w:t>
            </w:r>
            <w:r w:rsidR="00B635DE">
              <w:rPr>
                <w:rFonts w:cs="Calibri"/>
                <w:sz w:val="22"/>
                <w:szCs w:val="22"/>
              </w:rPr>
              <w:t>.</w:t>
            </w:r>
          </w:p>
          <w:p w14:paraId="73C50EDA" w14:textId="66CF3BDE" w:rsidR="004E5160" w:rsidRPr="00372A58" w:rsidRDefault="004E5160" w:rsidP="00B635DE">
            <w:pPr>
              <w:numPr>
                <w:ilvl w:val="0"/>
                <w:numId w:val="3"/>
              </w:numPr>
              <w:spacing w:before="120" w:after="120"/>
              <w:contextualSpacing/>
              <w:rPr>
                <w:b/>
              </w:rPr>
            </w:pPr>
            <w:proofErr w:type="spellStart"/>
            <w:r w:rsidRPr="003663C1">
              <w:rPr>
                <w:rFonts w:cs="Calibri"/>
                <w:szCs w:val="22"/>
              </w:rPr>
              <w:t>RATTUAJ</w:t>
            </w:r>
            <w:proofErr w:type="spellEnd"/>
            <w:r w:rsidRPr="003663C1">
              <w:rPr>
                <w:rFonts w:cs="Calibri"/>
                <w:szCs w:val="22"/>
              </w:rPr>
              <w:t xml:space="preserve"> Payment are paid as a reimbursement to the Participant for costs they incur and/or to the supplier that is providing relocation assistance.</w:t>
            </w:r>
          </w:p>
        </w:tc>
      </w:tr>
      <w:tr w:rsidR="004E5160" w:rsidRPr="00372A58" w14:paraId="5004FCB9" w14:textId="77777777" w:rsidTr="00980F91">
        <w:trPr>
          <w:jc w:val="center"/>
        </w:trPr>
        <w:tc>
          <w:tcPr>
            <w:tcW w:w="3598" w:type="dxa"/>
          </w:tcPr>
          <w:p w14:paraId="4C46EEC3" w14:textId="4DC44132" w:rsidR="00B91303" w:rsidRDefault="00B91303" w:rsidP="00B91303">
            <w:pPr>
              <w:pStyle w:val="TableNumberedleftbold"/>
              <w:spacing w:after="240"/>
              <w:rPr>
                <w:sz w:val="22"/>
              </w:rPr>
            </w:pPr>
            <w:r>
              <w:rPr>
                <w:sz w:val="22"/>
              </w:rPr>
              <w:lastRenderedPageBreak/>
              <w:t>10. The Provider</w:t>
            </w:r>
          </w:p>
          <w:p w14:paraId="06DFAAA2" w14:textId="593E7622" w:rsidR="004E5160" w:rsidRPr="00372A58" w:rsidRDefault="003D6D6C" w:rsidP="004E5160">
            <w:pPr>
              <w:pStyle w:val="TableNumberedleftbold"/>
              <w:rPr>
                <w:szCs w:val="24"/>
              </w:rPr>
            </w:pPr>
            <w:r w:rsidRPr="007758E6">
              <w:rPr>
                <w:sz w:val="22"/>
              </w:rPr>
              <w:t>Up-front (advance) payments</w:t>
            </w:r>
          </w:p>
        </w:tc>
        <w:tc>
          <w:tcPr>
            <w:tcW w:w="6783" w:type="dxa"/>
          </w:tcPr>
          <w:p w14:paraId="1BC126FB" w14:textId="77777777" w:rsidR="003D6D6C" w:rsidRPr="003663C1" w:rsidRDefault="003D6D6C" w:rsidP="003D6D6C">
            <w:pPr>
              <w:spacing w:after="120"/>
              <w:rPr>
                <w:sz w:val="22"/>
                <w:szCs w:val="22"/>
              </w:rPr>
            </w:pPr>
            <w:r w:rsidRPr="003663C1">
              <w:rPr>
                <w:sz w:val="22"/>
                <w:szCs w:val="22"/>
              </w:rPr>
              <w:t>A DES Provider can make up-front payments to the Participant for their expenses (that is, before the expenses are incurred) where a Participant displays financial hardship and the DES Provider cannot make the payment directly to the supplier on behalf of a Participant.</w:t>
            </w:r>
          </w:p>
          <w:p w14:paraId="5C011957" w14:textId="77777777" w:rsidR="003D6D6C" w:rsidRPr="003663C1" w:rsidRDefault="003D6D6C" w:rsidP="003D6D6C">
            <w:pPr>
              <w:spacing w:after="120"/>
              <w:rPr>
                <w:sz w:val="22"/>
                <w:szCs w:val="22"/>
              </w:rPr>
            </w:pPr>
            <w:r w:rsidRPr="003663C1">
              <w:rPr>
                <w:sz w:val="22"/>
                <w:szCs w:val="22"/>
              </w:rPr>
              <w:t xml:space="preserve">‘Financial hardship’ exists where the Participant will be unable to commence the </w:t>
            </w:r>
            <w:proofErr w:type="spellStart"/>
            <w:r w:rsidRPr="003663C1">
              <w:rPr>
                <w:sz w:val="22"/>
                <w:szCs w:val="22"/>
              </w:rPr>
              <w:t>RATTUAJ</w:t>
            </w:r>
            <w:proofErr w:type="spellEnd"/>
            <w:r w:rsidRPr="003663C1">
              <w:rPr>
                <w:sz w:val="22"/>
                <w:szCs w:val="22"/>
              </w:rPr>
              <w:t xml:space="preserve"> Placement if up-front payments are not provided.</w:t>
            </w:r>
          </w:p>
          <w:p w14:paraId="3135F440" w14:textId="77777777" w:rsidR="003D6D6C" w:rsidRPr="003663C1" w:rsidRDefault="003D6D6C" w:rsidP="003D6D6C">
            <w:pPr>
              <w:tabs>
                <w:tab w:val="left" w:pos="0"/>
                <w:tab w:val="left" w:pos="1146"/>
              </w:tabs>
              <w:spacing w:after="120"/>
              <w:rPr>
                <w:rFonts w:asciiTheme="minorHAnsi" w:hAnsiTheme="minorHAnsi" w:cstheme="minorHAnsi"/>
                <w:sz w:val="22"/>
                <w:szCs w:val="22"/>
              </w:rPr>
            </w:pPr>
            <w:r w:rsidRPr="003663C1">
              <w:rPr>
                <w:rFonts w:asciiTheme="minorHAnsi" w:hAnsiTheme="minorHAnsi" w:cstheme="minorHAnsi"/>
                <w:sz w:val="22"/>
                <w:szCs w:val="22"/>
              </w:rPr>
              <w:t>DES Providers must:</w:t>
            </w:r>
          </w:p>
          <w:p w14:paraId="7DE80653" w14:textId="77777777" w:rsidR="003D6D6C" w:rsidRPr="003663C1" w:rsidRDefault="003D6D6C" w:rsidP="003D6D6C">
            <w:pPr>
              <w:numPr>
                <w:ilvl w:val="0"/>
                <w:numId w:val="25"/>
              </w:numPr>
              <w:spacing w:before="120" w:after="120"/>
              <w:contextualSpacing/>
              <w:rPr>
                <w:sz w:val="22"/>
                <w:szCs w:val="22"/>
              </w:rPr>
            </w:pPr>
            <w:r w:rsidRPr="003663C1">
              <w:rPr>
                <w:sz w:val="22"/>
                <w:szCs w:val="22"/>
              </w:rPr>
              <w:t>obtain</w:t>
            </w:r>
            <w:r w:rsidRPr="003663C1">
              <w:rPr>
                <w:rFonts w:asciiTheme="minorHAnsi" w:hAnsiTheme="minorHAnsi" w:cstheme="minorHAnsi"/>
                <w:sz w:val="22"/>
                <w:szCs w:val="22"/>
              </w:rPr>
              <w:t xml:space="preserve"> and retain at least two (unless there is only one supplier) quotes for </w:t>
            </w:r>
            <w:r w:rsidRPr="003663C1">
              <w:rPr>
                <w:rFonts w:cs="Calibri"/>
                <w:sz w:val="22"/>
                <w:szCs w:val="22"/>
              </w:rPr>
              <w:t>the costs</w:t>
            </w:r>
            <w:r w:rsidRPr="003663C1">
              <w:rPr>
                <w:sz w:val="22"/>
                <w:szCs w:val="22"/>
              </w:rPr>
              <w:t>;</w:t>
            </w:r>
          </w:p>
          <w:p w14:paraId="49479E81" w14:textId="77777777" w:rsidR="003D6D6C" w:rsidRPr="003663C1" w:rsidRDefault="003D6D6C" w:rsidP="003D6D6C">
            <w:pPr>
              <w:numPr>
                <w:ilvl w:val="0"/>
                <w:numId w:val="25"/>
              </w:numPr>
              <w:spacing w:before="120" w:after="120"/>
              <w:contextualSpacing/>
              <w:rPr>
                <w:sz w:val="22"/>
                <w:szCs w:val="22"/>
              </w:rPr>
            </w:pPr>
            <w:r w:rsidRPr="003663C1">
              <w:rPr>
                <w:sz w:val="22"/>
                <w:szCs w:val="22"/>
              </w:rPr>
              <w:t>ensure that up-front payments also represent value for money and, where required, are based on the quotes obtained;</w:t>
            </w:r>
          </w:p>
          <w:p w14:paraId="5B989A8C" w14:textId="77777777" w:rsidR="003D6D6C" w:rsidRPr="003663C1" w:rsidRDefault="003D6D6C" w:rsidP="003D6D6C">
            <w:pPr>
              <w:numPr>
                <w:ilvl w:val="0"/>
                <w:numId w:val="25"/>
              </w:numPr>
              <w:spacing w:before="120" w:after="120"/>
              <w:contextualSpacing/>
              <w:rPr>
                <w:sz w:val="22"/>
                <w:szCs w:val="22"/>
              </w:rPr>
            </w:pPr>
            <w:r w:rsidRPr="003663C1">
              <w:rPr>
                <w:sz w:val="22"/>
                <w:szCs w:val="22"/>
              </w:rPr>
              <w:t>be reasonably satisfied that payments have been used as agreed with the Participant (e.g. receipts were sighted or kept on record); and</w:t>
            </w:r>
          </w:p>
          <w:p w14:paraId="4DA1B762" w14:textId="086DC4FB" w:rsidR="004E5160" w:rsidRPr="00372A58" w:rsidRDefault="003D6D6C" w:rsidP="00C86F50">
            <w:pPr>
              <w:numPr>
                <w:ilvl w:val="0"/>
                <w:numId w:val="25"/>
              </w:numPr>
              <w:spacing w:before="120" w:after="120"/>
              <w:contextualSpacing/>
              <w:rPr>
                <w:b/>
              </w:rPr>
            </w:pPr>
            <w:r w:rsidRPr="003663C1">
              <w:rPr>
                <w:szCs w:val="22"/>
              </w:rPr>
              <w:t>ensure that extra funding of the same type of expense is only provided after the Participant demonstrates that the initial up-front payment is insufficient. For example, if $200 is initially provided for fuel and the actual fuel costs is $250, the additional $50 can be provided.</w:t>
            </w:r>
          </w:p>
        </w:tc>
      </w:tr>
      <w:tr w:rsidR="004E5160" w:rsidRPr="00372A58" w14:paraId="5070BD81" w14:textId="77777777" w:rsidTr="00980F91">
        <w:trPr>
          <w:jc w:val="center"/>
        </w:trPr>
        <w:tc>
          <w:tcPr>
            <w:tcW w:w="3598" w:type="dxa"/>
          </w:tcPr>
          <w:p w14:paraId="467E6E26" w14:textId="4D438519" w:rsidR="00EA7F54" w:rsidRDefault="00EA7F54" w:rsidP="00EA7F54">
            <w:pPr>
              <w:pStyle w:val="TableNumberedleftbold"/>
              <w:spacing w:after="120"/>
              <w:rPr>
                <w:sz w:val="22"/>
              </w:rPr>
            </w:pPr>
            <w:r>
              <w:rPr>
                <w:sz w:val="22"/>
              </w:rPr>
              <w:t>11. The Provider</w:t>
            </w:r>
          </w:p>
          <w:p w14:paraId="302ABA52" w14:textId="55A2D989" w:rsidR="004E5160" w:rsidRPr="00372A58" w:rsidRDefault="00CB099A" w:rsidP="004E5160">
            <w:pPr>
              <w:pStyle w:val="TableNumberedleftbold"/>
              <w:rPr>
                <w:szCs w:val="24"/>
              </w:rPr>
            </w:pPr>
            <w:r w:rsidRPr="007758E6">
              <w:rPr>
                <w:sz w:val="22"/>
              </w:rPr>
              <w:t>Goods and Services Tax (GST)</w:t>
            </w:r>
          </w:p>
        </w:tc>
        <w:tc>
          <w:tcPr>
            <w:tcW w:w="6783" w:type="dxa"/>
          </w:tcPr>
          <w:p w14:paraId="723AAFA2" w14:textId="4347A4BD" w:rsidR="004E5160" w:rsidRPr="00372A58" w:rsidRDefault="00CB099A" w:rsidP="00CB099A">
            <w:pPr>
              <w:pStyle w:val="Level2NumberBullet"/>
              <w:numPr>
                <w:ilvl w:val="0"/>
                <w:numId w:val="0"/>
              </w:numPr>
              <w:rPr>
                <w:b/>
                <w:sz w:val="24"/>
              </w:rPr>
            </w:pPr>
            <w:r w:rsidRPr="003663C1">
              <w:rPr>
                <w:rFonts w:asciiTheme="minorHAnsi" w:hAnsiTheme="minorHAnsi" w:cstheme="minorHAnsi"/>
                <w:szCs w:val="22"/>
              </w:rPr>
              <w:t xml:space="preserve">DES Providers need to consider any tax liability and </w:t>
            </w:r>
            <w:r w:rsidRPr="003663C1" w:rsidDel="00E92D50">
              <w:rPr>
                <w:rFonts w:asciiTheme="minorHAnsi" w:hAnsiTheme="minorHAnsi" w:cstheme="minorHAnsi"/>
                <w:szCs w:val="22"/>
              </w:rPr>
              <w:t>GST</w:t>
            </w:r>
            <w:r w:rsidRPr="003663C1">
              <w:rPr>
                <w:rFonts w:asciiTheme="minorHAnsi" w:hAnsiTheme="minorHAnsi" w:cstheme="minorHAnsi"/>
                <w:szCs w:val="22"/>
              </w:rPr>
              <w:t xml:space="preserve"> implications and obtain their own taxation advice.</w:t>
            </w:r>
          </w:p>
        </w:tc>
      </w:tr>
      <w:tr w:rsidR="004E5160" w:rsidRPr="00372A58" w14:paraId="1141A979" w14:textId="77777777" w:rsidTr="00980F91">
        <w:trPr>
          <w:jc w:val="center"/>
        </w:trPr>
        <w:tc>
          <w:tcPr>
            <w:tcW w:w="3598" w:type="dxa"/>
          </w:tcPr>
          <w:p w14:paraId="4015009B" w14:textId="77777777" w:rsidR="003A5337" w:rsidRDefault="003A5337" w:rsidP="003A5337">
            <w:pPr>
              <w:spacing w:after="240"/>
              <w:rPr>
                <w:b/>
                <w:sz w:val="22"/>
                <w:szCs w:val="22"/>
              </w:rPr>
            </w:pPr>
            <w:r>
              <w:rPr>
                <w:b/>
                <w:sz w:val="22"/>
                <w:szCs w:val="22"/>
              </w:rPr>
              <w:t>12. The Provider</w:t>
            </w:r>
          </w:p>
          <w:p w14:paraId="21808BCE" w14:textId="519613BB" w:rsidR="00D54659" w:rsidRPr="003A5337" w:rsidRDefault="00D54659" w:rsidP="003A5337">
            <w:pPr>
              <w:spacing w:after="240"/>
              <w:rPr>
                <w:b/>
                <w:sz w:val="22"/>
                <w:szCs w:val="22"/>
              </w:rPr>
            </w:pPr>
            <w:r w:rsidRPr="007758E6">
              <w:rPr>
                <w:b/>
                <w:sz w:val="22"/>
                <w:szCs w:val="22"/>
              </w:rPr>
              <w:t>Claiming reimbursement</w:t>
            </w:r>
          </w:p>
          <w:p w14:paraId="5B802D69" w14:textId="24366A2C" w:rsidR="00D54659" w:rsidRPr="00D573B9" w:rsidRDefault="00AB22B3" w:rsidP="00D54659">
            <w:pPr>
              <w:rPr>
                <w:rFonts w:asciiTheme="minorHAnsi" w:hAnsiTheme="minorHAnsi" w:cstheme="minorHAnsi"/>
                <w:i/>
                <w:sz w:val="22"/>
                <w:szCs w:val="22"/>
              </w:rPr>
            </w:pPr>
            <w:r w:rsidRPr="007758E6">
              <w:rPr>
                <w:i/>
                <w:sz w:val="22"/>
                <w:szCs w:val="22"/>
              </w:rPr>
              <w:t>Disab</w:t>
            </w:r>
            <w:r>
              <w:rPr>
                <w:i/>
                <w:sz w:val="22"/>
                <w:szCs w:val="22"/>
              </w:rPr>
              <w:t>ility Employment Services</w:t>
            </w:r>
            <w:r w:rsidRPr="007758E6">
              <w:rPr>
                <w:i/>
                <w:sz w:val="22"/>
                <w:szCs w:val="22"/>
              </w:rPr>
              <w:t xml:space="preserve"> </w:t>
            </w:r>
            <w:r w:rsidR="00D54659" w:rsidRPr="00D573B9">
              <w:rPr>
                <w:rFonts w:asciiTheme="minorHAnsi" w:hAnsiTheme="minorHAnsi" w:cstheme="minorHAnsi"/>
                <w:bCs/>
                <w:i/>
                <w:sz w:val="22"/>
                <w:szCs w:val="22"/>
              </w:rPr>
              <w:t>Grant Agreement Clause</w:t>
            </w:r>
            <w:r w:rsidR="00D54659" w:rsidRPr="00D573B9">
              <w:rPr>
                <w:rFonts w:asciiTheme="minorHAnsi" w:hAnsiTheme="minorHAnsi" w:cstheme="minorHAnsi"/>
                <w:i/>
                <w:sz w:val="22"/>
                <w:szCs w:val="22"/>
              </w:rPr>
              <w:t>s References:</w:t>
            </w:r>
          </w:p>
          <w:p w14:paraId="5F5AEB3C" w14:textId="77777777" w:rsidR="00D54659" w:rsidRPr="003A5337" w:rsidRDefault="00D54659" w:rsidP="003A5337">
            <w:pPr>
              <w:pStyle w:val="ListParagraph"/>
              <w:numPr>
                <w:ilvl w:val="0"/>
                <w:numId w:val="46"/>
              </w:numPr>
              <w:spacing w:after="240"/>
              <w:rPr>
                <w:rFonts w:asciiTheme="minorHAnsi" w:hAnsiTheme="minorHAnsi" w:cstheme="minorHAnsi"/>
                <w:sz w:val="22"/>
                <w:szCs w:val="22"/>
              </w:rPr>
            </w:pPr>
            <w:r w:rsidRPr="003A5337">
              <w:rPr>
                <w:rFonts w:asciiTheme="minorHAnsi" w:hAnsiTheme="minorHAnsi" w:cstheme="minorHAnsi"/>
                <w:sz w:val="22"/>
                <w:szCs w:val="22"/>
              </w:rPr>
              <w:t>Annexure A – Definitions</w:t>
            </w:r>
          </w:p>
          <w:p w14:paraId="69C12D42" w14:textId="3DFF51AF" w:rsidR="004E5160" w:rsidRPr="00372A58" w:rsidRDefault="00D54659" w:rsidP="003A5337">
            <w:pPr>
              <w:pStyle w:val="ListParagraph"/>
              <w:numPr>
                <w:ilvl w:val="0"/>
                <w:numId w:val="46"/>
              </w:numPr>
              <w:spacing w:after="240"/>
            </w:pPr>
            <w:r w:rsidRPr="00253F53">
              <w:rPr>
                <w:rFonts w:asciiTheme="minorHAnsi" w:hAnsiTheme="minorHAnsi" w:cstheme="minorHAnsi"/>
                <w:sz w:val="22"/>
              </w:rPr>
              <w:t>Clause 157</w:t>
            </w:r>
          </w:p>
        </w:tc>
        <w:tc>
          <w:tcPr>
            <w:tcW w:w="6783" w:type="dxa"/>
          </w:tcPr>
          <w:p w14:paraId="32F23756" w14:textId="5BA3BCF4" w:rsidR="004E5160" w:rsidRPr="00372A58" w:rsidRDefault="00D54659" w:rsidP="00D54659">
            <w:pPr>
              <w:pStyle w:val="Level2NumberBullet"/>
              <w:numPr>
                <w:ilvl w:val="0"/>
                <w:numId w:val="0"/>
              </w:numPr>
              <w:rPr>
                <w:b/>
                <w:sz w:val="24"/>
              </w:rPr>
            </w:pPr>
            <w:r w:rsidRPr="00253F53">
              <w:rPr>
                <w:rFonts w:asciiTheme="minorHAnsi" w:hAnsiTheme="minorHAnsi" w:cstheme="minorHAnsi"/>
                <w:szCs w:val="22"/>
              </w:rPr>
              <w:t>DES Providers</w:t>
            </w:r>
            <w:r w:rsidRPr="00253F53">
              <w:rPr>
                <w:rFonts w:cs="Calibri"/>
                <w:szCs w:val="22"/>
              </w:rPr>
              <w:t xml:space="preserve"> must submit a claim using the Department’s IT Systems and must retain Documentary Evidence in accordance with the </w:t>
            </w:r>
            <w:hyperlink r:id="rId14" w:history="1">
              <w:r w:rsidRPr="00253F53">
                <w:rPr>
                  <w:rFonts w:cs="Calibri"/>
                  <w:szCs w:val="22"/>
                </w:rPr>
                <w:t xml:space="preserve">Documentary Evidence </w:t>
              </w:r>
              <w:r w:rsidRPr="00253F53">
                <w:rPr>
                  <w:rFonts w:asciiTheme="minorHAnsi" w:hAnsiTheme="minorHAnsi" w:cstheme="minorHAnsi"/>
                  <w:szCs w:val="22"/>
                </w:rPr>
                <w:t xml:space="preserve">for Claims for Payment </w:t>
              </w:r>
              <w:r w:rsidRPr="00253F53">
                <w:rPr>
                  <w:rFonts w:cs="Calibri"/>
                  <w:szCs w:val="22"/>
                </w:rPr>
                <w:t>Guideline</w:t>
              </w:r>
            </w:hyperlink>
            <w:r w:rsidRPr="00253F53">
              <w:rPr>
                <w:rFonts w:cs="Calibri"/>
                <w:szCs w:val="22"/>
              </w:rPr>
              <w:t>s.</w:t>
            </w:r>
          </w:p>
        </w:tc>
      </w:tr>
      <w:tr w:rsidR="004E5160" w:rsidRPr="00372A58" w14:paraId="5C7165C4" w14:textId="77777777" w:rsidTr="00980F91">
        <w:trPr>
          <w:jc w:val="center"/>
        </w:trPr>
        <w:tc>
          <w:tcPr>
            <w:tcW w:w="3598" w:type="dxa"/>
          </w:tcPr>
          <w:p w14:paraId="1DAABEEA" w14:textId="477205B9" w:rsidR="000D7E92" w:rsidRDefault="000D7E92" w:rsidP="000D7E92">
            <w:pPr>
              <w:spacing w:after="240"/>
              <w:rPr>
                <w:b/>
                <w:sz w:val="22"/>
                <w:szCs w:val="22"/>
              </w:rPr>
            </w:pPr>
            <w:r>
              <w:rPr>
                <w:b/>
                <w:sz w:val="22"/>
                <w:szCs w:val="22"/>
              </w:rPr>
              <w:t>13. The Provider</w:t>
            </w:r>
          </w:p>
          <w:p w14:paraId="5791B26A" w14:textId="2B436B89" w:rsidR="004E5160" w:rsidRPr="000D7E92" w:rsidRDefault="00364A0C" w:rsidP="000D7E92">
            <w:pPr>
              <w:rPr>
                <w:b/>
                <w:sz w:val="22"/>
                <w:szCs w:val="22"/>
              </w:rPr>
            </w:pPr>
            <w:r w:rsidRPr="007758E6">
              <w:rPr>
                <w:b/>
                <w:sz w:val="22"/>
                <w:szCs w:val="22"/>
              </w:rPr>
              <w:t>12 week non-payment period</w:t>
            </w:r>
          </w:p>
        </w:tc>
        <w:tc>
          <w:tcPr>
            <w:tcW w:w="6783" w:type="dxa"/>
          </w:tcPr>
          <w:p w14:paraId="105E06DD" w14:textId="77777777" w:rsidR="00364A0C" w:rsidRPr="00253F53" w:rsidRDefault="00364A0C" w:rsidP="00364A0C">
            <w:pPr>
              <w:tabs>
                <w:tab w:val="left" w:pos="0"/>
              </w:tabs>
              <w:rPr>
                <w:rFonts w:asciiTheme="minorHAnsi" w:hAnsiTheme="minorHAnsi" w:cstheme="minorHAnsi"/>
                <w:sz w:val="22"/>
                <w:szCs w:val="22"/>
              </w:rPr>
            </w:pPr>
            <w:r w:rsidRPr="00253F53">
              <w:rPr>
                <w:sz w:val="22"/>
                <w:szCs w:val="22"/>
              </w:rPr>
              <w:t xml:space="preserve">DES Providers must advise the </w:t>
            </w:r>
            <w:r w:rsidRPr="00253F53">
              <w:rPr>
                <w:rFonts w:asciiTheme="minorHAnsi" w:hAnsiTheme="minorHAnsi" w:cstheme="minorHAnsi"/>
                <w:sz w:val="22"/>
                <w:szCs w:val="22"/>
              </w:rPr>
              <w:t>Participant that they may be subject to an unemployment non-payment period of 12 weeks if, without a Reasonable Excuse, they:</w:t>
            </w:r>
          </w:p>
          <w:p w14:paraId="0239F4FA" w14:textId="77777777" w:rsidR="00364A0C" w:rsidRPr="00253F53" w:rsidRDefault="00364A0C" w:rsidP="00364A0C">
            <w:pPr>
              <w:numPr>
                <w:ilvl w:val="0"/>
                <w:numId w:val="25"/>
              </w:numPr>
              <w:spacing w:before="120" w:after="120"/>
              <w:contextualSpacing/>
              <w:rPr>
                <w:sz w:val="22"/>
                <w:szCs w:val="22"/>
              </w:rPr>
            </w:pPr>
            <w:r w:rsidRPr="00253F53">
              <w:rPr>
                <w:sz w:val="22"/>
                <w:szCs w:val="22"/>
              </w:rPr>
              <w:t>voluntarily leave a relocation job within the first six months;</w:t>
            </w:r>
          </w:p>
          <w:p w14:paraId="0477C023" w14:textId="77777777" w:rsidR="00364A0C" w:rsidRPr="00253F53" w:rsidRDefault="00364A0C" w:rsidP="00364A0C">
            <w:pPr>
              <w:numPr>
                <w:ilvl w:val="0"/>
                <w:numId w:val="25"/>
              </w:numPr>
              <w:spacing w:before="120" w:after="120"/>
              <w:contextualSpacing/>
              <w:rPr>
                <w:sz w:val="22"/>
                <w:szCs w:val="22"/>
              </w:rPr>
            </w:pPr>
            <w:r w:rsidRPr="00253F53">
              <w:rPr>
                <w:sz w:val="22"/>
                <w:szCs w:val="22"/>
              </w:rPr>
              <w:t>have their employment terminated due to misconduct; or</w:t>
            </w:r>
          </w:p>
          <w:p w14:paraId="0112C3BB" w14:textId="77777777" w:rsidR="00364A0C" w:rsidRPr="00253F53" w:rsidRDefault="00364A0C" w:rsidP="00364A0C">
            <w:pPr>
              <w:numPr>
                <w:ilvl w:val="0"/>
                <w:numId w:val="25"/>
              </w:numPr>
              <w:spacing w:before="120" w:after="120"/>
              <w:ind w:left="714" w:hanging="357"/>
              <w:rPr>
                <w:rFonts w:asciiTheme="minorHAnsi" w:hAnsiTheme="minorHAnsi" w:cstheme="minorHAnsi"/>
                <w:sz w:val="22"/>
                <w:szCs w:val="22"/>
              </w:rPr>
            </w:pPr>
            <w:r w:rsidRPr="00253F53">
              <w:rPr>
                <w:sz w:val="22"/>
                <w:szCs w:val="22"/>
              </w:rPr>
              <w:t>accept the</w:t>
            </w:r>
            <w:r w:rsidRPr="00253F53">
              <w:rPr>
                <w:rFonts w:asciiTheme="minorHAnsi" w:hAnsiTheme="minorHAnsi" w:cstheme="minorHAnsi"/>
                <w:sz w:val="22"/>
                <w:szCs w:val="22"/>
              </w:rPr>
              <w:t xml:space="preserve"> job but do not commence employment.</w:t>
            </w:r>
          </w:p>
          <w:p w14:paraId="47EB8C34" w14:textId="77777777" w:rsidR="00364A0C" w:rsidRPr="00253F53" w:rsidRDefault="00364A0C" w:rsidP="00364A0C">
            <w:pPr>
              <w:spacing w:after="120"/>
              <w:rPr>
                <w:sz w:val="22"/>
                <w:szCs w:val="22"/>
              </w:rPr>
            </w:pPr>
            <w:r w:rsidRPr="00253F53">
              <w:rPr>
                <w:rFonts w:cstheme="minorHAnsi"/>
                <w:sz w:val="22"/>
                <w:szCs w:val="22"/>
              </w:rPr>
              <w:t>DES Providers should submit a Participation Report in the above circumstances, where appropriate.</w:t>
            </w:r>
          </w:p>
          <w:p w14:paraId="0B76824C" w14:textId="326E8914" w:rsidR="004E5160" w:rsidRPr="00372A58" w:rsidRDefault="00364A0C" w:rsidP="006D3C28">
            <w:pPr>
              <w:pStyle w:val="Level2NumberBullet"/>
              <w:numPr>
                <w:ilvl w:val="0"/>
                <w:numId w:val="0"/>
              </w:numPr>
              <w:rPr>
                <w:b/>
                <w:sz w:val="24"/>
              </w:rPr>
            </w:pPr>
            <w:r w:rsidRPr="00253F53">
              <w:rPr>
                <w:szCs w:val="22"/>
              </w:rPr>
              <w:t>Where DES Providers cannot submit Participation Reports using the Department’s IT Systems, DES Providers must send an email to their Account Manager containing the details of the Participation Report.</w:t>
            </w:r>
          </w:p>
        </w:tc>
      </w:tr>
      <w:tr w:rsidR="004E5160" w:rsidRPr="00372A58" w14:paraId="37771ECD" w14:textId="77777777" w:rsidTr="00980F91">
        <w:trPr>
          <w:jc w:val="center"/>
        </w:trPr>
        <w:tc>
          <w:tcPr>
            <w:tcW w:w="3598" w:type="dxa"/>
          </w:tcPr>
          <w:p w14:paraId="0D46BC58" w14:textId="32EFAC67" w:rsidR="006D3C28" w:rsidRDefault="006D3C28" w:rsidP="006D3C28">
            <w:pPr>
              <w:spacing w:after="240"/>
              <w:rPr>
                <w:b/>
                <w:sz w:val="22"/>
                <w:szCs w:val="22"/>
              </w:rPr>
            </w:pPr>
            <w:r>
              <w:rPr>
                <w:b/>
                <w:sz w:val="22"/>
                <w:szCs w:val="22"/>
              </w:rPr>
              <w:t>14. The Provider</w:t>
            </w:r>
          </w:p>
          <w:p w14:paraId="212C83BD" w14:textId="37D1F8E8" w:rsidR="00322D37" w:rsidRPr="007758E6" w:rsidRDefault="00322D37" w:rsidP="00322D37">
            <w:pPr>
              <w:rPr>
                <w:b/>
                <w:sz w:val="22"/>
                <w:szCs w:val="22"/>
              </w:rPr>
            </w:pPr>
            <w:r w:rsidRPr="007758E6">
              <w:rPr>
                <w:b/>
                <w:sz w:val="22"/>
                <w:szCs w:val="22"/>
              </w:rPr>
              <w:t>Transfer of the Participant</w:t>
            </w:r>
          </w:p>
          <w:p w14:paraId="2BE86A30" w14:textId="77777777" w:rsidR="00DF7DB0" w:rsidRDefault="00DF7DB0" w:rsidP="00DF7DB0">
            <w:pPr>
              <w:rPr>
                <w:rFonts w:asciiTheme="minorHAnsi" w:hAnsiTheme="minorHAnsi" w:cstheme="minorHAnsi"/>
                <w:i/>
                <w:sz w:val="22"/>
                <w:szCs w:val="22"/>
              </w:rPr>
            </w:pPr>
          </w:p>
          <w:p w14:paraId="1655146F" w14:textId="113F2B43" w:rsidR="00DF7DB0" w:rsidRPr="00E2318E" w:rsidRDefault="001A0759" w:rsidP="00DF7DB0">
            <w:pPr>
              <w:rPr>
                <w:rFonts w:asciiTheme="minorHAnsi" w:hAnsiTheme="minorHAnsi" w:cstheme="minorHAnsi"/>
                <w:i/>
                <w:sz w:val="22"/>
                <w:szCs w:val="22"/>
              </w:rPr>
            </w:pPr>
            <w:r w:rsidRPr="007758E6">
              <w:rPr>
                <w:i/>
                <w:sz w:val="22"/>
                <w:szCs w:val="22"/>
              </w:rPr>
              <w:t>Disab</w:t>
            </w:r>
            <w:r>
              <w:rPr>
                <w:i/>
                <w:sz w:val="22"/>
                <w:szCs w:val="22"/>
              </w:rPr>
              <w:t>ility Employment Services</w:t>
            </w:r>
            <w:r w:rsidRPr="007758E6">
              <w:rPr>
                <w:i/>
                <w:sz w:val="22"/>
                <w:szCs w:val="22"/>
              </w:rPr>
              <w:t xml:space="preserve"> </w:t>
            </w:r>
            <w:r w:rsidR="00DF7DB0" w:rsidRPr="00E2318E">
              <w:rPr>
                <w:rFonts w:asciiTheme="minorHAnsi" w:hAnsiTheme="minorHAnsi" w:cstheme="minorHAnsi"/>
                <w:bCs/>
                <w:i/>
                <w:sz w:val="22"/>
                <w:szCs w:val="22"/>
              </w:rPr>
              <w:t>Grant Agreement Clause</w:t>
            </w:r>
            <w:r w:rsidR="00DF7DB0" w:rsidRPr="00E2318E">
              <w:rPr>
                <w:rFonts w:asciiTheme="minorHAnsi" w:hAnsiTheme="minorHAnsi" w:cstheme="minorHAnsi"/>
                <w:i/>
                <w:sz w:val="22"/>
                <w:szCs w:val="22"/>
              </w:rPr>
              <w:t xml:space="preserve"> Reference:</w:t>
            </w:r>
          </w:p>
          <w:p w14:paraId="5FD35499" w14:textId="3087B3A2" w:rsidR="004E5160" w:rsidRPr="006D3C28" w:rsidRDefault="00DF7DB0" w:rsidP="006D3C28">
            <w:pPr>
              <w:pStyle w:val="TableNumberedleftbold"/>
              <w:numPr>
                <w:ilvl w:val="0"/>
                <w:numId w:val="47"/>
              </w:numPr>
              <w:rPr>
                <w:b w:val="0"/>
                <w:szCs w:val="24"/>
              </w:rPr>
            </w:pPr>
            <w:r w:rsidRPr="006D3C28">
              <w:rPr>
                <w:rFonts w:asciiTheme="minorHAnsi" w:hAnsiTheme="minorHAnsi" w:cstheme="minorHAnsi"/>
                <w:b w:val="0"/>
                <w:sz w:val="22"/>
              </w:rPr>
              <w:t>Clause 157</w:t>
            </w:r>
          </w:p>
        </w:tc>
        <w:tc>
          <w:tcPr>
            <w:tcW w:w="6783" w:type="dxa"/>
          </w:tcPr>
          <w:p w14:paraId="674F7A08" w14:textId="77777777" w:rsidR="00322D37" w:rsidRPr="00E2318E" w:rsidRDefault="00322D37" w:rsidP="00322D37">
            <w:pPr>
              <w:spacing w:after="120"/>
              <w:rPr>
                <w:sz w:val="22"/>
                <w:szCs w:val="22"/>
              </w:rPr>
            </w:pPr>
            <w:r w:rsidRPr="00E2318E">
              <w:rPr>
                <w:sz w:val="22"/>
                <w:szCs w:val="22"/>
              </w:rPr>
              <w:lastRenderedPageBreak/>
              <w:t>DES Participants will not automatically transfer to a new DES Provider where the person relocates to a n</w:t>
            </w:r>
            <w:r>
              <w:rPr>
                <w:sz w:val="22"/>
                <w:szCs w:val="22"/>
              </w:rPr>
              <w:t xml:space="preserve">ew location as part of </w:t>
            </w:r>
            <w:proofErr w:type="spellStart"/>
            <w:r>
              <w:rPr>
                <w:sz w:val="22"/>
                <w:szCs w:val="22"/>
              </w:rPr>
              <w:t>RATTUAJ</w:t>
            </w:r>
            <w:proofErr w:type="spellEnd"/>
            <w:r>
              <w:rPr>
                <w:sz w:val="22"/>
                <w:szCs w:val="22"/>
              </w:rPr>
              <w:t>.</w:t>
            </w:r>
          </w:p>
          <w:p w14:paraId="6F097ED0" w14:textId="77777777" w:rsidR="00322D37" w:rsidRPr="00E2318E" w:rsidRDefault="00322D37" w:rsidP="00322D37">
            <w:pPr>
              <w:spacing w:after="120"/>
              <w:rPr>
                <w:sz w:val="22"/>
                <w:szCs w:val="22"/>
              </w:rPr>
            </w:pPr>
            <w:r w:rsidRPr="00E2318E">
              <w:rPr>
                <w:sz w:val="22"/>
                <w:szCs w:val="22"/>
              </w:rPr>
              <w:lastRenderedPageBreak/>
              <w:t xml:space="preserve">DES Providers will be able to manually transfer Participants between Sites and DES Providers. If a Participant transfers to another DES Provider or to </w:t>
            </w:r>
            <w:proofErr w:type="spellStart"/>
            <w:r w:rsidRPr="00E2318E">
              <w:rPr>
                <w:sz w:val="22"/>
                <w:szCs w:val="22"/>
              </w:rPr>
              <w:t>jobactive</w:t>
            </w:r>
            <w:proofErr w:type="spellEnd"/>
            <w:r w:rsidRPr="00E2318E">
              <w:rPr>
                <w:sz w:val="22"/>
                <w:szCs w:val="22"/>
              </w:rPr>
              <w:t xml:space="preserve"> then both the gaining and losing DES Providers must negotiate the servicing of the Participant in accorda</w:t>
            </w:r>
            <w:r>
              <w:rPr>
                <w:sz w:val="22"/>
                <w:szCs w:val="22"/>
              </w:rPr>
              <w:t xml:space="preserve">nce with the </w:t>
            </w:r>
            <w:proofErr w:type="spellStart"/>
            <w:r>
              <w:rPr>
                <w:sz w:val="22"/>
                <w:szCs w:val="22"/>
              </w:rPr>
              <w:t>RATTUAJ</w:t>
            </w:r>
            <w:proofErr w:type="spellEnd"/>
            <w:r>
              <w:rPr>
                <w:sz w:val="22"/>
                <w:szCs w:val="22"/>
              </w:rPr>
              <w:t xml:space="preserve"> Agreement.</w:t>
            </w:r>
          </w:p>
          <w:p w14:paraId="49615E9A" w14:textId="5A52DFB5" w:rsidR="004E5160" w:rsidRPr="00372A58" w:rsidRDefault="00322D37" w:rsidP="00322D37">
            <w:pPr>
              <w:pStyle w:val="Level2NumberBullet"/>
              <w:numPr>
                <w:ilvl w:val="0"/>
                <w:numId w:val="0"/>
              </w:numPr>
              <w:rPr>
                <w:b/>
                <w:sz w:val="24"/>
              </w:rPr>
            </w:pPr>
            <w:r w:rsidRPr="00E2318E">
              <w:rPr>
                <w:rFonts w:asciiTheme="minorHAnsi" w:hAnsiTheme="minorHAnsi" w:cstheme="minorHAnsi"/>
                <w:szCs w:val="22"/>
              </w:rPr>
              <w:t xml:space="preserve">If the gaining DES Provider is to make any claims for servicing the Participant, both the DES Provider </w:t>
            </w:r>
            <w:r w:rsidRPr="00E2318E">
              <w:rPr>
                <w:szCs w:val="22"/>
              </w:rPr>
              <w:t xml:space="preserve">and the Participant must sign a </w:t>
            </w:r>
            <w:proofErr w:type="spellStart"/>
            <w:r w:rsidRPr="00E2318E">
              <w:rPr>
                <w:szCs w:val="22"/>
              </w:rPr>
              <w:t>RATTUAJ</w:t>
            </w:r>
            <w:proofErr w:type="spellEnd"/>
            <w:r w:rsidRPr="00E2318E">
              <w:rPr>
                <w:szCs w:val="22"/>
              </w:rPr>
              <w:t xml:space="preserve"> Agreement transfer. To enact a </w:t>
            </w:r>
            <w:proofErr w:type="spellStart"/>
            <w:r w:rsidRPr="00E2318E">
              <w:rPr>
                <w:szCs w:val="22"/>
              </w:rPr>
              <w:t>RATTUAJ</w:t>
            </w:r>
            <w:proofErr w:type="spellEnd"/>
            <w:r w:rsidRPr="00E2318E">
              <w:rPr>
                <w:szCs w:val="22"/>
              </w:rPr>
              <w:t xml:space="preserve"> Agreement transfer in the Department’s IT Systems, please email your Account Manager.</w:t>
            </w:r>
          </w:p>
        </w:tc>
      </w:tr>
      <w:tr w:rsidR="004E5160" w:rsidRPr="00372A58" w14:paraId="4BF3B473" w14:textId="77777777" w:rsidTr="00980F91">
        <w:trPr>
          <w:jc w:val="center"/>
        </w:trPr>
        <w:tc>
          <w:tcPr>
            <w:tcW w:w="3598" w:type="dxa"/>
          </w:tcPr>
          <w:p w14:paraId="739977A0" w14:textId="77777777" w:rsidR="00A31899" w:rsidRDefault="00A31899" w:rsidP="00A31899">
            <w:pPr>
              <w:pStyle w:val="TableNumberedleftbold"/>
              <w:spacing w:after="240"/>
              <w:rPr>
                <w:sz w:val="22"/>
              </w:rPr>
            </w:pPr>
            <w:r>
              <w:rPr>
                <w:sz w:val="22"/>
              </w:rPr>
              <w:lastRenderedPageBreak/>
              <w:t>15. The Provider/The Department</w:t>
            </w:r>
          </w:p>
          <w:p w14:paraId="7CCD7A37" w14:textId="37488169" w:rsidR="004E5160" w:rsidRPr="00372A58" w:rsidRDefault="00AF0EDB" w:rsidP="004E5160">
            <w:pPr>
              <w:pStyle w:val="TableNumberedleftbold"/>
              <w:rPr>
                <w:szCs w:val="24"/>
              </w:rPr>
            </w:pPr>
            <w:r w:rsidRPr="007758E6">
              <w:rPr>
                <w:sz w:val="22"/>
              </w:rPr>
              <w:t>More information</w:t>
            </w:r>
          </w:p>
        </w:tc>
        <w:tc>
          <w:tcPr>
            <w:tcW w:w="6783" w:type="dxa"/>
          </w:tcPr>
          <w:p w14:paraId="71D6792D" w14:textId="77D6131F" w:rsidR="004E5160" w:rsidRPr="00372A58" w:rsidRDefault="00AF0EDB" w:rsidP="00AF0EDB">
            <w:pPr>
              <w:pStyle w:val="Level2NumberBullet"/>
              <w:numPr>
                <w:ilvl w:val="0"/>
                <w:numId w:val="0"/>
              </w:numPr>
              <w:rPr>
                <w:b/>
                <w:sz w:val="24"/>
              </w:rPr>
            </w:pPr>
            <w:r w:rsidRPr="001018FA">
              <w:rPr>
                <w:rFonts w:asciiTheme="minorHAnsi" w:hAnsiTheme="minorHAnsi" w:cstheme="minorHAnsi"/>
                <w:szCs w:val="22"/>
              </w:rPr>
              <w:t>If you require further information, you can email your Account Manager. A response will be provided within 10 Business Days.</w:t>
            </w:r>
          </w:p>
        </w:tc>
      </w:tr>
    </w:tbl>
    <w:p w14:paraId="07708BE9" w14:textId="2F411E8C" w:rsidR="004F62B1" w:rsidRDefault="004F62B1" w:rsidP="004F62B1"/>
    <w:p w14:paraId="4366DAED" w14:textId="77777777" w:rsidR="00840F95" w:rsidRDefault="00840F95">
      <w:pPr>
        <w:rPr>
          <w:b/>
        </w:rPr>
      </w:pPr>
      <w:bookmarkStart w:id="34" w:name="_12_week_Non-Payment"/>
      <w:bookmarkStart w:id="35" w:name="_Appendix_A_–Payment"/>
      <w:bookmarkEnd w:id="9"/>
      <w:bookmarkEnd w:id="34"/>
      <w:bookmarkEnd w:id="35"/>
      <w:r>
        <w:br w:type="page"/>
      </w:r>
    </w:p>
    <w:p w14:paraId="5BE99AF3" w14:textId="57DB243B" w:rsidR="00C40030" w:rsidRPr="006E204B" w:rsidRDefault="00C40030" w:rsidP="00243D30">
      <w:pPr>
        <w:pStyle w:val="Heading3"/>
        <w:spacing w:before="0"/>
      </w:pPr>
      <w:bookmarkStart w:id="36" w:name="_Toc482347692"/>
      <w:bookmarkStart w:id="37" w:name="_Toc510517251"/>
      <w:bookmarkStart w:id="38" w:name="_GoBack"/>
      <w:bookmarkEnd w:id="38"/>
      <w:r w:rsidRPr="006E204B">
        <w:lastRenderedPageBreak/>
        <w:t>Additional information – Relocation Assistance to Take Up a Job</w:t>
      </w:r>
      <w:bookmarkEnd w:id="36"/>
      <w:bookmarkEnd w:id="37"/>
    </w:p>
    <w:p w14:paraId="35B6124F" w14:textId="4DB7BF38" w:rsidR="00390B22" w:rsidRPr="00390B22" w:rsidRDefault="00390B22" w:rsidP="00390B22">
      <w:pPr>
        <w:spacing w:after="120"/>
        <w:rPr>
          <w:i/>
          <w:sz w:val="22"/>
        </w:rPr>
      </w:pPr>
      <w:r w:rsidRPr="00477122">
        <w:rPr>
          <w:rStyle w:val="Heading4Char"/>
          <w:sz w:val="22"/>
          <w:szCs w:val="22"/>
        </w:rPr>
        <w:t xml:space="preserve">Unemployment rates of capital cities—1 </w:t>
      </w:r>
      <w:r w:rsidR="00351E80" w:rsidRPr="00477122">
        <w:rPr>
          <w:rStyle w:val="Heading4Char"/>
          <w:sz w:val="22"/>
          <w:szCs w:val="22"/>
        </w:rPr>
        <w:t>April</w:t>
      </w:r>
      <w:r w:rsidRPr="00477122">
        <w:rPr>
          <w:rStyle w:val="Heading4Char"/>
          <w:sz w:val="22"/>
          <w:szCs w:val="22"/>
        </w:rPr>
        <w:t xml:space="preserve"> to 3</w:t>
      </w:r>
      <w:r w:rsidR="00351E80" w:rsidRPr="00477122">
        <w:rPr>
          <w:rStyle w:val="Heading4Char"/>
          <w:sz w:val="22"/>
          <w:szCs w:val="22"/>
        </w:rPr>
        <w:t>0</w:t>
      </w:r>
      <w:r w:rsidRPr="00477122">
        <w:rPr>
          <w:rStyle w:val="Heading4Char"/>
          <w:sz w:val="22"/>
          <w:szCs w:val="22"/>
        </w:rPr>
        <w:t xml:space="preserve"> </w:t>
      </w:r>
      <w:r w:rsidR="00351E80" w:rsidRPr="00477122">
        <w:rPr>
          <w:rStyle w:val="Heading4Char"/>
          <w:sz w:val="22"/>
          <w:szCs w:val="22"/>
        </w:rPr>
        <w:t>June</w:t>
      </w:r>
      <w:r w:rsidRPr="00477122">
        <w:rPr>
          <w:rStyle w:val="Heading4Char"/>
          <w:sz w:val="22"/>
          <w:szCs w:val="22"/>
        </w:rPr>
        <w:t xml:space="preserve"> 2018 (rates will be updated quarterly)</w:t>
      </w:r>
      <w:r w:rsidRPr="00390B22">
        <w:rPr>
          <w:b/>
          <w:sz w:val="22"/>
        </w:rPr>
        <w:t xml:space="preserve"> </w:t>
      </w:r>
      <w:r w:rsidRPr="00390B22">
        <w:rPr>
          <w:i/>
          <w:sz w:val="22"/>
        </w:rPr>
        <w:t>Where a relocation is from one capital city to another, the relocation must be to a capital city with a lower unemployment rate</w:t>
      </w:r>
      <w:r w:rsidR="001018FA">
        <w:rPr>
          <w:i/>
          <w:sz w:val="22"/>
        </w:rPr>
        <w:t>.</w:t>
      </w:r>
    </w:p>
    <w:tbl>
      <w:tblPr>
        <w:tblW w:w="9500" w:type="dxa"/>
        <w:tblInd w:w="-34" w:type="dxa"/>
        <w:tblCellMar>
          <w:left w:w="0" w:type="dxa"/>
          <w:right w:w="0" w:type="dxa"/>
        </w:tblCellMar>
        <w:tblLook w:val="04A0" w:firstRow="1" w:lastRow="0" w:firstColumn="1" w:lastColumn="0" w:noHBand="0" w:noVBand="1"/>
        <w:tblCaption w:val="Guideline text"/>
        <w:tblDescription w:val="Guideline text"/>
      </w:tblPr>
      <w:tblGrid>
        <w:gridCol w:w="2698"/>
        <w:gridCol w:w="2231"/>
        <w:gridCol w:w="2411"/>
        <w:gridCol w:w="2160"/>
      </w:tblGrid>
      <w:tr w:rsidR="00390B22" w:rsidRPr="00390B22" w14:paraId="704324F9" w14:textId="77777777" w:rsidTr="00980F91">
        <w:trPr>
          <w:trHeight w:val="485"/>
        </w:trPr>
        <w:tc>
          <w:tcPr>
            <w:tcW w:w="2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E93153" w14:textId="77777777" w:rsidR="00390B22" w:rsidRPr="00390B22" w:rsidRDefault="00390B22" w:rsidP="00390B22">
            <w:pPr>
              <w:rPr>
                <w:b/>
                <w:bCs/>
                <w:color w:val="000000"/>
                <w:sz w:val="22"/>
                <w:szCs w:val="22"/>
              </w:rPr>
            </w:pPr>
            <w:r w:rsidRPr="00390B22">
              <w:rPr>
                <w:b/>
                <w:bCs/>
                <w:color w:val="000000"/>
                <w:sz w:val="22"/>
              </w:rPr>
              <w:t>Capital city</w:t>
            </w:r>
          </w:p>
        </w:tc>
        <w:tc>
          <w:tcPr>
            <w:tcW w:w="219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11601B7" w14:textId="77777777" w:rsidR="00390B22" w:rsidRPr="00390B22" w:rsidRDefault="00390B22" w:rsidP="00390B22">
            <w:pPr>
              <w:rPr>
                <w:b/>
                <w:bCs/>
                <w:color w:val="000000"/>
                <w:sz w:val="22"/>
              </w:rPr>
            </w:pPr>
            <w:r w:rsidRPr="00390B22">
              <w:rPr>
                <w:b/>
                <w:bCs/>
                <w:color w:val="000000"/>
                <w:sz w:val="22"/>
              </w:rPr>
              <w:t>Unemployment rate</w:t>
            </w:r>
          </w:p>
        </w:tc>
        <w:tc>
          <w:tcPr>
            <w:tcW w:w="23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44C84AC" w14:textId="77777777" w:rsidR="00390B22" w:rsidRPr="00390B22" w:rsidRDefault="00390B22" w:rsidP="00390B22">
            <w:pPr>
              <w:rPr>
                <w:b/>
                <w:bCs/>
                <w:color w:val="000000"/>
                <w:sz w:val="22"/>
              </w:rPr>
            </w:pPr>
            <w:r w:rsidRPr="00390B22">
              <w:rPr>
                <w:b/>
                <w:bCs/>
                <w:color w:val="000000"/>
                <w:sz w:val="22"/>
              </w:rPr>
              <w:t>Capital city</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68AA75A" w14:textId="77777777" w:rsidR="00390B22" w:rsidRPr="00390B22" w:rsidRDefault="00390B22" w:rsidP="00390B22">
            <w:pPr>
              <w:rPr>
                <w:b/>
                <w:bCs/>
                <w:color w:val="000000"/>
                <w:sz w:val="22"/>
              </w:rPr>
            </w:pPr>
            <w:r w:rsidRPr="00390B22">
              <w:rPr>
                <w:b/>
                <w:bCs/>
                <w:color w:val="000000"/>
                <w:sz w:val="22"/>
              </w:rPr>
              <w:t>Unemployment rate</w:t>
            </w:r>
          </w:p>
        </w:tc>
      </w:tr>
      <w:tr w:rsidR="00390B22" w:rsidRPr="00390B22" w14:paraId="1CE0EBCA" w14:textId="77777777" w:rsidTr="00980F91">
        <w:trPr>
          <w:trHeight w:val="409"/>
        </w:trPr>
        <w:tc>
          <w:tcPr>
            <w:tcW w:w="26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EE5945" w14:textId="77777777" w:rsidR="00390B22" w:rsidRPr="00390B22" w:rsidRDefault="00390B22" w:rsidP="00390B22">
            <w:pPr>
              <w:rPr>
                <w:color w:val="000000"/>
                <w:sz w:val="22"/>
              </w:rPr>
            </w:pPr>
            <w:r w:rsidRPr="00390B22">
              <w:rPr>
                <w:color w:val="000000"/>
                <w:sz w:val="22"/>
              </w:rPr>
              <w:t>Greater Adelaide, SA</w:t>
            </w:r>
          </w:p>
        </w:tc>
        <w:tc>
          <w:tcPr>
            <w:tcW w:w="21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4E38CCE" w14:textId="59FBEFF2" w:rsidR="00390B22" w:rsidRPr="00390B22" w:rsidRDefault="00351E80" w:rsidP="00390B22">
            <w:pPr>
              <w:rPr>
                <w:color w:val="000000"/>
                <w:sz w:val="22"/>
              </w:rPr>
            </w:pPr>
            <w:r>
              <w:rPr>
                <w:color w:val="000000"/>
                <w:sz w:val="22"/>
              </w:rPr>
              <w:t>6.4</w:t>
            </w:r>
            <w:r w:rsidR="00390B22" w:rsidRPr="00390B22">
              <w:rPr>
                <w:color w:val="000000"/>
                <w:sz w:val="22"/>
              </w:rPr>
              <w:t>%</w:t>
            </w:r>
          </w:p>
        </w:tc>
        <w:tc>
          <w:tcPr>
            <w:tcW w:w="23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9D5B0F" w14:textId="77777777" w:rsidR="00390B22" w:rsidRPr="00390B22" w:rsidRDefault="00390B22" w:rsidP="00390B22">
            <w:pPr>
              <w:rPr>
                <w:color w:val="000000"/>
                <w:sz w:val="22"/>
              </w:rPr>
            </w:pPr>
            <w:r w:rsidRPr="00390B22">
              <w:rPr>
                <w:color w:val="000000"/>
                <w:sz w:val="22"/>
              </w:rPr>
              <w:t>Greater Hobart, TAS</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BB05F9" w14:textId="1ED94FF2" w:rsidR="00390B22" w:rsidRPr="00390B22" w:rsidRDefault="00390B22" w:rsidP="00351E80">
            <w:pPr>
              <w:rPr>
                <w:color w:val="000000"/>
                <w:sz w:val="22"/>
              </w:rPr>
            </w:pPr>
            <w:r w:rsidRPr="00390B22">
              <w:rPr>
                <w:color w:val="000000"/>
                <w:sz w:val="22"/>
              </w:rPr>
              <w:t>5.</w:t>
            </w:r>
            <w:r w:rsidR="00351E80">
              <w:rPr>
                <w:color w:val="000000"/>
                <w:sz w:val="22"/>
              </w:rPr>
              <w:t>8</w:t>
            </w:r>
            <w:r w:rsidRPr="00390B22">
              <w:rPr>
                <w:color w:val="000000"/>
                <w:sz w:val="22"/>
              </w:rPr>
              <w:t>%</w:t>
            </w:r>
          </w:p>
        </w:tc>
      </w:tr>
      <w:tr w:rsidR="00390B22" w:rsidRPr="00390B22" w14:paraId="3DB80462" w14:textId="77777777" w:rsidTr="00980F91">
        <w:trPr>
          <w:trHeight w:val="409"/>
        </w:trPr>
        <w:tc>
          <w:tcPr>
            <w:tcW w:w="26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C25F0C" w14:textId="77777777" w:rsidR="00390B22" w:rsidRPr="00390B22" w:rsidRDefault="00390B22" w:rsidP="00390B22">
            <w:pPr>
              <w:rPr>
                <w:color w:val="000000"/>
                <w:sz w:val="22"/>
              </w:rPr>
            </w:pPr>
            <w:r w:rsidRPr="00390B22">
              <w:rPr>
                <w:color w:val="000000"/>
                <w:sz w:val="22"/>
              </w:rPr>
              <w:t>Greater Brisbane, QLD</w:t>
            </w:r>
          </w:p>
        </w:tc>
        <w:tc>
          <w:tcPr>
            <w:tcW w:w="21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AC5582D" w14:textId="77777777" w:rsidR="00390B22" w:rsidRPr="00390B22" w:rsidRDefault="00390B22" w:rsidP="00390B22">
            <w:pPr>
              <w:rPr>
                <w:color w:val="000000"/>
                <w:sz w:val="22"/>
              </w:rPr>
            </w:pPr>
            <w:r w:rsidRPr="00390B22">
              <w:rPr>
                <w:color w:val="000000"/>
                <w:sz w:val="22"/>
              </w:rPr>
              <w:t>6.1%</w:t>
            </w:r>
          </w:p>
        </w:tc>
        <w:tc>
          <w:tcPr>
            <w:tcW w:w="23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D4AA43" w14:textId="77777777" w:rsidR="00390B22" w:rsidRPr="00390B22" w:rsidRDefault="00390B22" w:rsidP="00390B22">
            <w:pPr>
              <w:rPr>
                <w:color w:val="000000"/>
                <w:sz w:val="22"/>
              </w:rPr>
            </w:pPr>
            <w:r w:rsidRPr="00390B22">
              <w:rPr>
                <w:color w:val="000000"/>
                <w:sz w:val="22"/>
              </w:rPr>
              <w:t>Greater Melbourne, VIC</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94A62F" w14:textId="77777777" w:rsidR="00390B22" w:rsidRPr="00390B22" w:rsidRDefault="00390B22" w:rsidP="00390B22">
            <w:pPr>
              <w:rPr>
                <w:color w:val="000000"/>
                <w:sz w:val="22"/>
              </w:rPr>
            </w:pPr>
            <w:r w:rsidRPr="00390B22">
              <w:rPr>
                <w:color w:val="000000"/>
                <w:sz w:val="22"/>
              </w:rPr>
              <w:t>6.1%</w:t>
            </w:r>
          </w:p>
        </w:tc>
      </w:tr>
      <w:tr w:rsidR="00390B22" w:rsidRPr="00390B22" w14:paraId="2B42A2BD" w14:textId="77777777" w:rsidTr="00980F91">
        <w:trPr>
          <w:trHeight w:val="409"/>
        </w:trPr>
        <w:tc>
          <w:tcPr>
            <w:tcW w:w="26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8CFCFD" w14:textId="77777777" w:rsidR="00390B22" w:rsidRPr="00390B22" w:rsidRDefault="00390B22" w:rsidP="00390B22">
            <w:pPr>
              <w:rPr>
                <w:sz w:val="22"/>
              </w:rPr>
            </w:pPr>
            <w:r w:rsidRPr="00390B22">
              <w:rPr>
                <w:sz w:val="22"/>
              </w:rPr>
              <w:t>Australian Capital Territory</w:t>
            </w:r>
          </w:p>
        </w:tc>
        <w:tc>
          <w:tcPr>
            <w:tcW w:w="21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6D26A7F" w14:textId="39C28E2E" w:rsidR="00390B22" w:rsidRPr="00390B22" w:rsidRDefault="00351E80" w:rsidP="00390B22">
            <w:pPr>
              <w:rPr>
                <w:sz w:val="22"/>
              </w:rPr>
            </w:pPr>
            <w:r>
              <w:rPr>
                <w:sz w:val="22"/>
              </w:rPr>
              <w:t>4.1</w:t>
            </w:r>
            <w:r w:rsidR="00390B22" w:rsidRPr="00390B22">
              <w:rPr>
                <w:sz w:val="22"/>
              </w:rPr>
              <w:t>%</w:t>
            </w:r>
          </w:p>
        </w:tc>
        <w:tc>
          <w:tcPr>
            <w:tcW w:w="23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4C7C40" w14:textId="77777777" w:rsidR="00390B22" w:rsidRPr="00390B22" w:rsidRDefault="00390B22" w:rsidP="00390B22">
            <w:pPr>
              <w:rPr>
                <w:sz w:val="22"/>
              </w:rPr>
            </w:pPr>
            <w:r w:rsidRPr="00390B22">
              <w:rPr>
                <w:sz w:val="22"/>
              </w:rPr>
              <w:t>Greater Perth, WA</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479597" w14:textId="5B06FA27" w:rsidR="00390B22" w:rsidRPr="00390B22" w:rsidRDefault="00390B22" w:rsidP="00351E80">
            <w:pPr>
              <w:rPr>
                <w:sz w:val="22"/>
              </w:rPr>
            </w:pPr>
            <w:r w:rsidRPr="00390B22">
              <w:rPr>
                <w:sz w:val="22"/>
              </w:rPr>
              <w:t>6.</w:t>
            </w:r>
            <w:r w:rsidR="00351E80">
              <w:rPr>
                <w:sz w:val="22"/>
              </w:rPr>
              <w:t>1</w:t>
            </w:r>
            <w:r w:rsidRPr="00390B22">
              <w:rPr>
                <w:sz w:val="22"/>
              </w:rPr>
              <w:t>%</w:t>
            </w:r>
          </w:p>
        </w:tc>
      </w:tr>
      <w:tr w:rsidR="00390B22" w:rsidRPr="00390B22" w14:paraId="6EE561FF" w14:textId="77777777" w:rsidTr="00980F91">
        <w:trPr>
          <w:trHeight w:val="409"/>
        </w:trPr>
        <w:tc>
          <w:tcPr>
            <w:tcW w:w="26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6A012E" w14:textId="77777777" w:rsidR="00390B22" w:rsidRPr="00390B22" w:rsidRDefault="00390B22" w:rsidP="00390B22">
            <w:pPr>
              <w:rPr>
                <w:sz w:val="22"/>
              </w:rPr>
            </w:pPr>
            <w:r w:rsidRPr="00390B22">
              <w:rPr>
                <w:sz w:val="22"/>
              </w:rPr>
              <w:t>Darwin, NT</w:t>
            </w:r>
          </w:p>
        </w:tc>
        <w:tc>
          <w:tcPr>
            <w:tcW w:w="21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BBC175B" w14:textId="77777777" w:rsidR="00390B22" w:rsidRPr="00390B22" w:rsidRDefault="00390B22" w:rsidP="00390B22">
            <w:pPr>
              <w:rPr>
                <w:sz w:val="22"/>
              </w:rPr>
            </w:pPr>
            <w:r w:rsidRPr="00390B22">
              <w:rPr>
                <w:sz w:val="22"/>
              </w:rPr>
              <w:t>3.4%</w:t>
            </w:r>
          </w:p>
        </w:tc>
        <w:tc>
          <w:tcPr>
            <w:tcW w:w="23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D8C924" w14:textId="77777777" w:rsidR="00390B22" w:rsidRPr="00390B22" w:rsidRDefault="00390B22" w:rsidP="00390B22">
            <w:pPr>
              <w:rPr>
                <w:sz w:val="22"/>
              </w:rPr>
            </w:pPr>
            <w:r w:rsidRPr="00390B22">
              <w:rPr>
                <w:sz w:val="22"/>
              </w:rPr>
              <w:t>Greater Sydney, NSW</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A91DB5" w14:textId="2CB05FE7" w:rsidR="00390B22" w:rsidRPr="00390B22" w:rsidRDefault="00390B22" w:rsidP="00351E80">
            <w:pPr>
              <w:rPr>
                <w:sz w:val="22"/>
              </w:rPr>
            </w:pPr>
            <w:r w:rsidRPr="00390B22">
              <w:rPr>
                <w:sz w:val="22"/>
              </w:rPr>
              <w:t>4.</w:t>
            </w:r>
            <w:r w:rsidR="00351E80">
              <w:rPr>
                <w:sz w:val="22"/>
              </w:rPr>
              <w:t>5</w:t>
            </w:r>
            <w:r w:rsidRPr="00390B22">
              <w:rPr>
                <w:sz w:val="22"/>
              </w:rPr>
              <w:t>%</w:t>
            </w:r>
          </w:p>
        </w:tc>
      </w:tr>
    </w:tbl>
    <w:p w14:paraId="70ED6B25" w14:textId="77777777" w:rsidR="00390B22" w:rsidRPr="00390B22" w:rsidRDefault="00390B22" w:rsidP="00390B22">
      <w:pPr>
        <w:tabs>
          <w:tab w:val="left" w:pos="7033"/>
        </w:tabs>
        <w:rPr>
          <w:b/>
          <w:sz w:val="22"/>
        </w:rPr>
      </w:pPr>
    </w:p>
    <w:p w14:paraId="69DBEBAE" w14:textId="77777777" w:rsidR="00C40030" w:rsidRPr="00477122" w:rsidRDefault="00C40030" w:rsidP="00673D96">
      <w:pPr>
        <w:pStyle w:val="Heading4"/>
        <w:rPr>
          <w:sz w:val="22"/>
          <w:szCs w:val="22"/>
        </w:rPr>
      </w:pPr>
      <w:r w:rsidRPr="00477122">
        <w:rPr>
          <w:sz w:val="22"/>
          <w:szCs w:val="22"/>
        </w:rPr>
        <w:t>Approved relocation assistance funding</w:t>
      </w:r>
    </w:p>
    <w:p w14:paraId="34ED5BC9" w14:textId="1560F5FA" w:rsidR="00C40030" w:rsidRPr="00D16125" w:rsidRDefault="00C40030" w:rsidP="00C40030">
      <w:pPr>
        <w:tabs>
          <w:tab w:val="left" w:pos="7033"/>
        </w:tabs>
        <w:rPr>
          <w:i/>
          <w:sz w:val="22"/>
          <w:szCs w:val="22"/>
        </w:rPr>
      </w:pPr>
      <w:r w:rsidRPr="00D16125">
        <w:rPr>
          <w:sz w:val="22"/>
          <w:szCs w:val="22"/>
        </w:rPr>
        <w:t xml:space="preserve">This is not an exhaustive list - </w:t>
      </w:r>
      <w:r w:rsidRPr="00D16125">
        <w:rPr>
          <w:i/>
          <w:sz w:val="22"/>
          <w:szCs w:val="22"/>
        </w:rPr>
        <w:t>*Items which require quotes before purchase</w:t>
      </w:r>
      <w:r w:rsidR="00D16125" w:rsidRPr="00D16125">
        <w:rPr>
          <w:i/>
          <w:sz w:val="22"/>
          <w:szCs w:val="22"/>
        </w:rPr>
        <w:t>.</w:t>
      </w:r>
    </w:p>
    <w:p w14:paraId="10E7053D" w14:textId="77777777" w:rsidR="00C40030" w:rsidRDefault="00C40030" w:rsidP="00C40030">
      <w:pPr>
        <w:tabs>
          <w:tab w:val="left" w:pos="7033"/>
        </w:tabs>
        <w:rPr>
          <w:b/>
        </w:rPr>
      </w:pPr>
    </w:p>
    <w:tbl>
      <w:tblPr>
        <w:tblStyle w:val="TableGrid"/>
        <w:tblW w:w="0" w:type="auto"/>
        <w:tblBorders>
          <w:insideV w:val="none" w:sz="0" w:space="0" w:color="auto"/>
        </w:tblBorders>
        <w:tblLook w:val="04A0" w:firstRow="1" w:lastRow="0" w:firstColumn="1" w:lastColumn="0" w:noHBand="0" w:noVBand="1"/>
        <w:tblCaption w:val="1. Travel"/>
        <w:tblDescription w:val="1. Travel"/>
      </w:tblPr>
      <w:tblGrid>
        <w:gridCol w:w="4651"/>
        <w:gridCol w:w="4635"/>
      </w:tblGrid>
      <w:tr w:rsidR="00C40030" w:rsidRPr="007758E6" w14:paraId="418AAA6F" w14:textId="77777777" w:rsidTr="0046766F">
        <w:trPr>
          <w:tblHeader/>
        </w:trPr>
        <w:tc>
          <w:tcPr>
            <w:tcW w:w="9286" w:type="dxa"/>
            <w:gridSpan w:val="2"/>
          </w:tcPr>
          <w:p w14:paraId="09C0B920" w14:textId="77777777" w:rsidR="00C40030" w:rsidRPr="007758E6" w:rsidRDefault="00C40030" w:rsidP="0046766F">
            <w:pPr>
              <w:pStyle w:val="ListParagraph"/>
              <w:numPr>
                <w:ilvl w:val="0"/>
                <w:numId w:val="26"/>
              </w:numPr>
              <w:spacing w:before="20" w:after="20"/>
              <w:ind w:left="357" w:hanging="357"/>
              <w:rPr>
                <w:b/>
                <w:sz w:val="22"/>
                <w:szCs w:val="22"/>
              </w:rPr>
            </w:pPr>
            <w:r w:rsidRPr="007758E6">
              <w:rPr>
                <w:b/>
                <w:sz w:val="22"/>
                <w:szCs w:val="22"/>
              </w:rPr>
              <w:t>Travel</w:t>
            </w:r>
          </w:p>
        </w:tc>
      </w:tr>
      <w:tr w:rsidR="00C40030" w:rsidRPr="007758E6" w14:paraId="7A90A5F3" w14:textId="77777777" w:rsidTr="0046766F">
        <w:tc>
          <w:tcPr>
            <w:tcW w:w="4651" w:type="dxa"/>
          </w:tcPr>
          <w:p w14:paraId="7FB94BCC" w14:textId="77777777" w:rsidR="00C40030" w:rsidRPr="007758E6" w:rsidRDefault="00C40030" w:rsidP="0046766F">
            <w:pPr>
              <w:pStyle w:val="ListParagraph"/>
              <w:numPr>
                <w:ilvl w:val="0"/>
                <w:numId w:val="27"/>
              </w:numPr>
              <w:rPr>
                <w:sz w:val="22"/>
                <w:szCs w:val="22"/>
              </w:rPr>
            </w:pPr>
            <w:r w:rsidRPr="007758E6">
              <w:rPr>
                <w:sz w:val="22"/>
                <w:szCs w:val="22"/>
              </w:rPr>
              <w:t>Plane, train or ship tickets and fees*</w:t>
            </w:r>
          </w:p>
        </w:tc>
        <w:tc>
          <w:tcPr>
            <w:tcW w:w="4635" w:type="dxa"/>
          </w:tcPr>
          <w:p w14:paraId="029DCB65" w14:textId="77777777" w:rsidR="00C40030" w:rsidRPr="007758E6" w:rsidRDefault="00C40030" w:rsidP="0046766F">
            <w:pPr>
              <w:pStyle w:val="ListParagraph"/>
              <w:numPr>
                <w:ilvl w:val="0"/>
                <w:numId w:val="27"/>
              </w:numPr>
              <w:rPr>
                <w:sz w:val="22"/>
                <w:szCs w:val="22"/>
              </w:rPr>
            </w:pPr>
            <w:r w:rsidRPr="007758E6">
              <w:rPr>
                <w:sz w:val="22"/>
                <w:szCs w:val="22"/>
              </w:rPr>
              <w:t>Car hire and car hire insurance*</w:t>
            </w:r>
          </w:p>
        </w:tc>
      </w:tr>
      <w:tr w:rsidR="00C40030" w:rsidRPr="007758E6" w14:paraId="0C364308" w14:textId="77777777" w:rsidTr="0046766F">
        <w:tc>
          <w:tcPr>
            <w:tcW w:w="4651" w:type="dxa"/>
          </w:tcPr>
          <w:p w14:paraId="1A3B4754" w14:textId="77777777" w:rsidR="00C40030" w:rsidRPr="007758E6" w:rsidRDefault="00C40030" w:rsidP="0046766F">
            <w:pPr>
              <w:pStyle w:val="ListParagraph"/>
              <w:numPr>
                <w:ilvl w:val="0"/>
                <w:numId w:val="27"/>
              </w:numPr>
              <w:rPr>
                <w:sz w:val="22"/>
                <w:szCs w:val="22"/>
              </w:rPr>
            </w:pPr>
            <w:r w:rsidRPr="007758E6">
              <w:rPr>
                <w:sz w:val="22"/>
                <w:szCs w:val="22"/>
              </w:rPr>
              <w:t>Pet transport*</w:t>
            </w:r>
          </w:p>
        </w:tc>
        <w:tc>
          <w:tcPr>
            <w:tcW w:w="4635" w:type="dxa"/>
          </w:tcPr>
          <w:p w14:paraId="6F2C2938" w14:textId="77777777" w:rsidR="00C40030" w:rsidRPr="007758E6" w:rsidRDefault="00C40030" w:rsidP="0046766F">
            <w:pPr>
              <w:pStyle w:val="ListParagraph"/>
              <w:numPr>
                <w:ilvl w:val="0"/>
                <w:numId w:val="27"/>
              </w:numPr>
              <w:rPr>
                <w:sz w:val="22"/>
                <w:szCs w:val="22"/>
              </w:rPr>
            </w:pPr>
            <w:r w:rsidRPr="007758E6">
              <w:rPr>
                <w:sz w:val="22"/>
                <w:szCs w:val="22"/>
              </w:rPr>
              <w:t>Baggage allowances</w:t>
            </w:r>
          </w:p>
        </w:tc>
      </w:tr>
      <w:tr w:rsidR="00C40030" w:rsidRPr="007758E6" w14:paraId="0C26C9B3" w14:textId="77777777" w:rsidTr="0046766F">
        <w:tc>
          <w:tcPr>
            <w:tcW w:w="4651" w:type="dxa"/>
          </w:tcPr>
          <w:p w14:paraId="18B63CC9" w14:textId="77777777" w:rsidR="00C40030" w:rsidRPr="007758E6" w:rsidRDefault="00C40030" w:rsidP="0046766F">
            <w:pPr>
              <w:pStyle w:val="ListParagraph"/>
              <w:numPr>
                <w:ilvl w:val="0"/>
                <w:numId w:val="27"/>
              </w:numPr>
              <w:rPr>
                <w:sz w:val="22"/>
                <w:szCs w:val="22"/>
              </w:rPr>
            </w:pPr>
            <w:r w:rsidRPr="007758E6">
              <w:rPr>
                <w:sz w:val="22"/>
                <w:szCs w:val="22"/>
              </w:rPr>
              <w:t>Fuel</w:t>
            </w:r>
          </w:p>
        </w:tc>
        <w:tc>
          <w:tcPr>
            <w:tcW w:w="4635" w:type="dxa"/>
          </w:tcPr>
          <w:p w14:paraId="2246AB4F" w14:textId="77777777" w:rsidR="00C40030" w:rsidRPr="007758E6" w:rsidRDefault="00C40030" w:rsidP="0046766F">
            <w:pPr>
              <w:pStyle w:val="ListParagraph"/>
              <w:numPr>
                <w:ilvl w:val="0"/>
                <w:numId w:val="27"/>
              </w:numPr>
              <w:rPr>
                <w:b/>
                <w:sz w:val="22"/>
                <w:szCs w:val="22"/>
              </w:rPr>
            </w:pPr>
            <w:r w:rsidRPr="007758E6">
              <w:rPr>
                <w:sz w:val="22"/>
                <w:szCs w:val="22"/>
              </w:rPr>
              <w:t>Incidentals during travel e.g. food/drink</w:t>
            </w:r>
          </w:p>
        </w:tc>
      </w:tr>
      <w:tr w:rsidR="00C40030" w:rsidRPr="007758E6" w14:paraId="6A90A97A" w14:textId="77777777" w:rsidTr="0046766F">
        <w:tc>
          <w:tcPr>
            <w:tcW w:w="4651" w:type="dxa"/>
          </w:tcPr>
          <w:p w14:paraId="47147CE4" w14:textId="77777777" w:rsidR="00C40030" w:rsidRPr="007758E6" w:rsidRDefault="00C40030" w:rsidP="0046766F">
            <w:pPr>
              <w:pStyle w:val="ListParagraph"/>
              <w:numPr>
                <w:ilvl w:val="0"/>
                <w:numId w:val="27"/>
              </w:numPr>
              <w:rPr>
                <w:sz w:val="22"/>
                <w:szCs w:val="22"/>
              </w:rPr>
            </w:pPr>
            <w:r w:rsidRPr="007758E6">
              <w:rPr>
                <w:sz w:val="22"/>
                <w:szCs w:val="22"/>
              </w:rPr>
              <w:t>In-transit accommodation costs</w:t>
            </w:r>
          </w:p>
        </w:tc>
        <w:tc>
          <w:tcPr>
            <w:tcW w:w="4635" w:type="dxa"/>
          </w:tcPr>
          <w:p w14:paraId="78081EC0" w14:textId="77777777" w:rsidR="00C40030" w:rsidRPr="007758E6" w:rsidRDefault="00C40030" w:rsidP="0046766F">
            <w:pPr>
              <w:pStyle w:val="ListParagraph"/>
              <w:numPr>
                <w:ilvl w:val="0"/>
                <w:numId w:val="27"/>
              </w:numPr>
              <w:rPr>
                <w:sz w:val="22"/>
                <w:szCs w:val="22"/>
              </w:rPr>
            </w:pPr>
            <w:r w:rsidRPr="007758E6">
              <w:rPr>
                <w:sz w:val="22"/>
                <w:szCs w:val="22"/>
              </w:rPr>
              <w:t>GPS hire</w:t>
            </w:r>
          </w:p>
        </w:tc>
      </w:tr>
      <w:tr w:rsidR="00C40030" w:rsidRPr="007758E6" w14:paraId="285CCCCE" w14:textId="77777777" w:rsidTr="0046766F">
        <w:tc>
          <w:tcPr>
            <w:tcW w:w="9286" w:type="dxa"/>
            <w:gridSpan w:val="2"/>
          </w:tcPr>
          <w:p w14:paraId="4AC2A5BB" w14:textId="77777777" w:rsidR="00C40030" w:rsidRPr="007758E6" w:rsidRDefault="00C40030" w:rsidP="0046766F">
            <w:pPr>
              <w:pStyle w:val="ListParagraph"/>
              <w:numPr>
                <w:ilvl w:val="0"/>
                <w:numId w:val="26"/>
              </w:numPr>
              <w:spacing w:before="20" w:after="20"/>
              <w:ind w:left="357" w:hanging="357"/>
              <w:rPr>
                <w:b/>
                <w:sz w:val="22"/>
                <w:szCs w:val="22"/>
              </w:rPr>
            </w:pPr>
            <w:r w:rsidRPr="007758E6">
              <w:rPr>
                <w:b/>
                <w:sz w:val="22"/>
                <w:szCs w:val="22"/>
              </w:rPr>
              <w:t>Disturbance costs</w:t>
            </w:r>
          </w:p>
        </w:tc>
      </w:tr>
      <w:tr w:rsidR="00C40030" w:rsidRPr="007758E6" w14:paraId="4F7D64B8" w14:textId="77777777" w:rsidTr="0046766F">
        <w:tc>
          <w:tcPr>
            <w:tcW w:w="4651" w:type="dxa"/>
          </w:tcPr>
          <w:p w14:paraId="0B29B476" w14:textId="77777777" w:rsidR="00C40030" w:rsidRPr="007758E6" w:rsidRDefault="00C40030" w:rsidP="0046766F">
            <w:pPr>
              <w:pStyle w:val="ListParagraph"/>
              <w:numPr>
                <w:ilvl w:val="0"/>
                <w:numId w:val="28"/>
              </w:numPr>
              <w:rPr>
                <w:sz w:val="22"/>
                <w:szCs w:val="22"/>
              </w:rPr>
            </w:pPr>
            <w:r w:rsidRPr="007758E6">
              <w:rPr>
                <w:sz w:val="22"/>
                <w:szCs w:val="22"/>
              </w:rPr>
              <w:t>Gardening fees*</w:t>
            </w:r>
          </w:p>
        </w:tc>
        <w:tc>
          <w:tcPr>
            <w:tcW w:w="4635" w:type="dxa"/>
          </w:tcPr>
          <w:p w14:paraId="59FCBA21" w14:textId="77777777" w:rsidR="00C40030" w:rsidRPr="007758E6" w:rsidRDefault="00C40030" w:rsidP="0046766F">
            <w:pPr>
              <w:pStyle w:val="ListParagraph"/>
              <w:numPr>
                <w:ilvl w:val="0"/>
                <w:numId w:val="28"/>
              </w:numPr>
              <w:rPr>
                <w:sz w:val="22"/>
                <w:szCs w:val="22"/>
              </w:rPr>
            </w:pPr>
            <w:r w:rsidRPr="007758E6">
              <w:rPr>
                <w:sz w:val="22"/>
                <w:szCs w:val="22"/>
              </w:rPr>
              <w:t>Cleaning fees *</w:t>
            </w:r>
          </w:p>
        </w:tc>
      </w:tr>
      <w:tr w:rsidR="00C40030" w:rsidRPr="007758E6" w14:paraId="4A168365" w14:textId="77777777" w:rsidTr="0046766F">
        <w:tc>
          <w:tcPr>
            <w:tcW w:w="4651" w:type="dxa"/>
          </w:tcPr>
          <w:p w14:paraId="188DD3CB" w14:textId="77777777" w:rsidR="00C40030" w:rsidRPr="007758E6" w:rsidRDefault="00C40030" w:rsidP="0046766F">
            <w:pPr>
              <w:pStyle w:val="ListParagraph"/>
              <w:numPr>
                <w:ilvl w:val="0"/>
                <w:numId w:val="28"/>
              </w:numPr>
              <w:rPr>
                <w:sz w:val="22"/>
                <w:szCs w:val="22"/>
              </w:rPr>
            </w:pPr>
            <w:r w:rsidRPr="007758E6">
              <w:rPr>
                <w:sz w:val="22"/>
                <w:szCs w:val="22"/>
              </w:rPr>
              <w:t>Pet boarding fees—up to one month*</w:t>
            </w:r>
          </w:p>
        </w:tc>
        <w:tc>
          <w:tcPr>
            <w:tcW w:w="4635" w:type="dxa"/>
          </w:tcPr>
          <w:p w14:paraId="1402CA45" w14:textId="77777777" w:rsidR="00C40030" w:rsidRPr="007758E6" w:rsidRDefault="00C40030" w:rsidP="0046766F">
            <w:pPr>
              <w:pStyle w:val="ListParagraph"/>
              <w:numPr>
                <w:ilvl w:val="0"/>
                <w:numId w:val="28"/>
              </w:numPr>
              <w:rPr>
                <w:sz w:val="22"/>
                <w:szCs w:val="22"/>
              </w:rPr>
            </w:pPr>
            <w:r w:rsidRPr="007758E6">
              <w:rPr>
                <w:sz w:val="22"/>
                <w:szCs w:val="22"/>
              </w:rPr>
              <w:t>First groceries to set up house</w:t>
            </w:r>
          </w:p>
        </w:tc>
      </w:tr>
      <w:tr w:rsidR="00C40030" w:rsidRPr="007758E6" w14:paraId="35E68029" w14:textId="77777777" w:rsidTr="0046766F">
        <w:tc>
          <w:tcPr>
            <w:tcW w:w="4651" w:type="dxa"/>
          </w:tcPr>
          <w:p w14:paraId="5CBB9AB9" w14:textId="77777777" w:rsidR="00C40030" w:rsidRPr="007758E6" w:rsidRDefault="00C40030" w:rsidP="0046766F">
            <w:pPr>
              <w:pStyle w:val="ListParagraph"/>
              <w:numPr>
                <w:ilvl w:val="0"/>
                <w:numId w:val="28"/>
              </w:numPr>
              <w:rPr>
                <w:sz w:val="22"/>
                <w:szCs w:val="22"/>
              </w:rPr>
            </w:pPr>
            <w:r w:rsidRPr="007758E6">
              <w:rPr>
                <w:sz w:val="22"/>
                <w:szCs w:val="22"/>
              </w:rPr>
              <w:t>Utility connection and exit costs</w:t>
            </w:r>
          </w:p>
        </w:tc>
        <w:tc>
          <w:tcPr>
            <w:tcW w:w="4635" w:type="dxa"/>
          </w:tcPr>
          <w:p w14:paraId="242B8DAA" w14:textId="77777777" w:rsidR="00C40030" w:rsidRPr="007758E6" w:rsidRDefault="00C40030" w:rsidP="0046766F">
            <w:pPr>
              <w:pStyle w:val="ListParagraph"/>
              <w:numPr>
                <w:ilvl w:val="0"/>
                <w:numId w:val="28"/>
              </w:numPr>
              <w:rPr>
                <w:sz w:val="22"/>
                <w:szCs w:val="22"/>
              </w:rPr>
            </w:pPr>
            <w:r w:rsidRPr="007758E6">
              <w:rPr>
                <w:sz w:val="22"/>
                <w:szCs w:val="22"/>
              </w:rPr>
              <w:t xml:space="preserve">Relocation-associated legal costs </w:t>
            </w:r>
          </w:p>
        </w:tc>
      </w:tr>
      <w:tr w:rsidR="00C40030" w:rsidRPr="007758E6" w14:paraId="6C2480ED" w14:textId="77777777" w:rsidTr="0046766F">
        <w:tc>
          <w:tcPr>
            <w:tcW w:w="4651" w:type="dxa"/>
          </w:tcPr>
          <w:p w14:paraId="66CF70B8" w14:textId="77777777" w:rsidR="00C40030" w:rsidRPr="007758E6" w:rsidRDefault="00C40030" w:rsidP="0046766F">
            <w:pPr>
              <w:pStyle w:val="ListParagraph"/>
              <w:numPr>
                <w:ilvl w:val="0"/>
                <w:numId w:val="28"/>
              </w:numPr>
              <w:rPr>
                <w:sz w:val="22"/>
                <w:szCs w:val="22"/>
              </w:rPr>
            </w:pPr>
            <w:r w:rsidRPr="007758E6">
              <w:rPr>
                <w:sz w:val="22"/>
                <w:szCs w:val="22"/>
              </w:rPr>
              <w:t>Associated medical costs</w:t>
            </w:r>
          </w:p>
        </w:tc>
        <w:tc>
          <w:tcPr>
            <w:tcW w:w="4635" w:type="dxa"/>
          </w:tcPr>
          <w:p w14:paraId="3F243C27" w14:textId="77777777" w:rsidR="00C40030" w:rsidRPr="007758E6" w:rsidRDefault="00C40030" w:rsidP="0046766F">
            <w:pPr>
              <w:pStyle w:val="ListParagraph"/>
              <w:numPr>
                <w:ilvl w:val="0"/>
                <w:numId w:val="28"/>
              </w:numPr>
              <w:rPr>
                <w:sz w:val="22"/>
                <w:szCs w:val="22"/>
              </w:rPr>
            </w:pPr>
            <w:r w:rsidRPr="007758E6">
              <w:rPr>
                <w:sz w:val="22"/>
                <w:szCs w:val="22"/>
              </w:rPr>
              <w:t>School uniforms</w:t>
            </w:r>
          </w:p>
        </w:tc>
      </w:tr>
      <w:tr w:rsidR="00C40030" w:rsidRPr="007758E6" w14:paraId="699E596A" w14:textId="77777777" w:rsidTr="0046766F">
        <w:tc>
          <w:tcPr>
            <w:tcW w:w="4651" w:type="dxa"/>
          </w:tcPr>
          <w:p w14:paraId="4F72FF5B" w14:textId="77777777" w:rsidR="00C40030" w:rsidRPr="007758E6" w:rsidRDefault="00C40030" w:rsidP="0046766F">
            <w:pPr>
              <w:pStyle w:val="ListParagraph"/>
              <w:numPr>
                <w:ilvl w:val="0"/>
                <w:numId w:val="28"/>
              </w:numPr>
              <w:rPr>
                <w:sz w:val="22"/>
                <w:szCs w:val="22"/>
              </w:rPr>
            </w:pPr>
            <w:r w:rsidRPr="007758E6">
              <w:rPr>
                <w:sz w:val="22"/>
                <w:szCs w:val="22"/>
              </w:rPr>
              <w:t>School enrolment fees</w:t>
            </w:r>
          </w:p>
        </w:tc>
        <w:tc>
          <w:tcPr>
            <w:tcW w:w="4635" w:type="dxa"/>
          </w:tcPr>
          <w:p w14:paraId="09BB1842" w14:textId="77777777" w:rsidR="00C40030" w:rsidRPr="007758E6" w:rsidRDefault="00C40030" w:rsidP="0046766F">
            <w:pPr>
              <w:pStyle w:val="ListParagraph"/>
              <w:numPr>
                <w:ilvl w:val="0"/>
                <w:numId w:val="28"/>
              </w:numPr>
              <w:rPr>
                <w:sz w:val="22"/>
                <w:szCs w:val="22"/>
              </w:rPr>
            </w:pPr>
            <w:r w:rsidRPr="007758E6">
              <w:rPr>
                <w:sz w:val="22"/>
                <w:szCs w:val="22"/>
              </w:rPr>
              <w:t>Breaking lease costs</w:t>
            </w:r>
          </w:p>
        </w:tc>
      </w:tr>
      <w:tr w:rsidR="00C40030" w:rsidRPr="007758E6" w14:paraId="379913FC" w14:textId="77777777" w:rsidTr="0046766F">
        <w:tc>
          <w:tcPr>
            <w:tcW w:w="4651" w:type="dxa"/>
          </w:tcPr>
          <w:p w14:paraId="7AD9359C" w14:textId="77777777" w:rsidR="00C40030" w:rsidRPr="007758E6" w:rsidRDefault="00C40030" w:rsidP="0046766F">
            <w:pPr>
              <w:pStyle w:val="ListParagraph"/>
              <w:numPr>
                <w:ilvl w:val="0"/>
                <w:numId w:val="28"/>
              </w:numPr>
              <w:rPr>
                <w:sz w:val="22"/>
                <w:szCs w:val="22"/>
              </w:rPr>
            </w:pPr>
            <w:r w:rsidRPr="007758E6">
              <w:rPr>
                <w:sz w:val="22"/>
                <w:szCs w:val="22"/>
              </w:rPr>
              <w:t>Vehicle registration transfer fees</w:t>
            </w:r>
          </w:p>
        </w:tc>
        <w:tc>
          <w:tcPr>
            <w:tcW w:w="4635" w:type="dxa"/>
          </w:tcPr>
          <w:p w14:paraId="79EA9668" w14:textId="77777777" w:rsidR="00C40030" w:rsidRPr="007758E6" w:rsidRDefault="00C40030" w:rsidP="0046766F">
            <w:pPr>
              <w:pStyle w:val="ListParagraph"/>
              <w:numPr>
                <w:ilvl w:val="0"/>
                <w:numId w:val="28"/>
              </w:numPr>
              <w:rPr>
                <w:sz w:val="22"/>
                <w:szCs w:val="22"/>
              </w:rPr>
            </w:pPr>
            <w:r w:rsidRPr="007758E6">
              <w:rPr>
                <w:sz w:val="22"/>
                <w:szCs w:val="22"/>
              </w:rPr>
              <w:t>Licence transfer fees</w:t>
            </w:r>
          </w:p>
        </w:tc>
      </w:tr>
      <w:tr w:rsidR="00C40030" w:rsidRPr="007758E6" w14:paraId="55CD299A" w14:textId="77777777" w:rsidTr="0046766F">
        <w:tc>
          <w:tcPr>
            <w:tcW w:w="9286" w:type="dxa"/>
            <w:gridSpan w:val="2"/>
          </w:tcPr>
          <w:p w14:paraId="06A07C4C" w14:textId="77777777" w:rsidR="00C40030" w:rsidRPr="007758E6" w:rsidRDefault="00C40030" w:rsidP="0046766F">
            <w:pPr>
              <w:pStyle w:val="ListParagraph"/>
              <w:numPr>
                <w:ilvl w:val="0"/>
                <w:numId w:val="26"/>
              </w:numPr>
              <w:spacing w:before="20" w:after="20"/>
              <w:ind w:left="357" w:hanging="357"/>
              <w:rPr>
                <w:b/>
                <w:sz w:val="22"/>
                <w:szCs w:val="22"/>
              </w:rPr>
            </w:pPr>
            <w:r w:rsidRPr="007758E6">
              <w:rPr>
                <w:b/>
                <w:sz w:val="22"/>
                <w:szCs w:val="22"/>
              </w:rPr>
              <w:t>Accommodation</w:t>
            </w:r>
          </w:p>
        </w:tc>
      </w:tr>
      <w:tr w:rsidR="00C40030" w:rsidRPr="007758E6" w14:paraId="58A95CAB" w14:textId="77777777" w:rsidTr="0046766F">
        <w:tc>
          <w:tcPr>
            <w:tcW w:w="4651" w:type="dxa"/>
          </w:tcPr>
          <w:p w14:paraId="3AC1E96A" w14:textId="77777777" w:rsidR="00C40030" w:rsidRPr="007758E6" w:rsidRDefault="00C40030" w:rsidP="0046766F">
            <w:pPr>
              <w:pStyle w:val="ListParagraph"/>
              <w:numPr>
                <w:ilvl w:val="0"/>
                <w:numId w:val="29"/>
              </w:numPr>
              <w:rPr>
                <w:sz w:val="22"/>
                <w:szCs w:val="22"/>
              </w:rPr>
            </w:pPr>
            <w:r w:rsidRPr="007758E6">
              <w:rPr>
                <w:sz w:val="22"/>
                <w:szCs w:val="22"/>
              </w:rPr>
              <w:t>Non-rent accommodation at new location—two weeks*</w:t>
            </w:r>
          </w:p>
        </w:tc>
        <w:tc>
          <w:tcPr>
            <w:tcW w:w="4635" w:type="dxa"/>
          </w:tcPr>
          <w:p w14:paraId="3C2453A3" w14:textId="77777777" w:rsidR="00C40030" w:rsidRPr="007758E6" w:rsidRDefault="00C40030" w:rsidP="0046766F">
            <w:pPr>
              <w:pStyle w:val="ListParagraph"/>
              <w:numPr>
                <w:ilvl w:val="0"/>
                <w:numId w:val="29"/>
              </w:numPr>
              <w:rPr>
                <w:sz w:val="22"/>
                <w:szCs w:val="22"/>
              </w:rPr>
            </w:pPr>
            <w:r w:rsidRPr="007758E6">
              <w:rPr>
                <w:sz w:val="22"/>
                <w:szCs w:val="22"/>
              </w:rPr>
              <w:t>Rent at new location—up to two months</w:t>
            </w:r>
          </w:p>
        </w:tc>
      </w:tr>
      <w:tr w:rsidR="00C40030" w:rsidRPr="007758E6" w14:paraId="7BBE553B" w14:textId="77777777" w:rsidTr="0046766F">
        <w:trPr>
          <w:trHeight w:val="257"/>
        </w:trPr>
        <w:tc>
          <w:tcPr>
            <w:tcW w:w="9286" w:type="dxa"/>
            <w:gridSpan w:val="2"/>
          </w:tcPr>
          <w:p w14:paraId="7454FEC2" w14:textId="77777777" w:rsidR="00C40030" w:rsidRPr="007758E6" w:rsidRDefault="00C40030" w:rsidP="0046766F">
            <w:pPr>
              <w:pStyle w:val="ListParagraph"/>
              <w:numPr>
                <w:ilvl w:val="0"/>
                <w:numId w:val="26"/>
              </w:numPr>
              <w:spacing w:before="20" w:after="20"/>
              <w:ind w:left="357" w:hanging="357"/>
              <w:rPr>
                <w:b/>
                <w:sz w:val="22"/>
                <w:szCs w:val="22"/>
              </w:rPr>
            </w:pPr>
            <w:r w:rsidRPr="007758E6">
              <w:rPr>
                <w:b/>
                <w:sz w:val="22"/>
                <w:szCs w:val="22"/>
              </w:rPr>
              <w:t>Employment</w:t>
            </w:r>
          </w:p>
        </w:tc>
      </w:tr>
      <w:tr w:rsidR="00C40030" w:rsidRPr="007758E6" w14:paraId="0C29C770" w14:textId="77777777" w:rsidTr="0046766F">
        <w:tc>
          <w:tcPr>
            <w:tcW w:w="4651" w:type="dxa"/>
          </w:tcPr>
          <w:p w14:paraId="4FD8A2E8" w14:textId="77777777" w:rsidR="00C40030" w:rsidRPr="007758E6" w:rsidRDefault="00C40030" w:rsidP="0046766F">
            <w:pPr>
              <w:pStyle w:val="ListParagraph"/>
              <w:numPr>
                <w:ilvl w:val="0"/>
                <w:numId w:val="30"/>
              </w:numPr>
              <w:rPr>
                <w:sz w:val="22"/>
                <w:szCs w:val="22"/>
              </w:rPr>
            </w:pPr>
            <w:r w:rsidRPr="007758E6">
              <w:rPr>
                <w:sz w:val="22"/>
                <w:szCs w:val="22"/>
              </w:rPr>
              <w:t>Tools (up to $500)</w:t>
            </w:r>
          </w:p>
        </w:tc>
        <w:tc>
          <w:tcPr>
            <w:tcW w:w="4635" w:type="dxa"/>
          </w:tcPr>
          <w:p w14:paraId="44EE7C77" w14:textId="77777777" w:rsidR="00C40030" w:rsidRPr="007758E6" w:rsidRDefault="00C40030" w:rsidP="0046766F">
            <w:pPr>
              <w:pStyle w:val="ListParagraph"/>
              <w:numPr>
                <w:ilvl w:val="0"/>
                <w:numId w:val="30"/>
              </w:numPr>
              <w:rPr>
                <w:sz w:val="22"/>
                <w:szCs w:val="22"/>
              </w:rPr>
            </w:pPr>
            <w:r w:rsidRPr="007758E6">
              <w:rPr>
                <w:sz w:val="22"/>
                <w:szCs w:val="22"/>
              </w:rPr>
              <w:t>Safety clothing</w:t>
            </w:r>
          </w:p>
        </w:tc>
      </w:tr>
      <w:tr w:rsidR="00C40030" w:rsidRPr="007758E6" w14:paraId="5529A468" w14:textId="77777777" w:rsidTr="0046766F">
        <w:tc>
          <w:tcPr>
            <w:tcW w:w="4651" w:type="dxa"/>
          </w:tcPr>
          <w:p w14:paraId="39D4BDDF" w14:textId="77777777" w:rsidR="00C40030" w:rsidRPr="007758E6" w:rsidRDefault="00C40030" w:rsidP="0046766F">
            <w:pPr>
              <w:pStyle w:val="ListParagraph"/>
              <w:numPr>
                <w:ilvl w:val="0"/>
                <w:numId w:val="30"/>
              </w:numPr>
              <w:rPr>
                <w:sz w:val="22"/>
                <w:szCs w:val="22"/>
              </w:rPr>
            </w:pPr>
            <w:r w:rsidRPr="007758E6">
              <w:rPr>
                <w:sz w:val="22"/>
                <w:szCs w:val="22"/>
              </w:rPr>
              <w:t>Uniforms</w:t>
            </w:r>
          </w:p>
        </w:tc>
        <w:tc>
          <w:tcPr>
            <w:tcW w:w="4635" w:type="dxa"/>
          </w:tcPr>
          <w:p w14:paraId="3184F7F8" w14:textId="77777777" w:rsidR="00C40030" w:rsidRPr="007758E6" w:rsidRDefault="00C40030" w:rsidP="0046766F">
            <w:pPr>
              <w:pStyle w:val="ListParagraph"/>
              <w:numPr>
                <w:ilvl w:val="0"/>
                <w:numId w:val="30"/>
              </w:numPr>
              <w:rPr>
                <w:sz w:val="22"/>
                <w:szCs w:val="22"/>
              </w:rPr>
            </w:pPr>
            <w:r w:rsidRPr="007758E6">
              <w:rPr>
                <w:sz w:val="22"/>
                <w:szCs w:val="22"/>
              </w:rPr>
              <w:t>Boots</w:t>
            </w:r>
          </w:p>
        </w:tc>
      </w:tr>
      <w:tr w:rsidR="00C40030" w:rsidRPr="007758E6" w14:paraId="27847C3C" w14:textId="77777777" w:rsidTr="0046766F">
        <w:tc>
          <w:tcPr>
            <w:tcW w:w="9286" w:type="dxa"/>
            <w:gridSpan w:val="2"/>
          </w:tcPr>
          <w:p w14:paraId="39951647" w14:textId="77777777" w:rsidR="00C40030" w:rsidRPr="007758E6" w:rsidRDefault="00C40030" w:rsidP="0046766F">
            <w:pPr>
              <w:pStyle w:val="ListParagraph"/>
              <w:numPr>
                <w:ilvl w:val="0"/>
                <w:numId w:val="26"/>
              </w:numPr>
              <w:spacing w:before="20" w:after="20"/>
              <w:ind w:left="357" w:hanging="357"/>
              <w:rPr>
                <w:b/>
                <w:sz w:val="22"/>
                <w:szCs w:val="22"/>
              </w:rPr>
            </w:pPr>
            <w:r w:rsidRPr="007758E6">
              <w:rPr>
                <w:b/>
                <w:sz w:val="22"/>
                <w:szCs w:val="22"/>
              </w:rPr>
              <w:t>Removalists/Self-removal</w:t>
            </w:r>
          </w:p>
        </w:tc>
      </w:tr>
      <w:tr w:rsidR="00C40030" w:rsidRPr="007758E6" w14:paraId="3542B763" w14:textId="77777777" w:rsidTr="0046766F">
        <w:tc>
          <w:tcPr>
            <w:tcW w:w="4651" w:type="dxa"/>
          </w:tcPr>
          <w:p w14:paraId="209EC67E" w14:textId="77777777" w:rsidR="00C40030" w:rsidRPr="007758E6" w:rsidRDefault="00C40030" w:rsidP="0046766F">
            <w:pPr>
              <w:pStyle w:val="ListParagraph"/>
              <w:numPr>
                <w:ilvl w:val="0"/>
                <w:numId w:val="31"/>
              </w:numPr>
              <w:rPr>
                <w:sz w:val="22"/>
                <w:szCs w:val="22"/>
              </w:rPr>
            </w:pPr>
            <w:r w:rsidRPr="007758E6">
              <w:rPr>
                <w:sz w:val="22"/>
                <w:szCs w:val="22"/>
              </w:rPr>
              <w:t>Removalists and removalist insurance*</w:t>
            </w:r>
          </w:p>
        </w:tc>
        <w:tc>
          <w:tcPr>
            <w:tcW w:w="4635" w:type="dxa"/>
          </w:tcPr>
          <w:p w14:paraId="06318833" w14:textId="77777777" w:rsidR="00C40030" w:rsidRPr="007758E6" w:rsidRDefault="00C40030" w:rsidP="0046766F">
            <w:pPr>
              <w:pStyle w:val="ListParagraph"/>
              <w:numPr>
                <w:ilvl w:val="0"/>
                <w:numId w:val="31"/>
              </w:numPr>
              <w:rPr>
                <w:sz w:val="22"/>
                <w:szCs w:val="22"/>
              </w:rPr>
            </w:pPr>
            <w:r w:rsidRPr="007758E6">
              <w:rPr>
                <w:sz w:val="22"/>
                <w:szCs w:val="22"/>
              </w:rPr>
              <w:t>Truck hire*</w:t>
            </w:r>
          </w:p>
        </w:tc>
      </w:tr>
      <w:tr w:rsidR="00C40030" w:rsidRPr="007758E6" w14:paraId="5806BC4D" w14:textId="77777777" w:rsidTr="0046766F">
        <w:tc>
          <w:tcPr>
            <w:tcW w:w="4651" w:type="dxa"/>
          </w:tcPr>
          <w:p w14:paraId="5B8226E8" w14:textId="77777777" w:rsidR="00C40030" w:rsidRPr="007758E6" w:rsidRDefault="00C40030" w:rsidP="0046766F">
            <w:pPr>
              <w:pStyle w:val="ListParagraph"/>
              <w:numPr>
                <w:ilvl w:val="0"/>
                <w:numId w:val="31"/>
              </w:numPr>
              <w:rPr>
                <w:sz w:val="22"/>
                <w:szCs w:val="22"/>
              </w:rPr>
            </w:pPr>
            <w:r w:rsidRPr="007758E6">
              <w:rPr>
                <w:sz w:val="22"/>
                <w:szCs w:val="22"/>
              </w:rPr>
              <w:t>Storage*</w:t>
            </w:r>
          </w:p>
        </w:tc>
        <w:tc>
          <w:tcPr>
            <w:tcW w:w="4635" w:type="dxa"/>
          </w:tcPr>
          <w:p w14:paraId="2B1B793C" w14:textId="77777777" w:rsidR="00C40030" w:rsidRPr="007758E6" w:rsidRDefault="00C40030" w:rsidP="0046766F">
            <w:pPr>
              <w:pStyle w:val="ListParagraph"/>
              <w:numPr>
                <w:ilvl w:val="0"/>
                <w:numId w:val="31"/>
              </w:numPr>
              <w:rPr>
                <w:sz w:val="22"/>
                <w:szCs w:val="22"/>
              </w:rPr>
            </w:pPr>
            <w:r w:rsidRPr="007758E6">
              <w:rPr>
                <w:sz w:val="22"/>
                <w:szCs w:val="22"/>
              </w:rPr>
              <w:t>Trailer hire*</w:t>
            </w:r>
          </w:p>
        </w:tc>
      </w:tr>
      <w:tr w:rsidR="00C40030" w:rsidRPr="007758E6" w14:paraId="6CE663B0" w14:textId="77777777" w:rsidTr="0046766F">
        <w:tc>
          <w:tcPr>
            <w:tcW w:w="9286" w:type="dxa"/>
            <w:gridSpan w:val="2"/>
          </w:tcPr>
          <w:p w14:paraId="1572B715" w14:textId="77777777" w:rsidR="00C40030" w:rsidRPr="007758E6" w:rsidRDefault="00C40030" w:rsidP="0046766F">
            <w:pPr>
              <w:pStyle w:val="ListParagraph"/>
              <w:numPr>
                <w:ilvl w:val="0"/>
                <w:numId w:val="26"/>
              </w:numPr>
              <w:spacing w:before="20" w:after="20"/>
              <w:ind w:left="357" w:hanging="357"/>
              <w:rPr>
                <w:b/>
                <w:sz w:val="22"/>
                <w:szCs w:val="22"/>
              </w:rPr>
            </w:pPr>
            <w:r w:rsidRPr="007758E6">
              <w:rPr>
                <w:b/>
                <w:sz w:val="22"/>
                <w:szCs w:val="22"/>
              </w:rPr>
              <w:t>Rental Bond</w:t>
            </w:r>
          </w:p>
        </w:tc>
      </w:tr>
      <w:tr w:rsidR="00C40030" w:rsidRPr="007758E6" w14:paraId="0C51A647" w14:textId="77777777" w:rsidTr="0046766F">
        <w:tc>
          <w:tcPr>
            <w:tcW w:w="9286" w:type="dxa"/>
            <w:gridSpan w:val="2"/>
          </w:tcPr>
          <w:p w14:paraId="5D8B4694" w14:textId="036A10B2" w:rsidR="00C40030" w:rsidRPr="007758E6" w:rsidRDefault="00C40030" w:rsidP="0046766F">
            <w:pPr>
              <w:pStyle w:val="ListParagraph"/>
              <w:numPr>
                <w:ilvl w:val="1"/>
                <w:numId w:val="29"/>
              </w:numPr>
              <w:ind w:left="709"/>
              <w:rPr>
                <w:sz w:val="22"/>
                <w:szCs w:val="22"/>
              </w:rPr>
            </w:pPr>
            <w:r w:rsidRPr="007758E6">
              <w:rPr>
                <w:sz w:val="22"/>
                <w:szCs w:val="22"/>
              </w:rPr>
              <w:t xml:space="preserve">The DES Provider </w:t>
            </w:r>
            <w:r w:rsidRPr="007758E6">
              <w:rPr>
                <w:b/>
                <w:sz w:val="22"/>
                <w:szCs w:val="22"/>
              </w:rPr>
              <w:t xml:space="preserve">should </w:t>
            </w:r>
            <w:r w:rsidRPr="007758E6">
              <w:rPr>
                <w:sz w:val="22"/>
                <w:szCs w:val="22"/>
              </w:rPr>
              <w:t>have the bond paid and registered in the DES Provider</w:t>
            </w:r>
            <w:r w:rsidR="00D16125" w:rsidRPr="007758E6">
              <w:rPr>
                <w:sz w:val="22"/>
                <w:szCs w:val="22"/>
              </w:rPr>
              <w:t>’s name.</w:t>
            </w:r>
          </w:p>
          <w:p w14:paraId="431F8E7B" w14:textId="77777777" w:rsidR="00C40030" w:rsidRPr="007758E6" w:rsidRDefault="00C40030" w:rsidP="0046766F">
            <w:pPr>
              <w:pStyle w:val="ListParagraph"/>
              <w:numPr>
                <w:ilvl w:val="1"/>
                <w:numId w:val="29"/>
              </w:numPr>
              <w:ind w:left="709"/>
              <w:rPr>
                <w:sz w:val="22"/>
                <w:szCs w:val="22"/>
              </w:rPr>
            </w:pPr>
            <w:r w:rsidRPr="007758E6">
              <w:rPr>
                <w:sz w:val="22"/>
                <w:szCs w:val="22"/>
              </w:rPr>
              <w:t xml:space="preserve">If it is not possible to have the bond paid and registered in the DES Provider’s name, the bond </w:t>
            </w:r>
            <w:r w:rsidRPr="007758E6">
              <w:rPr>
                <w:b/>
                <w:sz w:val="22"/>
                <w:szCs w:val="22"/>
              </w:rPr>
              <w:t>should</w:t>
            </w:r>
            <w:r w:rsidRPr="007758E6">
              <w:rPr>
                <w:sz w:val="22"/>
                <w:szCs w:val="22"/>
              </w:rPr>
              <w:t xml:space="preserve"> be issued in the Participant’s name. The DES Provider </w:t>
            </w:r>
            <w:r w:rsidRPr="007758E6">
              <w:rPr>
                <w:b/>
                <w:sz w:val="22"/>
                <w:szCs w:val="22"/>
              </w:rPr>
              <w:t>must</w:t>
            </w:r>
            <w:r w:rsidRPr="007758E6">
              <w:rPr>
                <w:sz w:val="22"/>
                <w:szCs w:val="22"/>
              </w:rPr>
              <w:t xml:space="preserve"> inform the Participant that it is their responsibility to return any remaining bond when the lease ends. Where bond monies are returned to a DES Provider, they should be reimbursed to the Department.</w:t>
            </w:r>
          </w:p>
          <w:p w14:paraId="2CA9E20C" w14:textId="77777777" w:rsidR="00C40030" w:rsidRPr="007758E6" w:rsidRDefault="00C40030" w:rsidP="0046766F">
            <w:pPr>
              <w:pStyle w:val="ListParagraph"/>
              <w:numPr>
                <w:ilvl w:val="1"/>
                <w:numId w:val="29"/>
              </w:numPr>
              <w:ind w:left="709"/>
              <w:rPr>
                <w:sz w:val="22"/>
                <w:szCs w:val="22"/>
              </w:rPr>
            </w:pPr>
            <w:r w:rsidRPr="007758E6">
              <w:rPr>
                <w:sz w:val="22"/>
                <w:szCs w:val="22"/>
              </w:rPr>
              <w:t xml:space="preserve">Where the relevant law or lease agreement places liability for excess damages with the party that paid the bond, the DES Provider </w:t>
            </w:r>
            <w:r w:rsidRPr="007758E6">
              <w:rPr>
                <w:b/>
                <w:sz w:val="22"/>
                <w:szCs w:val="22"/>
              </w:rPr>
              <w:t xml:space="preserve">should </w:t>
            </w:r>
            <w:r w:rsidRPr="007758E6">
              <w:rPr>
                <w:sz w:val="22"/>
                <w:szCs w:val="22"/>
              </w:rPr>
              <w:t>not lodge the bond in its own name.</w:t>
            </w:r>
          </w:p>
        </w:tc>
      </w:tr>
    </w:tbl>
    <w:p w14:paraId="16FFBCD0" w14:textId="77777777" w:rsidR="007758E6" w:rsidRDefault="007758E6" w:rsidP="00673D96">
      <w:pPr>
        <w:pStyle w:val="Heading4"/>
      </w:pPr>
    </w:p>
    <w:p w14:paraId="3364A2F2" w14:textId="16996D38" w:rsidR="00C40030" w:rsidRPr="00477122" w:rsidRDefault="00C40030" w:rsidP="00243D30">
      <w:pPr>
        <w:pStyle w:val="Heading4"/>
        <w:rPr>
          <w:sz w:val="22"/>
          <w:szCs w:val="22"/>
        </w:rPr>
      </w:pPr>
      <w:r w:rsidRPr="00477122">
        <w:rPr>
          <w:sz w:val="22"/>
          <w:szCs w:val="22"/>
        </w:rPr>
        <w:lastRenderedPageBreak/>
        <w:t>Prohibited relocation assistance funding</w:t>
      </w:r>
    </w:p>
    <w:tbl>
      <w:tblPr>
        <w:tblStyle w:val="TableGrid"/>
        <w:tblW w:w="0" w:type="auto"/>
        <w:tblBorders>
          <w:insideV w:val="none" w:sz="0" w:space="0" w:color="auto"/>
        </w:tblBorders>
        <w:tblLook w:val="04A0" w:firstRow="1" w:lastRow="0" w:firstColumn="1" w:lastColumn="0" w:noHBand="0" w:noVBand="1"/>
        <w:tblCaption w:val="Prohibited relocation assistance funding"/>
        <w:tblDescription w:val="Prohibited relocation assistance funding"/>
      </w:tblPr>
      <w:tblGrid>
        <w:gridCol w:w="4915"/>
        <w:gridCol w:w="4939"/>
      </w:tblGrid>
      <w:tr w:rsidR="00C40030" w:rsidRPr="00FB0B4E" w14:paraId="05E3A7AA" w14:textId="77777777" w:rsidTr="0046766F">
        <w:trPr>
          <w:tblHeader/>
        </w:trPr>
        <w:tc>
          <w:tcPr>
            <w:tcW w:w="5494" w:type="dxa"/>
          </w:tcPr>
          <w:p w14:paraId="36CBFDC0" w14:textId="77777777" w:rsidR="00C40030" w:rsidRPr="007758E6" w:rsidRDefault="00C40030" w:rsidP="0046766F">
            <w:pPr>
              <w:pStyle w:val="ListParagraph"/>
              <w:numPr>
                <w:ilvl w:val="0"/>
                <w:numId w:val="32"/>
              </w:numPr>
              <w:rPr>
                <w:sz w:val="22"/>
                <w:szCs w:val="22"/>
              </w:rPr>
            </w:pPr>
            <w:r w:rsidRPr="007758E6">
              <w:rPr>
                <w:sz w:val="22"/>
                <w:szCs w:val="22"/>
              </w:rPr>
              <w:t>Assets—including whitegoods, furniture, tyres</w:t>
            </w:r>
          </w:p>
        </w:tc>
        <w:tc>
          <w:tcPr>
            <w:tcW w:w="5495" w:type="dxa"/>
          </w:tcPr>
          <w:p w14:paraId="4AD26E70" w14:textId="77777777" w:rsidR="00C40030" w:rsidRPr="007758E6" w:rsidRDefault="00C40030" w:rsidP="0046766F">
            <w:pPr>
              <w:pStyle w:val="ListParagraph"/>
              <w:numPr>
                <w:ilvl w:val="0"/>
                <w:numId w:val="32"/>
              </w:numPr>
              <w:rPr>
                <w:sz w:val="22"/>
                <w:szCs w:val="22"/>
              </w:rPr>
            </w:pPr>
            <w:r w:rsidRPr="007758E6">
              <w:rPr>
                <w:sz w:val="22"/>
                <w:szCs w:val="22"/>
              </w:rPr>
              <w:t>Ongoing costs—utilities, school fees, mortgage</w:t>
            </w:r>
          </w:p>
        </w:tc>
      </w:tr>
      <w:tr w:rsidR="00C40030" w:rsidRPr="00FB0B4E" w14:paraId="6844F732" w14:textId="77777777" w:rsidTr="0046766F">
        <w:tc>
          <w:tcPr>
            <w:tcW w:w="5494" w:type="dxa"/>
          </w:tcPr>
          <w:p w14:paraId="09A3EA98" w14:textId="77777777" w:rsidR="00C40030" w:rsidRPr="007758E6" w:rsidRDefault="00C40030" w:rsidP="0046766F">
            <w:pPr>
              <w:pStyle w:val="ListParagraph"/>
              <w:numPr>
                <w:ilvl w:val="0"/>
                <w:numId w:val="32"/>
              </w:numPr>
              <w:rPr>
                <w:sz w:val="22"/>
                <w:szCs w:val="22"/>
              </w:rPr>
            </w:pPr>
            <w:r w:rsidRPr="007758E6">
              <w:rPr>
                <w:sz w:val="22"/>
                <w:szCs w:val="22"/>
              </w:rPr>
              <w:t>Repairs—including vehicles</w:t>
            </w:r>
          </w:p>
        </w:tc>
        <w:tc>
          <w:tcPr>
            <w:tcW w:w="5495" w:type="dxa"/>
          </w:tcPr>
          <w:p w14:paraId="706B87C8" w14:textId="77777777" w:rsidR="00C40030" w:rsidRPr="007758E6" w:rsidRDefault="00C40030" w:rsidP="0046766F">
            <w:pPr>
              <w:pStyle w:val="ListParagraph"/>
              <w:numPr>
                <w:ilvl w:val="0"/>
                <w:numId w:val="32"/>
              </w:numPr>
              <w:rPr>
                <w:sz w:val="22"/>
                <w:szCs w:val="22"/>
              </w:rPr>
            </w:pPr>
            <w:r w:rsidRPr="007758E6">
              <w:rPr>
                <w:sz w:val="22"/>
                <w:szCs w:val="22"/>
              </w:rPr>
              <w:t>Post Placement Support</w:t>
            </w:r>
          </w:p>
        </w:tc>
      </w:tr>
      <w:tr w:rsidR="00C40030" w:rsidRPr="00FB0B4E" w14:paraId="780A1068" w14:textId="77777777" w:rsidTr="0046766F">
        <w:tc>
          <w:tcPr>
            <w:tcW w:w="5494" w:type="dxa"/>
          </w:tcPr>
          <w:p w14:paraId="38CC169A" w14:textId="77777777" w:rsidR="00C40030" w:rsidRPr="007758E6" w:rsidRDefault="00C40030" w:rsidP="0046766F">
            <w:pPr>
              <w:pStyle w:val="ListParagraph"/>
              <w:numPr>
                <w:ilvl w:val="0"/>
                <w:numId w:val="32"/>
              </w:numPr>
              <w:rPr>
                <w:sz w:val="22"/>
                <w:szCs w:val="22"/>
              </w:rPr>
            </w:pPr>
            <w:r w:rsidRPr="007758E6">
              <w:rPr>
                <w:sz w:val="22"/>
                <w:szCs w:val="22"/>
              </w:rPr>
              <w:t>Cost of return relocation</w:t>
            </w:r>
          </w:p>
        </w:tc>
        <w:tc>
          <w:tcPr>
            <w:tcW w:w="5495" w:type="dxa"/>
          </w:tcPr>
          <w:p w14:paraId="088BD8D5" w14:textId="77777777" w:rsidR="00C40030" w:rsidRPr="007758E6" w:rsidRDefault="00C40030" w:rsidP="0046766F">
            <w:pPr>
              <w:pStyle w:val="ListParagraph"/>
              <w:numPr>
                <w:ilvl w:val="0"/>
                <w:numId w:val="32"/>
              </w:numPr>
              <w:rPr>
                <w:b/>
                <w:sz w:val="22"/>
                <w:szCs w:val="22"/>
              </w:rPr>
            </w:pPr>
            <w:r w:rsidRPr="007758E6">
              <w:rPr>
                <w:sz w:val="22"/>
                <w:szCs w:val="22"/>
              </w:rPr>
              <w:t>Association fees</w:t>
            </w:r>
          </w:p>
        </w:tc>
      </w:tr>
    </w:tbl>
    <w:p w14:paraId="7ECFCCA1" w14:textId="77777777" w:rsidR="00673D96" w:rsidRDefault="00673D96" w:rsidP="00C40030">
      <w:pPr>
        <w:tabs>
          <w:tab w:val="left" w:pos="6195"/>
        </w:tabs>
        <w:rPr>
          <w:b/>
        </w:rPr>
      </w:pPr>
    </w:p>
    <w:p w14:paraId="0F18D471" w14:textId="1E44D7DF" w:rsidR="00C40030" w:rsidRPr="00D16125" w:rsidRDefault="00C40030" w:rsidP="00673D96">
      <w:pPr>
        <w:rPr>
          <w:sz w:val="22"/>
          <w:szCs w:val="22"/>
        </w:rPr>
      </w:pPr>
      <w:r w:rsidRPr="00D16125">
        <w:rPr>
          <w:sz w:val="22"/>
          <w:szCs w:val="22"/>
        </w:rPr>
        <w:t>For further assistance, please email your Account Manager, or visit the</w:t>
      </w:r>
      <w:r w:rsidR="00673D96" w:rsidRPr="00D16125">
        <w:rPr>
          <w:sz w:val="22"/>
          <w:szCs w:val="22"/>
        </w:rPr>
        <w:t xml:space="preserve"> </w:t>
      </w:r>
      <w:hyperlink r:id="rId15" w:history="1">
        <w:r w:rsidRPr="00477122">
          <w:rPr>
            <w:rStyle w:val="Hyperlink"/>
            <w:sz w:val="22"/>
            <w:szCs w:val="22"/>
          </w:rPr>
          <w:t xml:space="preserve">Department of </w:t>
        </w:r>
        <w:r w:rsidR="00673D96" w:rsidRPr="00477122">
          <w:rPr>
            <w:rStyle w:val="Hyperlink"/>
            <w:sz w:val="22"/>
            <w:szCs w:val="22"/>
          </w:rPr>
          <w:t>Jobs and Small Business</w:t>
        </w:r>
      </w:hyperlink>
      <w:r w:rsidR="00673D96" w:rsidRPr="00D16125">
        <w:rPr>
          <w:sz w:val="22"/>
          <w:szCs w:val="22"/>
        </w:rPr>
        <w:t xml:space="preserve"> </w:t>
      </w:r>
      <w:r w:rsidRPr="00D16125">
        <w:rPr>
          <w:sz w:val="22"/>
          <w:szCs w:val="22"/>
        </w:rPr>
        <w:t>website (</w:t>
      </w:r>
      <w:r w:rsidR="00673D96" w:rsidRPr="00477122">
        <w:rPr>
          <w:sz w:val="22"/>
          <w:szCs w:val="22"/>
        </w:rPr>
        <w:t>www.jobs.gov.au/relocation-assistance-take-job</w:t>
      </w:r>
      <w:r w:rsidRPr="00D16125">
        <w:rPr>
          <w:sz w:val="22"/>
          <w:szCs w:val="22"/>
        </w:rPr>
        <w:t>)</w:t>
      </w:r>
    </w:p>
    <w:sectPr w:rsidR="00C40030" w:rsidRPr="00D16125" w:rsidSect="00FC467C">
      <w:footerReference w:type="default" r:id="rId16"/>
      <w:footerReference w:type="first" r:id="rId17"/>
      <w:pgSz w:w="11906" w:h="16838"/>
      <w:pgMar w:top="992" w:right="1134" w:bottom="992" w:left="1134" w:header="284"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D7E5BC" w14:textId="77777777" w:rsidR="00404DA2" w:rsidRDefault="00404DA2">
      <w:r>
        <w:separator/>
      </w:r>
    </w:p>
  </w:endnote>
  <w:endnote w:type="continuationSeparator" w:id="0">
    <w:p w14:paraId="23915802" w14:textId="77777777" w:rsidR="00404DA2" w:rsidRDefault="00404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DB775" w14:textId="77777777" w:rsidR="00450249" w:rsidRPr="00450249" w:rsidRDefault="00450249" w:rsidP="00450249">
    <w:pPr>
      <w:pStyle w:val="Footer"/>
      <w:rPr>
        <w:rFonts w:cs="Times New Roman"/>
        <w:color w:val="808080" w:themeColor="background1" w:themeShade="80"/>
        <w:sz w:val="16"/>
        <w:szCs w:val="16"/>
      </w:rPr>
    </w:pPr>
    <w:r w:rsidRPr="00450249">
      <w:rPr>
        <w:rFonts w:cs="Times New Roman"/>
        <w:color w:val="808080" w:themeColor="background1" w:themeShade="80"/>
        <w:sz w:val="16"/>
        <w:szCs w:val="16"/>
      </w:rPr>
      <w:t>Relocation Assistance to take up a Job Guidelines</w:t>
    </w:r>
  </w:p>
  <w:p w14:paraId="0243D5DB" w14:textId="51D419F6" w:rsidR="00450249" w:rsidRPr="00450249" w:rsidRDefault="008C7FE5" w:rsidP="00450249">
    <w:pPr>
      <w:tabs>
        <w:tab w:val="right" w:pos="8306"/>
      </w:tabs>
      <w:rPr>
        <w:color w:val="808080" w:themeColor="background1" w:themeShade="80"/>
        <w:sz w:val="16"/>
        <w:szCs w:val="16"/>
      </w:rPr>
    </w:pPr>
    <w:r>
      <w:rPr>
        <w:color w:val="808080" w:themeColor="background1" w:themeShade="80"/>
        <w:sz w:val="16"/>
        <w:szCs w:val="16"/>
      </w:rPr>
      <w:t xml:space="preserve">TRIM ID: </w:t>
    </w:r>
    <w:proofErr w:type="spellStart"/>
    <w:r>
      <w:rPr>
        <w:color w:val="808080" w:themeColor="background1" w:themeShade="80"/>
        <w:sz w:val="16"/>
        <w:szCs w:val="16"/>
      </w:rPr>
      <w:t>D18</w:t>
    </w:r>
    <w:proofErr w:type="spellEnd"/>
    <w:r>
      <w:rPr>
        <w:color w:val="808080" w:themeColor="background1" w:themeShade="80"/>
        <w:sz w:val="16"/>
        <w:szCs w:val="16"/>
      </w:rPr>
      <w:t>/232631</w:t>
    </w:r>
  </w:p>
  <w:p w14:paraId="7F6FD792" w14:textId="77777777" w:rsidR="00450249" w:rsidRPr="00450249" w:rsidRDefault="00450249" w:rsidP="00450249">
    <w:pPr>
      <w:tabs>
        <w:tab w:val="right" w:pos="9638"/>
      </w:tabs>
      <w:rPr>
        <w:noProof/>
        <w:color w:val="808080" w:themeColor="background1" w:themeShade="80"/>
        <w:sz w:val="16"/>
        <w:szCs w:val="16"/>
      </w:rPr>
    </w:pPr>
    <w:r>
      <w:rPr>
        <w:color w:val="808080" w:themeColor="background1" w:themeShade="80"/>
        <w:sz w:val="16"/>
        <w:szCs w:val="16"/>
      </w:rPr>
      <w:t xml:space="preserve">ARC Record Number: </w:t>
    </w:r>
    <w:proofErr w:type="spellStart"/>
    <w:r w:rsidRPr="00450249">
      <w:rPr>
        <w:color w:val="808080" w:themeColor="background1" w:themeShade="80"/>
        <w:sz w:val="16"/>
        <w:szCs w:val="16"/>
      </w:rPr>
      <w:t>D18</w:t>
    </w:r>
    <w:proofErr w:type="spellEnd"/>
    <w:r w:rsidRPr="00450249">
      <w:rPr>
        <w:color w:val="808080" w:themeColor="background1" w:themeShade="80"/>
        <w:sz w:val="16"/>
        <w:szCs w:val="16"/>
      </w:rPr>
      <w:t>/350010</w:t>
    </w:r>
    <w:r w:rsidRPr="00450249">
      <w:rPr>
        <w:color w:val="808080" w:themeColor="background1" w:themeShade="80"/>
        <w:sz w:val="16"/>
        <w:szCs w:val="16"/>
      </w:rPr>
      <w:tab/>
      <w:t>Effective Date: 1 July 2018</w:t>
    </w:r>
  </w:p>
  <w:sdt>
    <w:sdtPr>
      <w:id w:val="1074390097"/>
      <w:docPartObj>
        <w:docPartGallery w:val="Page Numbers (Bottom of Page)"/>
        <w:docPartUnique/>
      </w:docPartObj>
    </w:sdtPr>
    <w:sdtEndPr>
      <w:rPr>
        <w:noProof/>
        <w:sz w:val="16"/>
        <w:szCs w:val="16"/>
      </w:rPr>
    </w:sdtEndPr>
    <w:sdtContent>
      <w:p w14:paraId="3F094963" w14:textId="101F2F18" w:rsidR="00980F91" w:rsidRPr="00450249" w:rsidRDefault="00450249" w:rsidP="00450249">
        <w:pPr>
          <w:pStyle w:val="Footer"/>
          <w:jc w:val="center"/>
          <w:rPr>
            <w:sz w:val="16"/>
            <w:szCs w:val="16"/>
          </w:rPr>
        </w:pPr>
        <w:r w:rsidRPr="00450249">
          <w:rPr>
            <w:sz w:val="16"/>
            <w:szCs w:val="16"/>
          </w:rPr>
          <w:fldChar w:fldCharType="begin"/>
        </w:r>
        <w:r w:rsidRPr="00450249">
          <w:rPr>
            <w:sz w:val="16"/>
            <w:szCs w:val="16"/>
          </w:rPr>
          <w:instrText xml:space="preserve"> PAGE   \* MERGEFORMAT </w:instrText>
        </w:r>
        <w:r w:rsidRPr="00450249">
          <w:rPr>
            <w:sz w:val="16"/>
            <w:szCs w:val="16"/>
          </w:rPr>
          <w:fldChar w:fldCharType="separate"/>
        </w:r>
        <w:r w:rsidR="008C7FE5">
          <w:rPr>
            <w:noProof/>
            <w:sz w:val="16"/>
            <w:szCs w:val="16"/>
          </w:rPr>
          <w:t>10</w:t>
        </w:r>
        <w:r w:rsidRPr="00450249">
          <w:rPr>
            <w:noProof/>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3BB53" w14:textId="77777777" w:rsidR="00450249" w:rsidRPr="00450249" w:rsidRDefault="00450249" w:rsidP="00450249">
    <w:pPr>
      <w:pStyle w:val="Footer"/>
      <w:rPr>
        <w:rFonts w:cs="Times New Roman"/>
        <w:color w:val="808080" w:themeColor="background1" w:themeShade="80"/>
        <w:sz w:val="16"/>
        <w:szCs w:val="16"/>
      </w:rPr>
    </w:pPr>
    <w:r w:rsidRPr="00450249">
      <w:rPr>
        <w:rFonts w:cs="Times New Roman"/>
        <w:color w:val="808080" w:themeColor="background1" w:themeShade="80"/>
        <w:sz w:val="16"/>
        <w:szCs w:val="16"/>
      </w:rPr>
      <w:t>Relocation Assistance to take up a Job Guidelines</w:t>
    </w:r>
  </w:p>
  <w:p w14:paraId="07C63912" w14:textId="2A1F7FC2" w:rsidR="00450249" w:rsidRPr="00450249" w:rsidRDefault="008C7FE5" w:rsidP="00450249">
    <w:pPr>
      <w:tabs>
        <w:tab w:val="right" w:pos="8306"/>
      </w:tabs>
      <w:rPr>
        <w:color w:val="808080" w:themeColor="background1" w:themeShade="80"/>
        <w:sz w:val="16"/>
        <w:szCs w:val="16"/>
      </w:rPr>
    </w:pPr>
    <w:r>
      <w:rPr>
        <w:color w:val="808080" w:themeColor="background1" w:themeShade="80"/>
        <w:sz w:val="16"/>
        <w:szCs w:val="16"/>
      </w:rPr>
      <w:t xml:space="preserve">TRIM ID: </w:t>
    </w:r>
    <w:proofErr w:type="spellStart"/>
    <w:r>
      <w:rPr>
        <w:color w:val="808080" w:themeColor="background1" w:themeShade="80"/>
        <w:sz w:val="16"/>
        <w:szCs w:val="16"/>
      </w:rPr>
      <w:t>D18</w:t>
    </w:r>
    <w:proofErr w:type="spellEnd"/>
    <w:r>
      <w:rPr>
        <w:color w:val="808080" w:themeColor="background1" w:themeShade="80"/>
        <w:sz w:val="16"/>
        <w:szCs w:val="16"/>
      </w:rPr>
      <w:t>/232631</w:t>
    </w:r>
  </w:p>
  <w:p w14:paraId="32533C32" w14:textId="51BF7030" w:rsidR="00450249" w:rsidRPr="00450249" w:rsidRDefault="00450249" w:rsidP="00450249">
    <w:pPr>
      <w:tabs>
        <w:tab w:val="right" w:pos="9638"/>
      </w:tabs>
      <w:rPr>
        <w:noProof/>
        <w:color w:val="808080" w:themeColor="background1" w:themeShade="80"/>
        <w:sz w:val="16"/>
        <w:szCs w:val="16"/>
      </w:rPr>
    </w:pPr>
    <w:r>
      <w:rPr>
        <w:color w:val="808080" w:themeColor="background1" w:themeShade="80"/>
        <w:sz w:val="16"/>
        <w:szCs w:val="16"/>
      </w:rPr>
      <w:t xml:space="preserve">ARC Record Number: </w:t>
    </w:r>
    <w:proofErr w:type="spellStart"/>
    <w:r w:rsidRPr="00450249">
      <w:rPr>
        <w:color w:val="808080" w:themeColor="background1" w:themeShade="80"/>
        <w:sz w:val="16"/>
        <w:szCs w:val="16"/>
      </w:rPr>
      <w:t>D18</w:t>
    </w:r>
    <w:proofErr w:type="spellEnd"/>
    <w:r w:rsidRPr="00450249">
      <w:rPr>
        <w:color w:val="808080" w:themeColor="background1" w:themeShade="80"/>
        <w:sz w:val="16"/>
        <w:szCs w:val="16"/>
      </w:rPr>
      <w:t>/350010</w:t>
    </w:r>
    <w:r w:rsidRPr="00450249">
      <w:rPr>
        <w:color w:val="808080" w:themeColor="background1" w:themeShade="80"/>
        <w:sz w:val="16"/>
        <w:szCs w:val="16"/>
      </w:rPr>
      <w:tab/>
      <w:t>Effective Date: 1 July 2018</w:t>
    </w:r>
  </w:p>
  <w:sdt>
    <w:sdtPr>
      <w:id w:val="410353850"/>
      <w:docPartObj>
        <w:docPartGallery w:val="Page Numbers (Bottom of Page)"/>
        <w:docPartUnique/>
      </w:docPartObj>
    </w:sdtPr>
    <w:sdtEndPr>
      <w:rPr>
        <w:noProof/>
        <w:sz w:val="16"/>
        <w:szCs w:val="16"/>
      </w:rPr>
    </w:sdtEndPr>
    <w:sdtContent>
      <w:p w14:paraId="4799D4FD" w14:textId="0D0F3D26" w:rsidR="00980F91" w:rsidRPr="00450249" w:rsidRDefault="00450249" w:rsidP="00450249">
        <w:pPr>
          <w:pStyle w:val="Footer"/>
          <w:jc w:val="center"/>
          <w:rPr>
            <w:sz w:val="16"/>
            <w:szCs w:val="16"/>
          </w:rPr>
        </w:pPr>
        <w:r w:rsidRPr="00450249">
          <w:rPr>
            <w:sz w:val="16"/>
            <w:szCs w:val="16"/>
          </w:rPr>
          <w:fldChar w:fldCharType="begin"/>
        </w:r>
        <w:r w:rsidRPr="00450249">
          <w:rPr>
            <w:sz w:val="16"/>
            <w:szCs w:val="16"/>
          </w:rPr>
          <w:instrText xml:space="preserve"> PAGE   \* MERGEFORMAT </w:instrText>
        </w:r>
        <w:r w:rsidRPr="00450249">
          <w:rPr>
            <w:sz w:val="16"/>
            <w:szCs w:val="16"/>
          </w:rPr>
          <w:fldChar w:fldCharType="separate"/>
        </w:r>
        <w:r w:rsidR="008C7FE5">
          <w:rPr>
            <w:noProof/>
            <w:sz w:val="16"/>
            <w:szCs w:val="16"/>
          </w:rPr>
          <w:t>1</w:t>
        </w:r>
        <w:r w:rsidRPr="00450249">
          <w:rPr>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99C76A" w14:textId="77777777" w:rsidR="00404DA2" w:rsidRDefault="00404DA2">
      <w:r>
        <w:separator/>
      </w:r>
    </w:p>
  </w:footnote>
  <w:footnote w:type="continuationSeparator" w:id="0">
    <w:p w14:paraId="59F4D23B" w14:textId="77777777" w:rsidR="00404DA2" w:rsidRDefault="00404D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5564"/>
    <w:multiLevelType w:val="hybridMultilevel"/>
    <w:tmpl w:val="39363C1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506731C"/>
    <w:multiLevelType w:val="hybridMultilevel"/>
    <w:tmpl w:val="83108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8A7F48"/>
    <w:multiLevelType w:val="hybridMultilevel"/>
    <w:tmpl w:val="D0D8A6F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4E6379"/>
    <w:multiLevelType w:val="hybridMultilevel"/>
    <w:tmpl w:val="B7D6131C"/>
    <w:lvl w:ilvl="0" w:tplc="5BBE2444">
      <w:start w:val="1"/>
      <w:numFmt w:val="lowerLetter"/>
      <w:lvlText w:val="%1."/>
      <w:lvlJc w:val="left"/>
      <w:pPr>
        <w:ind w:left="360" w:hanging="360"/>
      </w:pPr>
      <w:rPr>
        <w:rFonts w:cs="Times New Roman" w:hint="default"/>
        <w:b w:val="0"/>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4">
    <w:nsid w:val="099C4E28"/>
    <w:multiLevelType w:val="hybridMultilevel"/>
    <w:tmpl w:val="B7D6131C"/>
    <w:lvl w:ilvl="0" w:tplc="5BBE2444">
      <w:start w:val="1"/>
      <w:numFmt w:val="lowerLetter"/>
      <w:lvlText w:val="%1."/>
      <w:lvlJc w:val="left"/>
      <w:pPr>
        <w:ind w:left="360" w:hanging="360"/>
      </w:pPr>
      <w:rPr>
        <w:rFonts w:cs="Times New Roman" w:hint="default"/>
        <w:b w:val="0"/>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5">
    <w:nsid w:val="0BAC7DF6"/>
    <w:multiLevelType w:val="hybridMultilevel"/>
    <w:tmpl w:val="2EC47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BF033DE"/>
    <w:multiLevelType w:val="hybridMultilevel"/>
    <w:tmpl w:val="B97A2A6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F6E11E4"/>
    <w:multiLevelType w:val="multilevel"/>
    <w:tmpl w:val="1C02EB18"/>
    <w:styleLink w:val="BulletList"/>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color w:val="auto"/>
      </w:rPr>
    </w:lvl>
    <w:lvl w:ilvl="3">
      <w:start w:val="1"/>
      <w:numFmt w:val="lowerLetter"/>
      <w:lvlText w:val="%4)"/>
      <w:lvlJc w:val="left"/>
      <w:pPr>
        <w:tabs>
          <w:tab w:val="num" w:pos="2880"/>
        </w:tabs>
        <w:ind w:left="2880" w:hanging="360"/>
      </w:pPr>
      <w:rPr>
        <w:rFonts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0D56369"/>
    <w:multiLevelType w:val="hybridMultilevel"/>
    <w:tmpl w:val="1AD6D95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9">
    <w:nsid w:val="1407724D"/>
    <w:multiLevelType w:val="multilevel"/>
    <w:tmpl w:val="FEEAF24C"/>
    <w:lvl w:ilvl="0">
      <w:start w:val="1"/>
      <w:numFmt w:val="bullet"/>
      <w:lvlText w:val=""/>
      <w:lvlJc w:val="left"/>
      <w:pPr>
        <w:tabs>
          <w:tab w:val="num" w:pos="720"/>
        </w:tabs>
        <w:ind w:left="720" w:hanging="360"/>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o"/>
      <w:lvlJc w:val="left"/>
      <w:pPr>
        <w:tabs>
          <w:tab w:val="num" w:pos="2160"/>
        </w:tabs>
        <w:ind w:left="2160" w:hanging="360"/>
      </w:pPr>
      <w:rPr>
        <w:rFonts w:ascii="Courier New" w:hAnsi="Courier New" w:hint="default"/>
        <w:color w:val="auto"/>
      </w:rPr>
    </w:lvl>
    <w:lvl w:ilvl="3">
      <w:start w:val="1"/>
      <w:numFmt w:val="lowerLetter"/>
      <w:lvlText w:val="%4)"/>
      <w:lvlJc w:val="left"/>
      <w:pPr>
        <w:tabs>
          <w:tab w:val="num" w:pos="2880"/>
        </w:tabs>
        <w:ind w:left="2880" w:hanging="360"/>
      </w:pPr>
      <w:rPr>
        <w:rFonts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56A2EAC"/>
    <w:multiLevelType w:val="hybridMultilevel"/>
    <w:tmpl w:val="7EEEFE46"/>
    <w:lvl w:ilvl="0" w:tplc="A2E49242">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1">
    <w:nsid w:val="18AC455E"/>
    <w:multiLevelType w:val="hybridMultilevel"/>
    <w:tmpl w:val="C3A2A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2A66BE1"/>
    <w:multiLevelType w:val="hybridMultilevel"/>
    <w:tmpl w:val="EB5E08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2EE4D05"/>
    <w:multiLevelType w:val="hybridMultilevel"/>
    <w:tmpl w:val="1B94526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3D00ECC"/>
    <w:multiLevelType w:val="hybridMultilevel"/>
    <w:tmpl w:val="93DCFED6"/>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4E057CC"/>
    <w:multiLevelType w:val="hybridMultilevel"/>
    <w:tmpl w:val="32C4D498"/>
    <w:lvl w:ilvl="0" w:tplc="421EF754">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6553BFC"/>
    <w:multiLevelType w:val="hybridMultilevel"/>
    <w:tmpl w:val="19B0C6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nsid w:val="29350A9B"/>
    <w:multiLevelType w:val="hybridMultilevel"/>
    <w:tmpl w:val="8AF07F0C"/>
    <w:lvl w:ilvl="0" w:tplc="52FAAF3E">
      <w:start w:val="1"/>
      <w:numFmt w:val="lowerLetter"/>
      <w:lvlText w:val="%1."/>
      <w:lvlJc w:val="left"/>
      <w:pPr>
        <w:ind w:left="360" w:hanging="360"/>
      </w:pPr>
      <w:rPr>
        <w:rFonts w:cs="Times New Roman" w:hint="default"/>
      </w:rPr>
    </w:lvl>
    <w:lvl w:ilvl="1" w:tplc="0C09001B">
      <w:start w:val="1"/>
      <w:numFmt w:val="lowerRoman"/>
      <w:lvlText w:val="%2."/>
      <w:lvlJc w:val="righ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8">
    <w:nsid w:val="2A925324"/>
    <w:multiLevelType w:val="hybridMultilevel"/>
    <w:tmpl w:val="B89CF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AEA0017"/>
    <w:multiLevelType w:val="multilevel"/>
    <w:tmpl w:val="60482D60"/>
    <w:lvl w:ilvl="0">
      <w:start w:val="1"/>
      <w:numFmt w:val="decimal"/>
      <w:pStyle w:val="List"/>
      <w:lvlText w:val="%1."/>
      <w:lvlJc w:val="left"/>
      <w:pPr>
        <w:tabs>
          <w:tab w:val="num" w:pos="720"/>
        </w:tabs>
        <w:ind w:left="720" w:hanging="360"/>
      </w:pPr>
      <w:rPr>
        <w:rFonts w:ascii="Calibri" w:hAnsi="Calibri" w:hint="default"/>
        <w:sz w:val="22"/>
      </w:rPr>
    </w:lvl>
    <w:lvl w:ilvl="1">
      <w:start w:val="1"/>
      <w:numFmt w:val="lowerLetter"/>
      <w:pStyle w:val="List2"/>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2DC1049B"/>
    <w:multiLevelType w:val="hybridMultilevel"/>
    <w:tmpl w:val="B1F814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2FB20D7D"/>
    <w:multiLevelType w:val="hybridMultilevel"/>
    <w:tmpl w:val="5EFEB40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9496557"/>
    <w:multiLevelType w:val="hybridMultilevel"/>
    <w:tmpl w:val="27FA2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9F10AF5"/>
    <w:multiLevelType w:val="hybridMultilevel"/>
    <w:tmpl w:val="58CE2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C780958"/>
    <w:multiLevelType w:val="hybridMultilevel"/>
    <w:tmpl w:val="32567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093048B"/>
    <w:multiLevelType w:val="hybridMultilevel"/>
    <w:tmpl w:val="9A6E17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48425833"/>
    <w:multiLevelType w:val="hybridMultilevel"/>
    <w:tmpl w:val="BFF0D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EB82B88"/>
    <w:multiLevelType w:val="hybridMultilevel"/>
    <w:tmpl w:val="8AF07F0C"/>
    <w:lvl w:ilvl="0" w:tplc="52FAAF3E">
      <w:start w:val="1"/>
      <w:numFmt w:val="lowerLetter"/>
      <w:lvlText w:val="%1."/>
      <w:lvlJc w:val="left"/>
      <w:pPr>
        <w:ind w:left="360" w:hanging="360"/>
      </w:pPr>
      <w:rPr>
        <w:rFonts w:cs="Times New Roman" w:hint="default"/>
      </w:rPr>
    </w:lvl>
    <w:lvl w:ilvl="1" w:tplc="0C09001B">
      <w:start w:val="1"/>
      <w:numFmt w:val="lowerRoman"/>
      <w:lvlText w:val="%2."/>
      <w:lvlJc w:val="righ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8">
    <w:nsid w:val="51CB22A2"/>
    <w:multiLevelType w:val="hybridMultilevel"/>
    <w:tmpl w:val="D2103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3AA6A00"/>
    <w:multiLevelType w:val="hybridMultilevel"/>
    <w:tmpl w:val="A5509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4EE0714"/>
    <w:multiLevelType w:val="hybridMultilevel"/>
    <w:tmpl w:val="3886F586"/>
    <w:lvl w:ilvl="0" w:tplc="0C09000F">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1">
    <w:nsid w:val="57FF0F4D"/>
    <w:multiLevelType w:val="hybridMultilevel"/>
    <w:tmpl w:val="2F16A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95E46D9"/>
    <w:multiLevelType w:val="hybridMultilevel"/>
    <w:tmpl w:val="7238303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3">
    <w:nsid w:val="5A8E4A29"/>
    <w:multiLevelType w:val="multilevel"/>
    <w:tmpl w:val="1C02EB18"/>
    <w:numStyleLink w:val="BulletList"/>
  </w:abstractNum>
  <w:abstractNum w:abstractNumId="34">
    <w:nsid w:val="5D76315E"/>
    <w:multiLevelType w:val="hybridMultilevel"/>
    <w:tmpl w:val="56789274"/>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5">
    <w:nsid w:val="60E92209"/>
    <w:multiLevelType w:val="hybridMultilevel"/>
    <w:tmpl w:val="F438ABFE"/>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6">
    <w:nsid w:val="62A50EA9"/>
    <w:multiLevelType w:val="hybridMultilevel"/>
    <w:tmpl w:val="81F8941C"/>
    <w:lvl w:ilvl="0" w:tplc="64C41AB8">
      <w:start w:val="1"/>
      <w:numFmt w:val="decimal"/>
      <w:lvlText w:val="%1."/>
      <w:lvlJc w:val="left"/>
      <w:pPr>
        <w:ind w:left="720" w:hanging="360"/>
      </w:pPr>
      <w:rPr>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86B25D4"/>
    <w:multiLevelType w:val="hybridMultilevel"/>
    <w:tmpl w:val="7CDA1C78"/>
    <w:lvl w:ilvl="0" w:tplc="E9005CC6">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8">
    <w:nsid w:val="68F831A9"/>
    <w:multiLevelType w:val="hybridMultilevel"/>
    <w:tmpl w:val="F8382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1675A56"/>
    <w:multiLevelType w:val="hybridMultilevel"/>
    <w:tmpl w:val="E368B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77B758D"/>
    <w:multiLevelType w:val="hybridMultilevel"/>
    <w:tmpl w:val="FB2690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88D0E2C"/>
    <w:multiLevelType w:val="hybridMultilevel"/>
    <w:tmpl w:val="D6B209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nsid w:val="7A2834AD"/>
    <w:multiLevelType w:val="multilevel"/>
    <w:tmpl w:val="5176946C"/>
    <w:styleLink w:val="NumberedList"/>
    <w:lvl w:ilvl="0">
      <w:start w:val="1"/>
      <w:numFmt w:val="decimal"/>
      <w:lvlText w:val="%1."/>
      <w:lvlJc w:val="left"/>
      <w:pPr>
        <w:tabs>
          <w:tab w:val="num" w:pos="720"/>
        </w:tabs>
        <w:ind w:left="720" w:hanging="360"/>
      </w:pPr>
      <w:rPr>
        <w:rFonts w:ascii="Calibri" w:hAnsi="Calibri"/>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A86430B"/>
    <w:multiLevelType w:val="hybridMultilevel"/>
    <w:tmpl w:val="FA0435D2"/>
    <w:lvl w:ilvl="0" w:tplc="25848874">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211"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nsid w:val="7B1F24AA"/>
    <w:multiLevelType w:val="hybridMultilevel"/>
    <w:tmpl w:val="7820EE5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5">
    <w:nsid w:val="7FB8003B"/>
    <w:multiLevelType w:val="hybridMultilevel"/>
    <w:tmpl w:val="EE62BEAA"/>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num w:numId="1">
    <w:abstractNumId w:val="7"/>
  </w:num>
  <w:num w:numId="2">
    <w:abstractNumId w:val="42"/>
  </w:num>
  <w:num w:numId="3">
    <w:abstractNumId w:val="43"/>
  </w:num>
  <w:num w:numId="4">
    <w:abstractNumId w:val="23"/>
  </w:num>
  <w:num w:numId="5">
    <w:abstractNumId w:val="25"/>
  </w:num>
  <w:num w:numId="6">
    <w:abstractNumId w:val="26"/>
  </w:num>
  <w:num w:numId="7">
    <w:abstractNumId w:val="40"/>
  </w:num>
  <w:num w:numId="8">
    <w:abstractNumId w:val="15"/>
  </w:num>
  <w:num w:numId="9">
    <w:abstractNumId w:val="32"/>
  </w:num>
  <w:num w:numId="10">
    <w:abstractNumId w:val="31"/>
  </w:num>
  <w:num w:numId="11">
    <w:abstractNumId w:val="14"/>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28"/>
  </w:num>
  <w:num w:numId="15">
    <w:abstractNumId w:val="6"/>
  </w:num>
  <w:num w:numId="16">
    <w:abstractNumId w:val="36"/>
  </w:num>
  <w:num w:numId="17">
    <w:abstractNumId w:val="13"/>
  </w:num>
  <w:num w:numId="18">
    <w:abstractNumId w:val="21"/>
  </w:num>
  <w:num w:numId="19">
    <w:abstractNumId w:val="38"/>
  </w:num>
  <w:num w:numId="20">
    <w:abstractNumId w:val="20"/>
  </w:num>
  <w:num w:numId="21">
    <w:abstractNumId w:val="0"/>
  </w:num>
  <w:num w:numId="22">
    <w:abstractNumId w:val="43"/>
  </w:num>
  <w:num w:numId="23">
    <w:abstractNumId w:val="12"/>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30"/>
  </w:num>
  <w:num w:numId="27">
    <w:abstractNumId w:val="3"/>
  </w:num>
  <w:num w:numId="28">
    <w:abstractNumId w:val="10"/>
  </w:num>
  <w:num w:numId="29">
    <w:abstractNumId w:val="27"/>
  </w:num>
  <w:num w:numId="30">
    <w:abstractNumId w:val="37"/>
  </w:num>
  <w:num w:numId="31">
    <w:abstractNumId w:val="17"/>
  </w:num>
  <w:num w:numId="32">
    <w:abstractNumId w:val="4"/>
  </w:num>
  <w:num w:numId="33">
    <w:abstractNumId w:val="2"/>
  </w:num>
  <w:num w:numId="34">
    <w:abstractNumId w:val="40"/>
  </w:num>
  <w:num w:numId="35">
    <w:abstractNumId w:val="1"/>
  </w:num>
  <w:num w:numId="36">
    <w:abstractNumId w:val="11"/>
  </w:num>
  <w:num w:numId="37">
    <w:abstractNumId w:val="5"/>
  </w:num>
  <w:num w:numId="38">
    <w:abstractNumId w:val="29"/>
  </w:num>
  <w:num w:numId="39">
    <w:abstractNumId w:val="9"/>
  </w:num>
  <w:num w:numId="40">
    <w:abstractNumId w:val="33"/>
  </w:num>
  <w:num w:numId="41">
    <w:abstractNumId w:val="19"/>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35"/>
  </w:num>
  <w:num w:numId="45">
    <w:abstractNumId w:val="24"/>
  </w:num>
  <w:num w:numId="46">
    <w:abstractNumId w:val="18"/>
  </w:num>
  <w:num w:numId="47">
    <w:abstractNumId w:val="39"/>
  </w:num>
  <w:num w:numId="48">
    <w:abstractNumId w:val="22"/>
  </w:num>
  <w:num w:numId="49">
    <w:abstractNumId w:val="45"/>
  </w:num>
  <w:num w:numId="50">
    <w:abstractNumId w:val="3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Formatting/>
  <w:defaultTabStop w:val="720"/>
  <w:drawingGridHorizontalSpacing w:val="110"/>
  <w:displayHorizontalDrawingGridEvery w:val="2"/>
  <w:characterSpacingControl w:val="doNotCompress"/>
  <w:hdrShapeDefaults>
    <o:shapedefaults v:ext="edit" spidmax="6145">
      <o:colormru v:ext="edit" colors="#009891,#482f9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525A42"/>
    <w:rsid w:val="0000011A"/>
    <w:rsid w:val="0000035F"/>
    <w:rsid w:val="00000575"/>
    <w:rsid w:val="00000B8C"/>
    <w:rsid w:val="00002568"/>
    <w:rsid w:val="00002A90"/>
    <w:rsid w:val="0000319B"/>
    <w:rsid w:val="0000355A"/>
    <w:rsid w:val="00003AA1"/>
    <w:rsid w:val="00004D7F"/>
    <w:rsid w:val="00005494"/>
    <w:rsid w:val="00005600"/>
    <w:rsid w:val="00005783"/>
    <w:rsid w:val="00005F81"/>
    <w:rsid w:val="00007100"/>
    <w:rsid w:val="00007512"/>
    <w:rsid w:val="0000769F"/>
    <w:rsid w:val="000103D0"/>
    <w:rsid w:val="00010639"/>
    <w:rsid w:val="00010722"/>
    <w:rsid w:val="00010B73"/>
    <w:rsid w:val="000113BA"/>
    <w:rsid w:val="000124B7"/>
    <w:rsid w:val="00012592"/>
    <w:rsid w:val="00013B12"/>
    <w:rsid w:val="00013E0F"/>
    <w:rsid w:val="00014135"/>
    <w:rsid w:val="00014420"/>
    <w:rsid w:val="00014802"/>
    <w:rsid w:val="00014DAB"/>
    <w:rsid w:val="0001607D"/>
    <w:rsid w:val="00017961"/>
    <w:rsid w:val="000200B5"/>
    <w:rsid w:val="00021FB2"/>
    <w:rsid w:val="00022FD0"/>
    <w:rsid w:val="0002453A"/>
    <w:rsid w:val="00025035"/>
    <w:rsid w:val="000251FD"/>
    <w:rsid w:val="00025B60"/>
    <w:rsid w:val="00026081"/>
    <w:rsid w:val="000275A5"/>
    <w:rsid w:val="00027627"/>
    <w:rsid w:val="000310CC"/>
    <w:rsid w:val="000313C4"/>
    <w:rsid w:val="000318E7"/>
    <w:rsid w:val="00031FC8"/>
    <w:rsid w:val="00032058"/>
    <w:rsid w:val="000320E4"/>
    <w:rsid w:val="00032AA6"/>
    <w:rsid w:val="00033A34"/>
    <w:rsid w:val="00034415"/>
    <w:rsid w:val="000347F4"/>
    <w:rsid w:val="000357F4"/>
    <w:rsid w:val="000365FD"/>
    <w:rsid w:val="00036AA4"/>
    <w:rsid w:val="0003746E"/>
    <w:rsid w:val="00037979"/>
    <w:rsid w:val="0004061E"/>
    <w:rsid w:val="000406DE"/>
    <w:rsid w:val="00040E6F"/>
    <w:rsid w:val="0004217E"/>
    <w:rsid w:val="00042403"/>
    <w:rsid w:val="0004240A"/>
    <w:rsid w:val="00042D97"/>
    <w:rsid w:val="000430FE"/>
    <w:rsid w:val="000439AC"/>
    <w:rsid w:val="00043E50"/>
    <w:rsid w:val="00043FF4"/>
    <w:rsid w:val="00044574"/>
    <w:rsid w:val="00044AE2"/>
    <w:rsid w:val="00044EB0"/>
    <w:rsid w:val="00045899"/>
    <w:rsid w:val="000464B3"/>
    <w:rsid w:val="00046586"/>
    <w:rsid w:val="00046B12"/>
    <w:rsid w:val="00047579"/>
    <w:rsid w:val="00047669"/>
    <w:rsid w:val="0004779A"/>
    <w:rsid w:val="000517F5"/>
    <w:rsid w:val="00052E08"/>
    <w:rsid w:val="00052EB4"/>
    <w:rsid w:val="000534C0"/>
    <w:rsid w:val="00053927"/>
    <w:rsid w:val="00053A6A"/>
    <w:rsid w:val="00053CB1"/>
    <w:rsid w:val="000542FA"/>
    <w:rsid w:val="00054CF0"/>
    <w:rsid w:val="000558DE"/>
    <w:rsid w:val="00055CC7"/>
    <w:rsid w:val="000611C3"/>
    <w:rsid w:val="000619A6"/>
    <w:rsid w:val="000619C9"/>
    <w:rsid w:val="00061A82"/>
    <w:rsid w:val="00061D2E"/>
    <w:rsid w:val="000630ED"/>
    <w:rsid w:val="000634CF"/>
    <w:rsid w:val="00063A2F"/>
    <w:rsid w:val="000640F8"/>
    <w:rsid w:val="00064342"/>
    <w:rsid w:val="0006555D"/>
    <w:rsid w:val="00065618"/>
    <w:rsid w:val="000663EE"/>
    <w:rsid w:val="00067284"/>
    <w:rsid w:val="00067775"/>
    <w:rsid w:val="00070B2C"/>
    <w:rsid w:val="00071BD3"/>
    <w:rsid w:val="00073388"/>
    <w:rsid w:val="00074464"/>
    <w:rsid w:val="0007560D"/>
    <w:rsid w:val="00076B6E"/>
    <w:rsid w:val="00076EBA"/>
    <w:rsid w:val="00077089"/>
    <w:rsid w:val="00077227"/>
    <w:rsid w:val="00077782"/>
    <w:rsid w:val="00080787"/>
    <w:rsid w:val="00080A2C"/>
    <w:rsid w:val="000815E5"/>
    <w:rsid w:val="00082F6D"/>
    <w:rsid w:val="00083BB6"/>
    <w:rsid w:val="00085EA9"/>
    <w:rsid w:val="00087158"/>
    <w:rsid w:val="00087D36"/>
    <w:rsid w:val="00087FA1"/>
    <w:rsid w:val="0009008A"/>
    <w:rsid w:val="00091A2A"/>
    <w:rsid w:val="000924BC"/>
    <w:rsid w:val="00092B0B"/>
    <w:rsid w:val="00092E6F"/>
    <w:rsid w:val="00093F9E"/>
    <w:rsid w:val="00094025"/>
    <w:rsid w:val="000944DF"/>
    <w:rsid w:val="00094FB7"/>
    <w:rsid w:val="00095070"/>
    <w:rsid w:val="00097CFC"/>
    <w:rsid w:val="000A03A8"/>
    <w:rsid w:val="000A0FC0"/>
    <w:rsid w:val="000A19E5"/>
    <w:rsid w:val="000A1EC0"/>
    <w:rsid w:val="000A2336"/>
    <w:rsid w:val="000A237C"/>
    <w:rsid w:val="000A51AF"/>
    <w:rsid w:val="000A6025"/>
    <w:rsid w:val="000A642C"/>
    <w:rsid w:val="000A658D"/>
    <w:rsid w:val="000A6B7B"/>
    <w:rsid w:val="000A6F0E"/>
    <w:rsid w:val="000B0265"/>
    <w:rsid w:val="000B05E3"/>
    <w:rsid w:val="000B1218"/>
    <w:rsid w:val="000B13F5"/>
    <w:rsid w:val="000B4346"/>
    <w:rsid w:val="000B590F"/>
    <w:rsid w:val="000B6526"/>
    <w:rsid w:val="000B76A8"/>
    <w:rsid w:val="000B76CA"/>
    <w:rsid w:val="000C0ED4"/>
    <w:rsid w:val="000C1B5F"/>
    <w:rsid w:val="000C22CF"/>
    <w:rsid w:val="000C256A"/>
    <w:rsid w:val="000C2A6C"/>
    <w:rsid w:val="000C2CEA"/>
    <w:rsid w:val="000C390D"/>
    <w:rsid w:val="000C42EE"/>
    <w:rsid w:val="000C50C7"/>
    <w:rsid w:val="000C55C3"/>
    <w:rsid w:val="000C622B"/>
    <w:rsid w:val="000D00F5"/>
    <w:rsid w:val="000D0132"/>
    <w:rsid w:val="000D01AF"/>
    <w:rsid w:val="000D0808"/>
    <w:rsid w:val="000D20B1"/>
    <w:rsid w:val="000D3734"/>
    <w:rsid w:val="000D3AB0"/>
    <w:rsid w:val="000D3C4C"/>
    <w:rsid w:val="000D4C58"/>
    <w:rsid w:val="000D5D3D"/>
    <w:rsid w:val="000D6536"/>
    <w:rsid w:val="000D660D"/>
    <w:rsid w:val="000D6755"/>
    <w:rsid w:val="000D7E92"/>
    <w:rsid w:val="000D7ED0"/>
    <w:rsid w:val="000E038D"/>
    <w:rsid w:val="000E0837"/>
    <w:rsid w:val="000E24F2"/>
    <w:rsid w:val="000E29B6"/>
    <w:rsid w:val="000E2EA7"/>
    <w:rsid w:val="000E374B"/>
    <w:rsid w:val="000E3981"/>
    <w:rsid w:val="000E6ADB"/>
    <w:rsid w:val="000E7A06"/>
    <w:rsid w:val="000F0B88"/>
    <w:rsid w:val="000F14F8"/>
    <w:rsid w:val="000F1799"/>
    <w:rsid w:val="000F1B50"/>
    <w:rsid w:val="000F2838"/>
    <w:rsid w:val="000F2B64"/>
    <w:rsid w:val="000F40F1"/>
    <w:rsid w:val="000F4426"/>
    <w:rsid w:val="000F4BF3"/>
    <w:rsid w:val="000F4BF8"/>
    <w:rsid w:val="000F642F"/>
    <w:rsid w:val="000F7D03"/>
    <w:rsid w:val="000F7FDF"/>
    <w:rsid w:val="00100ADB"/>
    <w:rsid w:val="00100FC5"/>
    <w:rsid w:val="001018FA"/>
    <w:rsid w:val="001022A3"/>
    <w:rsid w:val="00102AF7"/>
    <w:rsid w:val="00102F56"/>
    <w:rsid w:val="00103A22"/>
    <w:rsid w:val="00103B2E"/>
    <w:rsid w:val="0010417F"/>
    <w:rsid w:val="00104258"/>
    <w:rsid w:val="001042E0"/>
    <w:rsid w:val="00104467"/>
    <w:rsid w:val="00104F2F"/>
    <w:rsid w:val="00105C80"/>
    <w:rsid w:val="001101D5"/>
    <w:rsid w:val="00110B2B"/>
    <w:rsid w:val="00111032"/>
    <w:rsid w:val="00114F9B"/>
    <w:rsid w:val="001164C8"/>
    <w:rsid w:val="0012105D"/>
    <w:rsid w:val="00122E04"/>
    <w:rsid w:val="00123191"/>
    <w:rsid w:val="001241A7"/>
    <w:rsid w:val="0012447A"/>
    <w:rsid w:val="001249F9"/>
    <w:rsid w:val="00125989"/>
    <w:rsid w:val="00125DD2"/>
    <w:rsid w:val="001267F1"/>
    <w:rsid w:val="001271B1"/>
    <w:rsid w:val="00131148"/>
    <w:rsid w:val="00131A0F"/>
    <w:rsid w:val="00131AFD"/>
    <w:rsid w:val="00131F3D"/>
    <w:rsid w:val="00132006"/>
    <w:rsid w:val="00132EDA"/>
    <w:rsid w:val="00133599"/>
    <w:rsid w:val="00133B18"/>
    <w:rsid w:val="00133BFC"/>
    <w:rsid w:val="00134115"/>
    <w:rsid w:val="00134A79"/>
    <w:rsid w:val="001350CB"/>
    <w:rsid w:val="001354F6"/>
    <w:rsid w:val="00135B24"/>
    <w:rsid w:val="00135DB1"/>
    <w:rsid w:val="00136EA6"/>
    <w:rsid w:val="00136FE7"/>
    <w:rsid w:val="00137190"/>
    <w:rsid w:val="00137486"/>
    <w:rsid w:val="00137BE2"/>
    <w:rsid w:val="0014087C"/>
    <w:rsid w:val="00140E00"/>
    <w:rsid w:val="001410AE"/>
    <w:rsid w:val="0014115B"/>
    <w:rsid w:val="001422B8"/>
    <w:rsid w:val="00142738"/>
    <w:rsid w:val="00142857"/>
    <w:rsid w:val="00142D27"/>
    <w:rsid w:val="001443AB"/>
    <w:rsid w:val="0014738A"/>
    <w:rsid w:val="00150136"/>
    <w:rsid w:val="0015035B"/>
    <w:rsid w:val="00150ABB"/>
    <w:rsid w:val="0015127E"/>
    <w:rsid w:val="001517D9"/>
    <w:rsid w:val="00151FBF"/>
    <w:rsid w:val="0015248E"/>
    <w:rsid w:val="001531BE"/>
    <w:rsid w:val="00153709"/>
    <w:rsid w:val="00154014"/>
    <w:rsid w:val="00154896"/>
    <w:rsid w:val="0015497F"/>
    <w:rsid w:val="00154D64"/>
    <w:rsid w:val="00155882"/>
    <w:rsid w:val="00155895"/>
    <w:rsid w:val="00156211"/>
    <w:rsid w:val="00157694"/>
    <w:rsid w:val="00160485"/>
    <w:rsid w:val="0016080D"/>
    <w:rsid w:val="00160B88"/>
    <w:rsid w:val="00160C90"/>
    <w:rsid w:val="0016252B"/>
    <w:rsid w:val="00163E61"/>
    <w:rsid w:val="0016505A"/>
    <w:rsid w:val="001655F3"/>
    <w:rsid w:val="00165943"/>
    <w:rsid w:val="00165F59"/>
    <w:rsid w:val="00171BE9"/>
    <w:rsid w:val="001720DD"/>
    <w:rsid w:val="00172166"/>
    <w:rsid w:val="00172646"/>
    <w:rsid w:val="0017268B"/>
    <w:rsid w:val="00172F22"/>
    <w:rsid w:val="001749BB"/>
    <w:rsid w:val="00176512"/>
    <w:rsid w:val="00176C7E"/>
    <w:rsid w:val="00176D5A"/>
    <w:rsid w:val="00177618"/>
    <w:rsid w:val="001778A0"/>
    <w:rsid w:val="00180117"/>
    <w:rsid w:val="001804BC"/>
    <w:rsid w:val="00180EB1"/>
    <w:rsid w:val="001814F7"/>
    <w:rsid w:val="00181A56"/>
    <w:rsid w:val="0018346F"/>
    <w:rsid w:val="001834D6"/>
    <w:rsid w:val="001835B4"/>
    <w:rsid w:val="001836FD"/>
    <w:rsid w:val="00183BCA"/>
    <w:rsid w:val="00184B65"/>
    <w:rsid w:val="00185090"/>
    <w:rsid w:val="001854BD"/>
    <w:rsid w:val="0018588D"/>
    <w:rsid w:val="00185D09"/>
    <w:rsid w:val="001862C0"/>
    <w:rsid w:val="00186EC8"/>
    <w:rsid w:val="001877E6"/>
    <w:rsid w:val="00187EA0"/>
    <w:rsid w:val="00190C0E"/>
    <w:rsid w:val="0019295F"/>
    <w:rsid w:val="00194806"/>
    <w:rsid w:val="0019697A"/>
    <w:rsid w:val="00196E3E"/>
    <w:rsid w:val="001970F0"/>
    <w:rsid w:val="00197A90"/>
    <w:rsid w:val="00197B33"/>
    <w:rsid w:val="001A0733"/>
    <w:rsid w:val="001A0759"/>
    <w:rsid w:val="001A1245"/>
    <w:rsid w:val="001A2D9D"/>
    <w:rsid w:val="001A43F2"/>
    <w:rsid w:val="001A532B"/>
    <w:rsid w:val="001A584B"/>
    <w:rsid w:val="001A59E1"/>
    <w:rsid w:val="001A676D"/>
    <w:rsid w:val="001A6A69"/>
    <w:rsid w:val="001A6A93"/>
    <w:rsid w:val="001A7B99"/>
    <w:rsid w:val="001B0F44"/>
    <w:rsid w:val="001B164B"/>
    <w:rsid w:val="001B1ECD"/>
    <w:rsid w:val="001B2145"/>
    <w:rsid w:val="001B2367"/>
    <w:rsid w:val="001B25C5"/>
    <w:rsid w:val="001B2BF6"/>
    <w:rsid w:val="001B2E58"/>
    <w:rsid w:val="001B2E93"/>
    <w:rsid w:val="001B383A"/>
    <w:rsid w:val="001B3B7B"/>
    <w:rsid w:val="001B402F"/>
    <w:rsid w:val="001B4A5B"/>
    <w:rsid w:val="001B52C9"/>
    <w:rsid w:val="001B5DE0"/>
    <w:rsid w:val="001C01D2"/>
    <w:rsid w:val="001C0D4C"/>
    <w:rsid w:val="001C143B"/>
    <w:rsid w:val="001C2E79"/>
    <w:rsid w:val="001C2FE2"/>
    <w:rsid w:val="001C3797"/>
    <w:rsid w:val="001C3B24"/>
    <w:rsid w:val="001C4360"/>
    <w:rsid w:val="001C4509"/>
    <w:rsid w:val="001C56C8"/>
    <w:rsid w:val="001C60BB"/>
    <w:rsid w:val="001C6369"/>
    <w:rsid w:val="001C6E63"/>
    <w:rsid w:val="001C7590"/>
    <w:rsid w:val="001C7600"/>
    <w:rsid w:val="001C779C"/>
    <w:rsid w:val="001D0586"/>
    <w:rsid w:val="001D0AB5"/>
    <w:rsid w:val="001D10E2"/>
    <w:rsid w:val="001D1A92"/>
    <w:rsid w:val="001D1FCD"/>
    <w:rsid w:val="001D2836"/>
    <w:rsid w:val="001D3FAD"/>
    <w:rsid w:val="001D40E3"/>
    <w:rsid w:val="001D4AA4"/>
    <w:rsid w:val="001D6A53"/>
    <w:rsid w:val="001E0D33"/>
    <w:rsid w:val="001E13E4"/>
    <w:rsid w:val="001E1C59"/>
    <w:rsid w:val="001E2239"/>
    <w:rsid w:val="001E2860"/>
    <w:rsid w:val="001E3618"/>
    <w:rsid w:val="001E45CD"/>
    <w:rsid w:val="001F10E5"/>
    <w:rsid w:val="001F32F7"/>
    <w:rsid w:val="001F3708"/>
    <w:rsid w:val="001F3D9F"/>
    <w:rsid w:val="001F452A"/>
    <w:rsid w:val="001F541C"/>
    <w:rsid w:val="001F553E"/>
    <w:rsid w:val="001F555E"/>
    <w:rsid w:val="001F5BF3"/>
    <w:rsid w:val="001F7153"/>
    <w:rsid w:val="001F737E"/>
    <w:rsid w:val="001F7384"/>
    <w:rsid w:val="001F7A5C"/>
    <w:rsid w:val="00200711"/>
    <w:rsid w:val="002009F3"/>
    <w:rsid w:val="00200E8E"/>
    <w:rsid w:val="00200EF0"/>
    <w:rsid w:val="00201A2A"/>
    <w:rsid w:val="00203BE8"/>
    <w:rsid w:val="00203CC4"/>
    <w:rsid w:val="00204077"/>
    <w:rsid w:val="00204765"/>
    <w:rsid w:val="002050D8"/>
    <w:rsid w:val="00205B9A"/>
    <w:rsid w:val="00206C42"/>
    <w:rsid w:val="00206D5A"/>
    <w:rsid w:val="00206E24"/>
    <w:rsid w:val="002101FC"/>
    <w:rsid w:val="00210ACD"/>
    <w:rsid w:val="00211C68"/>
    <w:rsid w:val="00212C53"/>
    <w:rsid w:val="00212EA2"/>
    <w:rsid w:val="00213D7D"/>
    <w:rsid w:val="0021413C"/>
    <w:rsid w:val="002150A2"/>
    <w:rsid w:val="00216FD3"/>
    <w:rsid w:val="002205F3"/>
    <w:rsid w:val="002208AB"/>
    <w:rsid w:val="00220FB6"/>
    <w:rsid w:val="002212B7"/>
    <w:rsid w:val="00221320"/>
    <w:rsid w:val="00222817"/>
    <w:rsid w:val="00222A4C"/>
    <w:rsid w:val="002234D5"/>
    <w:rsid w:val="0022370F"/>
    <w:rsid w:val="00223D6B"/>
    <w:rsid w:val="00224E14"/>
    <w:rsid w:val="00225370"/>
    <w:rsid w:val="00225561"/>
    <w:rsid w:val="00225EBC"/>
    <w:rsid w:val="00226022"/>
    <w:rsid w:val="00226791"/>
    <w:rsid w:val="00226A36"/>
    <w:rsid w:val="00226EE5"/>
    <w:rsid w:val="0022719E"/>
    <w:rsid w:val="00227674"/>
    <w:rsid w:val="002300C7"/>
    <w:rsid w:val="002306BC"/>
    <w:rsid w:val="0023085C"/>
    <w:rsid w:val="00230A97"/>
    <w:rsid w:val="00231576"/>
    <w:rsid w:val="002317E2"/>
    <w:rsid w:val="00231939"/>
    <w:rsid w:val="00232B28"/>
    <w:rsid w:val="00232C83"/>
    <w:rsid w:val="00232DF7"/>
    <w:rsid w:val="00235483"/>
    <w:rsid w:val="0023559A"/>
    <w:rsid w:val="00236814"/>
    <w:rsid w:val="00240B28"/>
    <w:rsid w:val="00240FDC"/>
    <w:rsid w:val="0024117A"/>
    <w:rsid w:val="002414C2"/>
    <w:rsid w:val="0024185E"/>
    <w:rsid w:val="00241D9D"/>
    <w:rsid w:val="00242978"/>
    <w:rsid w:val="00243D30"/>
    <w:rsid w:val="002444D9"/>
    <w:rsid w:val="00244D77"/>
    <w:rsid w:val="002457BF"/>
    <w:rsid w:val="00245B6F"/>
    <w:rsid w:val="00246920"/>
    <w:rsid w:val="00246DC1"/>
    <w:rsid w:val="00247750"/>
    <w:rsid w:val="0025025C"/>
    <w:rsid w:val="002502AF"/>
    <w:rsid w:val="0025098F"/>
    <w:rsid w:val="00250E65"/>
    <w:rsid w:val="00252026"/>
    <w:rsid w:val="0025275E"/>
    <w:rsid w:val="00252FFC"/>
    <w:rsid w:val="002532C9"/>
    <w:rsid w:val="00253F04"/>
    <w:rsid w:val="00253F53"/>
    <w:rsid w:val="00253FDC"/>
    <w:rsid w:val="0025479D"/>
    <w:rsid w:val="00255214"/>
    <w:rsid w:val="00255EDC"/>
    <w:rsid w:val="002561A2"/>
    <w:rsid w:val="00256F6D"/>
    <w:rsid w:val="002570F5"/>
    <w:rsid w:val="00260CA2"/>
    <w:rsid w:val="00260EFE"/>
    <w:rsid w:val="00261316"/>
    <w:rsid w:val="0026348B"/>
    <w:rsid w:val="002647C6"/>
    <w:rsid w:val="0026549F"/>
    <w:rsid w:val="00266B61"/>
    <w:rsid w:val="0027068D"/>
    <w:rsid w:val="00270A8D"/>
    <w:rsid w:val="00271D8D"/>
    <w:rsid w:val="0027219B"/>
    <w:rsid w:val="00272354"/>
    <w:rsid w:val="002728F7"/>
    <w:rsid w:val="00273403"/>
    <w:rsid w:val="002741A0"/>
    <w:rsid w:val="00274707"/>
    <w:rsid w:val="002752E2"/>
    <w:rsid w:val="002759E4"/>
    <w:rsid w:val="00275B83"/>
    <w:rsid w:val="0027644C"/>
    <w:rsid w:val="00276B06"/>
    <w:rsid w:val="00280180"/>
    <w:rsid w:val="0028344C"/>
    <w:rsid w:val="00283F66"/>
    <w:rsid w:val="00284948"/>
    <w:rsid w:val="00285BEF"/>
    <w:rsid w:val="002860D3"/>
    <w:rsid w:val="00286244"/>
    <w:rsid w:val="002864F0"/>
    <w:rsid w:val="002874EF"/>
    <w:rsid w:val="002876F6"/>
    <w:rsid w:val="002903CA"/>
    <w:rsid w:val="00291C43"/>
    <w:rsid w:val="00295B80"/>
    <w:rsid w:val="00295BE6"/>
    <w:rsid w:val="00295DFA"/>
    <w:rsid w:val="002969A9"/>
    <w:rsid w:val="00297414"/>
    <w:rsid w:val="00297B4A"/>
    <w:rsid w:val="002A17CC"/>
    <w:rsid w:val="002A1C03"/>
    <w:rsid w:val="002A1C8D"/>
    <w:rsid w:val="002A2B17"/>
    <w:rsid w:val="002A3B16"/>
    <w:rsid w:val="002A3BD9"/>
    <w:rsid w:val="002A6602"/>
    <w:rsid w:val="002B2F98"/>
    <w:rsid w:val="002B325D"/>
    <w:rsid w:val="002B3291"/>
    <w:rsid w:val="002B38CF"/>
    <w:rsid w:val="002B3EB3"/>
    <w:rsid w:val="002B5346"/>
    <w:rsid w:val="002B53F1"/>
    <w:rsid w:val="002B55E4"/>
    <w:rsid w:val="002B5ECC"/>
    <w:rsid w:val="002B747D"/>
    <w:rsid w:val="002B7DC4"/>
    <w:rsid w:val="002B7E49"/>
    <w:rsid w:val="002C0BCE"/>
    <w:rsid w:val="002C151D"/>
    <w:rsid w:val="002C1649"/>
    <w:rsid w:val="002C179B"/>
    <w:rsid w:val="002C1B89"/>
    <w:rsid w:val="002C1E1B"/>
    <w:rsid w:val="002C1F78"/>
    <w:rsid w:val="002C24D3"/>
    <w:rsid w:val="002C32AB"/>
    <w:rsid w:val="002C40F6"/>
    <w:rsid w:val="002C5269"/>
    <w:rsid w:val="002C5C2E"/>
    <w:rsid w:val="002C65FA"/>
    <w:rsid w:val="002C7A23"/>
    <w:rsid w:val="002C7DD5"/>
    <w:rsid w:val="002D042D"/>
    <w:rsid w:val="002D33BB"/>
    <w:rsid w:val="002D4955"/>
    <w:rsid w:val="002D6898"/>
    <w:rsid w:val="002D69F4"/>
    <w:rsid w:val="002E0833"/>
    <w:rsid w:val="002E0D4E"/>
    <w:rsid w:val="002E3855"/>
    <w:rsid w:val="002E3AC3"/>
    <w:rsid w:val="002E5156"/>
    <w:rsid w:val="002E5BA5"/>
    <w:rsid w:val="002E7104"/>
    <w:rsid w:val="002E750B"/>
    <w:rsid w:val="002F0586"/>
    <w:rsid w:val="002F09E9"/>
    <w:rsid w:val="002F0DA4"/>
    <w:rsid w:val="002F1838"/>
    <w:rsid w:val="002F1A77"/>
    <w:rsid w:val="002F26EB"/>
    <w:rsid w:val="002F2CE4"/>
    <w:rsid w:val="002F2D0E"/>
    <w:rsid w:val="002F2DFA"/>
    <w:rsid w:val="002F2F51"/>
    <w:rsid w:val="002F3542"/>
    <w:rsid w:val="002F35B1"/>
    <w:rsid w:val="002F4CDA"/>
    <w:rsid w:val="002F5832"/>
    <w:rsid w:val="002F6C66"/>
    <w:rsid w:val="002F731F"/>
    <w:rsid w:val="002F77C8"/>
    <w:rsid w:val="00300DE4"/>
    <w:rsid w:val="00301452"/>
    <w:rsid w:val="0030240F"/>
    <w:rsid w:val="003027D3"/>
    <w:rsid w:val="00303F0C"/>
    <w:rsid w:val="0030401C"/>
    <w:rsid w:val="00304118"/>
    <w:rsid w:val="00304C0A"/>
    <w:rsid w:val="00304DB1"/>
    <w:rsid w:val="00304DF4"/>
    <w:rsid w:val="00306014"/>
    <w:rsid w:val="003064BB"/>
    <w:rsid w:val="00307FEC"/>
    <w:rsid w:val="0031170D"/>
    <w:rsid w:val="003120B4"/>
    <w:rsid w:val="003120E1"/>
    <w:rsid w:val="00312FB0"/>
    <w:rsid w:val="00313469"/>
    <w:rsid w:val="0031419A"/>
    <w:rsid w:val="003156D1"/>
    <w:rsid w:val="00315B3C"/>
    <w:rsid w:val="003160F0"/>
    <w:rsid w:val="00316FF5"/>
    <w:rsid w:val="0032013F"/>
    <w:rsid w:val="00321782"/>
    <w:rsid w:val="003229FB"/>
    <w:rsid w:val="00322B6E"/>
    <w:rsid w:val="00322D37"/>
    <w:rsid w:val="003236A5"/>
    <w:rsid w:val="00324C7F"/>
    <w:rsid w:val="0032518A"/>
    <w:rsid w:val="00325A7B"/>
    <w:rsid w:val="00326FF2"/>
    <w:rsid w:val="00330953"/>
    <w:rsid w:val="0033096D"/>
    <w:rsid w:val="00330974"/>
    <w:rsid w:val="00332730"/>
    <w:rsid w:val="00332B81"/>
    <w:rsid w:val="00332DF7"/>
    <w:rsid w:val="00333F6B"/>
    <w:rsid w:val="0033425C"/>
    <w:rsid w:val="0033496F"/>
    <w:rsid w:val="00334D14"/>
    <w:rsid w:val="0033509B"/>
    <w:rsid w:val="00336E17"/>
    <w:rsid w:val="00337984"/>
    <w:rsid w:val="00340534"/>
    <w:rsid w:val="00340688"/>
    <w:rsid w:val="003426D2"/>
    <w:rsid w:val="00342E9C"/>
    <w:rsid w:val="003431AE"/>
    <w:rsid w:val="003441B4"/>
    <w:rsid w:val="00344631"/>
    <w:rsid w:val="00344C63"/>
    <w:rsid w:val="00345791"/>
    <w:rsid w:val="0034596B"/>
    <w:rsid w:val="00345CC4"/>
    <w:rsid w:val="003463D1"/>
    <w:rsid w:val="00347343"/>
    <w:rsid w:val="00347926"/>
    <w:rsid w:val="00347A89"/>
    <w:rsid w:val="00347C61"/>
    <w:rsid w:val="00350F02"/>
    <w:rsid w:val="003514CC"/>
    <w:rsid w:val="00351E80"/>
    <w:rsid w:val="00352CFB"/>
    <w:rsid w:val="00352E79"/>
    <w:rsid w:val="00353196"/>
    <w:rsid w:val="00353FB4"/>
    <w:rsid w:val="00354155"/>
    <w:rsid w:val="00354512"/>
    <w:rsid w:val="00355159"/>
    <w:rsid w:val="003557D0"/>
    <w:rsid w:val="00356838"/>
    <w:rsid w:val="0035685D"/>
    <w:rsid w:val="00357E40"/>
    <w:rsid w:val="00360452"/>
    <w:rsid w:val="0036049A"/>
    <w:rsid w:val="00360C77"/>
    <w:rsid w:val="00360F2E"/>
    <w:rsid w:val="00361EAB"/>
    <w:rsid w:val="00363191"/>
    <w:rsid w:val="00363A85"/>
    <w:rsid w:val="00363DE7"/>
    <w:rsid w:val="00364971"/>
    <w:rsid w:val="003649A0"/>
    <w:rsid w:val="00364A0C"/>
    <w:rsid w:val="0036513B"/>
    <w:rsid w:val="003663C1"/>
    <w:rsid w:val="003663E8"/>
    <w:rsid w:val="0036667E"/>
    <w:rsid w:val="003676A9"/>
    <w:rsid w:val="003676D9"/>
    <w:rsid w:val="00367ED5"/>
    <w:rsid w:val="00370578"/>
    <w:rsid w:val="00370A0F"/>
    <w:rsid w:val="00370B21"/>
    <w:rsid w:val="00371565"/>
    <w:rsid w:val="0037184F"/>
    <w:rsid w:val="00371D5A"/>
    <w:rsid w:val="00373836"/>
    <w:rsid w:val="00373E0E"/>
    <w:rsid w:val="00373F08"/>
    <w:rsid w:val="0037527B"/>
    <w:rsid w:val="00375C4E"/>
    <w:rsid w:val="003768E0"/>
    <w:rsid w:val="00377107"/>
    <w:rsid w:val="0037716F"/>
    <w:rsid w:val="00377274"/>
    <w:rsid w:val="003778DF"/>
    <w:rsid w:val="0038022A"/>
    <w:rsid w:val="00380338"/>
    <w:rsid w:val="0038096B"/>
    <w:rsid w:val="00380DBE"/>
    <w:rsid w:val="0038200B"/>
    <w:rsid w:val="00386E16"/>
    <w:rsid w:val="00387687"/>
    <w:rsid w:val="003876E2"/>
    <w:rsid w:val="003906BA"/>
    <w:rsid w:val="00390B22"/>
    <w:rsid w:val="00390E77"/>
    <w:rsid w:val="003928A1"/>
    <w:rsid w:val="00392B27"/>
    <w:rsid w:val="003931F4"/>
    <w:rsid w:val="003946F4"/>
    <w:rsid w:val="00394C09"/>
    <w:rsid w:val="00394EAB"/>
    <w:rsid w:val="003951F6"/>
    <w:rsid w:val="0039606B"/>
    <w:rsid w:val="0039608E"/>
    <w:rsid w:val="00396092"/>
    <w:rsid w:val="00396EA8"/>
    <w:rsid w:val="003A03F4"/>
    <w:rsid w:val="003A0686"/>
    <w:rsid w:val="003A09E4"/>
    <w:rsid w:val="003A1305"/>
    <w:rsid w:val="003A1C92"/>
    <w:rsid w:val="003A20C9"/>
    <w:rsid w:val="003A2345"/>
    <w:rsid w:val="003A26E4"/>
    <w:rsid w:val="003A2AA3"/>
    <w:rsid w:val="003A468F"/>
    <w:rsid w:val="003A5333"/>
    <w:rsid w:val="003A5337"/>
    <w:rsid w:val="003A6304"/>
    <w:rsid w:val="003A6D56"/>
    <w:rsid w:val="003A70A6"/>
    <w:rsid w:val="003A7CA2"/>
    <w:rsid w:val="003B009A"/>
    <w:rsid w:val="003B00E0"/>
    <w:rsid w:val="003B038E"/>
    <w:rsid w:val="003B046B"/>
    <w:rsid w:val="003B05D3"/>
    <w:rsid w:val="003B0755"/>
    <w:rsid w:val="003B1005"/>
    <w:rsid w:val="003B1298"/>
    <w:rsid w:val="003B173B"/>
    <w:rsid w:val="003B18C2"/>
    <w:rsid w:val="003B1CC0"/>
    <w:rsid w:val="003B2A28"/>
    <w:rsid w:val="003B2BD5"/>
    <w:rsid w:val="003B3221"/>
    <w:rsid w:val="003B45E3"/>
    <w:rsid w:val="003B49D0"/>
    <w:rsid w:val="003B51B5"/>
    <w:rsid w:val="003B578E"/>
    <w:rsid w:val="003B5F57"/>
    <w:rsid w:val="003B6A6C"/>
    <w:rsid w:val="003B7302"/>
    <w:rsid w:val="003B7AFC"/>
    <w:rsid w:val="003C042D"/>
    <w:rsid w:val="003C0624"/>
    <w:rsid w:val="003C1B32"/>
    <w:rsid w:val="003C2A26"/>
    <w:rsid w:val="003C2B3E"/>
    <w:rsid w:val="003C323E"/>
    <w:rsid w:val="003C4658"/>
    <w:rsid w:val="003C4C57"/>
    <w:rsid w:val="003C6FC6"/>
    <w:rsid w:val="003D10F0"/>
    <w:rsid w:val="003D28FD"/>
    <w:rsid w:val="003D433C"/>
    <w:rsid w:val="003D4AEF"/>
    <w:rsid w:val="003D5BE7"/>
    <w:rsid w:val="003D6320"/>
    <w:rsid w:val="003D6D6C"/>
    <w:rsid w:val="003D73FE"/>
    <w:rsid w:val="003D7417"/>
    <w:rsid w:val="003D7BCA"/>
    <w:rsid w:val="003E1DE7"/>
    <w:rsid w:val="003E1E39"/>
    <w:rsid w:val="003E2297"/>
    <w:rsid w:val="003E2F87"/>
    <w:rsid w:val="003E500B"/>
    <w:rsid w:val="003E5C6A"/>
    <w:rsid w:val="003E5D2B"/>
    <w:rsid w:val="003E6FD1"/>
    <w:rsid w:val="003E7B59"/>
    <w:rsid w:val="003E7CE2"/>
    <w:rsid w:val="003F0B9D"/>
    <w:rsid w:val="003F10A5"/>
    <w:rsid w:val="003F212C"/>
    <w:rsid w:val="003F349B"/>
    <w:rsid w:val="003F3516"/>
    <w:rsid w:val="003F3C98"/>
    <w:rsid w:val="003F3DDD"/>
    <w:rsid w:val="003F54B8"/>
    <w:rsid w:val="003F77F7"/>
    <w:rsid w:val="003F7D6E"/>
    <w:rsid w:val="004007F0"/>
    <w:rsid w:val="00400841"/>
    <w:rsid w:val="004015D2"/>
    <w:rsid w:val="00401698"/>
    <w:rsid w:val="00401932"/>
    <w:rsid w:val="00401C63"/>
    <w:rsid w:val="00402359"/>
    <w:rsid w:val="004029B0"/>
    <w:rsid w:val="00402CB4"/>
    <w:rsid w:val="00402FF0"/>
    <w:rsid w:val="0040370E"/>
    <w:rsid w:val="00404BF2"/>
    <w:rsid w:val="00404DA2"/>
    <w:rsid w:val="004059AD"/>
    <w:rsid w:val="00406C18"/>
    <w:rsid w:val="0040768F"/>
    <w:rsid w:val="00407BBB"/>
    <w:rsid w:val="00410B89"/>
    <w:rsid w:val="004111E7"/>
    <w:rsid w:val="004114D5"/>
    <w:rsid w:val="0041164E"/>
    <w:rsid w:val="00411CDE"/>
    <w:rsid w:val="00413252"/>
    <w:rsid w:val="00414A29"/>
    <w:rsid w:val="00416680"/>
    <w:rsid w:val="00416D11"/>
    <w:rsid w:val="00420BCD"/>
    <w:rsid w:val="004213AD"/>
    <w:rsid w:val="004214B1"/>
    <w:rsid w:val="004225E6"/>
    <w:rsid w:val="0042260E"/>
    <w:rsid w:val="00423FD8"/>
    <w:rsid w:val="00424C59"/>
    <w:rsid w:val="004254F5"/>
    <w:rsid w:val="00425B48"/>
    <w:rsid w:val="0042630B"/>
    <w:rsid w:val="00426E22"/>
    <w:rsid w:val="004306E4"/>
    <w:rsid w:val="00430E81"/>
    <w:rsid w:val="00432983"/>
    <w:rsid w:val="00432E17"/>
    <w:rsid w:val="00435A21"/>
    <w:rsid w:val="00435D79"/>
    <w:rsid w:val="00436772"/>
    <w:rsid w:val="00436C7D"/>
    <w:rsid w:val="00437DC0"/>
    <w:rsid w:val="0044001B"/>
    <w:rsid w:val="0044117E"/>
    <w:rsid w:val="0044186D"/>
    <w:rsid w:val="004423B5"/>
    <w:rsid w:val="00442A01"/>
    <w:rsid w:val="00443526"/>
    <w:rsid w:val="00443865"/>
    <w:rsid w:val="004439ED"/>
    <w:rsid w:val="0044419C"/>
    <w:rsid w:val="00444886"/>
    <w:rsid w:val="00445090"/>
    <w:rsid w:val="0044546A"/>
    <w:rsid w:val="004454BD"/>
    <w:rsid w:val="00445A58"/>
    <w:rsid w:val="00447C51"/>
    <w:rsid w:val="004500F8"/>
    <w:rsid w:val="00450249"/>
    <w:rsid w:val="00450C60"/>
    <w:rsid w:val="00450F2B"/>
    <w:rsid w:val="004512EE"/>
    <w:rsid w:val="004514BC"/>
    <w:rsid w:val="00451CB8"/>
    <w:rsid w:val="00451F09"/>
    <w:rsid w:val="0045201B"/>
    <w:rsid w:val="0045280E"/>
    <w:rsid w:val="00452A7B"/>
    <w:rsid w:val="0045358D"/>
    <w:rsid w:val="00455145"/>
    <w:rsid w:val="00455774"/>
    <w:rsid w:val="00455816"/>
    <w:rsid w:val="00455FDC"/>
    <w:rsid w:val="004568EA"/>
    <w:rsid w:val="00456CE9"/>
    <w:rsid w:val="00457131"/>
    <w:rsid w:val="00457172"/>
    <w:rsid w:val="004579DB"/>
    <w:rsid w:val="00460C97"/>
    <w:rsid w:val="0046119E"/>
    <w:rsid w:val="00461DF2"/>
    <w:rsid w:val="004638BA"/>
    <w:rsid w:val="004646D4"/>
    <w:rsid w:val="00464E41"/>
    <w:rsid w:val="00464EAA"/>
    <w:rsid w:val="00466893"/>
    <w:rsid w:val="00466C69"/>
    <w:rsid w:val="00467331"/>
    <w:rsid w:val="0046766F"/>
    <w:rsid w:val="00467E41"/>
    <w:rsid w:val="00470A0F"/>
    <w:rsid w:val="0047174F"/>
    <w:rsid w:val="00471998"/>
    <w:rsid w:val="00472500"/>
    <w:rsid w:val="00472867"/>
    <w:rsid w:val="0047342D"/>
    <w:rsid w:val="00473836"/>
    <w:rsid w:val="00473B61"/>
    <w:rsid w:val="00473CF2"/>
    <w:rsid w:val="00473F45"/>
    <w:rsid w:val="00474DC4"/>
    <w:rsid w:val="0047507A"/>
    <w:rsid w:val="00475680"/>
    <w:rsid w:val="00475DC2"/>
    <w:rsid w:val="00477102"/>
    <w:rsid w:val="00477122"/>
    <w:rsid w:val="00477345"/>
    <w:rsid w:val="0048074D"/>
    <w:rsid w:val="00480AAC"/>
    <w:rsid w:val="00480C18"/>
    <w:rsid w:val="00480CDC"/>
    <w:rsid w:val="00480D9C"/>
    <w:rsid w:val="00480E20"/>
    <w:rsid w:val="00480FB0"/>
    <w:rsid w:val="00481296"/>
    <w:rsid w:val="00482C7D"/>
    <w:rsid w:val="004845C4"/>
    <w:rsid w:val="00484C2D"/>
    <w:rsid w:val="0049043A"/>
    <w:rsid w:val="00491594"/>
    <w:rsid w:val="004918B3"/>
    <w:rsid w:val="00491C2B"/>
    <w:rsid w:val="004929A4"/>
    <w:rsid w:val="00492E15"/>
    <w:rsid w:val="004932B2"/>
    <w:rsid w:val="004935F3"/>
    <w:rsid w:val="004938F2"/>
    <w:rsid w:val="00493BAB"/>
    <w:rsid w:val="0049436B"/>
    <w:rsid w:val="0049506B"/>
    <w:rsid w:val="004963B6"/>
    <w:rsid w:val="004A0704"/>
    <w:rsid w:val="004A10B3"/>
    <w:rsid w:val="004A2EA1"/>
    <w:rsid w:val="004A35EC"/>
    <w:rsid w:val="004A3B25"/>
    <w:rsid w:val="004A432B"/>
    <w:rsid w:val="004A5069"/>
    <w:rsid w:val="004A5FAB"/>
    <w:rsid w:val="004A6765"/>
    <w:rsid w:val="004A6A57"/>
    <w:rsid w:val="004A6ADF"/>
    <w:rsid w:val="004A6D54"/>
    <w:rsid w:val="004B0336"/>
    <w:rsid w:val="004B03A3"/>
    <w:rsid w:val="004B04A7"/>
    <w:rsid w:val="004B0791"/>
    <w:rsid w:val="004B0B5B"/>
    <w:rsid w:val="004B1702"/>
    <w:rsid w:val="004B1CEB"/>
    <w:rsid w:val="004B2F12"/>
    <w:rsid w:val="004B30C7"/>
    <w:rsid w:val="004B42A5"/>
    <w:rsid w:val="004B44ED"/>
    <w:rsid w:val="004B5060"/>
    <w:rsid w:val="004B609E"/>
    <w:rsid w:val="004B6325"/>
    <w:rsid w:val="004B6663"/>
    <w:rsid w:val="004B71FF"/>
    <w:rsid w:val="004C0187"/>
    <w:rsid w:val="004C0F60"/>
    <w:rsid w:val="004C2A0D"/>
    <w:rsid w:val="004C4850"/>
    <w:rsid w:val="004C55E5"/>
    <w:rsid w:val="004C5861"/>
    <w:rsid w:val="004C5E5C"/>
    <w:rsid w:val="004C6A44"/>
    <w:rsid w:val="004C6C3A"/>
    <w:rsid w:val="004C6F60"/>
    <w:rsid w:val="004D0435"/>
    <w:rsid w:val="004D0D74"/>
    <w:rsid w:val="004D386D"/>
    <w:rsid w:val="004D41CC"/>
    <w:rsid w:val="004D4B36"/>
    <w:rsid w:val="004D4BF8"/>
    <w:rsid w:val="004D647D"/>
    <w:rsid w:val="004D693D"/>
    <w:rsid w:val="004E3356"/>
    <w:rsid w:val="004E3CF2"/>
    <w:rsid w:val="004E3EF7"/>
    <w:rsid w:val="004E4332"/>
    <w:rsid w:val="004E433D"/>
    <w:rsid w:val="004E4B51"/>
    <w:rsid w:val="004E5160"/>
    <w:rsid w:val="004E525C"/>
    <w:rsid w:val="004E623E"/>
    <w:rsid w:val="004E6427"/>
    <w:rsid w:val="004E76D0"/>
    <w:rsid w:val="004F094B"/>
    <w:rsid w:val="004F2215"/>
    <w:rsid w:val="004F2D42"/>
    <w:rsid w:val="004F45F3"/>
    <w:rsid w:val="004F4D0E"/>
    <w:rsid w:val="004F4E49"/>
    <w:rsid w:val="004F4EBA"/>
    <w:rsid w:val="004F5EFE"/>
    <w:rsid w:val="004F5F8E"/>
    <w:rsid w:val="004F62B1"/>
    <w:rsid w:val="004F6E67"/>
    <w:rsid w:val="004F7C6E"/>
    <w:rsid w:val="00501B64"/>
    <w:rsid w:val="005025FE"/>
    <w:rsid w:val="0050267C"/>
    <w:rsid w:val="005026D7"/>
    <w:rsid w:val="00502B7C"/>
    <w:rsid w:val="00502FB1"/>
    <w:rsid w:val="00503023"/>
    <w:rsid w:val="005039B9"/>
    <w:rsid w:val="00503F5A"/>
    <w:rsid w:val="00504526"/>
    <w:rsid w:val="00504B84"/>
    <w:rsid w:val="0050534C"/>
    <w:rsid w:val="00505711"/>
    <w:rsid w:val="00506030"/>
    <w:rsid w:val="0050739E"/>
    <w:rsid w:val="00507C7E"/>
    <w:rsid w:val="00507EA0"/>
    <w:rsid w:val="0051037B"/>
    <w:rsid w:val="00510A5A"/>
    <w:rsid w:val="00511B35"/>
    <w:rsid w:val="00511CA2"/>
    <w:rsid w:val="0051212E"/>
    <w:rsid w:val="00512297"/>
    <w:rsid w:val="00512301"/>
    <w:rsid w:val="005124FD"/>
    <w:rsid w:val="005138AC"/>
    <w:rsid w:val="005140C4"/>
    <w:rsid w:val="005163B4"/>
    <w:rsid w:val="0051645D"/>
    <w:rsid w:val="00516A2E"/>
    <w:rsid w:val="005201FC"/>
    <w:rsid w:val="00520367"/>
    <w:rsid w:val="0052043D"/>
    <w:rsid w:val="00520B09"/>
    <w:rsid w:val="005222FC"/>
    <w:rsid w:val="0052253F"/>
    <w:rsid w:val="005231D6"/>
    <w:rsid w:val="00523669"/>
    <w:rsid w:val="00523898"/>
    <w:rsid w:val="00523BF0"/>
    <w:rsid w:val="00524075"/>
    <w:rsid w:val="00525A42"/>
    <w:rsid w:val="00525C70"/>
    <w:rsid w:val="0052693C"/>
    <w:rsid w:val="00530B42"/>
    <w:rsid w:val="00531C28"/>
    <w:rsid w:val="00531C83"/>
    <w:rsid w:val="0053266F"/>
    <w:rsid w:val="00533091"/>
    <w:rsid w:val="005334C1"/>
    <w:rsid w:val="00536537"/>
    <w:rsid w:val="0053699E"/>
    <w:rsid w:val="00536A23"/>
    <w:rsid w:val="0053712A"/>
    <w:rsid w:val="0054032D"/>
    <w:rsid w:val="00540437"/>
    <w:rsid w:val="00540A8A"/>
    <w:rsid w:val="00540BE9"/>
    <w:rsid w:val="00540DA7"/>
    <w:rsid w:val="005413AE"/>
    <w:rsid w:val="00541513"/>
    <w:rsid w:val="00541587"/>
    <w:rsid w:val="0054216D"/>
    <w:rsid w:val="005422F3"/>
    <w:rsid w:val="00542B54"/>
    <w:rsid w:val="00543A29"/>
    <w:rsid w:val="00544D12"/>
    <w:rsid w:val="00545CC0"/>
    <w:rsid w:val="00545FA2"/>
    <w:rsid w:val="0054611C"/>
    <w:rsid w:val="00546505"/>
    <w:rsid w:val="005477DC"/>
    <w:rsid w:val="005500A1"/>
    <w:rsid w:val="00550EE7"/>
    <w:rsid w:val="00551364"/>
    <w:rsid w:val="00551F40"/>
    <w:rsid w:val="005523C2"/>
    <w:rsid w:val="00552514"/>
    <w:rsid w:val="0055271B"/>
    <w:rsid w:val="00552AA8"/>
    <w:rsid w:val="005534BE"/>
    <w:rsid w:val="005535E5"/>
    <w:rsid w:val="00554387"/>
    <w:rsid w:val="00554AC0"/>
    <w:rsid w:val="00554D3D"/>
    <w:rsid w:val="005569DB"/>
    <w:rsid w:val="00556E41"/>
    <w:rsid w:val="005572F3"/>
    <w:rsid w:val="00557A1E"/>
    <w:rsid w:val="0056029C"/>
    <w:rsid w:val="00561DC5"/>
    <w:rsid w:val="00561FE8"/>
    <w:rsid w:val="00562000"/>
    <w:rsid w:val="00563482"/>
    <w:rsid w:val="005638C4"/>
    <w:rsid w:val="00563913"/>
    <w:rsid w:val="0056397A"/>
    <w:rsid w:val="005641E1"/>
    <w:rsid w:val="00565903"/>
    <w:rsid w:val="00565F11"/>
    <w:rsid w:val="00565F1A"/>
    <w:rsid w:val="00566F1A"/>
    <w:rsid w:val="0056748B"/>
    <w:rsid w:val="00571163"/>
    <w:rsid w:val="00572627"/>
    <w:rsid w:val="0057300C"/>
    <w:rsid w:val="005730C4"/>
    <w:rsid w:val="00573534"/>
    <w:rsid w:val="00574509"/>
    <w:rsid w:val="0057491A"/>
    <w:rsid w:val="005757A9"/>
    <w:rsid w:val="0057697D"/>
    <w:rsid w:val="00576E7A"/>
    <w:rsid w:val="00577959"/>
    <w:rsid w:val="00580869"/>
    <w:rsid w:val="0058094D"/>
    <w:rsid w:val="00580FE5"/>
    <w:rsid w:val="005821DA"/>
    <w:rsid w:val="00582D0F"/>
    <w:rsid w:val="00583106"/>
    <w:rsid w:val="00583971"/>
    <w:rsid w:val="0058638B"/>
    <w:rsid w:val="00586B91"/>
    <w:rsid w:val="00587B25"/>
    <w:rsid w:val="00590142"/>
    <w:rsid w:val="00590413"/>
    <w:rsid w:val="00590E23"/>
    <w:rsid w:val="00591584"/>
    <w:rsid w:val="00591DFC"/>
    <w:rsid w:val="00591F2D"/>
    <w:rsid w:val="00592636"/>
    <w:rsid w:val="00592790"/>
    <w:rsid w:val="00593A3E"/>
    <w:rsid w:val="00593E80"/>
    <w:rsid w:val="00594288"/>
    <w:rsid w:val="0059465B"/>
    <w:rsid w:val="00594A66"/>
    <w:rsid w:val="005950EE"/>
    <w:rsid w:val="0059576B"/>
    <w:rsid w:val="00595881"/>
    <w:rsid w:val="00595A6B"/>
    <w:rsid w:val="005963B3"/>
    <w:rsid w:val="00597717"/>
    <w:rsid w:val="0059774F"/>
    <w:rsid w:val="005A1022"/>
    <w:rsid w:val="005A17A8"/>
    <w:rsid w:val="005A1B34"/>
    <w:rsid w:val="005A2EE2"/>
    <w:rsid w:val="005A4038"/>
    <w:rsid w:val="005A4A3F"/>
    <w:rsid w:val="005A4C7D"/>
    <w:rsid w:val="005A4DD5"/>
    <w:rsid w:val="005A5F0E"/>
    <w:rsid w:val="005A6390"/>
    <w:rsid w:val="005A6D4C"/>
    <w:rsid w:val="005A7EF8"/>
    <w:rsid w:val="005B0382"/>
    <w:rsid w:val="005B0412"/>
    <w:rsid w:val="005B08AF"/>
    <w:rsid w:val="005B0E45"/>
    <w:rsid w:val="005B1B4D"/>
    <w:rsid w:val="005B1FC4"/>
    <w:rsid w:val="005B2AAA"/>
    <w:rsid w:val="005B2E7A"/>
    <w:rsid w:val="005B3A8D"/>
    <w:rsid w:val="005B45DC"/>
    <w:rsid w:val="005B56B7"/>
    <w:rsid w:val="005B583C"/>
    <w:rsid w:val="005B5B56"/>
    <w:rsid w:val="005B645B"/>
    <w:rsid w:val="005C0D7D"/>
    <w:rsid w:val="005C0EE8"/>
    <w:rsid w:val="005C1C1B"/>
    <w:rsid w:val="005C31D2"/>
    <w:rsid w:val="005C33AB"/>
    <w:rsid w:val="005C4B41"/>
    <w:rsid w:val="005C5A24"/>
    <w:rsid w:val="005C5AE7"/>
    <w:rsid w:val="005C5CBB"/>
    <w:rsid w:val="005C6788"/>
    <w:rsid w:val="005C69F7"/>
    <w:rsid w:val="005C6FD5"/>
    <w:rsid w:val="005D0EB3"/>
    <w:rsid w:val="005D1058"/>
    <w:rsid w:val="005D16E2"/>
    <w:rsid w:val="005D1886"/>
    <w:rsid w:val="005D1EFE"/>
    <w:rsid w:val="005D2313"/>
    <w:rsid w:val="005D2733"/>
    <w:rsid w:val="005D345D"/>
    <w:rsid w:val="005D4AD7"/>
    <w:rsid w:val="005D4FDE"/>
    <w:rsid w:val="005D544C"/>
    <w:rsid w:val="005D551F"/>
    <w:rsid w:val="005D59DD"/>
    <w:rsid w:val="005D6BB4"/>
    <w:rsid w:val="005D7FC7"/>
    <w:rsid w:val="005E0522"/>
    <w:rsid w:val="005E1487"/>
    <w:rsid w:val="005E1770"/>
    <w:rsid w:val="005E235B"/>
    <w:rsid w:val="005E2962"/>
    <w:rsid w:val="005E3E39"/>
    <w:rsid w:val="005E4332"/>
    <w:rsid w:val="005E4DE4"/>
    <w:rsid w:val="005E4E7E"/>
    <w:rsid w:val="005E5708"/>
    <w:rsid w:val="005E5BA6"/>
    <w:rsid w:val="005E66A5"/>
    <w:rsid w:val="005E67F0"/>
    <w:rsid w:val="005E7A79"/>
    <w:rsid w:val="005E7DF6"/>
    <w:rsid w:val="005F028E"/>
    <w:rsid w:val="005F0DF1"/>
    <w:rsid w:val="005F0E02"/>
    <w:rsid w:val="005F12DB"/>
    <w:rsid w:val="005F1DD1"/>
    <w:rsid w:val="005F253B"/>
    <w:rsid w:val="005F2B03"/>
    <w:rsid w:val="005F2D9B"/>
    <w:rsid w:val="005F38F7"/>
    <w:rsid w:val="005F3A32"/>
    <w:rsid w:val="005F3B14"/>
    <w:rsid w:val="005F4F4B"/>
    <w:rsid w:val="005F59D0"/>
    <w:rsid w:val="005F603E"/>
    <w:rsid w:val="005F6099"/>
    <w:rsid w:val="005F6262"/>
    <w:rsid w:val="005F6F00"/>
    <w:rsid w:val="005F7D6B"/>
    <w:rsid w:val="00600090"/>
    <w:rsid w:val="00600F2F"/>
    <w:rsid w:val="006012D1"/>
    <w:rsid w:val="00602F6D"/>
    <w:rsid w:val="00603ACE"/>
    <w:rsid w:val="00604691"/>
    <w:rsid w:val="00604B65"/>
    <w:rsid w:val="00605088"/>
    <w:rsid w:val="00605E20"/>
    <w:rsid w:val="006064BB"/>
    <w:rsid w:val="00606798"/>
    <w:rsid w:val="006100D7"/>
    <w:rsid w:val="0061085D"/>
    <w:rsid w:val="00610BBA"/>
    <w:rsid w:val="006117DD"/>
    <w:rsid w:val="0061271E"/>
    <w:rsid w:val="0061340D"/>
    <w:rsid w:val="006135C8"/>
    <w:rsid w:val="006137B7"/>
    <w:rsid w:val="00613FC9"/>
    <w:rsid w:val="00614059"/>
    <w:rsid w:val="00615A2B"/>
    <w:rsid w:val="0061623C"/>
    <w:rsid w:val="00617347"/>
    <w:rsid w:val="00617378"/>
    <w:rsid w:val="00620587"/>
    <w:rsid w:val="0062085B"/>
    <w:rsid w:val="00620BC0"/>
    <w:rsid w:val="00620E18"/>
    <w:rsid w:val="006211A7"/>
    <w:rsid w:val="00621EA8"/>
    <w:rsid w:val="00622C9F"/>
    <w:rsid w:val="00622DB1"/>
    <w:rsid w:val="00622E27"/>
    <w:rsid w:val="006237EB"/>
    <w:rsid w:val="006242D5"/>
    <w:rsid w:val="00624A84"/>
    <w:rsid w:val="00625361"/>
    <w:rsid w:val="00626984"/>
    <w:rsid w:val="0063034D"/>
    <w:rsid w:val="0063052B"/>
    <w:rsid w:val="00630569"/>
    <w:rsid w:val="00630EF3"/>
    <w:rsid w:val="00631717"/>
    <w:rsid w:val="00632083"/>
    <w:rsid w:val="00632F8D"/>
    <w:rsid w:val="00633496"/>
    <w:rsid w:val="00634054"/>
    <w:rsid w:val="006347A0"/>
    <w:rsid w:val="00634BE2"/>
    <w:rsid w:val="00635476"/>
    <w:rsid w:val="006356B6"/>
    <w:rsid w:val="00635906"/>
    <w:rsid w:val="00635A21"/>
    <w:rsid w:val="006363A1"/>
    <w:rsid w:val="00636ACC"/>
    <w:rsid w:val="006400CB"/>
    <w:rsid w:val="00640170"/>
    <w:rsid w:val="006402BA"/>
    <w:rsid w:val="00640562"/>
    <w:rsid w:val="00641742"/>
    <w:rsid w:val="0064240C"/>
    <w:rsid w:val="006432EA"/>
    <w:rsid w:val="00643F7E"/>
    <w:rsid w:val="006440B6"/>
    <w:rsid w:val="00644214"/>
    <w:rsid w:val="00645ACB"/>
    <w:rsid w:val="00645BB5"/>
    <w:rsid w:val="00645F2A"/>
    <w:rsid w:val="006464A8"/>
    <w:rsid w:val="0064704C"/>
    <w:rsid w:val="00651115"/>
    <w:rsid w:val="00651642"/>
    <w:rsid w:val="00651BCF"/>
    <w:rsid w:val="00651E02"/>
    <w:rsid w:val="00652D07"/>
    <w:rsid w:val="006532B8"/>
    <w:rsid w:val="006533D9"/>
    <w:rsid w:val="006533E3"/>
    <w:rsid w:val="0065432C"/>
    <w:rsid w:val="00655B6F"/>
    <w:rsid w:val="0065692A"/>
    <w:rsid w:val="00657901"/>
    <w:rsid w:val="00657BF9"/>
    <w:rsid w:val="00657F0C"/>
    <w:rsid w:val="00660E9F"/>
    <w:rsid w:val="00661506"/>
    <w:rsid w:val="00661FAC"/>
    <w:rsid w:val="00662178"/>
    <w:rsid w:val="00662BB5"/>
    <w:rsid w:val="00662BDC"/>
    <w:rsid w:val="00662CA4"/>
    <w:rsid w:val="00662E79"/>
    <w:rsid w:val="00663289"/>
    <w:rsid w:val="00663B24"/>
    <w:rsid w:val="00664071"/>
    <w:rsid w:val="0066407F"/>
    <w:rsid w:val="0066460C"/>
    <w:rsid w:val="00670F1E"/>
    <w:rsid w:val="0067173A"/>
    <w:rsid w:val="006719BE"/>
    <w:rsid w:val="006729D2"/>
    <w:rsid w:val="00672E4B"/>
    <w:rsid w:val="00673750"/>
    <w:rsid w:val="00673930"/>
    <w:rsid w:val="00673A4C"/>
    <w:rsid w:val="00673D96"/>
    <w:rsid w:val="00673E08"/>
    <w:rsid w:val="00674687"/>
    <w:rsid w:val="00674CED"/>
    <w:rsid w:val="00675143"/>
    <w:rsid w:val="00675CFA"/>
    <w:rsid w:val="006760FF"/>
    <w:rsid w:val="0067611E"/>
    <w:rsid w:val="006761D8"/>
    <w:rsid w:val="00676D2F"/>
    <w:rsid w:val="00676D7E"/>
    <w:rsid w:val="00680CD6"/>
    <w:rsid w:val="00680F85"/>
    <w:rsid w:val="0068247A"/>
    <w:rsid w:val="006833B9"/>
    <w:rsid w:val="00684886"/>
    <w:rsid w:val="00684889"/>
    <w:rsid w:val="00684E8C"/>
    <w:rsid w:val="006856CC"/>
    <w:rsid w:val="0068644A"/>
    <w:rsid w:val="00686E4A"/>
    <w:rsid w:val="00687794"/>
    <w:rsid w:val="00690CE2"/>
    <w:rsid w:val="00690F0F"/>
    <w:rsid w:val="00692AC4"/>
    <w:rsid w:val="00694408"/>
    <w:rsid w:val="006945B1"/>
    <w:rsid w:val="00694D94"/>
    <w:rsid w:val="00695025"/>
    <w:rsid w:val="0069552C"/>
    <w:rsid w:val="00695DF8"/>
    <w:rsid w:val="00696512"/>
    <w:rsid w:val="00697210"/>
    <w:rsid w:val="00697535"/>
    <w:rsid w:val="006A0045"/>
    <w:rsid w:val="006A023F"/>
    <w:rsid w:val="006A036F"/>
    <w:rsid w:val="006A1117"/>
    <w:rsid w:val="006A14AB"/>
    <w:rsid w:val="006A1C7A"/>
    <w:rsid w:val="006A2662"/>
    <w:rsid w:val="006A2B51"/>
    <w:rsid w:val="006A2BD0"/>
    <w:rsid w:val="006A3869"/>
    <w:rsid w:val="006A38D4"/>
    <w:rsid w:val="006A4297"/>
    <w:rsid w:val="006A4898"/>
    <w:rsid w:val="006A57EC"/>
    <w:rsid w:val="006A5FE1"/>
    <w:rsid w:val="006A6DE5"/>
    <w:rsid w:val="006A7034"/>
    <w:rsid w:val="006A77B3"/>
    <w:rsid w:val="006A7E77"/>
    <w:rsid w:val="006A7EAC"/>
    <w:rsid w:val="006B029D"/>
    <w:rsid w:val="006B03DC"/>
    <w:rsid w:val="006B0EB0"/>
    <w:rsid w:val="006B1B0A"/>
    <w:rsid w:val="006B2519"/>
    <w:rsid w:val="006B2A73"/>
    <w:rsid w:val="006B3240"/>
    <w:rsid w:val="006B389C"/>
    <w:rsid w:val="006B4488"/>
    <w:rsid w:val="006B4D39"/>
    <w:rsid w:val="006B507A"/>
    <w:rsid w:val="006B5174"/>
    <w:rsid w:val="006B5495"/>
    <w:rsid w:val="006B54E5"/>
    <w:rsid w:val="006B5BE9"/>
    <w:rsid w:val="006B75BB"/>
    <w:rsid w:val="006C01E7"/>
    <w:rsid w:val="006C091C"/>
    <w:rsid w:val="006C0BCB"/>
    <w:rsid w:val="006C0C70"/>
    <w:rsid w:val="006C1276"/>
    <w:rsid w:val="006C141A"/>
    <w:rsid w:val="006C1AC7"/>
    <w:rsid w:val="006C1E57"/>
    <w:rsid w:val="006C288A"/>
    <w:rsid w:val="006C3569"/>
    <w:rsid w:val="006C4789"/>
    <w:rsid w:val="006C5E7D"/>
    <w:rsid w:val="006D0ABA"/>
    <w:rsid w:val="006D160A"/>
    <w:rsid w:val="006D24B7"/>
    <w:rsid w:val="006D2762"/>
    <w:rsid w:val="006D3C28"/>
    <w:rsid w:val="006D3DD1"/>
    <w:rsid w:val="006D3FAA"/>
    <w:rsid w:val="006D4477"/>
    <w:rsid w:val="006D4670"/>
    <w:rsid w:val="006D48C4"/>
    <w:rsid w:val="006D4F87"/>
    <w:rsid w:val="006D5253"/>
    <w:rsid w:val="006D6036"/>
    <w:rsid w:val="006D67ED"/>
    <w:rsid w:val="006D6D76"/>
    <w:rsid w:val="006D70F6"/>
    <w:rsid w:val="006D7789"/>
    <w:rsid w:val="006E07E8"/>
    <w:rsid w:val="006E204B"/>
    <w:rsid w:val="006E29F9"/>
    <w:rsid w:val="006E2C40"/>
    <w:rsid w:val="006E39C1"/>
    <w:rsid w:val="006E39D7"/>
    <w:rsid w:val="006E3D54"/>
    <w:rsid w:val="006E66F9"/>
    <w:rsid w:val="006E7E0F"/>
    <w:rsid w:val="006F04A5"/>
    <w:rsid w:val="006F12FD"/>
    <w:rsid w:val="006F1CF2"/>
    <w:rsid w:val="006F1D7E"/>
    <w:rsid w:val="006F2108"/>
    <w:rsid w:val="006F34F1"/>
    <w:rsid w:val="006F3A53"/>
    <w:rsid w:val="006F5546"/>
    <w:rsid w:val="006F55E2"/>
    <w:rsid w:val="006F587B"/>
    <w:rsid w:val="006F5A89"/>
    <w:rsid w:val="006F5C35"/>
    <w:rsid w:val="006F5E3C"/>
    <w:rsid w:val="006F6A1B"/>
    <w:rsid w:val="00701211"/>
    <w:rsid w:val="00701245"/>
    <w:rsid w:val="00702BFD"/>
    <w:rsid w:val="00703167"/>
    <w:rsid w:val="00705240"/>
    <w:rsid w:val="007054A5"/>
    <w:rsid w:val="00706283"/>
    <w:rsid w:val="00706473"/>
    <w:rsid w:val="007106C2"/>
    <w:rsid w:val="007120EC"/>
    <w:rsid w:val="007125CB"/>
    <w:rsid w:val="0071362A"/>
    <w:rsid w:val="007137B9"/>
    <w:rsid w:val="00713EE0"/>
    <w:rsid w:val="00714839"/>
    <w:rsid w:val="0072044F"/>
    <w:rsid w:val="00720E08"/>
    <w:rsid w:val="0072146B"/>
    <w:rsid w:val="007214D9"/>
    <w:rsid w:val="007217C5"/>
    <w:rsid w:val="0072193D"/>
    <w:rsid w:val="007233A1"/>
    <w:rsid w:val="00723F54"/>
    <w:rsid w:val="00724CC5"/>
    <w:rsid w:val="00724D12"/>
    <w:rsid w:val="00724FCF"/>
    <w:rsid w:val="0072613B"/>
    <w:rsid w:val="00726C37"/>
    <w:rsid w:val="0072796D"/>
    <w:rsid w:val="0073048B"/>
    <w:rsid w:val="0073203F"/>
    <w:rsid w:val="00732460"/>
    <w:rsid w:val="007330E1"/>
    <w:rsid w:val="007338DB"/>
    <w:rsid w:val="00734C19"/>
    <w:rsid w:val="00735864"/>
    <w:rsid w:val="007366FE"/>
    <w:rsid w:val="0073767A"/>
    <w:rsid w:val="00737790"/>
    <w:rsid w:val="007378DE"/>
    <w:rsid w:val="00740672"/>
    <w:rsid w:val="0074084B"/>
    <w:rsid w:val="00740C30"/>
    <w:rsid w:val="007414F5"/>
    <w:rsid w:val="0074188B"/>
    <w:rsid w:val="00741A7C"/>
    <w:rsid w:val="00741E26"/>
    <w:rsid w:val="00742098"/>
    <w:rsid w:val="007420D7"/>
    <w:rsid w:val="00742331"/>
    <w:rsid w:val="0074380E"/>
    <w:rsid w:val="00743995"/>
    <w:rsid w:val="007455AC"/>
    <w:rsid w:val="007468C2"/>
    <w:rsid w:val="00746F39"/>
    <w:rsid w:val="00747677"/>
    <w:rsid w:val="00747F3D"/>
    <w:rsid w:val="007506E2"/>
    <w:rsid w:val="00750A8F"/>
    <w:rsid w:val="00750D32"/>
    <w:rsid w:val="007521A6"/>
    <w:rsid w:val="0075271F"/>
    <w:rsid w:val="00753019"/>
    <w:rsid w:val="0075303D"/>
    <w:rsid w:val="00753D3B"/>
    <w:rsid w:val="00754496"/>
    <w:rsid w:val="007548F7"/>
    <w:rsid w:val="00754ED8"/>
    <w:rsid w:val="00756B21"/>
    <w:rsid w:val="00756D2A"/>
    <w:rsid w:val="007573E8"/>
    <w:rsid w:val="00757CDC"/>
    <w:rsid w:val="00757FDE"/>
    <w:rsid w:val="007614FF"/>
    <w:rsid w:val="0076220F"/>
    <w:rsid w:val="00762A73"/>
    <w:rsid w:val="00763AB2"/>
    <w:rsid w:val="00764A1D"/>
    <w:rsid w:val="00764B75"/>
    <w:rsid w:val="007673E1"/>
    <w:rsid w:val="00767EB9"/>
    <w:rsid w:val="00770173"/>
    <w:rsid w:val="0077017F"/>
    <w:rsid w:val="00771703"/>
    <w:rsid w:val="00772DA2"/>
    <w:rsid w:val="00772DD4"/>
    <w:rsid w:val="0077371E"/>
    <w:rsid w:val="00773A6B"/>
    <w:rsid w:val="00773AE5"/>
    <w:rsid w:val="00773E68"/>
    <w:rsid w:val="00774C50"/>
    <w:rsid w:val="007758E6"/>
    <w:rsid w:val="00775DB3"/>
    <w:rsid w:val="00776552"/>
    <w:rsid w:val="00776965"/>
    <w:rsid w:val="0078148B"/>
    <w:rsid w:val="0078200A"/>
    <w:rsid w:val="0078294D"/>
    <w:rsid w:val="0078342F"/>
    <w:rsid w:val="00783A13"/>
    <w:rsid w:val="00784E12"/>
    <w:rsid w:val="007853FD"/>
    <w:rsid w:val="00786C68"/>
    <w:rsid w:val="00787669"/>
    <w:rsid w:val="007900BE"/>
    <w:rsid w:val="00790B15"/>
    <w:rsid w:val="00792A8C"/>
    <w:rsid w:val="00792C52"/>
    <w:rsid w:val="00794041"/>
    <w:rsid w:val="00795137"/>
    <w:rsid w:val="00795591"/>
    <w:rsid w:val="00795CD9"/>
    <w:rsid w:val="00795CFE"/>
    <w:rsid w:val="00795E8D"/>
    <w:rsid w:val="00796891"/>
    <w:rsid w:val="00797496"/>
    <w:rsid w:val="00797D6E"/>
    <w:rsid w:val="007A036A"/>
    <w:rsid w:val="007A057F"/>
    <w:rsid w:val="007A0958"/>
    <w:rsid w:val="007A118B"/>
    <w:rsid w:val="007A153B"/>
    <w:rsid w:val="007A25F2"/>
    <w:rsid w:val="007A2AFB"/>
    <w:rsid w:val="007A2B93"/>
    <w:rsid w:val="007A3200"/>
    <w:rsid w:val="007A3821"/>
    <w:rsid w:val="007A46F3"/>
    <w:rsid w:val="007A49A3"/>
    <w:rsid w:val="007A57E0"/>
    <w:rsid w:val="007A74EF"/>
    <w:rsid w:val="007A7769"/>
    <w:rsid w:val="007A790A"/>
    <w:rsid w:val="007A7DA7"/>
    <w:rsid w:val="007B1AAE"/>
    <w:rsid w:val="007B40F1"/>
    <w:rsid w:val="007B4288"/>
    <w:rsid w:val="007B610F"/>
    <w:rsid w:val="007B6CD8"/>
    <w:rsid w:val="007B711B"/>
    <w:rsid w:val="007B7428"/>
    <w:rsid w:val="007C0716"/>
    <w:rsid w:val="007C0DAC"/>
    <w:rsid w:val="007C0F58"/>
    <w:rsid w:val="007C15F4"/>
    <w:rsid w:val="007C48ED"/>
    <w:rsid w:val="007C5937"/>
    <w:rsid w:val="007C6C2C"/>
    <w:rsid w:val="007C6D0B"/>
    <w:rsid w:val="007C7AB1"/>
    <w:rsid w:val="007D0090"/>
    <w:rsid w:val="007D18B3"/>
    <w:rsid w:val="007D1A7E"/>
    <w:rsid w:val="007D1FFD"/>
    <w:rsid w:val="007D2964"/>
    <w:rsid w:val="007D335B"/>
    <w:rsid w:val="007D3AD3"/>
    <w:rsid w:val="007D3B77"/>
    <w:rsid w:val="007D3D00"/>
    <w:rsid w:val="007D3E1E"/>
    <w:rsid w:val="007D3F75"/>
    <w:rsid w:val="007D41B7"/>
    <w:rsid w:val="007D5EDF"/>
    <w:rsid w:val="007D61F9"/>
    <w:rsid w:val="007D6F4C"/>
    <w:rsid w:val="007D7163"/>
    <w:rsid w:val="007D7E17"/>
    <w:rsid w:val="007E1401"/>
    <w:rsid w:val="007E1ADD"/>
    <w:rsid w:val="007E2A3E"/>
    <w:rsid w:val="007E2BDD"/>
    <w:rsid w:val="007E319D"/>
    <w:rsid w:val="007E482C"/>
    <w:rsid w:val="007E4E03"/>
    <w:rsid w:val="007E57F5"/>
    <w:rsid w:val="007E78C1"/>
    <w:rsid w:val="007E7E55"/>
    <w:rsid w:val="007F1E4D"/>
    <w:rsid w:val="007F2397"/>
    <w:rsid w:val="007F26C1"/>
    <w:rsid w:val="007F2964"/>
    <w:rsid w:val="007F29AC"/>
    <w:rsid w:val="007F3EC0"/>
    <w:rsid w:val="007F51C3"/>
    <w:rsid w:val="007F6412"/>
    <w:rsid w:val="007F6A57"/>
    <w:rsid w:val="007F701D"/>
    <w:rsid w:val="00801521"/>
    <w:rsid w:val="008026D9"/>
    <w:rsid w:val="00802EE1"/>
    <w:rsid w:val="008034E7"/>
    <w:rsid w:val="008038E1"/>
    <w:rsid w:val="00804CD9"/>
    <w:rsid w:val="0080611E"/>
    <w:rsid w:val="00806294"/>
    <w:rsid w:val="0080776D"/>
    <w:rsid w:val="00807993"/>
    <w:rsid w:val="008101E5"/>
    <w:rsid w:val="008110A7"/>
    <w:rsid w:val="0081212B"/>
    <w:rsid w:val="00812501"/>
    <w:rsid w:val="0081291A"/>
    <w:rsid w:val="0081305D"/>
    <w:rsid w:val="00813A81"/>
    <w:rsid w:val="008149E0"/>
    <w:rsid w:val="00814CA5"/>
    <w:rsid w:val="008151FF"/>
    <w:rsid w:val="00817A9F"/>
    <w:rsid w:val="00817E97"/>
    <w:rsid w:val="00817EFF"/>
    <w:rsid w:val="008208E0"/>
    <w:rsid w:val="00820D6B"/>
    <w:rsid w:val="00821372"/>
    <w:rsid w:val="00822215"/>
    <w:rsid w:val="0082243B"/>
    <w:rsid w:val="008227DF"/>
    <w:rsid w:val="00822ACB"/>
    <w:rsid w:val="0082393B"/>
    <w:rsid w:val="00824BAF"/>
    <w:rsid w:val="00824EB7"/>
    <w:rsid w:val="00825E28"/>
    <w:rsid w:val="008260DA"/>
    <w:rsid w:val="008261B9"/>
    <w:rsid w:val="008300D2"/>
    <w:rsid w:val="00830857"/>
    <w:rsid w:val="00831ABB"/>
    <w:rsid w:val="00832135"/>
    <w:rsid w:val="00833552"/>
    <w:rsid w:val="00833632"/>
    <w:rsid w:val="00833C94"/>
    <w:rsid w:val="00835419"/>
    <w:rsid w:val="0083630E"/>
    <w:rsid w:val="00840BA3"/>
    <w:rsid w:val="00840C7A"/>
    <w:rsid w:val="00840F95"/>
    <w:rsid w:val="008410E6"/>
    <w:rsid w:val="00841610"/>
    <w:rsid w:val="0084243E"/>
    <w:rsid w:val="00842884"/>
    <w:rsid w:val="008428CE"/>
    <w:rsid w:val="00845111"/>
    <w:rsid w:val="008468DC"/>
    <w:rsid w:val="00846AC2"/>
    <w:rsid w:val="00847510"/>
    <w:rsid w:val="00852FE8"/>
    <w:rsid w:val="00853F76"/>
    <w:rsid w:val="0085450A"/>
    <w:rsid w:val="00854743"/>
    <w:rsid w:val="00854986"/>
    <w:rsid w:val="00855B7B"/>
    <w:rsid w:val="00855C24"/>
    <w:rsid w:val="00856688"/>
    <w:rsid w:val="00856F7B"/>
    <w:rsid w:val="0085756A"/>
    <w:rsid w:val="00857751"/>
    <w:rsid w:val="00857DF8"/>
    <w:rsid w:val="00857E36"/>
    <w:rsid w:val="00861681"/>
    <w:rsid w:val="008620D2"/>
    <w:rsid w:val="008634BB"/>
    <w:rsid w:val="00863B00"/>
    <w:rsid w:val="0086428A"/>
    <w:rsid w:val="008646A7"/>
    <w:rsid w:val="00864DB6"/>
    <w:rsid w:val="0086583F"/>
    <w:rsid w:val="008669DE"/>
    <w:rsid w:val="00866CDF"/>
    <w:rsid w:val="00867BF7"/>
    <w:rsid w:val="00870756"/>
    <w:rsid w:val="008714FF"/>
    <w:rsid w:val="0087254A"/>
    <w:rsid w:val="00872B35"/>
    <w:rsid w:val="0087317E"/>
    <w:rsid w:val="0087350B"/>
    <w:rsid w:val="00873706"/>
    <w:rsid w:val="00873EBF"/>
    <w:rsid w:val="00874133"/>
    <w:rsid w:val="00874505"/>
    <w:rsid w:val="0087500F"/>
    <w:rsid w:val="008751DF"/>
    <w:rsid w:val="0087557E"/>
    <w:rsid w:val="008758A1"/>
    <w:rsid w:val="00875A2F"/>
    <w:rsid w:val="00875A36"/>
    <w:rsid w:val="008762F3"/>
    <w:rsid w:val="0087642D"/>
    <w:rsid w:val="00876FBE"/>
    <w:rsid w:val="00877076"/>
    <w:rsid w:val="008802EB"/>
    <w:rsid w:val="008804AC"/>
    <w:rsid w:val="00881B53"/>
    <w:rsid w:val="008822CE"/>
    <w:rsid w:val="008824EA"/>
    <w:rsid w:val="00882933"/>
    <w:rsid w:val="008841C8"/>
    <w:rsid w:val="008843C2"/>
    <w:rsid w:val="00885388"/>
    <w:rsid w:val="00886480"/>
    <w:rsid w:val="008864C0"/>
    <w:rsid w:val="0089006C"/>
    <w:rsid w:val="008901CC"/>
    <w:rsid w:val="00890896"/>
    <w:rsid w:val="00890B77"/>
    <w:rsid w:val="008919C0"/>
    <w:rsid w:val="008929B8"/>
    <w:rsid w:val="00892C76"/>
    <w:rsid w:val="00892CEE"/>
    <w:rsid w:val="00893AC9"/>
    <w:rsid w:val="00894843"/>
    <w:rsid w:val="00896022"/>
    <w:rsid w:val="00897231"/>
    <w:rsid w:val="008A000D"/>
    <w:rsid w:val="008A0A3C"/>
    <w:rsid w:val="008A0F4C"/>
    <w:rsid w:val="008A193E"/>
    <w:rsid w:val="008A3217"/>
    <w:rsid w:val="008A3531"/>
    <w:rsid w:val="008A5319"/>
    <w:rsid w:val="008A5AB1"/>
    <w:rsid w:val="008A66C1"/>
    <w:rsid w:val="008A68DB"/>
    <w:rsid w:val="008A70BE"/>
    <w:rsid w:val="008A74CE"/>
    <w:rsid w:val="008A7B3F"/>
    <w:rsid w:val="008B15E4"/>
    <w:rsid w:val="008B2A0D"/>
    <w:rsid w:val="008B3412"/>
    <w:rsid w:val="008B481E"/>
    <w:rsid w:val="008B6C33"/>
    <w:rsid w:val="008C0590"/>
    <w:rsid w:val="008C05A8"/>
    <w:rsid w:val="008C250C"/>
    <w:rsid w:val="008C3882"/>
    <w:rsid w:val="008C45E6"/>
    <w:rsid w:val="008C476D"/>
    <w:rsid w:val="008C520A"/>
    <w:rsid w:val="008C60E2"/>
    <w:rsid w:val="008C6198"/>
    <w:rsid w:val="008C683F"/>
    <w:rsid w:val="008C74C4"/>
    <w:rsid w:val="008C7D44"/>
    <w:rsid w:val="008C7EA8"/>
    <w:rsid w:val="008C7FE5"/>
    <w:rsid w:val="008D09D8"/>
    <w:rsid w:val="008D0BB0"/>
    <w:rsid w:val="008D1F31"/>
    <w:rsid w:val="008D5BFB"/>
    <w:rsid w:val="008D60BF"/>
    <w:rsid w:val="008D6A4F"/>
    <w:rsid w:val="008E078B"/>
    <w:rsid w:val="008E0A02"/>
    <w:rsid w:val="008E1E79"/>
    <w:rsid w:val="008E3168"/>
    <w:rsid w:val="008E3BF0"/>
    <w:rsid w:val="008E4811"/>
    <w:rsid w:val="008E51CD"/>
    <w:rsid w:val="008E5257"/>
    <w:rsid w:val="008E538B"/>
    <w:rsid w:val="008E6742"/>
    <w:rsid w:val="008E6973"/>
    <w:rsid w:val="008E69B8"/>
    <w:rsid w:val="008E7EC6"/>
    <w:rsid w:val="008F032E"/>
    <w:rsid w:val="008F0796"/>
    <w:rsid w:val="008F14A6"/>
    <w:rsid w:val="008F3343"/>
    <w:rsid w:val="008F347F"/>
    <w:rsid w:val="008F373B"/>
    <w:rsid w:val="008F3B0D"/>
    <w:rsid w:val="008F40F5"/>
    <w:rsid w:val="008F523D"/>
    <w:rsid w:val="008F5976"/>
    <w:rsid w:val="008F61F1"/>
    <w:rsid w:val="008F63AB"/>
    <w:rsid w:val="008F6A8B"/>
    <w:rsid w:val="008F6CD8"/>
    <w:rsid w:val="008F6DE1"/>
    <w:rsid w:val="008F7D9B"/>
    <w:rsid w:val="00900592"/>
    <w:rsid w:val="009048BC"/>
    <w:rsid w:val="009049B0"/>
    <w:rsid w:val="00904ACA"/>
    <w:rsid w:val="00904E67"/>
    <w:rsid w:val="00905740"/>
    <w:rsid w:val="009059F9"/>
    <w:rsid w:val="009065F4"/>
    <w:rsid w:val="00907B9A"/>
    <w:rsid w:val="00907F96"/>
    <w:rsid w:val="00910E27"/>
    <w:rsid w:val="00911942"/>
    <w:rsid w:val="009126DF"/>
    <w:rsid w:val="00913783"/>
    <w:rsid w:val="00915488"/>
    <w:rsid w:val="0091565A"/>
    <w:rsid w:val="0091622F"/>
    <w:rsid w:val="00916456"/>
    <w:rsid w:val="0091667F"/>
    <w:rsid w:val="009166A4"/>
    <w:rsid w:val="009169E9"/>
    <w:rsid w:val="009175A4"/>
    <w:rsid w:val="00917D80"/>
    <w:rsid w:val="00917F4A"/>
    <w:rsid w:val="00920991"/>
    <w:rsid w:val="00921845"/>
    <w:rsid w:val="009219ED"/>
    <w:rsid w:val="009220FE"/>
    <w:rsid w:val="0092283A"/>
    <w:rsid w:val="0092295F"/>
    <w:rsid w:val="00923212"/>
    <w:rsid w:val="00923313"/>
    <w:rsid w:val="0092341E"/>
    <w:rsid w:val="0092401F"/>
    <w:rsid w:val="00924458"/>
    <w:rsid w:val="00924F7C"/>
    <w:rsid w:val="009254EE"/>
    <w:rsid w:val="0092621D"/>
    <w:rsid w:val="009278B5"/>
    <w:rsid w:val="00930EFF"/>
    <w:rsid w:val="009310C0"/>
    <w:rsid w:val="00931F1E"/>
    <w:rsid w:val="009325A6"/>
    <w:rsid w:val="009325FD"/>
    <w:rsid w:val="009349FE"/>
    <w:rsid w:val="00935C6C"/>
    <w:rsid w:val="0093649B"/>
    <w:rsid w:val="009367AC"/>
    <w:rsid w:val="00936C91"/>
    <w:rsid w:val="0093703A"/>
    <w:rsid w:val="009376EE"/>
    <w:rsid w:val="00940203"/>
    <w:rsid w:val="00941681"/>
    <w:rsid w:val="009422E8"/>
    <w:rsid w:val="00942472"/>
    <w:rsid w:val="009438B7"/>
    <w:rsid w:val="00944625"/>
    <w:rsid w:val="00945C54"/>
    <w:rsid w:val="00946205"/>
    <w:rsid w:val="0094640B"/>
    <w:rsid w:val="00946B7B"/>
    <w:rsid w:val="00946D91"/>
    <w:rsid w:val="00946E86"/>
    <w:rsid w:val="00947C8C"/>
    <w:rsid w:val="00947F65"/>
    <w:rsid w:val="00950A8B"/>
    <w:rsid w:val="00951B00"/>
    <w:rsid w:val="00951B2D"/>
    <w:rsid w:val="00952DB7"/>
    <w:rsid w:val="00953EF5"/>
    <w:rsid w:val="00954100"/>
    <w:rsid w:val="00954388"/>
    <w:rsid w:val="009545E7"/>
    <w:rsid w:val="0095514D"/>
    <w:rsid w:val="009563C4"/>
    <w:rsid w:val="00956CED"/>
    <w:rsid w:val="00957B0C"/>
    <w:rsid w:val="00957E4D"/>
    <w:rsid w:val="009604A1"/>
    <w:rsid w:val="00960615"/>
    <w:rsid w:val="00960D5A"/>
    <w:rsid w:val="009615B0"/>
    <w:rsid w:val="00961F98"/>
    <w:rsid w:val="00963A8A"/>
    <w:rsid w:val="00965291"/>
    <w:rsid w:val="00965876"/>
    <w:rsid w:val="00966384"/>
    <w:rsid w:val="00966A4B"/>
    <w:rsid w:val="00966EC1"/>
    <w:rsid w:val="00967787"/>
    <w:rsid w:val="00970C39"/>
    <w:rsid w:val="00970F6E"/>
    <w:rsid w:val="00971208"/>
    <w:rsid w:val="00972244"/>
    <w:rsid w:val="009735BE"/>
    <w:rsid w:val="00973834"/>
    <w:rsid w:val="00974D0C"/>
    <w:rsid w:val="009751AA"/>
    <w:rsid w:val="00976213"/>
    <w:rsid w:val="00976CE7"/>
    <w:rsid w:val="00976F21"/>
    <w:rsid w:val="00977A1C"/>
    <w:rsid w:val="00980F91"/>
    <w:rsid w:val="009811CD"/>
    <w:rsid w:val="00981D0D"/>
    <w:rsid w:val="009827DC"/>
    <w:rsid w:val="0098374B"/>
    <w:rsid w:val="0098479A"/>
    <w:rsid w:val="00984B66"/>
    <w:rsid w:val="00985D8B"/>
    <w:rsid w:val="009862AD"/>
    <w:rsid w:val="009872EB"/>
    <w:rsid w:val="00987F14"/>
    <w:rsid w:val="009902FB"/>
    <w:rsid w:val="009909E6"/>
    <w:rsid w:val="00990B7B"/>
    <w:rsid w:val="00992044"/>
    <w:rsid w:val="00992CBA"/>
    <w:rsid w:val="00993A8D"/>
    <w:rsid w:val="0099449A"/>
    <w:rsid w:val="009955E3"/>
    <w:rsid w:val="00997158"/>
    <w:rsid w:val="009975B0"/>
    <w:rsid w:val="009A0324"/>
    <w:rsid w:val="009A057E"/>
    <w:rsid w:val="009A23C3"/>
    <w:rsid w:val="009A2CAF"/>
    <w:rsid w:val="009A3990"/>
    <w:rsid w:val="009A5F80"/>
    <w:rsid w:val="009A6D31"/>
    <w:rsid w:val="009B122C"/>
    <w:rsid w:val="009B2975"/>
    <w:rsid w:val="009B34BA"/>
    <w:rsid w:val="009B3775"/>
    <w:rsid w:val="009B3BB3"/>
    <w:rsid w:val="009B3DFC"/>
    <w:rsid w:val="009B4270"/>
    <w:rsid w:val="009B4332"/>
    <w:rsid w:val="009B5943"/>
    <w:rsid w:val="009B5EA2"/>
    <w:rsid w:val="009B6361"/>
    <w:rsid w:val="009B66D4"/>
    <w:rsid w:val="009B687B"/>
    <w:rsid w:val="009C0D11"/>
    <w:rsid w:val="009C1205"/>
    <w:rsid w:val="009C2406"/>
    <w:rsid w:val="009C2A44"/>
    <w:rsid w:val="009C2C4C"/>
    <w:rsid w:val="009C329B"/>
    <w:rsid w:val="009C3522"/>
    <w:rsid w:val="009C3ADE"/>
    <w:rsid w:val="009C4BF8"/>
    <w:rsid w:val="009C4E54"/>
    <w:rsid w:val="009C62F7"/>
    <w:rsid w:val="009C770A"/>
    <w:rsid w:val="009D0B4C"/>
    <w:rsid w:val="009D17A2"/>
    <w:rsid w:val="009D17AC"/>
    <w:rsid w:val="009D1FFD"/>
    <w:rsid w:val="009D2D3E"/>
    <w:rsid w:val="009D381A"/>
    <w:rsid w:val="009D49D4"/>
    <w:rsid w:val="009D56ED"/>
    <w:rsid w:val="009D5D38"/>
    <w:rsid w:val="009D6612"/>
    <w:rsid w:val="009D680B"/>
    <w:rsid w:val="009D74DC"/>
    <w:rsid w:val="009E02DB"/>
    <w:rsid w:val="009E041B"/>
    <w:rsid w:val="009E1232"/>
    <w:rsid w:val="009E2131"/>
    <w:rsid w:val="009E22A6"/>
    <w:rsid w:val="009E5014"/>
    <w:rsid w:val="009E7574"/>
    <w:rsid w:val="009E7629"/>
    <w:rsid w:val="009F0AB9"/>
    <w:rsid w:val="009F0E28"/>
    <w:rsid w:val="009F0F0D"/>
    <w:rsid w:val="009F1309"/>
    <w:rsid w:val="009F1ACD"/>
    <w:rsid w:val="009F1B6A"/>
    <w:rsid w:val="009F20AE"/>
    <w:rsid w:val="009F308D"/>
    <w:rsid w:val="009F33BC"/>
    <w:rsid w:val="009F3897"/>
    <w:rsid w:val="009F39EE"/>
    <w:rsid w:val="009F46D2"/>
    <w:rsid w:val="009F4F81"/>
    <w:rsid w:val="009F5950"/>
    <w:rsid w:val="009F6085"/>
    <w:rsid w:val="009F66F8"/>
    <w:rsid w:val="009F743E"/>
    <w:rsid w:val="00A00BB7"/>
    <w:rsid w:val="00A02DCE"/>
    <w:rsid w:val="00A035A7"/>
    <w:rsid w:val="00A03AE4"/>
    <w:rsid w:val="00A04E93"/>
    <w:rsid w:val="00A056DA"/>
    <w:rsid w:val="00A057F3"/>
    <w:rsid w:val="00A07028"/>
    <w:rsid w:val="00A10449"/>
    <w:rsid w:val="00A10914"/>
    <w:rsid w:val="00A1181E"/>
    <w:rsid w:val="00A11E5D"/>
    <w:rsid w:val="00A12966"/>
    <w:rsid w:val="00A13201"/>
    <w:rsid w:val="00A133FE"/>
    <w:rsid w:val="00A1399C"/>
    <w:rsid w:val="00A150B1"/>
    <w:rsid w:val="00A15B52"/>
    <w:rsid w:val="00A15CC8"/>
    <w:rsid w:val="00A16424"/>
    <w:rsid w:val="00A16782"/>
    <w:rsid w:val="00A17269"/>
    <w:rsid w:val="00A17387"/>
    <w:rsid w:val="00A179A5"/>
    <w:rsid w:val="00A17F37"/>
    <w:rsid w:val="00A20772"/>
    <w:rsid w:val="00A20E05"/>
    <w:rsid w:val="00A21006"/>
    <w:rsid w:val="00A21B4D"/>
    <w:rsid w:val="00A221D6"/>
    <w:rsid w:val="00A228D9"/>
    <w:rsid w:val="00A23E9B"/>
    <w:rsid w:val="00A241A7"/>
    <w:rsid w:val="00A24355"/>
    <w:rsid w:val="00A25AC6"/>
    <w:rsid w:val="00A25D4E"/>
    <w:rsid w:val="00A25DDA"/>
    <w:rsid w:val="00A2671D"/>
    <w:rsid w:val="00A27765"/>
    <w:rsid w:val="00A27C28"/>
    <w:rsid w:val="00A27CEA"/>
    <w:rsid w:val="00A27D8F"/>
    <w:rsid w:val="00A30660"/>
    <w:rsid w:val="00A30732"/>
    <w:rsid w:val="00A311F0"/>
    <w:rsid w:val="00A31899"/>
    <w:rsid w:val="00A31D88"/>
    <w:rsid w:val="00A3343D"/>
    <w:rsid w:val="00A33A39"/>
    <w:rsid w:val="00A3476C"/>
    <w:rsid w:val="00A35440"/>
    <w:rsid w:val="00A35D94"/>
    <w:rsid w:val="00A40552"/>
    <w:rsid w:val="00A40DC8"/>
    <w:rsid w:val="00A411AA"/>
    <w:rsid w:val="00A4124C"/>
    <w:rsid w:val="00A416F1"/>
    <w:rsid w:val="00A422E8"/>
    <w:rsid w:val="00A4247A"/>
    <w:rsid w:val="00A424CA"/>
    <w:rsid w:val="00A4329F"/>
    <w:rsid w:val="00A433F0"/>
    <w:rsid w:val="00A43B74"/>
    <w:rsid w:val="00A44260"/>
    <w:rsid w:val="00A45873"/>
    <w:rsid w:val="00A46972"/>
    <w:rsid w:val="00A46A76"/>
    <w:rsid w:val="00A479EA"/>
    <w:rsid w:val="00A47BA9"/>
    <w:rsid w:val="00A47F6C"/>
    <w:rsid w:val="00A47F7A"/>
    <w:rsid w:val="00A51833"/>
    <w:rsid w:val="00A519B4"/>
    <w:rsid w:val="00A51E93"/>
    <w:rsid w:val="00A52160"/>
    <w:rsid w:val="00A52845"/>
    <w:rsid w:val="00A53668"/>
    <w:rsid w:val="00A53B71"/>
    <w:rsid w:val="00A5414C"/>
    <w:rsid w:val="00A541F4"/>
    <w:rsid w:val="00A55A1E"/>
    <w:rsid w:val="00A55DE3"/>
    <w:rsid w:val="00A56C96"/>
    <w:rsid w:val="00A57B4A"/>
    <w:rsid w:val="00A57B4C"/>
    <w:rsid w:val="00A57DD5"/>
    <w:rsid w:val="00A60579"/>
    <w:rsid w:val="00A605BB"/>
    <w:rsid w:val="00A624AC"/>
    <w:rsid w:val="00A62D42"/>
    <w:rsid w:val="00A62EFC"/>
    <w:rsid w:val="00A6313B"/>
    <w:rsid w:val="00A63C13"/>
    <w:rsid w:val="00A6653C"/>
    <w:rsid w:val="00A6700D"/>
    <w:rsid w:val="00A67112"/>
    <w:rsid w:val="00A67A70"/>
    <w:rsid w:val="00A716B5"/>
    <w:rsid w:val="00A719A6"/>
    <w:rsid w:val="00A71A51"/>
    <w:rsid w:val="00A72C8E"/>
    <w:rsid w:val="00A73048"/>
    <w:rsid w:val="00A730CE"/>
    <w:rsid w:val="00A738D1"/>
    <w:rsid w:val="00A74C2C"/>
    <w:rsid w:val="00A753A8"/>
    <w:rsid w:val="00A75852"/>
    <w:rsid w:val="00A761C9"/>
    <w:rsid w:val="00A76885"/>
    <w:rsid w:val="00A8066B"/>
    <w:rsid w:val="00A80EBC"/>
    <w:rsid w:val="00A80EE4"/>
    <w:rsid w:val="00A80FA7"/>
    <w:rsid w:val="00A8119A"/>
    <w:rsid w:val="00A820FA"/>
    <w:rsid w:val="00A82230"/>
    <w:rsid w:val="00A83019"/>
    <w:rsid w:val="00A832CC"/>
    <w:rsid w:val="00A834C4"/>
    <w:rsid w:val="00A86B25"/>
    <w:rsid w:val="00A8741D"/>
    <w:rsid w:val="00A879F3"/>
    <w:rsid w:val="00A915FE"/>
    <w:rsid w:val="00A92A9F"/>
    <w:rsid w:val="00A9490E"/>
    <w:rsid w:val="00A94992"/>
    <w:rsid w:val="00A94A26"/>
    <w:rsid w:val="00A95589"/>
    <w:rsid w:val="00A95E8B"/>
    <w:rsid w:val="00AA0249"/>
    <w:rsid w:val="00AA0822"/>
    <w:rsid w:val="00AA08DC"/>
    <w:rsid w:val="00AA139B"/>
    <w:rsid w:val="00AA1A18"/>
    <w:rsid w:val="00AA1BA7"/>
    <w:rsid w:val="00AA1DC2"/>
    <w:rsid w:val="00AA5DEC"/>
    <w:rsid w:val="00AA6B26"/>
    <w:rsid w:val="00AA7823"/>
    <w:rsid w:val="00AB1664"/>
    <w:rsid w:val="00AB22B3"/>
    <w:rsid w:val="00AB29AD"/>
    <w:rsid w:val="00AB2C6A"/>
    <w:rsid w:val="00AB7141"/>
    <w:rsid w:val="00AB7406"/>
    <w:rsid w:val="00AB7FD1"/>
    <w:rsid w:val="00AC1563"/>
    <w:rsid w:val="00AC2079"/>
    <w:rsid w:val="00AC2B04"/>
    <w:rsid w:val="00AC2F40"/>
    <w:rsid w:val="00AC3395"/>
    <w:rsid w:val="00AC3528"/>
    <w:rsid w:val="00AC4220"/>
    <w:rsid w:val="00AC5855"/>
    <w:rsid w:val="00AC71D3"/>
    <w:rsid w:val="00AD097A"/>
    <w:rsid w:val="00AD0CFB"/>
    <w:rsid w:val="00AD12A6"/>
    <w:rsid w:val="00AD147E"/>
    <w:rsid w:val="00AD147F"/>
    <w:rsid w:val="00AD1F4D"/>
    <w:rsid w:val="00AD261C"/>
    <w:rsid w:val="00AD3B8C"/>
    <w:rsid w:val="00AD3EB5"/>
    <w:rsid w:val="00AD4571"/>
    <w:rsid w:val="00AD48AA"/>
    <w:rsid w:val="00AD48F9"/>
    <w:rsid w:val="00AD53BF"/>
    <w:rsid w:val="00AD5A44"/>
    <w:rsid w:val="00AD742D"/>
    <w:rsid w:val="00AD760A"/>
    <w:rsid w:val="00AD7D7D"/>
    <w:rsid w:val="00AE009E"/>
    <w:rsid w:val="00AE0807"/>
    <w:rsid w:val="00AE08CE"/>
    <w:rsid w:val="00AE0D2E"/>
    <w:rsid w:val="00AE0D8C"/>
    <w:rsid w:val="00AE1294"/>
    <w:rsid w:val="00AE1340"/>
    <w:rsid w:val="00AE291F"/>
    <w:rsid w:val="00AE412C"/>
    <w:rsid w:val="00AE514D"/>
    <w:rsid w:val="00AE5AFA"/>
    <w:rsid w:val="00AE658D"/>
    <w:rsid w:val="00AE73C7"/>
    <w:rsid w:val="00AE7B90"/>
    <w:rsid w:val="00AF0EDB"/>
    <w:rsid w:val="00AF48A3"/>
    <w:rsid w:val="00AF4C43"/>
    <w:rsid w:val="00AF4D31"/>
    <w:rsid w:val="00AF4E2A"/>
    <w:rsid w:val="00AF6D92"/>
    <w:rsid w:val="00B00174"/>
    <w:rsid w:val="00B00335"/>
    <w:rsid w:val="00B0127A"/>
    <w:rsid w:val="00B01C82"/>
    <w:rsid w:val="00B01E5F"/>
    <w:rsid w:val="00B023B9"/>
    <w:rsid w:val="00B02556"/>
    <w:rsid w:val="00B02FE2"/>
    <w:rsid w:val="00B0336B"/>
    <w:rsid w:val="00B04DC3"/>
    <w:rsid w:val="00B05534"/>
    <w:rsid w:val="00B05854"/>
    <w:rsid w:val="00B058EF"/>
    <w:rsid w:val="00B06A05"/>
    <w:rsid w:val="00B11394"/>
    <w:rsid w:val="00B11B47"/>
    <w:rsid w:val="00B13C1C"/>
    <w:rsid w:val="00B14908"/>
    <w:rsid w:val="00B14F16"/>
    <w:rsid w:val="00B16759"/>
    <w:rsid w:val="00B169F8"/>
    <w:rsid w:val="00B171F1"/>
    <w:rsid w:val="00B21DA6"/>
    <w:rsid w:val="00B21E5B"/>
    <w:rsid w:val="00B22792"/>
    <w:rsid w:val="00B22E8B"/>
    <w:rsid w:val="00B236EC"/>
    <w:rsid w:val="00B24534"/>
    <w:rsid w:val="00B249D2"/>
    <w:rsid w:val="00B24A11"/>
    <w:rsid w:val="00B26FBF"/>
    <w:rsid w:val="00B27384"/>
    <w:rsid w:val="00B27783"/>
    <w:rsid w:val="00B30389"/>
    <w:rsid w:val="00B323CC"/>
    <w:rsid w:val="00B327BA"/>
    <w:rsid w:val="00B32929"/>
    <w:rsid w:val="00B34898"/>
    <w:rsid w:val="00B35499"/>
    <w:rsid w:val="00B3555E"/>
    <w:rsid w:val="00B367B3"/>
    <w:rsid w:val="00B367BD"/>
    <w:rsid w:val="00B36C52"/>
    <w:rsid w:val="00B36CA4"/>
    <w:rsid w:val="00B37360"/>
    <w:rsid w:val="00B3745D"/>
    <w:rsid w:val="00B37658"/>
    <w:rsid w:val="00B4077C"/>
    <w:rsid w:val="00B43CD9"/>
    <w:rsid w:val="00B43D2B"/>
    <w:rsid w:val="00B50146"/>
    <w:rsid w:val="00B50C08"/>
    <w:rsid w:val="00B50EF9"/>
    <w:rsid w:val="00B51383"/>
    <w:rsid w:val="00B52391"/>
    <w:rsid w:val="00B548EB"/>
    <w:rsid w:val="00B56971"/>
    <w:rsid w:val="00B56B0D"/>
    <w:rsid w:val="00B56DAE"/>
    <w:rsid w:val="00B57064"/>
    <w:rsid w:val="00B611A7"/>
    <w:rsid w:val="00B61375"/>
    <w:rsid w:val="00B617EA"/>
    <w:rsid w:val="00B61FC8"/>
    <w:rsid w:val="00B635DE"/>
    <w:rsid w:val="00B63A38"/>
    <w:rsid w:val="00B640C6"/>
    <w:rsid w:val="00B6563E"/>
    <w:rsid w:val="00B65812"/>
    <w:rsid w:val="00B66588"/>
    <w:rsid w:val="00B6689C"/>
    <w:rsid w:val="00B66B91"/>
    <w:rsid w:val="00B67058"/>
    <w:rsid w:val="00B67707"/>
    <w:rsid w:val="00B7010E"/>
    <w:rsid w:val="00B70253"/>
    <w:rsid w:val="00B70396"/>
    <w:rsid w:val="00B7070B"/>
    <w:rsid w:val="00B70B22"/>
    <w:rsid w:val="00B7116B"/>
    <w:rsid w:val="00B71C53"/>
    <w:rsid w:val="00B7376D"/>
    <w:rsid w:val="00B73C09"/>
    <w:rsid w:val="00B75419"/>
    <w:rsid w:val="00B75E13"/>
    <w:rsid w:val="00B75F32"/>
    <w:rsid w:val="00B76804"/>
    <w:rsid w:val="00B80067"/>
    <w:rsid w:val="00B808DA"/>
    <w:rsid w:val="00B81CF9"/>
    <w:rsid w:val="00B81DCB"/>
    <w:rsid w:val="00B822B5"/>
    <w:rsid w:val="00B827A8"/>
    <w:rsid w:val="00B8398C"/>
    <w:rsid w:val="00B83F8C"/>
    <w:rsid w:val="00B84A12"/>
    <w:rsid w:val="00B854DE"/>
    <w:rsid w:val="00B86D7F"/>
    <w:rsid w:val="00B87669"/>
    <w:rsid w:val="00B91303"/>
    <w:rsid w:val="00B92201"/>
    <w:rsid w:val="00B92C2B"/>
    <w:rsid w:val="00B94674"/>
    <w:rsid w:val="00B953E6"/>
    <w:rsid w:val="00B95AE9"/>
    <w:rsid w:val="00B9639D"/>
    <w:rsid w:val="00B96968"/>
    <w:rsid w:val="00B971A8"/>
    <w:rsid w:val="00B9780F"/>
    <w:rsid w:val="00B97BC4"/>
    <w:rsid w:val="00BA0FF2"/>
    <w:rsid w:val="00BA110A"/>
    <w:rsid w:val="00BA1B5E"/>
    <w:rsid w:val="00BA2AF3"/>
    <w:rsid w:val="00BA4B6D"/>
    <w:rsid w:val="00BA4C4B"/>
    <w:rsid w:val="00BA5D30"/>
    <w:rsid w:val="00BA67D8"/>
    <w:rsid w:val="00BA75D7"/>
    <w:rsid w:val="00BB0270"/>
    <w:rsid w:val="00BB0B68"/>
    <w:rsid w:val="00BB1EAB"/>
    <w:rsid w:val="00BB2D97"/>
    <w:rsid w:val="00BB55F4"/>
    <w:rsid w:val="00BB57F9"/>
    <w:rsid w:val="00BB635A"/>
    <w:rsid w:val="00BB6A2F"/>
    <w:rsid w:val="00BB79D7"/>
    <w:rsid w:val="00BB7F70"/>
    <w:rsid w:val="00BC0AD8"/>
    <w:rsid w:val="00BC1DF9"/>
    <w:rsid w:val="00BC219E"/>
    <w:rsid w:val="00BC2DB6"/>
    <w:rsid w:val="00BC2E3F"/>
    <w:rsid w:val="00BC3882"/>
    <w:rsid w:val="00BC4183"/>
    <w:rsid w:val="00BC4B21"/>
    <w:rsid w:val="00BC50C3"/>
    <w:rsid w:val="00BC5917"/>
    <w:rsid w:val="00BC5C7C"/>
    <w:rsid w:val="00BC5E8C"/>
    <w:rsid w:val="00BC6406"/>
    <w:rsid w:val="00BC6BFE"/>
    <w:rsid w:val="00BC6DE9"/>
    <w:rsid w:val="00BC6EC2"/>
    <w:rsid w:val="00BC72AA"/>
    <w:rsid w:val="00BC7D83"/>
    <w:rsid w:val="00BD0EBA"/>
    <w:rsid w:val="00BD1291"/>
    <w:rsid w:val="00BD1547"/>
    <w:rsid w:val="00BD1945"/>
    <w:rsid w:val="00BD1DA7"/>
    <w:rsid w:val="00BD2972"/>
    <w:rsid w:val="00BD3062"/>
    <w:rsid w:val="00BD4C78"/>
    <w:rsid w:val="00BD4E58"/>
    <w:rsid w:val="00BD5017"/>
    <w:rsid w:val="00BD6B31"/>
    <w:rsid w:val="00BD706F"/>
    <w:rsid w:val="00BD7073"/>
    <w:rsid w:val="00BD7C54"/>
    <w:rsid w:val="00BE03AF"/>
    <w:rsid w:val="00BE0DAA"/>
    <w:rsid w:val="00BE0EDF"/>
    <w:rsid w:val="00BE1033"/>
    <w:rsid w:val="00BE119C"/>
    <w:rsid w:val="00BE1628"/>
    <w:rsid w:val="00BE1636"/>
    <w:rsid w:val="00BE2B5F"/>
    <w:rsid w:val="00BE3565"/>
    <w:rsid w:val="00BE388D"/>
    <w:rsid w:val="00BE392D"/>
    <w:rsid w:val="00BE3AC4"/>
    <w:rsid w:val="00BE3D49"/>
    <w:rsid w:val="00BE4134"/>
    <w:rsid w:val="00BE49CE"/>
    <w:rsid w:val="00BE5B58"/>
    <w:rsid w:val="00BE6D0E"/>
    <w:rsid w:val="00BE6E66"/>
    <w:rsid w:val="00BF2323"/>
    <w:rsid w:val="00BF255D"/>
    <w:rsid w:val="00BF400A"/>
    <w:rsid w:val="00BF44E0"/>
    <w:rsid w:val="00BF4B74"/>
    <w:rsid w:val="00BF4FF3"/>
    <w:rsid w:val="00BF5C4A"/>
    <w:rsid w:val="00BF5C58"/>
    <w:rsid w:val="00BF5E12"/>
    <w:rsid w:val="00BF64D2"/>
    <w:rsid w:val="00BF673F"/>
    <w:rsid w:val="00BF6867"/>
    <w:rsid w:val="00BF6DB0"/>
    <w:rsid w:val="00BF720C"/>
    <w:rsid w:val="00BF7502"/>
    <w:rsid w:val="00BF75A6"/>
    <w:rsid w:val="00C005FB"/>
    <w:rsid w:val="00C00F2B"/>
    <w:rsid w:val="00C00F4C"/>
    <w:rsid w:val="00C01120"/>
    <w:rsid w:val="00C0114B"/>
    <w:rsid w:val="00C012E3"/>
    <w:rsid w:val="00C04847"/>
    <w:rsid w:val="00C051C0"/>
    <w:rsid w:val="00C053C1"/>
    <w:rsid w:val="00C07068"/>
    <w:rsid w:val="00C073D2"/>
    <w:rsid w:val="00C07B27"/>
    <w:rsid w:val="00C07D97"/>
    <w:rsid w:val="00C07F34"/>
    <w:rsid w:val="00C11126"/>
    <w:rsid w:val="00C11F39"/>
    <w:rsid w:val="00C1260F"/>
    <w:rsid w:val="00C12995"/>
    <w:rsid w:val="00C13591"/>
    <w:rsid w:val="00C13BCF"/>
    <w:rsid w:val="00C14862"/>
    <w:rsid w:val="00C14AA3"/>
    <w:rsid w:val="00C1509E"/>
    <w:rsid w:val="00C1705E"/>
    <w:rsid w:val="00C17213"/>
    <w:rsid w:val="00C17431"/>
    <w:rsid w:val="00C2015B"/>
    <w:rsid w:val="00C214A9"/>
    <w:rsid w:val="00C215E0"/>
    <w:rsid w:val="00C219D5"/>
    <w:rsid w:val="00C237D7"/>
    <w:rsid w:val="00C240D5"/>
    <w:rsid w:val="00C249E7"/>
    <w:rsid w:val="00C24F3D"/>
    <w:rsid w:val="00C25152"/>
    <w:rsid w:val="00C25385"/>
    <w:rsid w:val="00C25E84"/>
    <w:rsid w:val="00C25F9F"/>
    <w:rsid w:val="00C26007"/>
    <w:rsid w:val="00C2723A"/>
    <w:rsid w:val="00C27252"/>
    <w:rsid w:val="00C27316"/>
    <w:rsid w:val="00C274B0"/>
    <w:rsid w:val="00C3176B"/>
    <w:rsid w:val="00C32027"/>
    <w:rsid w:val="00C32487"/>
    <w:rsid w:val="00C32843"/>
    <w:rsid w:val="00C349DE"/>
    <w:rsid w:val="00C35355"/>
    <w:rsid w:val="00C35DAD"/>
    <w:rsid w:val="00C36A71"/>
    <w:rsid w:val="00C37388"/>
    <w:rsid w:val="00C40030"/>
    <w:rsid w:val="00C406D4"/>
    <w:rsid w:val="00C423B0"/>
    <w:rsid w:val="00C4409A"/>
    <w:rsid w:val="00C45814"/>
    <w:rsid w:val="00C46932"/>
    <w:rsid w:val="00C469E9"/>
    <w:rsid w:val="00C47D41"/>
    <w:rsid w:val="00C50ECA"/>
    <w:rsid w:val="00C511F4"/>
    <w:rsid w:val="00C514CF"/>
    <w:rsid w:val="00C5252D"/>
    <w:rsid w:val="00C52858"/>
    <w:rsid w:val="00C52E9B"/>
    <w:rsid w:val="00C541D0"/>
    <w:rsid w:val="00C54ABE"/>
    <w:rsid w:val="00C550DC"/>
    <w:rsid w:val="00C5533C"/>
    <w:rsid w:val="00C55901"/>
    <w:rsid w:val="00C55CB4"/>
    <w:rsid w:val="00C56298"/>
    <w:rsid w:val="00C562D2"/>
    <w:rsid w:val="00C568BA"/>
    <w:rsid w:val="00C57CFD"/>
    <w:rsid w:val="00C57F0A"/>
    <w:rsid w:val="00C60141"/>
    <w:rsid w:val="00C60624"/>
    <w:rsid w:val="00C61813"/>
    <w:rsid w:val="00C624CC"/>
    <w:rsid w:val="00C625DB"/>
    <w:rsid w:val="00C6378C"/>
    <w:rsid w:val="00C63BA6"/>
    <w:rsid w:val="00C640A7"/>
    <w:rsid w:val="00C64560"/>
    <w:rsid w:val="00C6493B"/>
    <w:rsid w:val="00C66046"/>
    <w:rsid w:val="00C66248"/>
    <w:rsid w:val="00C67CA8"/>
    <w:rsid w:val="00C67DFD"/>
    <w:rsid w:val="00C70475"/>
    <w:rsid w:val="00C70670"/>
    <w:rsid w:val="00C70ACF"/>
    <w:rsid w:val="00C710D9"/>
    <w:rsid w:val="00C715D1"/>
    <w:rsid w:val="00C71A9F"/>
    <w:rsid w:val="00C72132"/>
    <w:rsid w:val="00C726CF"/>
    <w:rsid w:val="00C72B79"/>
    <w:rsid w:val="00C743B9"/>
    <w:rsid w:val="00C75432"/>
    <w:rsid w:val="00C76795"/>
    <w:rsid w:val="00C76ED5"/>
    <w:rsid w:val="00C811BA"/>
    <w:rsid w:val="00C811EF"/>
    <w:rsid w:val="00C81664"/>
    <w:rsid w:val="00C81F1F"/>
    <w:rsid w:val="00C82A84"/>
    <w:rsid w:val="00C82DD7"/>
    <w:rsid w:val="00C8382E"/>
    <w:rsid w:val="00C85089"/>
    <w:rsid w:val="00C85130"/>
    <w:rsid w:val="00C86BBA"/>
    <w:rsid w:val="00C86F50"/>
    <w:rsid w:val="00C87427"/>
    <w:rsid w:val="00C87B2F"/>
    <w:rsid w:val="00C9044D"/>
    <w:rsid w:val="00C91747"/>
    <w:rsid w:val="00C922F3"/>
    <w:rsid w:val="00C93260"/>
    <w:rsid w:val="00C96B55"/>
    <w:rsid w:val="00C96BAD"/>
    <w:rsid w:val="00C96CEC"/>
    <w:rsid w:val="00CA05FB"/>
    <w:rsid w:val="00CA14DC"/>
    <w:rsid w:val="00CA2842"/>
    <w:rsid w:val="00CA2B88"/>
    <w:rsid w:val="00CA42FB"/>
    <w:rsid w:val="00CA536D"/>
    <w:rsid w:val="00CA599F"/>
    <w:rsid w:val="00CA5CFA"/>
    <w:rsid w:val="00CA6B7F"/>
    <w:rsid w:val="00CA79B9"/>
    <w:rsid w:val="00CB0071"/>
    <w:rsid w:val="00CB099A"/>
    <w:rsid w:val="00CB0E19"/>
    <w:rsid w:val="00CB106D"/>
    <w:rsid w:val="00CB1233"/>
    <w:rsid w:val="00CB3356"/>
    <w:rsid w:val="00CB3E92"/>
    <w:rsid w:val="00CB43B6"/>
    <w:rsid w:val="00CB43EC"/>
    <w:rsid w:val="00CB5276"/>
    <w:rsid w:val="00CB5A89"/>
    <w:rsid w:val="00CB65FA"/>
    <w:rsid w:val="00CB70E0"/>
    <w:rsid w:val="00CC00E6"/>
    <w:rsid w:val="00CC0886"/>
    <w:rsid w:val="00CC0B33"/>
    <w:rsid w:val="00CC0F3D"/>
    <w:rsid w:val="00CC10A9"/>
    <w:rsid w:val="00CC1244"/>
    <w:rsid w:val="00CC1273"/>
    <w:rsid w:val="00CC1BAE"/>
    <w:rsid w:val="00CC3211"/>
    <w:rsid w:val="00CC372F"/>
    <w:rsid w:val="00CC403E"/>
    <w:rsid w:val="00CC56AC"/>
    <w:rsid w:val="00CC7009"/>
    <w:rsid w:val="00CC74A6"/>
    <w:rsid w:val="00CC750F"/>
    <w:rsid w:val="00CD0B61"/>
    <w:rsid w:val="00CD1BA4"/>
    <w:rsid w:val="00CD3012"/>
    <w:rsid w:val="00CD3969"/>
    <w:rsid w:val="00CD3C15"/>
    <w:rsid w:val="00CD40F4"/>
    <w:rsid w:val="00CD4A15"/>
    <w:rsid w:val="00CD51AD"/>
    <w:rsid w:val="00CD56CB"/>
    <w:rsid w:val="00CD6BFD"/>
    <w:rsid w:val="00CE0939"/>
    <w:rsid w:val="00CE207A"/>
    <w:rsid w:val="00CE228F"/>
    <w:rsid w:val="00CE346B"/>
    <w:rsid w:val="00CE38FE"/>
    <w:rsid w:val="00CE392E"/>
    <w:rsid w:val="00CE4E49"/>
    <w:rsid w:val="00CE5872"/>
    <w:rsid w:val="00CE62F8"/>
    <w:rsid w:val="00CE6F02"/>
    <w:rsid w:val="00CE79C6"/>
    <w:rsid w:val="00CE7AE4"/>
    <w:rsid w:val="00CE7B75"/>
    <w:rsid w:val="00CE7BD8"/>
    <w:rsid w:val="00CE7E0B"/>
    <w:rsid w:val="00CF06E8"/>
    <w:rsid w:val="00CF1516"/>
    <w:rsid w:val="00CF2175"/>
    <w:rsid w:val="00CF2B1D"/>
    <w:rsid w:val="00CF2DE0"/>
    <w:rsid w:val="00CF365A"/>
    <w:rsid w:val="00CF390F"/>
    <w:rsid w:val="00CF40B5"/>
    <w:rsid w:val="00CF46CD"/>
    <w:rsid w:val="00CF5B01"/>
    <w:rsid w:val="00CF65BF"/>
    <w:rsid w:val="00CF6A9D"/>
    <w:rsid w:val="00CF6C6C"/>
    <w:rsid w:val="00CF7001"/>
    <w:rsid w:val="00D000C4"/>
    <w:rsid w:val="00D00562"/>
    <w:rsid w:val="00D014A2"/>
    <w:rsid w:val="00D01F85"/>
    <w:rsid w:val="00D023B0"/>
    <w:rsid w:val="00D025DC"/>
    <w:rsid w:val="00D03740"/>
    <w:rsid w:val="00D03A97"/>
    <w:rsid w:val="00D03D86"/>
    <w:rsid w:val="00D050A4"/>
    <w:rsid w:val="00D054E6"/>
    <w:rsid w:val="00D0573C"/>
    <w:rsid w:val="00D06B0B"/>
    <w:rsid w:val="00D1037F"/>
    <w:rsid w:val="00D10502"/>
    <w:rsid w:val="00D115AF"/>
    <w:rsid w:val="00D115B7"/>
    <w:rsid w:val="00D11C81"/>
    <w:rsid w:val="00D11FC6"/>
    <w:rsid w:val="00D1298A"/>
    <w:rsid w:val="00D12C91"/>
    <w:rsid w:val="00D132D1"/>
    <w:rsid w:val="00D13387"/>
    <w:rsid w:val="00D135B6"/>
    <w:rsid w:val="00D15154"/>
    <w:rsid w:val="00D1558E"/>
    <w:rsid w:val="00D15B10"/>
    <w:rsid w:val="00D16036"/>
    <w:rsid w:val="00D16125"/>
    <w:rsid w:val="00D16463"/>
    <w:rsid w:val="00D165DC"/>
    <w:rsid w:val="00D16D85"/>
    <w:rsid w:val="00D1793F"/>
    <w:rsid w:val="00D17AC4"/>
    <w:rsid w:val="00D20358"/>
    <w:rsid w:val="00D218DD"/>
    <w:rsid w:val="00D2199E"/>
    <w:rsid w:val="00D226CC"/>
    <w:rsid w:val="00D2278A"/>
    <w:rsid w:val="00D233D4"/>
    <w:rsid w:val="00D23712"/>
    <w:rsid w:val="00D23E58"/>
    <w:rsid w:val="00D2428D"/>
    <w:rsid w:val="00D2474F"/>
    <w:rsid w:val="00D2485C"/>
    <w:rsid w:val="00D2573C"/>
    <w:rsid w:val="00D25FB6"/>
    <w:rsid w:val="00D265E9"/>
    <w:rsid w:val="00D26DAF"/>
    <w:rsid w:val="00D26F22"/>
    <w:rsid w:val="00D2711D"/>
    <w:rsid w:val="00D30283"/>
    <w:rsid w:val="00D3232F"/>
    <w:rsid w:val="00D328D0"/>
    <w:rsid w:val="00D33594"/>
    <w:rsid w:val="00D337E0"/>
    <w:rsid w:val="00D34606"/>
    <w:rsid w:val="00D348E4"/>
    <w:rsid w:val="00D350DA"/>
    <w:rsid w:val="00D3516C"/>
    <w:rsid w:val="00D35916"/>
    <w:rsid w:val="00D35AB0"/>
    <w:rsid w:val="00D36F7C"/>
    <w:rsid w:val="00D37551"/>
    <w:rsid w:val="00D37D14"/>
    <w:rsid w:val="00D40AE7"/>
    <w:rsid w:val="00D4426E"/>
    <w:rsid w:val="00D458F9"/>
    <w:rsid w:val="00D504DF"/>
    <w:rsid w:val="00D50B63"/>
    <w:rsid w:val="00D53024"/>
    <w:rsid w:val="00D54659"/>
    <w:rsid w:val="00D5489B"/>
    <w:rsid w:val="00D5544A"/>
    <w:rsid w:val="00D55D65"/>
    <w:rsid w:val="00D564C0"/>
    <w:rsid w:val="00D566BC"/>
    <w:rsid w:val="00D573B9"/>
    <w:rsid w:val="00D60AED"/>
    <w:rsid w:val="00D61833"/>
    <w:rsid w:val="00D618BF"/>
    <w:rsid w:val="00D61907"/>
    <w:rsid w:val="00D61E0F"/>
    <w:rsid w:val="00D62EF1"/>
    <w:rsid w:val="00D649CF"/>
    <w:rsid w:val="00D65169"/>
    <w:rsid w:val="00D66372"/>
    <w:rsid w:val="00D6709F"/>
    <w:rsid w:val="00D6770B"/>
    <w:rsid w:val="00D6783A"/>
    <w:rsid w:val="00D67EA9"/>
    <w:rsid w:val="00D70DA1"/>
    <w:rsid w:val="00D718C4"/>
    <w:rsid w:val="00D71C83"/>
    <w:rsid w:val="00D71FBA"/>
    <w:rsid w:val="00D728E4"/>
    <w:rsid w:val="00D736C3"/>
    <w:rsid w:val="00D736FC"/>
    <w:rsid w:val="00D73789"/>
    <w:rsid w:val="00D73861"/>
    <w:rsid w:val="00D7466B"/>
    <w:rsid w:val="00D759F6"/>
    <w:rsid w:val="00D75D49"/>
    <w:rsid w:val="00D767A0"/>
    <w:rsid w:val="00D771FE"/>
    <w:rsid w:val="00D80147"/>
    <w:rsid w:val="00D807E7"/>
    <w:rsid w:val="00D80E10"/>
    <w:rsid w:val="00D8110E"/>
    <w:rsid w:val="00D81870"/>
    <w:rsid w:val="00D81AE2"/>
    <w:rsid w:val="00D81B63"/>
    <w:rsid w:val="00D81FA3"/>
    <w:rsid w:val="00D82090"/>
    <w:rsid w:val="00D8294F"/>
    <w:rsid w:val="00D82FCC"/>
    <w:rsid w:val="00D83348"/>
    <w:rsid w:val="00D8360A"/>
    <w:rsid w:val="00D84289"/>
    <w:rsid w:val="00D84700"/>
    <w:rsid w:val="00D8597A"/>
    <w:rsid w:val="00D863DA"/>
    <w:rsid w:val="00D86C0A"/>
    <w:rsid w:val="00D86E38"/>
    <w:rsid w:val="00D87CA9"/>
    <w:rsid w:val="00D906C6"/>
    <w:rsid w:val="00D91508"/>
    <w:rsid w:val="00D91C7A"/>
    <w:rsid w:val="00D9274E"/>
    <w:rsid w:val="00D929F4"/>
    <w:rsid w:val="00D92F45"/>
    <w:rsid w:val="00D93458"/>
    <w:rsid w:val="00D937B1"/>
    <w:rsid w:val="00D93D64"/>
    <w:rsid w:val="00D947A6"/>
    <w:rsid w:val="00D94865"/>
    <w:rsid w:val="00D959A8"/>
    <w:rsid w:val="00D967D8"/>
    <w:rsid w:val="00DA0ADA"/>
    <w:rsid w:val="00DA0D72"/>
    <w:rsid w:val="00DA15DA"/>
    <w:rsid w:val="00DA19B6"/>
    <w:rsid w:val="00DA3058"/>
    <w:rsid w:val="00DA429C"/>
    <w:rsid w:val="00DA5DA4"/>
    <w:rsid w:val="00DA6F89"/>
    <w:rsid w:val="00DB369B"/>
    <w:rsid w:val="00DB390C"/>
    <w:rsid w:val="00DB5E95"/>
    <w:rsid w:val="00DB72B6"/>
    <w:rsid w:val="00DB7C66"/>
    <w:rsid w:val="00DB7FFD"/>
    <w:rsid w:val="00DC06CD"/>
    <w:rsid w:val="00DC18D8"/>
    <w:rsid w:val="00DC44C8"/>
    <w:rsid w:val="00DC5357"/>
    <w:rsid w:val="00DC6327"/>
    <w:rsid w:val="00DC6F3F"/>
    <w:rsid w:val="00DC7C84"/>
    <w:rsid w:val="00DD0269"/>
    <w:rsid w:val="00DD09EE"/>
    <w:rsid w:val="00DD10CF"/>
    <w:rsid w:val="00DD1431"/>
    <w:rsid w:val="00DD172D"/>
    <w:rsid w:val="00DD182B"/>
    <w:rsid w:val="00DD199D"/>
    <w:rsid w:val="00DD1B14"/>
    <w:rsid w:val="00DD215D"/>
    <w:rsid w:val="00DD3711"/>
    <w:rsid w:val="00DD60AE"/>
    <w:rsid w:val="00DD61EF"/>
    <w:rsid w:val="00DD6BA3"/>
    <w:rsid w:val="00DD7270"/>
    <w:rsid w:val="00DE0043"/>
    <w:rsid w:val="00DE1B2F"/>
    <w:rsid w:val="00DE2365"/>
    <w:rsid w:val="00DE2B25"/>
    <w:rsid w:val="00DE2B9C"/>
    <w:rsid w:val="00DE3698"/>
    <w:rsid w:val="00DE5B53"/>
    <w:rsid w:val="00DE5C5C"/>
    <w:rsid w:val="00DE6814"/>
    <w:rsid w:val="00DE6F09"/>
    <w:rsid w:val="00DE78F8"/>
    <w:rsid w:val="00DF079F"/>
    <w:rsid w:val="00DF0A19"/>
    <w:rsid w:val="00DF1178"/>
    <w:rsid w:val="00DF15C5"/>
    <w:rsid w:val="00DF1D81"/>
    <w:rsid w:val="00DF2043"/>
    <w:rsid w:val="00DF29FD"/>
    <w:rsid w:val="00DF2A30"/>
    <w:rsid w:val="00DF3801"/>
    <w:rsid w:val="00DF3EEA"/>
    <w:rsid w:val="00DF4530"/>
    <w:rsid w:val="00DF496E"/>
    <w:rsid w:val="00DF4AAA"/>
    <w:rsid w:val="00DF4E25"/>
    <w:rsid w:val="00DF4E4F"/>
    <w:rsid w:val="00DF514F"/>
    <w:rsid w:val="00DF5777"/>
    <w:rsid w:val="00DF60F7"/>
    <w:rsid w:val="00DF6DC2"/>
    <w:rsid w:val="00DF7DB0"/>
    <w:rsid w:val="00E00AB7"/>
    <w:rsid w:val="00E01467"/>
    <w:rsid w:val="00E02307"/>
    <w:rsid w:val="00E0329E"/>
    <w:rsid w:val="00E035AB"/>
    <w:rsid w:val="00E04BC1"/>
    <w:rsid w:val="00E04F05"/>
    <w:rsid w:val="00E06630"/>
    <w:rsid w:val="00E06797"/>
    <w:rsid w:val="00E069A7"/>
    <w:rsid w:val="00E06A65"/>
    <w:rsid w:val="00E1050E"/>
    <w:rsid w:val="00E10611"/>
    <w:rsid w:val="00E11CE3"/>
    <w:rsid w:val="00E11DC7"/>
    <w:rsid w:val="00E11DF2"/>
    <w:rsid w:val="00E11DFF"/>
    <w:rsid w:val="00E12090"/>
    <w:rsid w:val="00E12C02"/>
    <w:rsid w:val="00E13525"/>
    <w:rsid w:val="00E14E5B"/>
    <w:rsid w:val="00E158E0"/>
    <w:rsid w:val="00E1774F"/>
    <w:rsid w:val="00E20026"/>
    <w:rsid w:val="00E205DC"/>
    <w:rsid w:val="00E20F50"/>
    <w:rsid w:val="00E2161B"/>
    <w:rsid w:val="00E2211D"/>
    <w:rsid w:val="00E221F8"/>
    <w:rsid w:val="00E2299E"/>
    <w:rsid w:val="00E2318E"/>
    <w:rsid w:val="00E23510"/>
    <w:rsid w:val="00E2417C"/>
    <w:rsid w:val="00E2508C"/>
    <w:rsid w:val="00E25F5F"/>
    <w:rsid w:val="00E260B4"/>
    <w:rsid w:val="00E263C1"/>
    <w:rsid w:val="00E26B1E"/>
    <w:rsid w:val="00E26EC4"/>
    <w:rsid w:val="00E272E2"/>
    <w:rsid w:val="00E30021"/>
    <w:rsid w:val="00E31008"/>
    <w:rsid w:val="00E31F8D"/>
    <w:rsid w:val="00E33442"/>
    <w:rsid w:val="00E340AB"/>
    <w:rsid w:val="00E340E3"/>
    <w:rsid w:val="00E36AD5"/>
    <w:rsid w:val="00E36B26"/>
    <w:rsid w:val="00E36D68"/>
    <w:rsid w:val="00E406D4"/>
    <w:rsid w:val="00E40700"/>
    <w:rsid w:val="00E40C8D"/>
    <w:rsid w:val="00E40EBB"/>
    <w:rsid w:val="00E415F4"/>
    <w:rsid w:val="00E4282C"/>
    <w:rsid w:val="00E428FC"/>
    <w:rsid w:val="00E42B65"/>
    <w:rsid w:val="00E43675"/>
    <w:rsid w:val="00E44744"/>
    <w:rsid w:val="00E457C1"/>
    <w:rsid w:val="00E4599B"/>
    <w:rsid w:val="00E45CF6"/>
    <w:rsid w:val="00E46968"/>
    <w:rsid w:val="00E501C9"/>
    <w:rsid w:val="00E50EF3"/>
    <w:rsid w:val="00E52714"/>
    <w:rsid w:val="00E5372C"/>
    <w:rsid w:val="00E5391E"/>
    <w:rsid w:val="00E5394B"/>
    <w:rsid w:val="00E5630B"/>
    <w:rsid w:val="00E56F87"/>
    <w:rsid w:val="00E6074A"/>
    <w:rsid w:val="00E60EA3"/>
    <w:rsid w:val="00E60F2F"/>
    <w:rsid w:val="00E64575"/>
    <w:rsid w:val="00E67774"/>
    <w:rsid w:val="00E71AEB"/>
    <w:rsid w:val="00E72629"/>
    <w:rsid w:val="00E72F44"/>
    <w:rsid w:val="00E73EFF"/>
    <w:rsid w:val="00E741F1"/>
    <w:rsid w:val="00E742EB"/>
    <w:rsid w:val="00E743A9"/>
    <w:rsid w:val="00E7485B"/>
    <w:rsid w:val="00E758E3"/>
    <w:rsid w:val="00E76081"/>
    <w:rsid w:val="00E76F15"/>
    <w:rsid w:val="00E77E52"/>
    <w:rsid w:val="00E802F1"/>
    <w:rsid w:val="00E807AC"/>
    <w:rsid w:val="00E80F56"/>
    <w:rsid w:val="00E81371"/>
    <w:rsid w:val="00E8148A"/>
    <w:rsid w:val="00E81947"/>
    <w:rsid w:val="00E827C8"/>
    <w:rsid w:val="00E82CF4"/>
    <w:rsid w:val="00E8302B"/>
    <w:rsid w:val="00E833E3"/>
    <w:rsid w:val="00E83FFD"/>
    <w:rsid w:val="00E85F05"/>
    <w:rsid w:val="00E8688F"/>
    <w:rsid w:val="00E86A1D"/>
    <w:rsid w:val="00E90AEB"/>
    <w:rsid w:val="00E91450"/>
    <w:rsid w:val="00E9149A"/>
    <w:rsid w:val="00E91923"/>
    <w:rsid w:val="00E9196D"/>
    <w:rsid w:val="00E92165"/>
    <w:rsid w:val="00E92D50"/>
    <w:rsid w:val="00E9438F"/>
    <w:rsid w:val="00E95F5C"/>
    <w:rsid w:val="00E96010"/>
    <w:rsid w:val="00E96153"/>
    <w:rsid w:val="00E96491"/>
    <w:rsid w:val="00E9662A"/>
    <w:rsid w:val="00E96A65"/>
    <w:rsid w:val="00EA0894"/>
    <w:rsid w:val="00EA0A94"/>
    <w:rsid w:val="00EA14E8"/>
    <w:rsid w:val="00EA33F1"/>
    <w:rsid w:val="00EA3B1B"/>
    <w:rsid w:val="00EA5001"/>
    <w:rsid w:val="00EA5F2A"/>
    <w:rsid w:val="00EA5F5C"/>
    <w:rsid w:val="00EA5F9B"/>
    <w:rsid w:val="00EA6F22"/>
    <w:rsid w:val="00EA766A"/>
    <w:rsid w:val="00EA7A03"/>
    <w:rsid w:val="00EA7F54"/>
    <w:rsid w:val="00EB0C87"/>
    <w:rsid w:val="00EB2727"/>
    <w:rsid w:val="00EB2C3E"/>
    <w:rsid w:val="00EB2E06"/>
    <w:rsid w:val="00EB3679"/>
    <w:rsid w:val="00EB3D15"/>
    <w:rsid w:val="00EB50A0"/>
    <w:rsid w:val="00EB55FC"/>
    <w:rsid w:val="00EB5D94"/>
    <w:rsid w:val="00EB6606"/>
    <w:rsid w:val="00EB7BF0"/>
    <w:rsid w:val="00EC0378"/>
    <w:rsid w:val="00EC0575"/>
    <w:rsid w:val="00EC1F5D"/>
    <w:rsid w:val="00EC2093"/>
    <w:rsid w:val="00EC3451"/>
    <w:rsid w:val="00EC3816"/>
    <w:rsid w:val="00EC4612"/>
    <w:rsid w:val="00EC4B14"/>
    <w:rsid w:val="00EC4D2C"/>
    <w:rsid w:val="00EC509F"/>
    <w:rsid w:val="00EC5106"/>
    <w:rsid w:val="00EC597E"/>
    <w:rsid w:val="00EC5EF7"/>
    <w:rsid w:val="00EC6BB3"/>
    <w:rsid w:val="00EC71FD"/>
    <w:rsid w:val="00EC74EA"/>
    <w:rsid w:val="00EC7A08"/>
    <w:rsid w:val="00ED0927"/>
    <w:rsid w:val="00ED2EB1"/>
    <w:rsid w:val="00ED306A"/>
    <w:rsid w:val="00ED3137"/>
    <w:rsid w:val="00ED3205"/>
    <w:rsid w:val="00ED579A"/>
    <w:rsid w:val="00ED622B"/>
    <w:rsid w:val="00ED6626"/>
    <w:rsid w:val="00ED6708"/>
    <w:rsid w:val="00ED7039"/>
    <w:rsid w:val="00ED7B24"/>
    <w:rsid w:val="00ED7B78"/>
    <w:rsid w:val="00EE0BA6"/>
    <w:rsid w:val="00EE1C7A"/>
    <w:rsid w:val="00EE20A4"/>
    <w:rsid w:val="00EE2F05"/>
    <w:rsid w:val="00EE3944"/>
    <w:rsid w:val="00EE42B6"/>
    <w:rsid w:val="00EE4531"/>
    <w:rsid w:val="00EE54DC"/>
    <w:rsid w:val="00EE5CD9"/>
    <w:rsid w:val="00EE628F"/>
    <w:rsid w:val="00EE63EC"/>
    <w:rsid w:val="00EE65F5"/>
    <w:rsid w:val="00EE7EB0"/>
    <w:rsid w:val="00EF0684"/>
    <w:rsid w:val="00EF07B3"/>
    <w:rsid w:val="00EF1DD2"/>
    <w:rsid w:val="00EF2DB7"/>
    <w:rsid w:val="00EF488D"/>
    <w:rsid w:val="00EF4F81"/>
    <w:rsid w:val="00EF589F"/>
    <w:rsid w:val="00EF5A01"/>
    <w:rsid w:val="00EF6194"/>
    <w:rsid w:val="00EF665A"/>
    <w:rsid w:val="00EF670B"/>
    <w:rsid w:val="00EF6C87"/>
    <w:rsid w:val="00EF710E"/>
    <w:rsid w:val="00EF7598"/>
    <w:rsid w:val="00EF75EE"/>
    <w:rsid w:val="00F007B9"/>
    <w:rsid w:val="00F008B1"/>
    <w:rsid w:val="00F0145A"/>
    <w:rsid w:val="00F02C1C"/>
    <w:rsid w:val="00F02E84"/>
    <w:rsid w:val="00F0326A"/>
    <w:rsid w:val="00F0352C"/>
    <w:rsid w:val="00F03AB1"/>
    <w:rsid w:val="00F04CC0"/>
    <w:rsid w:val="00F04D84"/>
    <w:rsid w:val="00F0649D"/>
    <w:rsid w:val="00F06D9F"/>
    <w:rsid w:val="00F074CB"/>
    <w:rsid w:val="00F07552"/>
    <w:rsid w:val="00F07DEB"/>
    <w:rsid w:val="00F106D0"/>
    <w:rsid w:val="00F10DB8"/>
    <w:rsid w:val="00F1129B"/>
    <w:rsid w:val="00F11BD6"/>
    <w:rsid w:val="00F12B61"/>
    <w:rsid w:val="00F1364F"/>
    <w:rsid w:val="00F13CB1"/>
    <w:rsid w:val="00F140A7"/>
    <w:rsid w:val="00F16625"/>
    <w:rsid w:val="00F16B14"/>
    <w:rsid w:val="00F17044"/>
    <w:rsid w:val="00F17B55"/>
    <w:rsid w:val="00F22910"/>
    <w:rsid w:val="00F240B2"/>
    <w:rsid w:val="00F2490F"/>
    <w:rsid w:val="00F24BF0"/>
    <w:rsid w:val="00F25067"/>
    <w:rsid w:val="00F25C93"/>
    <w:rsid w:val="00F273F8"/>
    <w:rsid w:val="00F279FB"/>
    <w:rsid w:val="00F3049F"/>
    <w:rsid w:val="00F30DE7"/>
    <w:rsid w:val="00F31657"/>
    <w:rsid w:val="00F316C3"/>
    <w:rsid w:val="00F32954"/>
    <w:rsid w:val="00F33D8A"/>
    <w:rsid w:val="00F349E2"/>
    <w:rsid w:val="00F34EA7"/>
    <w:rsid w:val="00F36BCF"/>
    <w:rsid w:val="00F36F91"/>
    <w:rsid w:val="00F37A9D"/>
    <w:rsid w:val="00F37C93"/>
    <w:rsid w:val="00F407A9"/>
    <w:rsid w:val="00F43762"/>
    <w:rsid w:val="00F43A18"/>
    <w:rsid w:val="00F44322"/>
    <w:rsid w:val="00F450B1"/>
    <w:rsid w:val="00F45248"/>
    <w:rsid w:val="00F45710"/>
    <w:rsid w:val="00F45A93"/>
    <w:rsid w:val="00F46CD5"/>
    <w:rsid w:val="00F46D11"/>
    <w:rsid w:val="00F47B42"/>
    <w:rsid w:val="00F50040"/>
    <w:rsid w:val="00F53D27"/>
    <w:rsid w:val="00F54CEC"/>
    <w:rsid w:val="00F55241"/>
    <w:rsid w:val="00F56729"/>
    <w:rsid w:val="00F57029"/>
    <w:rsid w:val="00F57C69"/>
    <w:rsid w:val="00F60ACC"/>
    <w:rsid w:val="00F6290B"/>
    <w:rsid w:val="00F62AF2"/>
    <w:rsid w:val="00F636C9"/>
    <w:rsid w:val="00F643BD"/>
    <w:rsid w:val="00F6497B"/>
    <w:rsid w:val="00F64F29"/>
    <w:rsid w:val="00F65FED"/>
    <w:rsid w:val="00F70009"/>
    <w:rsid w:val="00F71518"/>
    <w:rsid w:val="00F71FAE"/>
    <w:rsid w:val="00F73225"/>
    <w:rsid w:val="00F7393D"/>
    <w:rsid w:val="00F73C49"/>
    <w:rsid w:val="00F74AD0"/>
    <w:rsid w:val="00F75328"/>
    <w:rsid w:val="00F80087"/>
    <w:rsid w:val="00F80404"/>
    <w:rsid w:val="00F80C37"/>
    <w:rsid w:val="00F80EB5"/>
    <w:rsid w:val="00F8243B"/>
    <w:rsid w:val="00F836C3"/>
    <w:rsid w:val="00F83F55"/>
    <w:rsid w:val="00F8499D"/>
    <w:rsid w:val="00F85374"/>
    <w:rsid w:val="00F86632"/>
    <w:rsid w:val="00F870DA"/>
    <w:rsid w:val="00F874BD"/>
    <w:rsid w:val="00F901B9"/>
    <w:rsid w:val="00F92490"/>
    <w:rsid w:val="00F92C13"/>
    <w:rsid w:val="00F92C65"/>
    <w:rsid w:val="00F92FC7"/>
    <w:rsid w:val="00F93151"/>
    <w:rsid w:val="00F944F9"/>
    <w:rsid w:val="00F94F5F"/>
    <w:rsid w:val="00F95517"/>
    <w:rsid w:val="00F95ED0"/>
    <w:rsid w:val="00F97DDD"/>
    <w:rsid w:val="00FA005F"/>
    <w:rsid w:val="00FA0A0C"/>
    <w:rsid w:val="00FA16F3"/>
    <w:rsid w:val="00FA1F2C"/>
    <w:rsid w:val="00FA34E7"/>
    <w:rsid w:val="00FA3CCE"/>
    <w:rsid w:val="00FA3E94"/>
    <w:rsid w:val="00FA417E"/>
    <w:rsid w:val="00FA5504"/>
    <w:rsid w:val="00FA6610"/>
    <w:rsid w:val="00FA6645"/>
    <w:rsid w:val="00FA6B01"/>
    <w:rsid w:val="00FB0B4E"/>
    <w:rsid w:val="00FB165C"/>
    <w:rsid w:val="00FB24A2"/>
    <w:rsid w:val="00FB274C"/>
    <w:rsid w:val="00FB2AD9"/>
    <w:rsid w:val="00FB454B"/>
    <w:rsid w:val="00FB5594"/>
    <w:rsid w:val="00FB6291"/>
    <w:rsid w:val="00FB6B19"/>
    <w:rsid w:val="00FC11EB"/>
    <w:rsid w:val="00FC1761"/>
    <w:rsid w:val="00FC1ED6"/>
    <w:rsid w:val="00FC20B2"/>
    <w:rsid w:val="00FC211F"/>
    <w:rsid w:val="00FC2184"/>
    <w:rsid w:val="00FC3613"/>
    <w:rsid w:val="00FC436F"/>
    <w:rsid w:val="00FC464B"/>
    <w:rsid w:val="00FC467C"/>
    <w:rsid w:val="00FC4AE0"/>
    <w:rsid w:val="00FC4D3A"/>
    <w:rsid w:val="00FC4EFF"/>
    <w:rsid w:val="00FC57E1"/>
    <w:rsid w:val="00FC5830"/>
    <w:rsid w:val="00FC679E"/>
    <w:rsid w:val="00FC683B"/>
    <w:rsid w:val="00FC76FC"/>
    <w:rsid w:val="00FC770B"/>
    <w:rsid w:val="00FC7BFB"/>
    <w:rsid w:val="00FD109A"/>
    <w:rsid w:val="00FD116A"/>
    <w:rsid w:val="00FD123D"/>
    <w:rsid w:val="00FD139E"/>
    <w:rsid w:val="00FD1E2A"/>
    <w:rsid w:val="00FD1FFE"/>
    <w:rsid w:val="00FD26D1"/>
    <w:rsid w:val="00FD2879"/>
    <w:rsid w:val="00FD290D"/>
    <w:rsid w:val="00FD2B86"/>
    <w:rsid w:val="00FD3C31"/>
    <w:rsid w:val="00FD3C6E"/>
    <w:rsid w:val="00FD49BE"/>
    <w:rsid w:val="00FD5927"/>
    <w:rsid w:val="00FD6306"/>
    <w:rsid w:val="00FD65EE"/>
    <w:rsid w:val="00FD6827"/>
    <w:rsid w:val="00FD6982"/>
    <w:rsid w:val="00FD6E3E"/>
    <w:rsid w:val="00FD7150"/>
    <w:rsid w:val="00FD72E8"/>
    <w:rsid w:val="00FD7547"/>
    <w:rsid w:val="00FD780B"/>
    <w:rsid w:val="00FE134D"/>
    <w:rsid w:val="00FE15B3"/>
    <w:rsid w:val="00FE1AAB"/>
    <w:rsid w:val="00FE31EA"/>
    <w:rsid w:val="00FE3BE9"/>
    <w:rsid w:val="00FE43E6"/>
    <w:rsid w:val="00FE4A50"/>
    <w:rsid w:val="00FE544D"/>
    <w:rsid w:val="00FE5652"/>
    <w:rsid w:val="00FE56AA"/>
    <w:rsid w:val="00FE5AF9"/>
    <w:rsid w:val="00FE69A5"/>
    <w:rsid w:val="00FF0B75"/>
    <w:rsid w:val="00FF0E34"/>
    <w:rsid w:val="00FF19E1"/>
    <w:rsid w:val="00FF1B32"/>
    <w:rsid w:val="00FF1B47"/>
    <w:rsid w:val="00FF2422"/>
    <w:rsid w:val="00FF2911"/>
    <w:rsid w:val="00FF2E83"/>
    <w:rsid w:val="00FF32B4"/>
    <w:rsid w:val="00FF41B0"/>
    <w:rsid w:val="00FF48F4"/>
    <w:rsid w:val="00FF5A08"/>
    <w:rsid w:val="00FF7399"/>
    <w:rsid w:val="00FF7F1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09891,#482f92"/>
    </o:shapedefaults>
    <o:shapelayout v:ext="edit">
      <o:idmap v:ext="edit" data="1"/>
    </o:shapelayout>
  </w:shapeDefaults>
  <w:decimalSymbol w:val="."/>
  <w:listSeparator w:val=","/>
  <w14:docId w14:val="76049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BD5"/>
    <w:rPr>
      <w:rFonts w:ascii="Calibri" w:hAnsi="Calibri"/>
      <w:sz w:val="24"/>
      <w:szCs w:val="24"/>
    </w:rPr>
  </w:style>
  <w:style w:type="paragraph" w:styleId="Heading1">
    <w:name w:val="heading 1"/>
    <w:basedOn w:val="Normal"/>
    <w:next w:val="Normal"/>
    <w:qFormat/>
    <w:rsid w:val="00F25067"/>
    <w:pPr>
      <w:contextualSpacing/>
      <w:jc w:val="center"/>
      <w:outlineLvl w:val="0"/>
    </w:pPr>
    <w:rPr>
      <w:b/>
      <w:sz w:val="52"/>
    </w:rPr>
  </w:style>
  <w:style w:type="paragraph" w:styleId="Heading2">
    <w:name w:val="heading 2"/>
    <w:basedOn w:val="Normal"/>
    <w:next w:val="Normal"/>
    <w:link w:val="Heading2Char"/>
    <w:qFormat/>
    <w:rsid w:val="002C1E1B"/>
    <w:pPr>
      <w:spacing w:after="480"/>
      <w:outlineLvl w:val="1"/>
    </w:pPr>
    <w:rPr>
      <w:rFonts w:cs="Arial"/>
      <w:b/>
      <w:bCs/>
      <w:sz w:val="36"/>
      <w:szCs w:val="36"/>
    </w:rPr>
  </w:style>
  <w:style w:type="paragraph" w:styleId="Heading3">
    <w:name w:val="heading 3"/>
    <w:basedOn w:val="Normal"/>
    <w:next w:val="Normal"/>
    <w:qFormat/>
    <w:rsid w:val="008F61F1"/>
    <w:pPr>
      <w:spacing w:before="240" w:after="240"/>
      <w:outlineLvl w:val="2"/>
    </w:pPr>
    <w:rPr>
      <w:b/>
    </w:rPr>
  </w:style>
  <w:style w:type="paragraph" w:styleId="Heading4">
    <w:name w:val="heading 4"/>
    <w:basedOn w:val="Normal"/>
    <w:next w:val="Normal"/>
    <w:link w:val="Heading4Char"/>
    <w:qFormat/>
    <w:rsid w:val="00673D96"/>
    <w:pPr>
      <w:spacing w:before="480"/>
      <w:outlineLvl w:val="3"/>
    </w:pPr>
    <w:rPr>
      <w:b/>
    </w:rPr>
  </w:style>
  <w:style w:type="paragraph" w:styleId="Heading5">
    <w:name w:val="heading 5"/>
    <w:basedOn w:val="Normal"/>
    <w:next w:val="Normal"/>
    <w:qFormat/>
    <w:rsid w:val="001B383A"/>
    <w:pPr>
      <w:tabs>
        <w:tab w:val="num" w:pos="2142"/>
      </w:tabs>
      <w:spacing w:before="240"/>
      <w:ind w:left="1008" w:hanging="1008"/>
      <w:outlineLvl w:val="4"/>
    </w:pPr>
    <w:rPr>
      <w:b/>
      <w:szCs w:val="20"/>
      <w:lang w:eastAsia="en-US"/>
    </w:rPr>
  </w:style>
  <w:style w:type="paragraph" w:styleId="Heading6">
    <w:name w:val="heading 6"/>
    <w:basedOn w:val="Normal"/>
    <w:next w:val="Normal"/>
    <w:rsid w:val="00773A6B"/>
    <w:pPr>
      <w:tabs>
        <w:tab w:val="num" w:pos="2286"/>
      </w:tabs>
      <w:spacing w:before="240" w:after="60"/>
      <w:ind w:left="2286" w:hanging="1152"/>
      <w:outlineLvl w:val="5"/>
    </w:pPr>
    <w:rPr>
      <w:rFonts w:ascii="Times New Roman" w:hAnsi="Times New Roman"/>
      <w:i/>
      <w:szCs w:val="20"/>
      <w:lang w:eastAsia="en-US"/>
    </w:rPr>
  </w:style>
  <w:style w:type="paragraph" w:styleId="Heading7">
    <w:name w:val="heading 7"/>
    <w:basedOn w:val="Normal"/>
    <w:next w:val="Normal"/>
    <w:rsid w:val="00773A6B"/>
    <w:pPr>
      <w:tabs>
        <w:tab w:val="num" w:pos="2430"/>
      </w:tabs>
      <w:spacing w:before="240" w:after="60"/>
      <w:ind w:left="2430" w:hanging="1296"/>
      <w:outlineLvl w:val="6"/>
    </w:pPr>
    <w:rPr>
      <w:rFonts w:ascii="Arial" w:hAnsi="Arial"/>
      <w:sz w:val="20"/>
      <w:szCs w:val="20"/>
      <w:lang w:eastAsia="en-US"/>
    </w:rPr>
  </w:style>
  <w:style w:type="paragraph" w:styleId="Heading8">
    <w:name w:val="heading 8"/>
    <w:basedOn w:val="Normal"/>
    <w:next w:val="Normal"/>
    <w:rsid w:val="00773A6B"/>
    <w:pPr>
      <w:tabs>
        <w:tab w:val="num" w:pos="2574"/>
      </w:tabs>
      <w:spacing w:before="240" w:after="60"/>
      <w:ind w:left="2574" w:hanging="1440"/>
      <w:outlineLvl w:val="7"/>
    </w:pPr>
    <w:rPr>
      <w:rFonts w:ascii="Arial" w:hAnsi="Arial"/>
      <w:i/>
      <w:sz w:val="20"/>
      <w:szCs w:val="20"/>
      <w:lang w:eastAsia="en-US"/>
    </w:rPr>
  </w:style>
  <w:style w:type="paragraph" w:styleId="Heading9">
    <w:name w:val="heading 9"/>
    <w:basedOn w:val="Normal"/>
    <w:next w:val="Normal"/>
    <w:rsid w:val="00773A6B"/>
    <w:pPr>
      <w:tabs>
        <w:tab w:val="num" w:pos="2718"/>
      </w:tabs>
      <w:spacing w:before="240" w:after="60"/>
      <w:ind w:left="2718" w:hanging="1584"/>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21B4D"/>
    <w:pPr>
      <w:tabs>
        <w:tab w:val="center" w:pos="4153"/>
        <w:tab w:val="right" w:pos="8306"/>
      </w:tabs>
    </w:pPr>
  </w:style>
  <w:style w:type="paragraph" w:styleId="TOC1">
    <w:name w:val="toc 1"/>
    <w:basedOn w:val="Normal"/>
    <w:next w:val="Normal"/>
    <w:autoRedefine/>
    <w:uiPriority w:val="39"/>
    <w:rsid w:val="00247750"/>
    <w:pPr>
      <w:spacing w:before="240" w:after="120"/>
    </w:pPr>
    <w:rPr>
      <w:rFonts w:asciiTheme="minorHAnsi" w:hAnsiTheme="minorHAnsi" w:cstheme="minorHAnsi"/>
      <w:b/>
      <w:bCs/>
      <w:sz w:val="20"/>
      <w:szCs w:val="20"/>
    </w:rPr>
  </w:style>
  <w:style w:type="paragraph" w:styleId="TOC2">
    <w:name w:val="toc 2"/>
    <w:basedOn w:val="Normal"/>
    <w:next w:val="Normal"/>
    <w:autoRedefine/>
    <w:uiPriority w:val="39"/>
    <w:rsid w:val="007A49A3"/>
    <w:pPr>
      <w:spacing w:before="120"/>
      <w:ind w:left="240"/>
    </w:pPr>
    <w:rPr>
      <w:rFonts w:asciiTheme="minorHAnsi" w:hAnsiTheme="minorHAnsi" w:cstheme="minorHAnsi"/>
      <w:i/>
      <w:iCs/>
      <w:sz w:val="20"/>
      <w:szCs w:val="20"/>
    </w:rPr>
  </w:style>
  <w:style w:type="paragraph" w:styleId="FootnoteText">
    <w:name w:val="footnote text"/>
    <w:basedOn w:val="Normal"/>
    <w:semiHidden/>
    <w:rsid w:val="00D736FC"/>
    <w:rPr>
      <w:rFonts w:ascii="Arial" w:hAnsi="Arial"/>
      <w:sz w:val="20"/>
      <w:szCs w:val="20"/>
    </w:rPr>
  </w:style>
  <w:style w:type="character" w:styleId="FootnoteReference">
    <w:name w:val="footnote reference"/>
    <w:basedOn w:val="DefaultParagraphFont"/>
    <w:semiHidden/>
    <w:rsid w:val="00D736FC"/>
    <w:rPr>
      <w:vertAlign w:val="superscript"/>
    </w:rPr>
  </w:style>
  <w:style w:type="paragraph" w:styleId="EndnoteText">
    <w:name w:val="endnote text"/>
    <w:basedOn w:val="Normal"/>
    <w:semiHidden/>
    <w:rsid w:val="00FC683B"/>
    <w:rPr>
      <w:sz w:val="20"/>
      <w:szCs w:val="20"/>
    </w:rPr>
  </w:style>
  <w:style w:type="character" w:styleId="EndnoteReference">
    <w:name w:val="endnote reference"/>
    <w:basedOn w:val="DefaultParagraphFont"/>
    <w:semiHidden/>
    <w:rsid w:val="00FC683B"/>
    <w:rPr>
      <w:vertAlign w:val="superscript"/>
    </w:rPr>
  </w:style>
  <w:style w:type="paragraph" w:styleId="TOC8">
    <w:name w:val="toc 8"/>
    <w:basedOn w:val="Normal"/>
    <w:next w:val="Normal"/>
    <w:autoRedefine/>
    <w:semiHidden/>
    <w:rsid w:val="00894843"/>
    <w:pPr>
      <w:ind w:left="1680"/>
    </w:pPr>
    <w:rPr>
      <w:rFonts w:asciiTheme="minorHAnsi" w:hAnsiTheme="minorHAnsi" w:cstheme="minorHAnsi"/>
      <w:sz w:val="20"/>
      <w:szCs w:val="20"/>
    </w:rPr>
  </w:style>
  <w:style w:type="character" w:styleId="PageNumber">
    <w:name w:val="page number"/>
    <w:basedOn w:val="DefaultParagraphFont"/>
    <w:rsid w:val="00400841"/>
  </w:style>
  <w:style w:type="paragraph" w:customStyle="1" w:styleId="Footercentred">
    <w:name w:val="Footer centred"/>
    <w:basedOn w:val="Footer"/>
    <w:rsid w:val="00400841"/>
    <w:pPr>
      <w:jc w:val="center"/>
    </w:pPr>
  </w:style>
  <w:style w:type="table" w:styleId="TableGrid">
    <w:name w:val="Table Grid"/>
    <w:basedOn w:val="TableNormal"/>
    <w:uiPriority w:val="59"/>
    <w:rsid w:val="004008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Centred">
    <w:name w:val="Table Text Centred"/>
    <w:basedOn w:val="Normal"/>
    <w:rsid w:val="00400841"/>
    <w:pPr>
      <w:spacing w:before="120" w:after="120"/>
      <w:jc w:val="center"/>
    </w:pPr>
    <w:rPr>
      <w:rFonts w:cs="Arial"/>
      <w:sz w:val="20"/>
      <w:szCs w:val="20"/>
    </w:rPr>
  </w:style>
  <w:style w:type="paragraph" w:customStyle="1" w:styleId="NormalBold">
    <w:name w:val="Normal Bold"/>
    <w:basedOn w:val="Normal"/>
    <w:link w:val="NormalBoldChar"/>
    <w:rsid w:val="00400841"/>
    <w:pPr>
      <w:tabs>
        <w:tab w:val="left" w:pos="0"/>
      </w:tabs>
    </w:pPr>
    <w:rPr>
      <w:b/>
    </w:rPr>
  </w:style>
  <w:style w:type="paragraph" w:styleId="Footer">
    <w:name w:val="footer"/>
    <w:basedOn w:val="Normal"/>
    <w:link w:val="FooterChar"/>
    <w:uiPriority w:val="99"/>
    <w:rsid w:val="00400841"/>
    <w:pPr>
      <w:tabs>
        <w:tab w:val="center" w:pos="4153"/>
        <w:tab w:val="right" w:pos="8306"/>
      </w:tabs>
    </w:pPr>
    <w:rPr>
      <w:rFonts w:cs="Arial"/>
      <w:color w:val="808080"/>
      <w:sz w:val="20"/>
      <w:szCs w:val="28"/>
      <w:lang w:eastAsia="en-US"/>
    </w:rPr>
  </w:style>
  <w:style w:type="numbering" w:customStyle="1" w:styleId="BulletList">
    <w:name w:val="Bullet List"/>
    <w:basedOn w:val="NoList"/>
    <w:rsid w:val="000A19E5"/>
    <w:pPr>
      <w:numPr>
        <w:numId w:val="1"/>
      </w:numPr>
    </w:pPr>
  </w:style>
  <w:style w:type="paragraph" w:customStyle="1" w:styleId="DCHHeading">
    <w:name w:val="DCH Heading"/>
    <w:link w:val="DCHHeadingCharChar"/>
    <w:rsid w:val="00400841"/>
    <w:rPr>
      <w:rFonts w:ascii="Calibri" w:hAnsi="Calibri" w:cs="Arial"/>
      <w:b/>
      <w:color w:val="333399"/>
      <w:sz w:val="24"/>
      <w:szCs w:val="28"/>
      <w:lang w:eastAsia="en-US"/>
    </w:rPr>
  </w:style>
  <w:style w:type="character" w:customStyle="1" w:styleId="Heading2Char">
    <w:name w:val="Heading 2 Char"/>
    <w:basedOn w:val="DefaultParagraphFont"/>
    <w:link w:val="Heading2"/>
    <w:rsid w:val="002C1E1B"/>
    <w:rPr>
      <w:rFonts w:ascii="Calibri" w:hAnsi="Calibri" w:cs="Arial"/>
      <w:b/>
      <w:bCs/>
      <w:sz w:val="36"/>
      <w:szCs w:val="36"/>
    </w:rPr>
  </w:style>
  <w:style w:type="paragraph" w:customStyle="1" w:styleId="FooterRightAligned">
    <w:name w:val="Footer Right Aligned"/>
    <w:basedOn w:val="Footer"/>
    <w:rsid w:val="00400841"/>
    <w:pPr>
      <w:jc w:val="right"/>
    </w:pPr>
  </w:style>
  <w:style w:type="numbering" w:customStyle="1" w:styleId="NumberedList">
    <w:name w:val="Numbered List"/>
    <w:basedOn w:val="NoList"/>
    <w:rsid w:val="006B1B0A"/>
    <w:pPr>
      <w:numPr>
        <w:numId w:val="2"/>
      </w:numPr>
    </w:pPr>
  </w:style>
  <w:style w:type="character" w:customStyle="1" w:styleId="Heading4Char">
    <w:name w:val="Heading 4 Char"/>
    <w:basedOn w:val="DefaultParagraphFont"/>
    <w:link w:val="Heading4"/>
    <w:rsid w:val="00673D96"/>
    <w:rPr>
      <w:rFonts w:ascii="Calibri" w:hAnsi="Calibri"/>
      <w:b/>
      <w:sz w:val="24"/>
      <w:szCs w:val="24"/>
    </w:rPr>
  </w:style>
  <w:style w:type="paragraph" w:styleId="BalloonText">
    <w:name w:val="Balloon Text"/>
    <w:basedOn w:val="Normal"/>
    <w:link w:val="BalloonTextChar"/>
    <w:rsid w:val="00842884"/>
    <w:rPr>
      <w:rFonts w:ascii="Tahoma" w:hAnsi="Tahoma" w:cs="Tahoma"/>
      <w:sz w:val="16"/>
      <w:szCs w:val="16"/>
    </w:rPr>
  </w:style>
  <w:style w:type="character" w:styleId="Hyperlink">
    <w:name w:val="Hyperlink"/>
    <w:basedOn w:val="DefaultParagraphFont"/>
    <w:uiPriority w:val="99"/>
    <w:rsid w:val="00400841"/>
    <w:rPr>
      <w:color w:val="0000FF"/>
      <w:u w:val="single"/>
    </w:rPr>
  </w:style>
  <w:style w:type="paragraph" w:customStyle="1" w:styleId="Version">
    <w:name w:val="Version"/>
    <w:basedOn w:val="Heading1"/>
    <w:rsid w:val="00A150B1"/>
    <w:rPr>
      <w:sz w:val="32"/>
      <w:szCs w:val="32"/>
    </w:rPr>
  </w:style>
  <w:style w:type="character" w:customStyle="1" w:styleId="Donotuse">
    <w:name w:val="Do not use"/>
    <w:rsid w:val="00400841"/>
    <w:rPr>
      <w:color w:val="808080"/>
      <w:sz w:val="22"/>
    </w:rPr>
  </w:style>
  <w:style w:type="paragraph" w:customStyle="1" w:styleId="DisclaimerText">
    <w:name w:val="Disclaimer Text"/>
    <w:basedOn w:val="Normal"/>
    <w:rsid w:val="00402359"/>
    <w:pPr>
      <w:autoSpaceDE w:val="0"/>
      <w:autoSpaceDN w:val="0"/>
      <w:adjustRightInd w:val="0"/>
    </w:pPr>
    <w:rPr>
      <w:rFonts w:cs="Arial"/>
      <w:bCs/>
      <w:sz w:val="20"/>
    </w:rPr>
  </w:style>
  <w:style w:type="paragraph" w:styleId="TOC4">
    <w:name w:val="toc 4"/>
    <w:basedOn w:val="Normal"/>
    <w:next w:val="Normal"/>
    <w:autoRedefine/>
    <w:semiHidden/>
    <w:rsid w:val="00247750"/>
    <w:pPr>
      <w:ind w:left="720"/>
    </w:pPr>
    <w:rPr>
      <w:rFonts w:asciiTheme="minorHAnsi" w:hAnsiTheme="minorHAnsi" w:cstheme="minorHAnsi"/>
      <w:sz w:val="20"/>
      <w:szCs w:val="20"/>
    </w:rPr>
  </w:style>
  <w:style w:type="paragraph" w:customStyle="1" w:styleId="Disclaimer">
    <w:name w:val="Disclaimer"/>
    <w:basedOn w:val="DisclaimerText"/>
    <w:link w:val="DisclaimerChar"/>
    <w:rsid w:val="00A150B1"/>
    <w:pPr>
      <w:autoSpaceDE/>
      <w:autoSpaceDN/>
      <w:adjustRightInd/>
      <w:spacing w:before="5040"/>
    </w:pPr>
    <w:rPr>
      <w:rFonts w:cs="Times New Roman"/>
      <w:bCs w:val="0"/>
      <w:szCs w:val="20"/>
    </w:rPr>
  </w:style>
  <w:style w:type="paragraph" w:styleId="TOC5">
    <w:name w:val="toc 5"/>
    <w:basedOn w:val="Normal"/>
    <w:next w:val="Normal"/>
    <w:autoRedefine/>
    <w:semiHidden/>
    <w:rsid w:val="00247750"/>
    <w:pPr>
      <w:ind w:left="960"/>
    </w:pPr>
    <w:rPr>
      <w:rFonts w:asciiTheme="minorHAnsi" w:hAnsiTheme="minorHAnsi" w:cstheme="minorHAnsi"/>
      <w:sz w:val="20"/>
      <w:szCs w:val="20"/>
    </w:rPr>
  </w:style>
  <w:style w:type="character" w:customStyle="1" w:styleId="DisclaimerChar">
    <w:name w:val="Disclaimer Char"/>
    <w:basedOn w:val="DefaultParagraphFont"/>
    <w:link w:val="Disclaimer"/>
    <w:rsid w:val="00A150B1"/>
    <w:rPr>
      <w:rFonts w:ascii="Calibri" w:hAnsi="Calibri"/>
    </w:rPr>
  </w:style>
  <w:style w:type="paragraph" w:customStyle="1" w:styleId="TableText">
    <w:name w:val="Table Text"/>
    <w:basedOn w:val="Normal"/>
    <w:qFormat/>
    <w:rsid w:val="00A150B1"/>
    <w:pPr>
      <w:autoSpaceDE w:val="0"/>
      <w:autoSpaceDN w:val="0"/>
      <w:adjustRightInd w:val="0"/>
      <w:spacing w:before="60" w:after="60"/>
      <w:contextualSpacing/>
    </w:pPr>
    <w:rPr>
      <w:rFonts w:cs="Arial"/>
      <w:sz w:val="20"/>
    </w:rPr>
  </w:style>
  <w:style w:type="paragraph" w:customStyle="1" w:styleId="FlowChartText">
    <w:name w:val="Flow Chart Text"/>
    <w:basedOn w:val="Normal"/>
    <w:rsid w:val="00402359"/>
    <w:pPr>
      <w:jc w:val="center"/>
    </w:pPr>
    <w:rPr>
      <w:b/>
      <w:sz w:val="20"/>
      <w:szCs w:val="20"/>
    </w:rPr>
  </w:style>
  <w:style w:type="paragraph" w:customStyle="1" w:styleId="TableTextRightAligned">
    <w:name w:val="Table Text Right Aligned"/>
    <w:basedOn w:val="Normal"/>
    <w:rsid w:val="00FE134D"/>
    <w:pPr>
      <w:autoSpaceDE w:val="0"/>
      <w:autoSpaceDN w:val="0"/>
      <w:adjustRightInd w:val="0"/>
      <w:spacing w:before="60" w:after="60"/>
      <w:contextualSpacing/>
      <w:jc w:val="right"/>
    </w:pPr>
    <w:rPr>
      <w:sz w:val="20"/>
    </w:rPr>
  </w:style>
  <w:style w:type="paragraph" w:customStyle="1" w:styleId="TableHeadingCentred">
    <w:name w:val="Table Heading Centred"/>
    <w:basedOn w:val="Normal"/>
    <w:rsid w:val="00A57DD5"/>
    <w:pPr>
      <w:spacing w:before="60" w:after="60"/>
      <w:jc w:val="center"/>
    </w:pPr>
    <w:rPr>
      <w:rFonts w:cs="Arial"/>
      <w:b/>
      <w:bCs/>
      <w:color w:val="FFFFFF"/>
    </w:rPr>
  </w:style>
  <w:style w:type="paragraph" w:customStyle="1" w:styleId="TableNumberedleftbold">
    <w:name w:val="Table Numbered left bold"/>
    <w:basedOn w:val="Normal"/>
    <w:qFormat/>
    <w:rsid w:val="00400841"/>
    <w:rPr>
      <w:rFonts w:cs="Arial"/>
      <w:b/>
      <w:bCs/>
      <w:szCs w:val="22"/>
    </w:rPr>
  </w:style>
  <w:style w:type="paragraph" w:customStyle="1" w:styleId="TableBlackHeading">
    <w:name w:val="Table Black Heading"/>
    <w:basedOn w:val="Normal"/>
    <w:link w:val="TableBlackHeadingChar"/>
    <w:qFormat/>
    <w:rsid w:val="00400841"/>
    <w:rPr>
      <w:rFonts w:cs="Arial"/>
      <w:b/>
      <w:szCs w:val="28"/>
      <w:lang w:eastAsia="en-US"/>
    </w:rPr>
  </w:style>
  <w:style w:type="character" w:customStyle="1" w:styleId="TableBlackHeadingChar">
    <w:name w:val="Table Black Heading Char"/>
    <w:basedOn w:val="DefaultParagraphFont"/>
    <w:link w:val="TableBlackHeading"/>
    <w:rsid w:val="00400841"/>
    <w:rPr>
      <w:rFonts w:ascii="Calibri" w:hAnsi="Calibri" w:cs="Arial"/>
      <w:b/>
      <w:sz w:val="24"/>
      <w:szCs w:val="28"/>
      <w:lang w:val="en-AU" w:eastAsia="en-US" w:bidi="ar-SA"/>
    </w:rPr>
  </w:style>
  <w:style w:type="character" w:customStyle="1" w:styleId="DCHHeadingCharChar">
    <w:name w:val="DCH Heading Char Char"/>
    <w:basedOn w:val="DefaultParagraphFont"/>
    <w:link w:val="DCHHeading"/>
    <w:rsid w:val="00400841"/>
    <w:rPr>
      <w:rFonts w:ascii="Calibri" w:hAnsi="Calibri" w:cs="Arial"/>
      <w:b/>
      <w:color w:val="333399"/>
      <w:sz w:val="24"/>
      <w:szCs w:val="28"/>
      <w:lang w:val="en-AU" w:eastAsia="en-US" w:bidi="ar-SA"/>
    </w:rPr>
  </w:style>
  <w:style w:type="character" w:customStyle="1" w:styleId="NormalBoldChar">
    <w:name w:val="Normal Bold Char"/>
    <w:basedOn w:val="DefaultParagraphFont"/>
    <w:link w:val="NormalBold"/>
    <w:rsid w:val="000A19E5"/>
    <w:rPr>
      <w:rFonts w:ascii="Calibri" w:hAnsi="Calibri"/>
      <w:b/>
      <w:sz w:val="22"/>
      <w:szCs w:val="24"/>
      <w:lang w:val="en-AU" w:eastAsia="en-AU" w:bidi="ar-SA"/>
    </w:rPr>
  </w:style>
  <w:style w:type="paragraph" w:customStyle="1" w:styleId="NormalItalic">
    <w:name w:val="Normal Italic"/>
    <w:basedOn w:val="Normal"/>
    <w:link w:val="NormalItalicChar"/>
    <w:rsid w:val="000A19E5"/>
    <w:rPr>
      <w:i/>
    </w:rPr>
  </w:style>
  <w:style w:type="character" w:customStyle="1" w:styleId="NormalItalicChar">
    <w:name w:val="Normal Italic Char"/>
    <w:basedOn w:val="DefaultParagraphFont"/>
    <w:link w:val="NormalItalic"/>
    <w:rsid w:val="000A19E5"/>
    <w:rPr>
      <w:rFonts w:ascii="Calibri" w:hAnsi="Calibri"/>
      <w:i/>
      <w:sz w:val="22"/>
      <w:szCs w:val="24"/>
      <w:lang w:val="en-AU" w:eastAsia="en-AU" w:bidi="ar-SA"/>
    </w:rPr>
  </w:style>
  <w:style w:type="character" w:customStyle="1" w:styleId="BalloonTextChar">
    <w:name w:val="Balloon Text Char"/>
    <w:basedOn w:val="DefaultParagraphFont"/>
    <w:link w:val="BalloonText"/>
    <w:rsid w:val="00842884"/>
    <w:rPr>
      <w:rFonts w:ascii="Tahoma" w:hAnsi="Tahoma" w:cs="Tahoma"/>
      <w:sz w:val="16"/>
      <w:szCs w:val="16"/>
    </w:rPr>
  </w:style>
  <w:style w:type="character" w:styleId="CommentReference">
    <w:name w:val="annotation reference"/>
    <w:basedOn w:val="DefaultParagraphFont"/>
    <w:rsid w:val="00BC0AD8"/>
    <w:rPr>
      <w:sz w:val="16"/>
      <w:szCs w:val="16"/>
    </w:rPr>
  </w:style>
  <w:style w:type="paragraph" w:styleId="CommentText">
    <w:name w:val="annotation text"/>
    <w:basedOn w:val="Normal"/>
    <w:link w:val="CommentTextChar"/>
    <w:rsid w:val="00BC0AD8"/>
    <w:rPr>
      <w:sz w:val="20"/>
      <w:szCs w:val="20"/>
    </w:rPr>
  </w:style>
  <w:style w:type="character" w:customStyle="1" w:styleId="CommentTextChar">
    <w:name w:val="Comment Text Char"/>
    <w:basedOn w:val="DefaultParagraphFont"/>
    <w:link w:val="CommentText"/>
    <w:rsid w:val="00BC0AD8"/>
    <w:rPr>
      <w:rFonts w:ascii="Calibri" w:hAnsi="Calibri"/>
    </w:rPr>
  </w:style>
  <w:style w:type="paragraph" w:styleId="CommentSubject">
    <w:name w:val="annotation subject"/>
    <w:basedOn w:val="CommentText"/>
    <w:next w:val="CommentText"/>
    <w:link w:val="CommentSubjectChar"/>
    <w:rsid w:val="00BC0AD8"/>
    <w:rPr>
      <w:b/>
      <w:bCs/>
    </w:rPr>
  </w:style>
  <w:style w:type="character" w:customStyle="1" w:styleId="CommentSubjectChar">
    <w:name w:val="Comment Subject Char"/>
    <w:basedOn w:val="CommentTextChar"/>
    <w:link w:val="CommentSubject"/>
    <w:rsid w:val="00BC0AD8"/>
    <w:rPr>
      <w:rFonts w:ascii="Calibri" w:hAnsi="Calibri"/>
      <w:b/>
      <w:bCs/>
    </w:rPr>
  </w:style>
  <w:style w:type="paragraph" w:styleId="ListParagraph">
    <w:name w:val="List Paragraph"/>
    <w:aliases w:val="L,List Paragraph1,Recommendation,Bullet points,List Paragraph11,Content descriptions,Bullet Point,Bullet point,Body Bullets 1,Main,CV text,Table text,F5 List Paragraph,Dot pt,List Paragraph111,Medium Grid 1 - Accent 21,Numbered Paragraph"/>
    <w:basedOn w:val="Normal"/>
    <w:link w:val="ListParagraphChar"/>
    <w:uiPriority w:val="34"/>
    <w:qFormat/>
    <w:rsid w:val="00C005FB"/>
    <w:pPr>
      <w:ind w:left="720"/>
      <w:contextualSpacing/>
    </w:pPr>
  </w:style>
  <w:style w:type="character" w:styleId="Strong">
    <w:name w:val="Strong"/>
    <w:basedOn w:val="DefaultParagraphFont"/>
    <w:qFormat/>
    <w:rsid w:val="00817EFF"/>
    <w:rPr>
      <w:b/>
      <w:bCs/>
    </w:rPr>
  </w:style>
  <w:style w:type="paragraph" w:styleId="Revision">
    <w:name w:val="Revision"/>
    <w:hidden/>
    <w:uiPriority w:val="99"/>
    <w:semiHidden/>
    <w:rsid w:val="00875A2F"/>
    <w:rPr>
      <w:rFonts w:ascii="Calibri" w:hAnsi="Calibri"/>
      <w:sz w:val="22"/>
      <w:szCs w:val="24"/>
    </w:rPr>
  </w:style>
  <w:style w:type="numbering" w:customStyle="1" w:styleId="Bullet1">
    <w:name w:val="Bullet 1"/>
    <w:basedOn w:val="NoList"/>
    <w:rsid w:val="00C215E0"/>
  </w:style>
  <w:style w:type="paragraph" w:styleId="TOCHeading">
    <w:name w:val="TOC Heading"/>
    <w:basedOn w:val="Heading1"/>
    <w:next w:val="Normal"/>
    <w:uiPriority w:val="39"/>
    <w:unhideWhenUsed/>
    <w:qFormat/>
    <w:rsid w:val="007A57E0"/>
    <w:pPr>
      <w:keepNext/>
      <w:keepLines/>
      <w:spacing w:before="480" w:line="276" w:lineRule="auto"/>
      <w:contextualSpacing w:val="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itle">
    <w:name w:val="Title"/>
    <w:basedOn w:val="Normal"/>
    <w:next w:val="Normal"/>
    <w:link w:val="TitleChar"/>
    <w:qFormat/>
    <w:rsid w:val="00C6493B"/>
    <w:pPr>
      <w:spacing w:after="120"/>
      <w:contextualSpacing/>
    </w:pPr>
    <w:rPr>
      <w:rFonts w:eastAsiaTheme="majorEastAsia" w:cstheme="majorBidi"/>
      <w:b/>
      <w:spacing w:val="5"/>
      <w:sz w:val="20"/>
      <w:szCs w:val="52"/>
      <w:lang w:eastAsia="en-US"/>
    </w:rPr>
  </w:style>
  <w:style w:type="character" w:customStyle="1" w:styleId="TitleChar">
    <w:name w:val="Title Char"/>
    <w:basedOn w:val="DefaultParagraphFont"/>
    <w:link w:val="Title"/>
    <w:rsid w:val="00C6493B"/>
    <w:rPr>
      <w:rFonts w:ascii="Calibri" w:eastAsiaTheme="majorEastAsia" w:hAnsi="Calibri" w:cstheme="majorBidi"/>
      <w:b/>
      <w:spacing w:val="5"/>
      <w:szCs w:val="52"/>
      <w:lang w:eastAsia="en-US"/>
    </w:rPr>
  </w:style>
  <w:style w:type="paragraph" w:styleId="Subtitle">
    <w:name w:val="Subtitle"/>
    <w:basedOn w:val="Normal"/>
    <w:next w:val="Normal"/>
    <w:link w:val="SubtitleChar"/>
    <w:uiPriority w:val="11"/>
    <w:qFormat/>
    <w:rsid w:val="00423FD8"/>
    <w:pPr>
      <w:spacing w:after="240" w:line="276" w:lineRule="auto"/>
    </w:pPr>
    <w:rPr>
      <w:rFonts w:eastAsiaTheme="majorEastAsia" w:cstheme="majorBidi"/>
      <w:b/>
      <w:iCs/>
      <w:color w:val="00847A"/>
      <w:spacing w:val="13"/>
      <w:sz w:val="40"/>
      <w:lang w:eastAsia="en-US"/>
    </w:rPr>
  </w:style>
  <w:style w:type="character" w:customStyle="1" w:styleId="SubtitleChar">
    <w:name w:val="Subtitle Char"/>
    <w:basedOn w:val="DefaultParagraphFont"/>
    <w:link w:val="Subtitle"/>
    <w:uiPriority w:val="11"/>
    <w:rsid w:val="00423FD8"/>
    <w:rPr>
      <w:rFonts w:ascii="Calibri" w:eastAsiaTheme="majorEastAsia" w:hAnsi="Calibri" w:cstheme="majorBidi"/>
      <w:b/>
      <w:iCs/>
      <w:color w:val="00847A"/>
      <w:spacing w:val="13"/>
      <w:sz w:val="40"/>
      <w:szCs w:val="24"/>
      <w:lang w:eastAsia="en-US"/>
    </w:rPr>
  </w:style>
  <w:style w:type="character" w:customStyle="1" w:styleId="FooterChar">
    <w:name w:val="Footer Char"/>
    <w:basedOn w:val="DefaultParagraphFont"/>
    <w:link w:val="Footer"/>
    <w:uiPriority w:val="99"/>
    <w:rsid w:val="00423FD8"/>
    <w:rPr>
      <w:rFonts w:ascii="Calibri" w:hAnsi="Calibri" w:cs="Arial"/>
      <w:color w:val="808080"/>
      <w:szCs w:val="28"/>
      <w:lang w:eastAsia="en-US"/>
    </w:rPr>
  </w:style>
  <w:style w:type="paragraph" w:styleId="BodyText">
    <w:name w:val="Body Text"/>
    <w:basedOn w:val="Normal"/>
    <w:link w:val="BodyTextChar"/>
    <w:rsid w:val="00423FD8"/>
    <w:pPr>
      <w:spacing w:after="120"/>
    </w:pPr>
    <w:rPr>
      <w:rFonts w:asciiTheme="minorHAnsi" w:hAnsiTheme="minorHAnsi"/>
    </w:rPr>
  </w:style>
  <w:style w:type="character" w:customStyle="1" w:styleId="BodyTextChar">
    <w:name w:val="Body Text Char"/>
    <w:basedOn w:val="DefaultParagraphFont"/>
    <w:link w:val="BodyText"/>
    <w:rsid w:val="00423FD8"/>
    <w:rPr>
      <w:rFonts w:asciiTheme="minorHAnsi" w:hAnsiTheme="minorHAnsi"/>
      <w:sz w:val="22"/>
      <w:szCs w:val="24"/>
    </w:rPr>
  </w:style>
  <w:style w:type="character" w:styleId="FollowedHyperlink">
    <w:name w:val="FollowedHyperlink"/>
    <w:basedOn w:val="DefaultParagraphFont"/>
    <w:rsid w:val="00FC5830"/>
    <w:rPr>
      <w:color w:val="800080" w:themeColor="followedHyperlink"/>
      <w:u w:val="single"/>
    </w:rPr>
  </w:style>
  <w:style w:type="paragraph" w:customStyle="1" w:styleId="Default">
    <w:name w:val="Default"/>
    <w:rsid w:val="00491C2B"/>
    <w:pPr>
      <w:autoSpaceDE w:val="0"/>
      <w:autoSpaceDN w:val="0"/>
      <w:adjustRightInd w:val="0"/>
    </w:pPr>
    <w:rPr>
      <w:rFonts w:ascii="Calibri" w:hAnsi="Calibri" w:cs="Calibri"/>
      <w:color w:val="000000"/>
      <w:sz w:val="24"/>
      <w:szCs w:val="24"/>
    </w:rPr>
  </w:style>
  <w:style w:type="paragraph" w:customStyle="1" w:styleId="blocktextarial">
    <w:name w:val="blocktextarial"/>
    <w:basedOn w:val="Normal"/>
    <w:rsid w:val="009862AD"/>
    <w:pPr>
      <w:spacing w:after="30"/>
    </w:pPr>
    <w:rPr>
      <w:rFonts w:ascii="Arial" w:hAnsi="Arial" w:cs="Arial"/>
      <w:color w:val="000000"/>
      <w:lang w:eastAsia="ja-JP"/>
    </w:rPr>
  </w:style>
  <w:style w:type="paragraph" w:styleId="NormalWeb">
    <w:name w:val="Normal (Web)"/>
    <w:basedOn w:val="Normal"/>
    <w:uiPriority w:val="99"/>
    <w:unhideWhenUsed/>
    <w:rsid w:val="00590E23"/>
    <w:pPr>
      <w:spacing w:line="384" w:lineRule="atLeast"/>
    </w:pPr>
    <w:rPr>
      <w:rFonts w:ascii="Times New Roman" w:hAnsi="Times New Roman"/>
    </w:rPr>
  </w:style>
  <w:style w:type="character" w:customStyle="1" w:styleId="ListParagraphChar">
    <w:name w:val="List Paragraph Char"/>
    <w:aliases w:val="L Char,List Paragraph1 Char,Recommendation Char,Bullet points Char,List Paragraph11 Char,Content descriptions Char,Bullet Point Char,Bullet point Char,Body Bullets 1 Char,Main Char,CV text Char,Table text Char,F5 List Paragraph Char"/>
    <w:basedOn w:val="DefaultParagraphFont"/>
    <w:link w:val="ListParagraph"/>
    <w:uiPriority w:val="34"/>
    <w:locked/>
    <w:rsid w:val="00924F7C"/>
    <w:rPr>
      <w:rFonts w:ascii="Calibri" w:hAnsi="Calibri"/>
      <w:sz w:val="22"/>
      <w:szCs w:val="24"/>
    </w:rPr>
  </w:style>
  <w:style w:type="paragraph" w:styleId="TOC3">
    <w:name w:val="toc 3"/>
    <w:basedOn w:val="Normal"/>
    <w:next w:val="Normal"/>
    <w:autoRedefine/>
    <w:uiPriority w:val="39"/>
    <w:rsid w:val="00226A36"/>
    <w:pPr>
      <w:ind w:left="480"/>
    </w:pPr>
    <w:rPr>
      <w:rFonts w:asciiTheme="minorHAnsi" w:hAnsiTheme="minorHAnsi" w:cstheme="minorHAnsi"/>
      <w:sz w:val="20"/>
      <w:szCs w:val="20"/>
    </w:rPr>
  </w:style>
  <w:style w:type="paragraph" w:styleId="TOC6">
    <w:name w:val="toc 6"/>
    <w:basedOn w:val="Normal"/>
    <w:next w:val="Normal"/>
    <w:autoRedefine/>
    <w:rsid w:val="00226A36"/>
    <w:pPr>
      <w:ind w:left="1200"/>
    </w:pPr>
    <w:rPr>
      <w:rFonts w:asciiTheme="minorHAnsi" w:hAnsiTheme="minorHAnsi" w:cstheme="minorHAnsi"/>
      <w:sz w:val="20"/>
      <w:szCs w:val="20"/>
    </w:rPr>
  </w:style>
  <w:style w:type="paragraph" w:styleId="TOC7">
    <w:name w:val="toc 7"/>
    <w:basedOn w:val="Normal"/>
    <w:next w:val="Normal"/>
    <w:autoRedefine/>
    <w:rsid w:val="00226A36"/>
    <w:pPr>
      <w:ind w:left="1440"/>
    </w:pPr>
    <w:rPr>
      <w:rFonts w:asciiTheme="minorHAnsi" w:hAnsiTheme="minorHAnsi" w:cstheme="minorHAnsi"/>
      <w:sz w:val="20"/>
      <w:szCs w:val="20"/>
    </w:rPr>
  </w:style>
  <w:style w:type="paragraph" w:styleId="TOC9">
    <w:name w:val="toc 9"/>
    <w:basedOn w:val="Normal"/>
    <w:next w:val="Normal"/>
    <w:autoRedefine/>
    <w:rsid w:val="00226A36"/>
    <w:pPr>
      <w:ind w:left="1920"/>
    </w:pPr>
    <w:rPr>
      <w:rFonts w:asciiTheme="minorHAnsi" w:hAnsiTheme="minorHAnsi" w:cstheme="minorHAnsi"/>
      <w:sz w:val="20"/>
      <w:szCs w:val="20"/>
    </w:rPr>
  </w:style>
  <w:style w:type="paragraph" w:styleId="ListBullet">
    <w:name w:val="List Bullet"/>
    <w:basedOn w:val="Normal"/>
    <w:rsid w:val="00756B21"/>
    <w:pPr>
      <w:spacing w:before="120"/>
      <w:contextualSpacing/>
    </w:pPr>
  </w:style>
  <w:style w:type="character" w:customStyle="1" w:styleId="HeaderChar">
    <w:name w:val="Header Char"/>
    <w:basedOn w:val="DefaultParagraphFont"/>
    <w:link w:val="Header"/>
    <w:uiPriority w:val="99"/>
    <w:rsid w:val="006D48C4"/>
    <w:rPr>
      <w:rFonts w:ascii="Calibri" w:hAnsi="Calibri"/>
      <w:sz w:val="22"/>
      <w:szCs w:val="24"/>
    </w:rPr>
  </w:style>
  <w:style w:type="table" w:customStyle="1" w:styleId="TableGrid1">
    <w:name w:val="Table Grid1"/>
    <w:basedOn w:val="TableNormal"/>
    <w:next w:val="TableGrid"/>
    <w:rsid w:val="002040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DV2">
    <w:name w:val="GDV 2"/>
    <w:basedOn w:val="DefaultParagraphFont"/>
    <w:uiPriority w:val="1"/>
    <w:qFormat/>
    <w:rsid w:val="009376EE"/>
    <w:rPr>
      <w:rFonts w:ascii="Calibri" w:hAnsi="Calibri" w:cs="Calibri"/>
      <w:color w:val="7030A0"/>
      <w:sz w:val="22"/>
      <w:szCs w:val="22"/>
    </w:rPr>
  </w:style>
  <w:style w:type="character" w:styleId="BookTitle">
    <w:name w:val="Book Title"/>
    <w:uiPriority w:val="33"/>
    <w:qFormat/>
    <w:rsid w:val="002212B7"/>
    <w:rPr>
      <w:i/>
      <w:iCs/>
      <w:smallCaps/>
      <w:spacing w:val="5"/>
    </w:rPr>
  </w:style>
  <w:style w:type="paragraph" w:styleId="ListBullet2">
    <w:name w:val="List Bullet 2"/>
    <w:basedOn w:val="Normal"/>
    <w:rsid w:val="004F62B1"/>
    <w:pPr>
      <w:tabs>
        <w:tab w:val="num" w:pos="1440"/>
      </w:tabs>
      <w:ind w:left="1440" w:hanging="360"/>
      <w:contextualSpacing/>
    </w:pPr>
    <w:rPr>
      <w:sz w:val="22"/>
    </w:rPr>
  </w:style>
  <w:style w:type="paragraph" w:styleId="List">
    <w:name w:val="List"/>
    <w:basedOn w:val="Normal"/>
    <w:link w:val="ListChar"/>
    <w:rsid w:val="004F62B1"/>
    <w:pPr>
      <w:numPr>
        <w:numId w:val="41"/>
      </w:numPr>
      <w:contextualSpacing/>
    </w:pPr>
    <w:rPr>
      <w:sz w:val="22"/>
    </w:rPr>
  </w:style>
  <w:style w:type="paragraph" w:styleId="List2">
    <w:name w:val="List 2"/>
    <w:basedOn w:val="Normal"/>
    <w:rsid w:val="004F62B1"/>
    <w:pPr>
      <w:numPr>
        <w:ilvl w:val="1"/>
        <w:numId w:val="41"/>
      </w:numPr>
      <w:contextualSpacing/>
    </w:pPr>
    <w:rPr>
      <w:sz w:val="22"/>
    </w:rPr>
  </w:style>
  <w:style w:type="paragraph" w:styleId="ListBullet3">
    <w:name w:val="List Bullet 3"/>
    <w:basedOn w:val="Normal"/>
    <w:rsid w:val="004F62B1"/>
    <w:pPr>
      <w:tabs>
        <w:tab w:val="num" w:pos="2160"/>
      </w:tabs>
      <w:ind w:left="2160" w:hanging="360"/>
      <w:contextualSpacing/>
    </w:pPr>
    <w:rPr>
      <w:sz w:val="22"/>
    </w:rPr>
  </w:style>
  <w:style w:type="paragraph" w:customStyle="1" w:styleId="Bullet">
    <w:name w:val="Bullet"/>
    <w:basedOn w:val="ListBullet"/>
    <w:link w:val="BulletChar"/>
    <w:qFormat/>
    <w:rsid w:val="004F62B1"/>
    <w:pPr>
      <w:tabs>
        <w:tab w:val="num" w:pos="720"/>
      </w:tabs>
      <w:spacing w:before="0"/>
      <w:ind w:left="720" w:hanging="360"/>
    </w:pPr>
    <w:rPr>
      <w:sz w:val="22"/>
    </w:rPr>
  </w:style>
  <w:style w:type="paragraph" w:customStyle="1" w:styleId="Level2Bullet">
    <w:name w:val="Level 2 Bullet"/>
    <w:basedOn w:val="ListBullet2"/>
    <w:link w:val="Level2BulletChar"/>
    <w:qFormat/>
    <w:rsid w:val="004F62B1"/>
    <w:pPr>
      <w:numPr>
        <w:ilvl w:val="1"/>
      </w:numPr>
      <w:tabs>
        <w:tab w:val="num" w:pos="1440"/>
      </w:tabs>
      <w:ind w:left="1440" w:hanging="360"/>
    </w:pPr>
  </w:style>
  <w:style w:type="character" w:customStyle="1" w:styleId="BulletChar">
    <w:name w:val="Bullet Char"/>
    <w:basedOn w:val="DefaultParagraphFont"/>
    <w:link w:val="Bullet"/>
    <w:rsid w:val="004F62B1"/>
    <w:rPr>
      <w:rFonts w:ascii="Calibri" w:hAnsi="Calibri"/>
      <w:sz w:val="22"/>
      <w:szCs w:val="24"/>
    </w:rPr>
  </w:style>
  <w:style w:type="paragraph" w:customStyle="1" w:styleId="Level3Bullet">
    <w:name w:val="Level 3 Bullet"/>
    <w:basedOn w:val="ListBullet3"/>
    <w:link w:val="Level3BulletChar"/>
    <w:qFormat/>
    <w:rsid w:val="004F62B1"/>
    <w:pPr>
      <w:numPr>
        <w:ilvl w:val="2"/>
      </w:numPr>
      <w:tabs>
        <w:tab w:val="num" w:pos="2160"/>
      </w:tabs>
      <w:ind w:left="2160" w:hanging="360"/>
    </w:pPr>
  </w:style>
  <w:style w:type="character" w:customStyle="1" w:styleId="Level2BulletChar">
    <w:name w:val="Level 2 Bullet Char"/>
    <w:basedOn w:val="DefaultParagraphFont"/>
    <w:link w:val="Level2Bullet"/>
    <w:rsid w:val="004F62B1"/>
    <w:rPr>
      <w:rFonts w:ascii="Calibri" w:hAnsi="Calibri"/>
      <w:sz w:val="22"/>
      <w:szCs w:val="24"/>
    </w:rPr>
  </w:style>
  <w:style w:type="character" w:customStyle="1" w:styleId="Level3BulletChar">
    <w:name w:val="Level 3 Bullet Char"/>
    <w:basedOn w:val="DefaultParagraphFont"/>
    <w:link w:val="Level3Bullet"/>
    <w:rsid w:val="004F62B1"/>
    <w:rPr>
      <w:rFonts w:ascii="Calibri" w:hAnsi="Calibri"/>
      <w:sz w:val="22"/>
      <w:szCs w:val="24"/>
    </w:rPr>
  </w:style>
  <w:style w:type="paragraph" w:customStyle="1" w:styleId="Level2NumberBullet">
    <w:name w:val="Level 2 Number Bullet"/>
    <w:basedOn w:val="List2"/>
    <w:link w:val="Level2NumberBulletChar"/>
    <w:qFormat/>
    <w:rsid w:val="004F62B1"/>
  </w:style>
  <w:style w:type="character" w:customStyle="1" w:styleId="ListChar">
    <w:name w:val="List Char"/>
    <w:basedOn w:val="DefaultParagraphFont"/>
    <w:link w:val="List"/>
    <w:rsid w:val="004F62B1"/>
    <w:rPr>
      <w:rFonts w:ascii="Calibri" w:hAnsi="Calibri"/>
      <w:sz w:val="22"/>
      <w:szCs w:val="24"/>
    </w:rPr>
  </w:style>
  <w:style w:type="character" w:customStyle="1" w:styleId="Level2NumberBulletChar">
    <w:name w:val="Level 2 Number Bullet Char"/>
    <w:basedOn w:val="DefaultParagraphFont"/>
    <w:link w:val="Level2NumberBullet"/>
    <w:rsid w:val="004F62B1"/>
    <w:rPr>
      <w:rFonts w:ascii="Calibri" w:hAnsi="Calibri"/>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BD5"/>
    <w:rPr>
      <w:rFonts w:ascii="Calibri" w:hAnsi="Calibri"/>
      <w:sz w:val="24"/>
      <w:szCs w:val="24"/>
    </w:rPr>
  </w:style>
  <w:style w:type="paragraph" w:styleId="Heading1">
    <w:name w:val="heading 1"/>
    <w:basedOn w:val="Normal"/>
    <w:next w:val="Normal"/>
    <w:qFormat/>
    <w:rsid w:val="00F25067"/>
    <w:pPr>
      <w:contextualSpacing/>
      <w:jc w:val="center"/>
      <w:outlineLvl w:val="0"/>
    </w:pPr>
    <w:rPr>
      <w:b/>
      <w:sz w:val="52"/>
    </w:rPr>
  </w:style>
  <w:style w:type="paragraph" w:styleId="Heading2">
    <w:name w:val="heading 2"/>
    <w:basedOn w:val="Normal"/>
    <w:next w:val="Normal"/>
    <w:link w:val="Heading2Char"/>
    <w:qFormat/>
    <w:rsid w:val="002C1E1B"/>
    <w:pPr>
      <w:spacing w:after="480"/>
      <w:outlineLvl w:val="1"/>
    </w:pPr>
    <w:rPr>
      <w:rFonts w:cs="Arial"/>
      <w:b/>
      <w:bCs/>
      <w:sz w:val="36"/>
      <w:szCs w:val="36"/>
    </w:rPr>
  </w:style>
  <w:style w:type="paragraph" w:styleId="Heading3">
    <w:name w:val="heading 3"/>
    <w:basedOn w:val="Normal"/>
    <w:next w:val="Normal"/>
    <w:qFormat/>
    <w:rsid w:val="008F61F1"/>
    <w:pPr>
      <w:spacing w:before="240" w:after="240"/>
      <w:outlineLvl w:val="2"/>
    </w:pPr>
    <w:rPr>
      <w:b/>
    </w:rPr>
  </w:style>
  <w:style w:type="paragraph" w:styleId="Heading4">
    <w:name w:val="heading 4"/>
    <w:basedOn w:val="Normal"/>
    <w:next w:val="Normal"/>
    <w:link w:val="Heading4Char"/>
    <w:qFormat/>
    <w:rsid w:val="00673D96"/>
    <w:pPr>
      <w:spacing w:before="480"/>
      <w:outlineLvl w:val="3"/>
    </w:pPr>
    <w:rPr>
      <w:b/>
    </w:rPr>
  </w:style>
  <w:style w:type="paragraph" w:styleId="Heading5">
    <w:name w:val="heading 5"/>
    <w:basedOn w:val="Normal"/>
    <w:next w:val="Normal"/>
    <w:qFormat/>
    <w:rsid w:val="001B383A"/>
    <w:pPr>
      <w:tabs>
        <w:tab w:val="num" w:pos="2142"/>
      </w:tabs>
      <w:spacing w:before="240"/>
      <w:ind w:left="1008" w:hanging="1008"/>
      <w:outlineLvl w:val="4"/>
    </w:pPr>
    <w:rPr>
      <w:b/>
      <w:szCs w:val="20"/>
      <w:lang w:eastAsia="en-US"/>
    </w:rPr>
  </w:style>
  <w:style w:type="paragraph" w:styleId="Heading6">
    <w:name w:val="heading 6"/>
    <w:basedOn w:val="Normal"/>
    <w:next w:val="Normal"/>
    <w:rsid w:val="00773A6B"/>
    <w:pPr>
      <w:tabs>
        <w:tab w:val="num" w:pos="2286"/>
      </w:tabs>
      <w:spacing w:before="240" w:after="60"/>
      <w:ind w:left="2286" w:hanging="1152"/>
      <w:outlineLvl w:val="5"/>
    </w:pPr>
    <w:rPr>
      <w:rFonts w:ascii="Times New Roman" w:hAnsi="Times New Roman"/>
      <w:i/>
      <w:szCs w:val="20"/>
      <w:lang w:eastAsia="en-US"/>
    </w:rPr>
  </w:style>
  <w:style w:type="paragraph" w:styleId="Heading7">
    <w:name w:val="heading 7"/>
    <w:basedOn w:val="Normal"/>
    <w:next w:val="Normal"/>
    <w:rsid w:val="00773A6B"/>
    <w:pPr>
      <w:tabs>
        <w:tab w:val="num" w:pos="2430"/>
      </w:tabs>
      <w:spacing w:before="240" w:after="60"/>
      <w:ind w:left="2430" w:hanging="1296"/>
      <w:outlineLvl w:val="6"/>
    </w:pPr>
    <w:rPr>
      <w:rFonts w:ascii="Arial" w:hAnsi="Arial"/>
      <w:sz w:val="20"/>
      <w:szCs w:val="20"/>
      <w:lang w:eastAsia="en-US"/>
    </w:rPr>
  </w:style>
  <w:style w:type="paragraph" w:styleId="Heading8">
    <w:name w:val="heading 8"/>
    <w:basedOn w:val="Normal"/>
    <w:next w:val="Normal"/>
    <w:rsid w:val="00773A6B"/>
    <w:pPr>
      <w:tabs>
        <w:tab w:val="num" w:pos="2574"/>
      </w:tabs>
      <w:spacing w:before="240" w:after="60"/>
      <w:ind w:left="2574" w:hanging="1440"/>
      <w:outlineLvl w:val="7"/>
    </w:pPr>
    <w:rPr>
      <w:rFonts w:ascii="Arial" w:hAnsi="Arial"/>
      <w:i/>
      <w:sz w:val="20"/>
      <w:szCs w:val="20"/>
      <w:lang w:eastAsia="en-US"/>
    </w:rPr>
  </w:style>
  <w:style w:type="paragraph" w:styleId="Heading9">
    <w:name w:val="heading 9"/>
    <w:basedOn w:val="Normal"/>
    <w:next w:val="Normal"/>
    <w:rsid w:val="00773A6B"/>
    <w:pPr>
      <w:tabs>
        <w:tab w:val="num" w:pos="2718"/>
      </w:tabs>
      <w:spacing w:before="240" w:after="60"/>
      <w:ind w:left="2718" w:hanging="1584"/>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21B4D"/>
    <w:pPr>
      <w:tabs>
        <w:tab w:val="center" w:pos="4153"/>
        <w:tab w:val="right" w:pos="8306"/>
      </w:tabs>
    </w:pPr>
  </w:style>
  <w:style w:type="paragraph" w:styleId="TOC1">
    <w:name w:val="toc 1"/>
    <w:basedOn w:val="Normal"/>
    <w:next w:val="Normal"/>
    <w:autoRedefine/>
    <w:uiPriority w:val="39"/>
    <w:rsid w:val="00247750"/>
    <w:pPr>
      <w:spacing w:before="240" w:after="120"/>
    </w:pPr>
    <w:rPr>
      <w:rFonts w:asciiTheme="minorHAnsi" w:hAnsiTheme="minorHAnsi" w:cstheme="minorHAnsi"/>
      <w:b/>
      <w:bCs/>
      <w:sz w:val="20"/>
      <w:szCs w:val="20"/>
    </w:rPr>
  </w:style>
  <w:style w:type="paragraph" w:styleId="TOC2">
    <w:name w:val="toc 2"/>
    <w:basedOn w:val="Normal"/>
    <w:next w:val="Normal"/>
    <w:autoRedefine/>
    <w:uiPriority w:val="39"/>
    <w:rsid w:val="007A49A3"/>
    <w:pPr>
      <w:spacing w:before="120"/>
      <w:ind w:left="240"/>
    </w:pPr>
    <w:rPr>
      <w:rFonts w:asciiTheme="minorHAnsi" w:hAnsiTheme="minorHAnsi" w:cstheme="minorHAnsi"/>
      <w:i/>
      <w:iCs/>
      <w:sz w:val="20"/>
      <w:szCs w:val="20"/>
    </w:rPr>
  </w:style>
  <w:style w:type="paragraph" w:styleId="FootnoteText">
    <w:name w:val="footnote text"/>
    <w:basedOn w:val="Normal"/>
    <w:semiHidden/>
    <w:rsid w:val="00D736FC"/>
    <w:rPr>
      <w:rFonts w:ascii="Arial" w:hAnsi="Arial"/>
      <w:sz w:val="20"/>
      <w:szCs w:val="20"/>
    </w:rPr>
  </w:style>
  <w:style w:type="character" w:styleId="FootnoteReference">
    <w:name w:val="footnote reference"/>
    <w:basedOn w:val="DefaultParagraphFont"/>
    <w:semiHidden/>
    <w:rsid w:val="00D736FC"/>
    <w:rPr>
      <w:vertAlign w:val="superscript"/>
    </w:rPr>
  </w:style>
  <w:style w:type="paragraph" w:styleId="EndnoteText">
    <w:name w:val="endnote text"/>
    <w:basedOn w:val="Normal"/>
    <w:semiHidden/>
    <w:rsid w:val="00FC683B"/>
    <w:rPr>
      <w:sz w:val="20"/>
      <w:szCs w:val="20"/>
    </w:rPr>
  </w:style>
  <w:style w:type="character" w:styleId="EndnoteReference">
    <w:name w:val="endnote reference"/>
    <w:basedOn w:val="DefaultParagraphFont"/>
    <w:semiHidden/>
    <w:rsid w:val="00FC683B"/>
    <w:rPr>
      <w:vertAlign w:val="superscript"/>
    </w:rPr>
  </w:style>
  <w:style w:type="paragraph" w:styleId="TOC8">
    <w:name w:val="toc 8"/>
    <w:basedOn w:val="Normal"/>
    <w:next w:val="Normal"/>
    <w:autoRedefine/>
    <w:semiHidden/>
    <w:rsid w:val="00894843"/>
    <w:pPr>
      <w:ind w:left="1680"/>
    </w:pPr>
    <w:rPr>
      <w:rFonts w:asciiTheme="minorHAnsi" w:hAnsiTheme="minorHAnsi" w:cstheme="minorHAnsi"/>
      <w:sz w:val="20"/>
      <w:szCs w:val="20"/>
    </w:rPr>
  </w:style>
  <w:style w:type="character" w:styleId="PageNumber">
    <w:name w:val="page number"/>
    <w:basedOn w:val="DefaultParagraphFont"/>
    <w:rsid w:val="00400841"/>
  </w:style>
  <w:style w:type="paragraph" w:customStyle="1" w:styleId="Footercentred">
    <w:name w:val="Footer centred"/>
    <w:basedOn w:val="Footer"/>
    <w:rsid w:val="00400841"/>
    <w:pPr>
      <w:jc w:val="center"/>
    </w:pPr>
  </w:style>
  <w:style w:type="table" w:styleId="TableGrid">
    <w:name w:val="Table Grid"/>
    <w:basedOn w:val="TableNormal"/>
    <w:uiPriority w:val="59"/>
    <w:rsid w:val="004008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Centred">
    <w:name w:val="Table Text Centred"/>
    <w:basedOn w:val="Normal"/>
    <w:rsid w:val="00400841"/>
    <w:pPr>
      <w:spacing w:before="120" w:after="120"/>
      <w:jc w:val="center"/>
    </w:pPr>
    <w:rPr>
      <w:rFonts w:cs="Arial"/>
      <w:sz w:val="20"/>
      <w:szCs w:val="20"/>
    </w:rPr>
  </w:style>
  <w:style w:type="paragraph" w:customStyle="1" w:styleId="NormalBold">
    <w:name w:val="Normal Bold"/>
    <w:basedOn w:val="Normal"/>
    <w:link w:val="NormalBoldChar"/>
    <w:rsid w:val="00400841"/>
    <w:pPr>
      <w:tabs>
        <w:tab w:val="left" w:pos="0"/>
      </w:tabs>
    </w:pPr>
    <w:rPr>
      <w:b/>
    </w:rPr>
  </w:style>
  <w:style w:type="paragraph" w:styleId="Footer">
    <w:name w:val="footer"/>
    <w:basedOn w:val="Normal"/>
    <w:link w:val="FooterChar"/>
    <w:uiPriority w:val="99"/>
    <w:rsid w:val="00400841"/>
    <w:pPr>
      <w:tabs>
        <w:tab w:val="center" w:pos="4153"/>
        <w:tab w:val="right" w:pos="8306"/>
      </w:tabs>
    </w:pPr>
    <w:rPr>
      <w:rFonts w:cs="Arial"/>
      <w:color w:val="808080"/>
      <w:sz w:val="20"/>
      <w:szCs w:val="28"/>
      <w:lang w:eastAsia="en-US"/>
    </w:rPr>
  </w:style>
  <w:style w:type="numbering" w:customStyle="1" w:styleId="BulletList">
    <w:name w:val="Bullet List"/>
    <w:basedOn w:val="NoList"/>
    <w:rsid w:val="000A19E5"/>
    <w:pPr>
      <w:numPr>
        <w:numId w:val="1"/>
      </w:numPr>
    </w:pPr>
  </w:style>
  <w:style w:type="paragraph" w:customStyle="1" w:styleId="DCHHeading">
    <w:name w:val="DCH Heading"/>
    <w:link w:val="DCHHeadingCharChar"/>
    <w:rsid w:val="00400841"/>
    <w:rPr>
      <w:rFonts w:ascii="Calibri" w:hAnsi="Calibri" w:cs="Arial"/>
      <w:b/>
      <w:color w:val="333399"/>
      <w:sz w:val="24"/>
      <w:szCs w:val="28"/>
      <w:lang w:eastAsia="en-US"/>
    </w:rPr>
  </w:style>
  <w:style w:type="character" w:customStyle="1" w:styleId="Heading2Char">
    <w:name w:val="Heading 2 Char"/>
    <w:basedOn w:val="DefaultParagraphFont"/>
    <w:link w:val="Heading2"/>
    <w:rsid w:val="002C1E1B"/>
    <w:rPr>
      <w:rFonts w:ascii="Calibri" w:hAnsi="Calibri" w:cs="Arial"/>
      <w:b/>
      <w:bCs/>
      <w:sz w:val="36"/>
      <w:szCs w:val="36"/>
    </w:rPr>
  </w:style>
  <w:style w:type="paragraph" w:customStyle="1" w:styleId="FooterRightAligned">
    <w:name w:val="Footer Right Aligned"/>
    <w:basedOn w:val="Footer"/>
    <w:rsid w:val="00400841"/>
    <w:pPr>
      <w:jc w:val="right"/>
    </w:pPr>
  </w:style>
  <w:style w:type="numbering" w:customStyle="1" w:styleId="NumberedList">
    <w:name w:val="Numbered List"/>
    <w:basedOn w:val="NoList"/>
    <w:rsid w:val="006B1B0A"/>
    <w:pPr>
      <w:numPr>
        <w:numId w:val="2"/>
      </w:numPr>
    </w:pPr>
  </w:style>
  <w:style w:type="character" w:customStyle="1" w:styleId="Heading4Char">
    <w:name w:val="Heading 4 Char"/>
    <w:basedOn w:val="DefaultParagraphFont"/>
    <w:link w:val="Heading4"/>
    <w:rsid w:val="00673D96"/>
    <w:rPr>
      <w:rFonts w:ascii="Calibri" w:hAnsi="Calibri"/>
      <w:b/>
      <w:sz w:val="24"/>
      <w:szCs w:val="24"/>
    </w:rPr>
  </w:style>
  <w:style w:type="paragraph" w:styleId="BalloonText">
    <w:name w:val="Balloon Text"/>
    <w:basedOn w:val="Normal"/>
    <w:link w:val="BalloonTextChar"/>
    <w:rsid w:val="00842884"/>
    <w:rPr>
      <w:rFonts w:ascii="Tahoma" w:hAnsi="Tahoma" w:cs="Tahoma"/>
      <w:sz w:val="16"/>
      <w:szCs w:val="16"/>
    </w:rPr>
  </w:style>
  <w:style w:type="character" w:styleId="Hyperlink">
    <w:name w:val="Hyperlink"/>
    <w:basedOn w:val="DefaultParagraphFont"/>
    <w:uiPriority w:val="99"/>
    <w:rsid w:val="00400841"/>
    <w:rPr>
      <w:color w:val="0000FF"/>
      <w:u w:val="single"/>
    </w:rPr>
  </w:style>
  <w:style w:type="paragraph" w:customStyle="1" w:styleId="Version">
    <w:name w:val="Version"/>
    <w:basedOn w:val="Heading1"/>
    <w:rsid w:val="00A150B1"/>
    <w:rPr>
      <w:sz w:val="32"/>
      <w:szCs w:val="32"/>
    </w:rPr>
  </w:style>
  <w:style w:type="character" w:customStyle="1" w:styleId="Donotuse">
    <w:name w:val="Do not use"/>
    <w:rsid w:val="00400841"/>
    <w:rPr>
      <w:color w:val="808080"/>
      <w:sz w:val="22"/>
    </w:rPr>
  </w:style>
  <w:style w:type="paragraph" w:customStyle="1" w:styleId="DisclaimerText">
    <w:name w:val="Disclaimer Text"/>
    <w:basedOn w:val="Normal"/>
    <w:rsid w:val="00402359"/>
    <w:pPr>
      <w:autoSpaceDE w:val="0"/>
      <w:autoSpaceDN w:val="0"/>
      <w:adjustRightInd w:val="0"/>
    </w:pPr>
    <w:rPr>
      <w:rFonts w:cs="Arial"/>
      <w:bCs/>
      <w:sz w:val="20"/>
    </w:rPr>
  </w:style>
  <w:style w:type="paragraph" w:styleId="TOC4">
    <w:name w:val="toc 4"/>
    <w:basedOn w:val="Normal"/>
    <w:next w:val="Normal"/>
    <w:autoRedefine/>
    <w:semiHidden/>
    <w:rsid w:val="00247750"/>
    <w:pPr>
      <w:ind w:left="720"/>
    </w:pPr>
    <w:rPr>
      <w:rFonts w:asciiTheme="minorHAnsi" w:hAnsiTheme="minorHAnsi" w:cstheme="minorHAnsi"/>
      <w:sz w:val="20"/>
      <w:szCs w:val="20"/>
    </w:rPr>
  </w:style>
  <w:style w:type="paragraph" w:customStyle="1" w:styleId="Disclaimer">
    <w:name w:val="Disclaimer"/>
    <w:basedOn w:val="DisclaimerText"/>
    <w:link w:val="DisclaimerChar"/>
    <w:rsid w:val="00A150B1"/>
    <w:pPr>
      <w:autoSpaceDE/>
      <w:autoSpaceDN/>
      <w:adjustRightInd/>
      <w:spacing w:before="5040"/>
    </w:pPr>
    <w:rPr>
      <w:rFonts w:cs="Times New Roman"/>
      <w:bCs w:val="0"/>
      <w:szCs w:val="20"/>
    </w:rPr>
  </w:style>
  <w:style w:type="paragraph" w:styleId="TOC5">
    <w:name w:val="toc 5"/>
    <w:basedOn w:val="Normal"/>
    <w:next w:val="Normal"/>
    <w:autoRedefine/>
    <w:semiHidden/>
    <w:rsid w:val="00247750"/>
    <w:pPr>
      <w:ind w:left="960"/>
    </w:pPr>
    <w:rPr>
      <w:rFonts w:asciiTheme="minorHAnsi" w:hAnsiTheme="minorHAnsi" w:cstheme="minorHAnsi"/>
      <w:sz w:val="20"/>
      <w:szCs w:val="20"/>
    </w:rPr>
  </w:style>
  <w:style w:type="character" w:customStyle="1" w:styleId="DisclaimerChar">
    <w:name w:val="Disclaimer Char"/>
    <w:basedOn w:val="DefaultParagraphFont"/>
    <w:link w:val="Disclaimer"/>
    <w:rsid w:val="00A150B1"/>
    <w:rPr>
      <w:rFonts w:ascii="Calibri" w:hAnsi="Calibri"/>
    </w:rPr>
  </w:style>
  <w:style w:type="paragraph" w:customStyle="1" w:styleId="TableText">
    <w:name w:val="Table Text"/>
    <w:basedOn w:val="Normal"/>
    <w:qFormat/>
    <w:rsid w:val="00A150B1"/>
    <w:pPr>
      <w:autoSpaceDE w:val="0"/>
      <w:autoSpaceDN w:val="0"/>
      <w:adjustRightInd w:val="0"/>
      <w:spacing w:before="60" w:after="60"/>
      <w:contextualSpacing/>
    </w:pPr>
    <w:rPr>
      <w:rFonts w:cs="Arial"/>
      <w:sz w:val="20"/>
    </w:rPr>
  </w:style>
  <w:style w:type="paragraph" w:customStyle="1" w:styleId="FlowChartText">
    <w:name w:val="Flow Chart Text"/>
    <w:basedOn w:val="Normal"/>
    <w:rsid w:val="00402359"/>
    <w:pPr>
      <w:jc w:val="center"/>
    </w:pPr>
    <w:rPr>
      <w:b/>
      <w:sz w:val="20"/>
      <w:szCs w:val="20"/>
    </w:rPr>
  </w:style>
  <w:style w:type="paragraph" w:customStyle="1" w:styleId="TableTextRightAligned">
    <w:name w:val="Table Text Right Aligned"/>
    <w:basedOn w:val="Normal"/>
    <w:rsid w:val="00FE134D"/>
    <w:pPr>
      <w:autoSpaceDE w:val="0"/>
      <w:autoSpaceDN w:val="0"/>
      <w:adjustRightInd w:val="0"/>
      <w:spacing w:before="60" w:after="60"/>
      <w:contextualSpacing/>
      <w:jc w:val="right"/>
    </w:pPr>
    <w:rPr>
      <w:sz w:val="20"/>
    </w:rPr>
  </w:style>
  <w:style w:type="paragraph" w:customStyle="1" w:styleId="TableHeadingCentred">
    <w:name w:val="Table Heading Centred"/>
    <w:basedOn w:val="Normal"/>
    <w:rsid w:val="00A57DD5"/>
    <w:pPr>
      <w:spacing w:before="60" w:after="60"/>
      <w:jc w:val="center"/>
    </w:pPr>
    <w:rPr>
      <w:rFonts w:cs="Arial"/>
      <w:b/>
      <w:bCs/>
      <w:color w:val="FFFFFF"/>
    </w:rPr>
  </w:style>
  <w:style w:type="paragraph" w:customStyle="1" w:styleId="TableNumberedleftbold">
    <w:name w:val="Table Numbered left bold"/>
    <w:basedOn w:val="Normal"/>
    <w:qFormat/>
    <w:rsid w:val="00400841"/>
    <w:rPr>
      <w:rFonts w:cs="Arial"/>
      <w:b/>
      <w:bCs/>
      <w:szCs w:val="22"/>
    </w:rPr>
  </w:style>
  <w:style w:type="paragraph" w:customStyle="1" w:styleId="TableBlackHeading">
    <w:name w:val="Table Black Heading"/>
    <w:basedOn w:val="Normal"/>
    <w:link w:val="TableBlackHeadingChar"/>
    <w:qFormat/>
    <w:rsid w:val="00400841"/>
    <w:rPr>
      <w:rFonts w:cs="Arial"/>
      <w:b/>
      <w:szCs w:val="28"/>
      <w:lang w:eastAsia="en-US"/>
    </w:rPr>
  </w:style>
  <w:style w:type="character" w:customStyle="1" w:styleId="TableBlackHeadingChar">
    <w:name w:val="Table Black Heading Char"/>
    <w:basedOn w:val="DefaultParagraphFont"/>
    <w:link w:val="TableBlackHeading"/>
    <w:rsid w:val="00400841"/>
    <w:rPr>
      <w:rFonts w:ascii="Calibri" w:hAnsi="Calibri" w:cs="Arial"/>
      <w:b/>
      <w:sz w:val="24"/>
      <w:szCs w:val="28"/>
      <w:lang w:val="en-AU" w:eastAsia="en-US" w:bidi="ar-SA"/>
    </w:rPr>
  </w:style>
  <w:style w:type="character" w:customStyle="1" w:styleId="DCHHeadingCharChar">
    <w:name w:val="DCH Heading Char Char"/>
    <w:basedOn w:val="DefaultParagraphFont"/>
    <w:link w:val="DCHHeading"/>
    <w:rsid w:val="00400841"/>
    <w:rPr>
      <w:rFonts w:ascii="Calibri" w:hAnsi="Calibri" w:cs="Arial"/>
      <w:b/>
      <w:color w:val="333399"/>
      <w:sz w:val="24"/>
      <w:szCs w:val="28"/>
      <w:lang w:val="en-AU" w:eastAsia="en-US" w:bidi="ar-SA"/>
    </w:rPr>
  </w:style>
  <w:style w:type="character" w:customStyle="1" w:styleId="NormalBoldChar">
    <w:name w:val="Normal Bold Char"/>
    <w:basedOn w:val="DefaultParagraphFont"/>
    <w:link w:val="NormalBold"/>
    <w:rsid w:val="000A19E5"/>
    <w:rPr>
      <w:rFonts w:ascii="Calibri" w:hAnsi="Calibri"/>
      <w:b/>
      <w:sz w:val="22"/>
      <w:szCs w:val="24"/>
      <w:lang w:val="en-AU" w:eastAsia="en-AU" w:bidi="ar-SA"/>
    </w:rPr>
  </w:style>
  <w:style w:type="paragraph" w:customStyle="1" w:styleId="NormalItalic">
    <w:name w:val="Normal Italic"/>
    <w:basedOn w:val="Normal"/>
    <w:link w:val="NormalItalicChar"/>
    <w:rsid w:val="000A19E5"/>
    <w:rPr>
      <w:i/>
    </w:rPr>
  </w:style>
  <w:style w:type="character" w:customStyle="1" w:styleId="NormalItalicChar">
    <w:name w:val="Normal Italic Char"/>
    <w:basedOn w:val="DefaultParagraphFont"/>
    <w:link w:val="NormalItalic"/>
    <w:rsid w:val="000A19E5"/>
    <w:rPr>
      <w:rFonts w:ascii="Calibri" w:hAnsi="Calibri"/>
      <w:i/>
      <w:sz w:val="22"/>
      <w:szCs w:val="24"/>
      <w:lang w:val="en-AU" w:eastAsia="en-AU" w:bidi="ar-SA"/>
    </w:rPr>
  </w:style>
  <w:style w:type="character" w:customStyle="1" w:styleId="BalloonTextChar">
    <w:name w:val="Balloon Text Char"/>
    <w:basedOn w:val="DefaultParagraphFont"/>
    <w:link w:val="BalloonText"/>
    <w:rsid w:val="00842884"/>
    <w:rPr>
      <w:rFonts w:ascii="Tahoma" w:hAnsi="Tahoma" w:cs="Tahoma"/>
      <w:sz w:val="16"/>
      <w:szCs w:val="16"/>
    </w:rPr>
  </w:style>
  <w:style w:type="character" w:styleId="CommentReference">
    <w:name w:val="annotation reference"/>
    <w:basedOn w:val="DefaultParagraphFont"/>
    <w:rsid w:val="00BC0AD8"/>
    <w:rPr>
      <w:sz w:val="16"/>
      <w:szCs w:val="16"/>
    </w:rPr>
  </w:style>
  <w:style w:type="paragraph" w:styleId="CommentText">
    <w:name w:val="annotation text"/>
    <w:basedOn w:val="Normal"/>
    <w:link w:val="CommentTextChar"/>
    <w:rsid w:val="00BC0AD8"/>
    <w:rPr>
      <w:sz w:val="20"/>
      <w:szCs w:val="20"/>
    </w:rPr>
  </w:style>
  <w:style w:type="character" w:customStyle="1" w:styleId="CommentTextChar">
    <w:name w:val="Comment Text Char"/>
    <w:basedOn w:val="DefaultParagraphFont"/>
    <w:link w:val="CommentText"/>
    <w:rsid w:val="00BC0AD8"/>
    <w:rPr>
      <w:rFonts w:ascii="Calibri" w:hAnsi="Calibri"/>
    </w:rPr>
  </w:style>
  <w:style w:type="paragraph" w:styleId="CommentSubject">
    <w:name w:val="annotation subject"/>
    <w:basedOn w:val="CommentText"/>
    <w:next w:val="CommentText"/>
    <w:link w:val="CommentSubjectChar"/>
    <w:rsid w:val="00BC0AD8"/>
    <w:rPr>
      <w:b/>
      <w:bCs/>
    </w:rPr>
  </w:style>
  <w:style w:type="character" w:customStyle="1" w:styleId="CommentSubjectChar">
    <w:name w:val="Comment Subject Char"/>
    <w:basedOn w:val="CommentTextChar"/>
    <w:link w:val="CommentSubject"/>
    <w:rsid w:val="00BC0AD8"/>
    <w:rPr>
      <w:rFonts w:ascii="Calibri" w:hAnsi="Calibri"/>
      <w:b/>
      <w:bCs/>
    </w:rPr>
  </w:style>
  <w:style w:type="paragraph" w:styleId="ListParagraph">
    <w:name w:val="List Paragraph"/>
    <w:aliases w:val="L,List Paragraph1,Recommendation,Bullet points,List Paragraph11,Content descriptions,Bullet Point,Bullet point,Body Bullets 1,Main,CV text,Table text,F5 List Paragraph,Dot pt,List Paragraph111,Medium Grid 1 - Accent 21,Numbered Paragraph"/>
    <w:basedOn w:val="Normal"/>
    <w:link w:val="ListParagraphChar"/>
    <w:uiPriority w:val="34"/>
    <w:qFormat/>
    <w:rsid w:val="00C005FB"/>
    <w:pPr>
      <w:ind w:left="720"/>
      <w:contextualSpacing/>
    </w:pPr>
  </w:style>
  <w:style w:type="character" w:styleId="Strong">
    <w:name w:val="Strong"/>
    <w:basedOn w:val="DefaultParagraphFont"/>
    <w:qFormat/>
    <w:rsid w:val="00817EFF"/>
    <w:rPr>
      <w:b/>
      <w:bCs/>
    </w:rPr>
  </w:style>
  <w:style w:type="paragraph" w:styleId="Revision">
    <w:name w:val="Revision"/>
    <w:hidden/>
    <w:uiPriority w:val="99"/>
    <w:semiHidden/>
    <w:rsid w:val="00875A2F"/>
    <w:rPr>
      <w:rFonts w:ascii="Calibri" w:hAnsi="Calibri"/>
      <w:sz w:val="22"/>
      <w:szCs w:val="24"/>
    </w:rPr>
  </w:style>
  <w:style w:type="numbering" w:customStyle="1" w:styleId="Bullet1">
    <w:name w:val="Bullet 1"/>
    <w:basedOn w:val="NoList"/>
    <w:rsid w:val="00C215E0"/>
  </w:style>
  <w:style w:type="paragraph" w:styleId="TOCHeading">
    <w:name w:val="TOC Heading"/>
    <w:basedOn w:val="Heading1"/>
    <w:next w:val="Normal"/>
    <w:uiPriority w:val="39"/>
    <w:unhideWhenUsed/>
    <w:qFormat/>
    <w:rsid w:val="007A57E0"/>
    <w:pPr>
      <w:keepNext/>
      <w:keepLines/>
      <w:spacing w:before="480" w:line="276" w:lineRule="auto"/>
      <w:contextualSpacing w:val="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itle">
    <w:name w:val="Title"/>
    <w:basedOn w:val="Normal"/>
    <w:next w:val="Normal"/>
    <w:link w:val="TitleChar"/>
    <w:qFormat/>
    <w:rsid w:val="00C6493B"/>
    <w:pPr>
      <w:spacing w:after="120"/>
      <w:contextualSpacing/>
    </w:pPr>
    <w:rPr>
      <w:rFonts w:eastAsiaTheme="majorEastAsia" w:cstheme="majorBidi"/>
      <w:b/>
      <w:spacing w:val="5"/>
      <w:sz w:val="20"/>
      <w:szCs w:val="52"/>
      <w:lang w:eastAsia="en-US"/>
    </w:rPr>
  </w:style>
  <w:style w:type="character" w:customStyle="1" w:styleId="TitleChar">
    <w:name w:val="Title Char"/>
    <w:basedOn w:val="DefaultParagraphFont"/>
    <w:link w:val="Title"/>
    <w:rsid w:val="00C6493B"/>
    <w:rPr>
      <w:rFonts w:ascii="Calibri" w:eastAsiaTheme="majorEastAsia" w:hAnsi="Calibri" w:cstheme="majorBidi"/>
      <w:b/>
      <w:spacing w:val="5"/>
      <w:szCs w:val="52"/>
      <w:lang w:eastAsia="en-US"/>
    </w:rPr>
  </w:style>
  <w:style w:type="paragraph" w:styleId="Subtitle">
    <w:name w:val="Subtitle"/>
    <w:basedOn w:val="Normal"/>
    <w:next w:val="Normal"/>
    <w:link w:val="SubtitleChar"/>
    <w:uiPriority w:val="11"/>
    <w:qFormat/>
    <w:rsid w:val="00423FD8"/>
    <w:pPr>
      <w:spacing w:after="240" w:line="276" w:lineRule="auto"/>
    </w:pPr>
    <w:rPr>
      <w:rFonts w:eastAsiaTheme="majorEastAsia" w:cstheme="majorBidi"/>
      <w:b/>
      <w:iCs/>
      <w:color w:val="00847A"/>
      <w:spacing w:val="13"/>
      <w:sz w:val="40"/>
      <w:lang w:eastAsia="en-US"/>
    </w:rPr>
  </w:style>
  <w:style w:type="character" w:customStyle="1" w:styleId="SubtitleChar">
    <w:name w:val="Subtitle Char"/>
    <w:basedOn w:val="DefaultParagraphFont"/>
    <w:link w:val="Subtitle"/>
    <w:uiPriority w:val="11"/>
    <w:rsid w:val="00423FD8"/>
    <w:rPr>
      <w:rFonts w:ascii="Calibri" w:eastAsiaTheme="majorEastAsia" w:hAnsi="Calibri" w:cstheme="majorBidi"/>
      <w:b/>
      <w:iCs/>
      <w:color w:val="00847A"/>
      <w:spacing w:val="13"/>
      <w:sz w:val="40"/>
      <w:szCs w:val="24"/>
      <w:lang w:eastAsia="en-US"/>
    </w:rPr>
  </w:style>
  <w:style w:type="character" w:customStyle="1" w:styleId="FooterChar">
    <w:name w:val="Footer Char"/>
    <w:basedOn w:val="DefaultParagraphFont"/>
    <w:link w:val="Footer"/>
    <w:uiPriority w:val="99"/>
    <w:rsid w:val="00423FD8"/>
    <w:rPr>
      <w:rFonts w:ascii="Calibri" w:hAnsi="Calibri" w:cs="Arial"/>
      <w:color w:val="808080"/>
      <w:szCs w:val="28"/>
      <w:lang w:eastAsia="en-US"/>
    </w:rPr>
  </w:style>
  <w:style w:type="paragraph" w:styleId="BodyText">
    <w:name w:val="Body Text"/>
    <w:basedOn w:val="Normal"/>
    <w:link w:val="BodyTextChar"/>
    <w:rsid w:val="00423FD8"/>
    <w:pPr>
      <w:spacing w:after="120"/>
    </w:pPr>
    <w:rPr>
      <w:rFonts w:asciiTheme="minorHAnsi" w:hAnsiTheme="minorHAnsi"/>
    </w:rPr>
  </w:style>
  <w:style w:type="character" w:customStyle="1" w:styleId="BodyTextChar">
    <w:name w:val="Body Text Char"/>
    <w:basedOn w:val="DefaultParagraphFont"/>
    <w:link w:val="BodyText"/>
    <w:rsid w:val="00423FD8"/>
    <w:rPr>
      <w:rFonts w:asciiTheme="minorHAnsi" w:hAnsiTheme="minorHAnsi"/>
      <w:sz w:val="22"/>
      <w:szCs w:val="24"/>
    </w:rPr>
  </w:style>
  <w:style w:type="character" w:styleId="FollowedHyperlink">
    <w:name w:val="FollowedHyperlink"/>
    <w:basedOn w:val="DefaultParagraphFont"/>
    <w:rsid w:val="00FC5830"/>
    <w:rPr>
      <w:color w:val="800080" w:themeColor="followedHyperlink"/>
      <w:u w:val="single"/>
    </w:rPr>
  </w:style>
  <w:style w:type="paragraph" w:customStyle="1" w:styleId="Default">
    <w:name w:val="Default"/>
    <w:rsid w:val="00491C2B"/>
    <w:pPr>
      <w:autoSpaceDE w:val="0"/>
      <w:autoSpaceDN w:val="0"/>
      <w:adjustRightInd w:val="0"/>
    </w:pPr>
    <w:rPr>
      <w:rFonts w:ascii="Calibri" w:hAnsi="Calibri" w:cs="Calibri"/>
      <w:color w:val="000000"/>
      <w:sz w:val="24"/>
      <w:szCs w:val="24"/>
    </w:rPr>
  </w:style>
  <w:style w:type="paragraph" w:customStyle="1" w:styleId="blocktextarial">
    <w:name w:val="blocktextarial"/>
    <w:basedOn w:val="Normal"/>
    <w:rsid w:val="009862AD"/>
    <w:pPr>
      <w:spacing w:after="30"/>
    </w:pPr>
    <w:rPr>
      <w:rFonts w:ascii="Arial" w:hAnsi="Arial" w:cs="Arial"/>
      <w:color w:val="000000"/>
      <w:lang w:eastAsia="ja-JP"/>
    </w:rPr>
  </w:style>
  <w:style w:type="paragraph" w:styleId="NormalWeb">
    <w:name w:val="Normal (Web)"/>
    <w:basedOn w:val="Normal"/>
    <w:uiPriority w:val="99"/>
    <w:unhideWhenUsed/>
    <w:rsid w:val="00590E23"/>
    <w:pPr>
      <w:spacing w:line="384" w:lineRule="atLeast"/>
    </w:pPr>
    <w:rPr>
      <w:rFonts w:ascii="Times New Roman" w:hAnsi="Times New Roman"/>
    </w:rPr>
  </w:style>
  <w:style w:type="character" w:customStyle="1" w:styleId="ListParagraphChar">
    <w:name w:val="List Paragraph Char"/>
    <w:aliases w:val="L Char,List Paragraph1 Char,Recommendation Char,Bullet points Char,List Paragraph11 Char,Content descriptions Char,Bullet Point Char,Bullet point Char,Body Bullets 1 Char,Main Char,CV text Char,Table text Char,F5 List Paragraph Char"/>
    <w:basedOn w:val="DefaultParagraphFont"/>
    <w:link w:val="ListParagraph"/>
    <w:uiPriority w:val="34"/>
    <w:locked/>
    <w:rsid w:val="00924F7C"/>
    <w:rPr>
      <w:rFonts w:ascii="Calibri" w:hAnsi="Calibri"/>
      <w:sz w:val="22"/>
      <w:szCs w:val="24"/>
    </w:rPr>
  </w:style>
  <w:style w:type="paragraph" w:styleId="TOC3">
    <w:name w:val="toc 3"/>
    <w:basedOn w:val="Normal"/>
    <w:next w:val="Normal"/>
    <w:autoRedefine/>
    <w:uiPriority w:val="39"/>
    <w:rsid w:val="00226A36"/>
    <w:pPr>
      <w:ind w:left="480"/>
    </w:pPr>
    <w:rPr>
      <w:rFonts w:asciiTheme="minorHAnsi" w:hAnsiTheme="minorHAnsi" w:cstheme="minorHAnsi"/>
      <w:sz w:val="20"/>
      <w:szCs w:val="20"/>
    </w:rPr>
  </w:style>
  <w:style w:type="paragraph" w:styleId="TOC6">
    <w:name w:val="toc 6"/>
    <w:basedOn w:val="Normal"/>
    <w:next w:val="Normal"/>
    <w:autoRedefine/>
    <w:rsid w:val="00226A36"/>
    <w:pPr>
      <w:ind w:left="1200"/>
    </w:pPr>
    <w:rPr>
      <w:rFonts w:asciiTheme="minorHAnsi" w:hAnsiTheme="minorHAnsi" w:cstheme="minorHAnsi"/>
      <w:sz w:val="20"/>
      <w:szCs w:val="20"/>
    </w:rPr>
  </w:style>
  <w:style w:type="paragraph" w:styleId="TOC7">
    <w:name w:val="toc 7"/>
    <w:basedOn w:val="Normal"/>
    <w:next w:val="Normal"/>
    <w:autoRedefine/>
    <w:rsid w:val="00226A36"/>
    <w:pPr>
      <w:ind w:left="1440"/>
    </w:pPr>
    <w:rPr>
      <w:rFonts w:asciiTheme="minorHAnsi" w:hAnsiTheme="minorHAnsi" w:cstheme="minorHAnsi"/>
      <w:sz w:val="20"/>
      <w:szCs w:val="20"/>
    </w:rPr>
  </w:style>
  <w:style w:type="paragraph" w:styleId="TOC9">
    <w:name w:val="toc 9"/>
    <w:basedOn w:val="Normal"/>
    <w:next w:val="Normal"/>
    <w:autoRedefine/>
    <w:rsid w:val="00226A36"/>
    <w:pPr>
      <w:ind w:left="1920"/>
    </w:pPr>
    <w:rPr>
      <w:rFonts w:asciiTheme="minorHAnsi" w:hAnsiTheme="minorHAnsi" w:cstheme="minorHAnsi"/>
      <w:sz w:val="20"/>
      <w:szCs w:val="20"/>
    </w:rPr>
  </w:style>
  <w:style w:type="paragraph" w:styleId="ListBullet">
    <w:name w:val="List Bullet"/>
    <w:basedOn w:val="Normal"/>
    <w:rsid w:val="00756B21"/>
    <w:pPr>
      <w:spacing w:before="120"/>
      <w:contextualSpacing/>
    </w:pPr>
  </w:style>
  <w:style w:type="character" w:customStyle="1" w:styleId="HeaderChar">
    <w:name w:val="Header Char"/>
    <w:basedOn w:val="DefaultParagraphFont"/>
    <w:link w:val="Header"/>
    <w:uiPriority w:val="99"/>
    <w:rsid w:val="006D48C4"/>
    <w:rPr>
      <w:rFonts w:ascii="Calibri" w:hAnsi="Calibri"/>
      <w:sz w:val="22"/>
      <w:szCs w:val="24"/>
    </w:rPr>
  </w:style>
  <w:style w:type="table" w:customStyle="1" w:styleId="TableGrid1">
    <w:name w:val="Table Grid1"/>
    <w:basedOn w:val="TableNormal"/>
    <w:next w:val="TableGrid"/>
    <w:rsid w:val="002040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DV2">
    <w:name w:val="GDV 2"/>
    <w:basedOn w:val="DefaultParagraphFont"/>
    <w:uiPriority w:val="1"/>
    <w:qFormat/>
    <w:rsid w:val="009376EE"/>
    <w:rPr>
      <w:rFonts w:ascii="Calibri" w:hAnsi="Calibri" w:cs="Calibri"/>
      <w:color w:val="7030A0"/>
      <w:sz w:val="22"/>
      <w:szCs w:val="22"/>
    </w:rPr>
  </w:style>
  <w:style w:type="character" w:styleId="BookTitle">
    <w:name w:val="Book Title"/>
    <w:uiPriority w:val="33"/>
    <w:qFormat/>
    <w:rsid w:val="002212B7"/>
    <w:rPr>
      <w:i/>
      <w:iCs/>
      <w:smallCaps/>
      <w:spacing w:val="5"/>
    </w:rPr>
  </w:style>
  <w:style w:type="paragraph" w:styleId="ListBullet2">
    <w:name w:val="List Bullet 2"/>
    <w:basedOn w:val="Normal"/>
    <w:rsid w:val="004F62B1"/>
    <w:pPr>
      <w:tabs>
        <w:tab w:val="num" w:pos="1440"/>
      </w:tabs>
      <w:ind w:left="1440" w:hanging="360"/>
      <w:contextualSpacing/>
    </w:pPr>
    <w:rPr>
      <w:sz w:val="22"/>
    </w:rPr>
  </w:style>
  <w:style w:type="paragraph" w:styleId="List">
    <w:name w:val="List"/>
    <w:basedOn w:val="Normal"/>
    <w:link w:val="ListChar"/>
    <w:rsid w:val="004F62B1"/>
    <w:pPr>
      <w:numPr>
        <w:numId w:val="41"/>
      </w:numPr>
      <w:contextualSpacing/>
    </w:pPr>
    <w:rPr>
      <w:sz w:val="22"/>
    </w:rPr>
  </w:style>
  <w:style w:type="paragraph" w:styleId="List2">
    <w:name w:val="List 2"/>
    <w:basedOn w:val="Normal"/>
    <w:rsid w:val="004F62B1"/>
    <w:pPr>
      <w:numPr>
        <w:ilvl w:val="1"/>
        <w:numId w:val="41"/>
      </w:numPr>
      <w:contextualSpacing/>
    </w:pPr>
    <w:rPr>
      <w:sz w:val="22"/>
    </w:rPr>
  </w:style>
  <w:style w:type="paragraph" w:styleId="ListBullet3">
    <w:name w:val="List Bullet 3"/>
    <w:basedOn w:val="Normal"/>
    <w:rsid w:val="004F62B1"/>
    <w:pPr>
      <w:tabs>
        <w:tab w:val="num" w:pos="2160"/>
      </w:tabs>
      <w:ind w:left="2160" w:hanging="360"/>
      <w:contextualSpacing/>
    </w:pPr>
    <w:rPr>
      <w:sz w:val="22"/>
    </w:rPr>
  </w:style>
  <w:style w:type="paragraph" w:customStyle="1" w:styleId="Bullet">
    <w:name w:val="Bullet"/>
    <w:basedOn w:val="ListBullet"/>
    <w:link w:val="BulletChar"/>
    <w:qFormat/>
    <w:rsid w:val="004F62B1"/>
    <w:pPr>
      <w:tabs>
        <w:tab w:val="num" w:pos="720"/>
      </w:tabs>
      <w:spacing w:before="0"/>
      <w:ind w:left="720" w:hanging="360"/>
    </w:pPr>
    <w:rPr>
      <w:sz w:val="22"/>
    </w:rPr>
  </w:style>
  <w:style w:type="paragraph" w:customStyle="1" w:styleId="Level2Bullet">
    <w:name w:val="Level 2 Bullet"/>
    <w:basedOn w:val="ListBullet2"/>
    <w:link w:val="Level2BulletChar"/>
    <w:qFormat/>
    <w:rsid w:val="004F62B1"/>
    <w:pPr>
      <w:numPr>
        <w:ilvl w:val="1"/>
      </w:numPr>
      <w:tabs>
        <w:tab w:val="num" w:pos="1440"/>
      </w:tabs>
      <w:ind w:left="1440" w:hanging="360"/>
    </w:pPr>
  </w:style>
  <w:style w:type="character" w:customStyle="1" w:styleId="BulletChar">
    <w:name w:val="Bullet Char"/>
    <w:basedOn w:val="DefaultParagraphFont"/>
    <w:link w:val="Bullet"/>
    <w:rsid w:val="004F62B1"/>
    <w:rPr>
      <w:rFonts w:ascii="Calibri" w:hAnsi="Calibri"/>
      <w:sz w:val="22"/>
      <w:szCs w:val="24"/>
    </w:rPr>
  </w:style>
  <w:style w:type="paragraph" w:customStyle="1" w:styleId="Level3Bullet">
    <w:name w:val="Level 3 Bullet"/>
    <w:basedOn w:val="ListBullet3"/>
    <w:link w:val="Level3BulletChar"/>
    <w:qFormat/>
    <w:rsid w:val="004F62B1"/>
    <w:pPr>
      <w:numPr>
        <w:ilvl w:val="2"/>
      </w:numPr>
      <w:tabs>
        <w:tab w:val="num" w:pos="2160"/>
      </w:tabs>
      <w:ind w:left="2160" w:hanging="360"/>
    </w:pPr>
  </w:style>
  <w:style w:type="character" w:customStyle="1" w:styleId="Level2BulletChar">
    <w:name w:val="Level 2 Bullet Char"/>
    <w:basedOn w:val="DefaultParagraphFont"/>
    <w:link w:val="Level2Bullet"/>
    <w:rsid w:val="004F62B1"/>
    <w:rPr>
      <w:rFonts w:ascii="Calibri" w:hAnsi="Calibri"/>
      <w:sz w:val="22"/>
      <w:szCs w:val="24"/>
    </w:rPr>
  </w:style>
  <w:style w:type="character" w:customStyle="1" w:styleId="Level3BulletChar">
    <w:name w:val="Level 3 Bullet Char"/>
    <w:basedOn w:val="DefaultParagraphFont"/>
    <w:link w:val="Level3Bullet"/>
    <w:rsid w:val="004F62B1"/>
    <w:rPr>
      <w:rFonts w:ascii="Calibri" w:hAnsi="Calibri"/>
      <w:sz w:val="22"/>
      <w:szCs w:val="24"/>
    </w:rPr>
  </w:style>
  <w:style w:type="paragraph" w:customStyle="1" w:styleId="Level2NumberBullet">
    <w:name w:val="Level 2 Number Bullet"/>
    <w:basedOn w:val="List2"/>
    <w:link w:val="Level2NumberBulletChar"/>
    <w:qFormat/>
    <w:rsid w:val="004F62B1"/>
  </w:style>
  <w:style w:type="character" w:customStyle="1" w:styleId="ListChar">
    <w:name w:val="List Char"/>
    <w:basedOn w:val="DefaultParagraphFont"/>
    <w:link w:val="List"/>
    <w:rsid w:val="004F62B1"/>
    <w:rPr>
      <w:rFonts w:ascii="Calibri" w:hAnsi="Calibri"/>
      <w:sz w:val="22"/>
      <w:szCs w:val="24"/>
    </w:rPr>
  </w:style>
  <w:style w:type="character" w:customStyle="1" w:styleId="Level2NumberBulletChar">
    <w:name w:val="Level 2 Number Bullet Char"/>
    <w:basedOn w:val="DefaultParagraphFont"/>
    <w:link w:val="Level2NumberBullet"/>
    <w:rsid w:val="004F62B1"/>
    <w:rPr>
      <w:rFonts w:ascii="Calibri" w:hAnsi="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20811">
      <w:bodyDiv w:val="1"/>
      <w:marLeft w:val="0"/>
      <w:marRight w:val="0"/>
      <w:marTop w:val="0"/>
      <w:marBottom w:val="0"/>
      <w:divBdr>
        <w:top w:val="none" w:sz="0" w:space="0" w:color="auto"/>
        <w:left w:val="none" w:sz="0" w:space="0" w:color="auto"/>
        <w:bottom w:val="none" w:sz="0" w:space="0" w:color="auto"/>
        <w:right w:val="none" w:sz="0" w:space="0" w:color="auto"/>
      </w:divBdr>
    </w:div>
    <w:div w:id="83385721">
      <w:bodyDiv w:val="1"/>
      <w:marLeft w:val="0"/>
      <w:marRight w:val="0"/>
      <w:marTop w:val="0"/>
      <w:marBottom w:val="0"/>
      <w:divBdr>
        <w:top w:val="none" w:sz="0" w:space="0" w:color="auto"/>
        <w:left w:val="none" w:sz="0" w:space="0" w:color="auto"/>
        <w:bottom w:val="none" w:sz="0" w:space="0" w:color="auto"/>
        <w:right w:val="none" w:sz="0" w:space="0" w:color="auto"/>
      </w:divBdr>
    </w:div>
    <w:div w:id="144471774">
      <w:bodyDiv w:val="1"/>
      <w:marLeft w:val="0"/>
      <w:marRight w:val="0"/>
      <w:marTop w:val="0"/>
      <w:marBottom w:val="0"/>
      <w:divBdr>
        <w:top w:val="none" w:sz="0" w:space="0" w:color="auto"/>
        <w:left w:val="none" w:sz="0" w:space="0" w:color="auto"/>
        <w:bottom w:val="none" w:sz="0" w:space="0" w:color="auto"/>
        <w:right w:val="none" w:sz="0" w:space="0" w:color="auto"/>
      </w:divBdr>
    </w:div>
    <w:div w:id="177157763">
      <w:bodyDiv w:val="1"/>
      <w:marLeft w:val="0"/>
      <w:marRight w:val="0"/>
      <w:marTop w:val="0"/>
      <w:marBottom w:val="0"/>
      <w:divBdr>
        <w:top w:val="none" w:sz="0" w:space="0" w:color="auto"/>
        <w:left w:val="none" w:sz="0" w:space="0" w:color="auto"/>
        <w:bottom w:val="none" w:sz="0" w:space="0" w:color="auto"/>
        <w:right w:val="none" w:sz="0" w:space="0" w:color="auto"/>
      </w:divBdr>
    </w:div>
    <w:div w:id="349333013">
      <w:bodyDiv w:val="1"/>
      <w:marLeft w:val="0"/>
      <w:marRight w:val="0"/>
      <w:marTop w:val="0"/>
      <w:marBottom w:val="0"/>
      <w:divBdr>
        <w:top w:val="none" w:sz="0" w:space="0" w:color="auto"/>
        <w:left w:val="none" w:sz="0" w:space="0" w:color="auto"/>
        <w:bottom w:val="none" w:sz="0" w:space="0" w:color="auto"/>
        <w:right w:val="none" w:sz="0" w:space="0" w:color="auto"/>
      </w:divBdr>
    </w:div>
    <w:div w:id="416370507">
      <w:bodyDiv w:val="1"/>
      <w:marLeft w:val="0"/>
      <w:marRight w:val="0"/>
      <w:marTop w:val="0"/>
      <w:marBottom w:val="0"/>
      <w:divBdr>
        <w:top w:val="none" w:sz="0" w:space="0" w:color="auto"/>
        <w:left w:val="none" w:sz="0" w:space="0" w:color="auto"/>
        <w:bottom w:val="none" w:sz="0" w:space="0" w:color="auto"/>
        <w:right w:val="none" w:sz="0" w:space="0" w:color="auto"/>
      </w:divBdr>
    </w:div>
    <w:div w:id="441800590">
      <w:bodyDiv w:val="1"/>
      <w:marLeft w:val="0"/>
      <w:marRight w:val="0"/>
      <w:marTop w:val="0"/>
      <w:marBottom w:val="0"/>
      <w:divBdr>
        <w:top w:val="none" w:sz="0" w:space="0" w:color="auto"/>
        <w:left w:val="none" w:sz="0" w:space="0" w:color="auto"/>
        <w:bottom w:val="none" w:sz="0" w:space="0" w:color="auto"/>
        <w:right w:val="none" w:sz="0" w:space="0" w:color="auto"/>
      </w:divBdr>
      <w:divsChild>
        <w:div w:id="47344378">
          <w:marLeft w:val="720"/>
          <w:marRight w:val="0"/>
          <w:marTop w:val="0"/>
          <w:marBottom w:val="0"/>
          <w:divBdr>
            <w:top w:val="none" w:sz="0" w:space="0" w:color="auto"/>
            <w:left w:val="none" w:sz="0" w:space="0" w:color="auto"/>
            <w:bottom w:val="none" w:sz="0" w:space="0" w:color="auto"/>
            <w:right w:val="none" w:sz="0" w:space="0" w:color="auto"/>
          </w:divBdr>
        </w:div>
        <w:div w:id="604114095">
          <w:marLeft w:val="720"/>
          <w:marRight w:val="0"/>
          <w:marTop w:val="0"/>
          <w:marBottom w:val="0"/>
          <w:divBdr>
            <w:top w:val="none" w:sz="0" w:space="0" w:color="auto"/>
            <w:left w:val="none" w:sz="0" w:space="0" w:color="auto"/>
            <w:bottom w:val="none" w:sz="0" w:space="0" w:color="auto"/>
            <w:right w:val="none" w:sz="0" w:space="0" w:color="auto"/>
          </w:divBdr>
        </w:div>
        <w:div w:id="879590930">
          <w:marLeft w:val="720"/>
          <w:marRight w:val="0"/>
          <w:marTop w:val="0"/>
          <w:marBottom w:val="0"/>
          <w:divBdr>
            <w:top w:val="none" w:sz="0" w:space="0" w:color="auto"/>
            <w:left w:val="none" w:sz="0" w:space="0" w:color="auto"/>
            <w:bottom w:val="none" w:sz="0" w:space="0" w:color="auto"/>
            <w:right w:val="none" w:sz="0" w:space="0" w:color="auto"/>
          </w:divBdr>
        </w:div>
      </w:divsChild>
    </w:div>
    <w:div w:id="462381647">
      <w:bodyDiv w:val="1"/>
      <w:marLeft w:val="0"/>
      <w:marRight w:val="0"/>
      <w:marTop w:val="0"/>
      <w:marBottom w:val="0"/>
      <w:divBdr>
        <w:top w:val="none" w:sz="0" w:space="0" w:color="auto"/>
        <w:left w:val="none" w:sz="0" w:space="0" w:color="auto"/>
        <w:bottom w:val="none" w:sz="0" w:space="0" w:color="auto"/>
        <w:right w:val="none" w:sz="0" w:space="0" w:color="auto"/>
      </w:divBdr>
    </w:div>
    <w:div w:id="475991721">
      <w:bodyDiv w:val="1"/>
      <w:marLeft w:val="0"/>
      <w:marRight w:val="0"/>
      <w:marTop w:val="0"/>
      <w:marBottom w:val="0"/>
      <w:divBdr>
        <w:top w:val="none" w:sz="0" w:space="0" w:color="auto"/>
        <w:left w:val="none" w:sz="0" w:space="0" w:color="auto"/>
        <w:bottom w:val="none" w:sz="0" w:space="0" w:color="auto"/>
        <w:right w:val="none" w:sz="0" w:space="0" w:color="auto"/>
      </w:divBdr>
      <w:divsChild>
        <w:div w:id="516231855">
          <w:marLeft w:val="547"/>
          <w:marRight w:val="0"/>
          <w:marTop w:val="240"/>
          <w:marBottom w:val="0"/>
          <w:divBdr>
            <w:top w:val="none" w:sz="0" w:space="0" w:color="auto"/>
            <w:left w:val="none" w:sz="0" w:space="0" w:color="auto"/>
            <w:bottom w:val="none" w:sz="0" w:space="0" w:color="auto"/>
            <w:right w:val="none" w:sz="0" w:space="0" w:color="auto"/>
          </w:divBdr>
        </w:div>
        <w:div w:id="1416702160">
          <w:marLeft w:val="547"/>
          <w:marRight w:val="0"/>
          <w:marTop w:val="240"/>
          <w:marBottom w:val="0"/>
          <w:divBdr>
            <w:top w:val="none" w:sz="0" w:space="0" w:color="auto"/>
            <w:left w:val="none" w:sz="0" w:space="0" w:color="auto"/>
            <w:bottom w:val="none" w:sz="0" w:space="0" w:color="auto"/>
            <w:right w:val="none" w:sz="0" w:space="0" w:color="auto"/>
          </w:divBdr>
        </w:div>
        <w:div w:id="455834219">
          <w:marLeft w:val="547"/>
          <w:marRight w:val="0"/>
          <w:marTop w:val="240"/>
          <w:marBottom w:val="0"/>
          <w:divBdr>
            <w:top w:val="none" w:sz="0" w:space="0" w:color="auto"/>
            <w:left w:val="none" w:sz="0" w:space="0" w:color="auto"/>
            <w:bottom w:val="none" w:sz="0" w:space="0" w:color="auto"/>
            <w:right w:val="none" w:sz="0" w:space="0" w:color="auto"/>
          </w:divBdr>
        </w:div>
        <w:div w:id="1005978108">
          <w:marLeft w:val="547"/>
          <w:marRight w:val="0"/>
          <w:marTop w:val="240"/>
          <w:marBottom w:val="0"/>
          <w:divBdr>
            <w:top w:val="none" w:sz="0" w:space="0" w:color="auto"/>
            <w:left w:val="none" w:sz="0" w:space="0" w:color="auto"/>
            <w:bottom w:val="none" w:sz="0" w:space="0" w:color="auto"/>
            <w:right w:val="none" w:sz="0" w:space="0" w:color="auto"/>
          </w:divBdr>
        </w:div>
        <w:div w:id="658584188">
          <w:marLeft w:val="547"/>
          <w:marRight w:val="0"/>
          <w:marTop w:val="240"/>
          <w:marBottom w:val="0"/>
          <w:divBdr>
            <w:top w:val="none" w:sz="0" w:space="0" w:color="auto"/>
            <w:left w:val="none" w:sz="0" w:space="0" w:color="auto"/>
            <w:bottom w:val="none" w:sz="0" w:space="0" w:color="auto"/>
            <w:right w:val="none" w:sz="0" w:space="0" w:color="auto"/>
          </w:divBdr>
        </w:div>
        <w:div w:id="1576821176">
          <w:marLeft w:val="547"/>
          <w:marRight w:val="0"/>
          <w:marTop w:val="240"/>
          <w:marBottom w:val="0"/>
          <w:divBdr>
            <w:top w:val="none" w:sz="0" w:space="0" w:color="auto"/>
            <w:left w:val="none" w:sz="0" w:space="0" w:color="auto"/>
            <w:bottom w:val="none" w:sz="0" w:space="0" w:color="auto"/>
            <w:right w:val="none" w:sz="0" w:space="0" w:color="auto"/>
          </w:divBdr>
        </w:div>
        <w:div w:id="555581293">
          <w:marLeft w:val="547"/>
          <w:marRight w:val="0"/>
          <w:marTop w:val="240"/>
          <w:marBottom w:val="0"/>
          <w:divBdr>
            <w:top w:val="none" w:sz="0" w:space="0" w:color="auto"/>
            <w:left w:val="none" w:sz="0" w:space="0" w:color="auto"/>
            <w:bottom w:val="none" w:sz="0" w:space="0" w:color="auto"/>
            <w:right w:val="none" w:sz="0" w:space="0" w:color="auto"/>
          </w:divBdr>
        </w:div>
      </w:divsChild>
    </w:div>
    <w:div w:id="494107793">
      <w:bodyDiv w:val="1"/>
      <w:marLeft w:val="0"/>
      <w:marRight w:val="0"/>
      <w:marTop w:val="0"/>
      <w:marBottom w:val="0"/>
      <w:divBdr>
        <w:top w:val="none" w:sz="0" w:space="0" w:color="auto"/>
        <w:left w:val="none" w:sz="0" w:space="0" w:color="auto"/>
        <w:bottom w:val="none" w:sz="0" w:space="0" w:color="auto"/>
        <w:right w:val="none" w:sz="0" w:space="0" w:color="auto"/>
      </w:divBdr>
    </w:div>
    <w:div w:id="707417581">
      <w:bodyDiv w:val="1"/>
      <w:marLeft w:val="0"/>
      <w:marRight w:val="0"/>
      <w:marTop w:val="0"/>
      <w:marBottom w:val="0"/>
      <w:divBdr>
        <w:top w:val="none" w:sz="0" w:space="0" w:color="auto"/>
        <w:left w:val="none" w:sz="0" w:space="0" w:color="auto"/>
        <w:bottom w:val="none" w:sz="0" w:space="0" w:color="auto"/>
        <w:right w:val="none" w:sz="0" w:space="0" w:color="auto"/>
      </w:divBdr>
    </w:div>
    <w:div w:id="799420695">
      <w:bodyDiv w:val="1"/>
      <w:marLeft w:val="0"/>
      <w:marRight w:val="0"/>
      <w:marTop w:val="0"/>
      <w:marBottom w:val="0"/>
      <w:divBdr>
        <w:top w:val="none" w:sz="0" w:space="0" w:color="auto"/>
        <w:left w:val="none" w:sz="0" w:space="0" w:color="auto"/>
        <w:bottom w:val="none" w:sz="0" w:space="0" w:color="auto"/>
        <w:right w:val="none" w:sz="0" w:space="0" w:color="auto"/>
      </w:divBdr>
    </w:div>
    <w:div w:id="821316259">
      <w:bodyDiv w:val="1"/>
      <w:marLeft w:val="0"/>
      <w:marRight w:val="0"/>
      <w:marTop w:val="0"/>
      <w:marBottom w:val="0"/>
      <w:divBdr>
        <w:top w:val="none" w:sz="0" w:space="0" w:color="auto"/>
        <w:left w:val="none" w:sz="0" w:space="0" w:color="auto"/>
        <w:bottom w:val="none" w:sz="0" w:space="0" w:color="auto"/>
        <w:right w:val="none" w:sz="0" w:space="0" w:color="auto"/>
      </w:divBdr>
    </w:div>
    <w:div w:id="863861515">
      <w:bodyDiv w:val="1"/>
      <w:marLeft w:val="0"/>
      <w:marRight w:val="0"/>
      <w:marTop w:val="0"/>
      <w:marBottom w:val="0"/>
      <w:divBdr>
        <w:top w:val="none" w:sz="0" w:space="0" w:color="auto"/>
        <w:left w:val="none" w:sz="0" w:space="0" w:color="auto"/>
        <w:bottom w:val="none" w:sz="0" w:space="0" w:color="auto"/>
        <w:right w:val="none" w:sz="0" w:space="0" w:color="auto"/>
      </w:divBdr>
      <w:divsChild>
        <w:div w:id="396518977">
          <w:marLeft w:val="720"/>
          <w:marRight w:val="0"/>
          <w:marTop w:val="0"/>
          <w:marBottom w:val="0"/>
          <w:divBdr>
            <w:top w:val="none" w:sz="0" w:space="0" w:color="auto"/>
            <w:left w:val="none" w:sz="0" w:space="0" w:color="auto"/>
            <w:bottom w:val="none" w:sz="0" w:space="0" w:color="auto"/>
            <w:right w:val="none" w:sz="0" w:space="0" w:color="auto"/>
          </w:divBdr>
        </w:div>
        <w:div w:id="1845247308">
          <w:marLeft w:val="720"/>
          <w:marRight w:val="0"/>
          <w:marTop w:val="0"/>
          <w:marBottom w:val="0"/>
          <w:divBdr>
            <w:top w:val="none" w:sz="0" w:space="0" w:color="auto"/>
            <w:left w:val="none" w:sz="0" w:space="0" w:color="auto"/>
            <w:bottom w:val="none" w:sz="0" w:space="0" w:color="auto"/>
            <w:right w:val="none" w:sz="0" w:space="0" w:color="auto"/>
          </w:divBdr>
        </w:div>
      </w:divsChild>
    </w:div>
    <w:div w:id="912279460">
      <w:bodyDiv w:val="1"/>
      <w:marLeft w:val="0"/>
      <w:marRight w:val="0"/>
      <w:marTop w:val="0"/>
      <w:marBottom w:val="0"/>
      <w:divBdr>
        <w:top w:val="none" w:sz="0" w:space="0" w:color="auto"/>
        <w:left w:val="none" w:sz="0" w:space="0" w:color="auto"/>
        <w:bottom w:val="none" w:sz="0" w:space="0" w:color="auto"/>
        <w:right w:val="none" w:sz="0" w:space="0" w:color="auto"/>
      </w:divBdr>
      <w:divsChild>
        <w:div w:id="1799180592">
          <w:marLeft w:val="547"/>
          <w:marRight w:val="0"/>
          <w:marTop w:val="115"/>
          <w:marBottom w:val="0"/>
          <w:divBdr>
            <w:top w:val="none" w:sz="0" w:space="0" w:color="auto"/>
            <w:left w:val="none" w:sz="0" w:space="0" w:color="auto"/>
            <w:bottom w:val="none" w:sz="0" w:space="0" w:color="auto"/>
            <w:right w:val="none" w:sz="0" w:space="0" w:color="auto"/>
          </w:divBdr>
        </w:div>
      </w:divsChild>
    </w:div>
    <w:div w:id="933826409">
      <w:bodyDiv w:val="1"/>
      <w:marLeft w:val="0"/>
      <w:marRight w:val="0"/>
      <w:marTop w:val="0"/>
      <w:marBottom w:val="0"/>
      <w:divBdr>
        <w:top w:val="none" w:sz="0" w:space="0" w:color="auto"/>
        <w:left w:val="none" w:sz="0" w:space="0" w:color="auto"/>
        <w:bottom w:val="none" w:sz="0" w:space="0" w:color="auto"/>
        <w:right w:val="none" w:sz="0" w:space="0" w:color="auto"/>
      </w:divBdr>
      <w:divsChild>
        <w:div w:id="1543904689">
          <w:marLeft w:val="547"/>
          <w:marRight w:val="0"/>
          <w:marTop w:val="115"/>
          <w:marBottom w:val="0"/>
          <w:divBdr>
            <w:top w:val="none" w:sz="0" w:space="0" w:color="auto"/>
            <w:left w:val="none" w:sz="0" w:space="0" w:color="auto"/>
            <w:bottom w:val="none" w:sz="0" w:space="0" w:color="auto"/>
            <w:right w:val="none" w:sz="0" w:space="0" w:color="auto"/>
          </w:divBdr>
        </w:div>
        <w:div w:id="170216962">
          <w:marLeft w:val="547"/>
          <w:marRight w:val="0"/>
          <w:marTop w:val="115"/>
          <w:marBottom w:val="0"/>
          <w:divBdr>
            <w:top w:val="none" w:sz="0" w:space="0" w:color="auto"/>
            <w:left w:val="none" w:sz="0" w:space="0" w:color="auto"/>
            <w:bottom w:val="none" w:sz="0" w:space="0" w:color="auto"/>
            <w:right w:val="none" w:sz="0" w:space="0" w:color="auto"/>
          </w:divBdr>
        </w:div>
        <w:div w:id="1877964408">
          <w:marLeft w:val="547"/>
          <w:marRight w:val="0"/>
          <w:marTop w:val="115"/>
          <w:marBottom w:val="0"/>
          <w:divBdr>
            <w:top w:val="none" w:sz="0" w:space="0" w:color="auto"/>
            <w:left w:val="none" w:sz="0" w:space="0" w:color="auto"/>
            <w:bottom w:val="none" w:sz="0" w:space="0" w:color="auto"/>
            <w:right w:val="none" w:sz="0" w:space="0" w:color="auto"/>
          </w:divBdr>
        </w:div>
        <w:div w:id="1275095512">
          <w:marLeft w:val="547"/>
          <w:marRight w:val="0"/>
          <w:marTop w:val="115"/>
          <w:marBottom w:val="0"/>
          <w:divBdr>
            <w:top w:val="none" w:sz="0" w:space="0" w:color="auto"/>
            <w:left w:val="none" w:sz="0" w:space="0" w:color="auto"/>
            <w:bottom w:val="none" w:sz="0" w:space="0" w:color="auto"/>
            <w:right w:val="none" w:sz="0" w:space="0" w:color="auto"/>
          </w:divBdr>
        </w:div>
      </w:divsChild>
    </w:div>
    <w:div w:id="942616766">
      <w:bodyDiv w:val="1"/>
      <w:marLeft w:val="0"/>
      <w:marRight w:val="0"/>
      <w:marTop w:val="0"/>
      <w:marBottom w:val="0"/>
      <w:divBdr>
        <w:top w:val="none" w:sz="0" w:space="0" w:color="auto"/>
        <w:left w:val="none" w:sz="0" w:space="0" w:color="auto"/>
        <w:bottom w:val="none" w:sz="0" w:space="0" w:color="auto"/>
        <w:right w:val="none" w:sz="0" w:space="0" w:color="auto"/>
      </w:divBdr>
    </w:div>
    <w:div w:id="962081598">
      <w:bodyDiv w:val="1"/>
      <w:marLeft w:val="0"/>
      <w:marRight w:val="0"/>
      <w:marTop w:val="0"/>
      <w:marBottom w:val="0"/>
      <w:divBdr>
        <w:top w:val="none" w:sz="0" w:space="0" w:color="auto"/>
        <w:left w:val="none" w:sz="0" w:space="0" w:color="auto"/>
        <w:bottom w:val="none" w:sz="0" w:space="0" w:color="auto"/>
        <w:right w:val="none" w:sz="0" w:space="0" w:color="auto"/>
      </w:divBdr>
    </w:div>
    <w:div w:id="964430781">
      <w:bodyDiv w:val="1"/>
      <w:marLeft w:val="0"/>
      <w:marRight w:val="0"/>
      <w:marTop w:val="0"/>
      <w:marBottom w:val="0"/>
      <w:divBdr>
        <w:top w:val="none" w:sz="0" w:space="0" w:color="auto"/>
        <w:left w:val="none" w:sz="0" w:space="0" w:color="auto"/>
        <w:bottom w:val="none" w:sz="0" w:space="0" w:color="auto"/>
        <w:right w:val="none" w:sz="0" w:space="0" w:color="auto"/>
      </w:divBdr>
    </w:div>
    <w:div w:id="998850802">
      <w:bodyDiv w:val="1"/>
      <w:marLeft w:val="0"/>
      <w:marRight w:val="0"/>
      <w:marTop w:val="0"/>
      <w:marBottom w:val="0"/>
      <w:divBdr>
        <w:top w:val="none" w:sz="0" w:space="0" w:color="auto"/>
        <w:left w:val="none" w:sz="0" w:space="0" w:color="auto"/>
        <w:bottom w:val="none" w:sz="0" w:space="0" w:color="auto"/>
        <w:right w:val="none" w:sz="0" w:space="0" w:color="auto"/>
      </w:divBdr>
    </w:div>
    <w:div w:id="1038356165">
      <w:bodyDiv w:val="1"/>
      <w:marLeft w:val="0"/>
      <w:marRight w:val="0"/>
      <w:marTop w:val="0"/>
      <w:marBottom w:val="0"/>
      <w:divBdr>
        <w:top w:val="none" w:sz="0" w:space="0" w:color="auto"/>
        <w:left w:val="none" w:sz="0" w:space="0" w:color="auto"/>
        <w:bottom w:val="none" w:sz="0" w:space="0" w:color="auto"/>
        <w:right w:val="none" w:sz="0" w:space="0" w:color="auto"/>
      </w:divBdr>
    </w:div>
    <w:div w:id="1117135875">
      <w:bodyDiv w:val="1"/>
      <w:marLeft w:val="0"/>
      <w:marRight w:val="0"/>
      <w:marTop w:val="0"/>
      <w:marBottom w:val="0"/>
      <w:divBdr>
        <w:top w:val="none" w:sz="0" w:space="0" w:color="auto"/>
        <w:left w:val="none" w:sz="0" w:space="0" w:color="auto"/>
        <w:bottom w:val="none" w:sz="0" w:space="0" w:color="auto"/>
        <w:right w:val="none" w:sz="0" w:space="0" w:color="auto"/>
      </w:divBdr>
    </w:div>
    <w:div w:id="1140685485">
      <w:bodyDiv w:val="1"/>
      <w:marLeft w:val="0"/>
      <w:marRight w:val="0"/>
      <w:marTop w:val="0"/>
      <w:marBottom w:val="0"/>
      <w:divBdr>
        <w:top w:val="none" w:sz="0" w:space="0" w:color="auto"/>
        <w:left w:val="none" w:sz="0" w:space="0" w:color="auto"/>
        <w:bottom w:val="none" w:sz="0" w:space="0" w:color="auto"/>
        <w:right w:val="none" w:sz="0" w:space="0" w:color="auto"/>
      </w:divBdr>
    </w:div>
    <w:div w:id="1205212029">
      <w:bodyDiv w:val="1"/>
      <w:marLeft w:val="0"/>
      <w:marRight w:val="0"/>
      <w:marTop w:val="0"/>
      <w:marBottom w:val="0"/>
      <w:divBdr>
        <w:top w:val="none" w:sz="0" w:space="0" w:color="auto"/>
        <w:left w:val="none" w:sz="0" w:space="0" w:color="auto"/>
        <w:bottom w:val="none" w:sz="0" w:space="0" w:color="auto"/>
        <w:right w:val="none" w:sz="0" w:space="0" w:color="auto"/>
      </w:divBdr>
      <w:divsChild>
        <w:div w:id="1695810584">
          <w:marLeft w:val="720"/>
          <w:marRight w:val="0"/>
          <w:marTop w:val="0"/>
          <w:marBottom w:val="0"/>
          <w:divBdr>
            <w:top w:val="none" w:sz="0" w:space="0" w:color="auto"/>
            <w:left w:val="none" w:sz="0" w:space="0" w:color="auto"/>
            <w:bottom w:val="none" w:sz="0" w:space="0" w:color="auto"/>
            <w:right w:val="none" w:sz="0" w:space="0" w:color="auto"/>
          </w:divBdr>
        </w:div>
        <w:div w:id="418451914">
          <w:marLeft w:val="720"/>
          <w:marRight w:val="0"/>
          <w:marTop w:val="0"/>
          <w:marBottom w:val="0"/>
          <w:divBdr>
            <w:top w:val="none" w:sz="0" w:space="0" w:color="auto"/>
            <w:left w:val="none" w:sz="0" w:space="0" w:color="auto"/>
            <w:bottom w:val="none" w:sz="0" w:space="0" w:color="auto"/>
            <w:right w:val="none" w:sz="0" w:space="0" w:color="auto"/>
          </w:divBdr>
        </w:div>
        <w:div w:id="161092569">
          <w:marLeft w:val="720"/>
          <w:marRight w:val="0"/>
          <w:marTop w:val="0"/>
          <w:marBottom w:val="0"/>
          <w:divBdr>
            <w:top w:val="none" w:sz="0" w:space="0" w:color="auto"/>
            <w:left w:val="none" w:sz="0" w:space="0" w:color="auto"/>
            <w:bottom w:val="none" w:sz="0" w:space="0" w:color="auto"/>
            <w:right w:val="none" w:sz="0" w:space="0" w:color="auto"/>
          </w:divBdr>
        </w:div>
        <w:div w:id="1766683534">
          <w:marLeft w:val="720"/>
          <w:marRight w:val="0"/>
          <w:marTop w:val="0"/>
          <w:marBottom w:val="0"/>
          <w:divBdr>
            <w:top w:val="none" w:sz="0" w:space="0" w:color="auto"/>
            <w:left w:val="none" w:sz="0" w:space="0" w:color="auto"/>
            <w:bottom w:val="none" w:sz="0" w:space="0" w:color="auto"/>
            <w:right w:val="none" w:sz="0" w:space="0" w:color="auto"/>
          </w:divBdr>
        </w:div>
      </w:divsChild>
    </w:div>
    <w:div w:id="1216435072">
      <w:bodyDiv w:val="1"/>
      <w:marLeft w:val="0"/>
      <w:marRight w:val="0"/>
      <w:marTop w:val="0"/>
      <w:marBottom w:val="0"/>
      <w:divBdr>
        <w:top w:val="none" w:sz="0" w:space="0" w:color="auto"/>
        <w:left w:val="none" w:sz="0" w:space="0" w:color="auto"/>
        <w:bottom w:val="none" w:sz="0" w:space="0" w:color="auto"/>
        <w:right w:val="none" w:sz="0" w:space="0" w:color="auto"/>
      </w:divBdr>
    </w:div>
    <w:div w:id="1227646582">
      <w:bodyDiv w:val="1"/>
      <w:marLeft w:val="0"/>
      <w:marRight w:val="0"/>
      <w:marTop w:val="0"/>
      <w:marBottom w:val="0"/>
      <w:divBdr>
        <w:top w:val="none" w:sz="0" w:space="0" w:color="auto"/>
        <w:left w:val="none" w:sz="0" w:space="0" w:color="auto"/>
        <w:bottom w:val="none" w:sz="0" w:space="0" w:color="auto"/>
        <w:right w:val="none" w:sz="0" w:space="0" w:color="auto"/>
      </w:divBdr>
    </w:div>
    <w:div w:id="1351494248">
      <w:bodyDiv w:val="1"/>
      <w:marLeft w:val="0"/>
      <w:marRight w:val="0"/>
      <w:marTop w:val="0"/>
      <w:marBottom w:val="0"/>
      <w:divBdr>
        <w:top w:val="none" w:sz="0" w:space="0" w:color="auto"/>
        <w:left w:val="none" w:sz="0" w:space="0" w:color="auto"/>
        <w:bottom w:val="none" w:sz="0" w:space="0" w:color="auto"/>
        <w:right w:val="none" w:sz="0" w:space="0" w:color="auto"/>
      </w:divBdr>
      <w:divsChild>
        <w:div w:id="1140730334">
          <w:marLeft w:val="547"/>
          <w:marRight w:val="0"/>
          <w:marTop w:val="86"/>
          <w:marBottom w:val="0"/>
          <w:divBdr>
            <w:top w:val="none" w:sz="0" w:space="0" w:color="auto"/>
            <w:left w:val="none" w:sz="0" w:space="0" w:color="auto"/>
            <w:bottom w:val="none" w:sz="0" w:space="0" w:color="auto"/>
            <w:right w:val="none" w:sz="0" w:space="0" w:color="auto"/>
          </w:divBdr>
        </w:div>
      </w:divsChild>
    </w:div>
    <w:div w:id="1381827606">
      <w:bodyDiv w:val="1"/>
      <w:marLeft w:val="0"/>
      <w:marRight w:val="0"/>
      <w:marTop w:val="0"/>
      <w:marBottom w:val="0"/>
      <w:divBdr>
        <w:top w:val="none" w:sz="0" w:space="0" w:color="auto"/>
        <w:left w:val="none" w:sz="0" w:space="0" w:color="auto"/>
        <w:bottom w:val="none" w:sz="0" w:space="0" w:color="auto"/>
        <w:right w:val="none" w:sz="0" w:space="0" w:color="auto"/>
      </w:divBdr>
      <w:divsChild>
        <w:div w:id="1784298896">
          <w:marLeft w:val="0"/>
          <w:marRight w:val="0"/>
          <w:marTop w:val="0"/>
          <w:marBottom w:val="0"/>
          <w:divBdr>
            <w:top w:val="none" w:sz="0" w:space="0" w:color="auto"/>
            <w:left w:val="none" w:sz="0" w:space="0" w:color="auto"/>
            <w:bottom w:val="none" w:sz="0" w:space="0" w:color="auto"/>
            <w:right w:val="none" w:sz="0" w:space="0" w:color="auto"/>
          </w:divBdr>
          <w:divsChild>
            <w:div w:id="29348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84731">
      <w:bodyDiv w:val="1"/>
      <w:marLeft w:val="0"/>
      <w:marRight w:val="0"/>
      <w:marTop w:val="0"/>
      <w:marBottom w:val="0"/>
      <w:divBdr>
        <w:top w:val="none" w:sz="0" w:space="0" w:color="auto"/>
        <w:left w:val="none" w:sz="0" w:space="0" w:color="auto"/>
        <w:bottom w:val="none" w:sz="0" w:space="0" w:color="auto"/>
        <w:right w:val="none" w:sz="0" w:space="0" w:color="auto"/>
      </w:divBdr>
      <w:divsChild>
        <w:div w:id="1129011347">
          <w:marLeft w:val="547"/>
          <w:marRight w:val="0"/>
          <w:marTop w:val="264"/>
          <w:marBottom w:val="0"/>
          <w:divBdr>
            <w:top w:val="none" w:sz="0" w:space="0" w:color="auto"/>
            <w:left w:val="none" w:sz="0" w:space="0" w:color="auto"/>
            <w:bottom w:val="none" w:sz="0" w:space="0" w:color="auto"/>
            <w:right w:val="none" w:sz="0" w:space="0" w:color="auto"/>
          </w:divBdr>
        </w:div>
        <w:div w:id="1133984441">
          <w:marLeft w:val="1166"/>
          <w:marRight w:val="0"/>
          <w:marTop w:val="77"/>
          <w:marBottom w:val="0"/>
          <w:divBdr>
            <w:top w:val="none" w:sz="0" w:space="0" w:color="auto"/>
            <w:left w:val="none" w:sz="0" w:space="0" w:color="auto"/>
            <w:bottom w:val="none" w:sz="0" w:space="0" w:color="auto"/>
            <w:right w:val="none" w:sz="0" w:space="0" w:color="auto"/>
          </w:divBdr>
        </w:div>
        <w:div w:id="945624128">
          <w:marLeft w:val="1166"/>
          <w:marRight w:val="0"/>
          <w:marTop w:val="77"/>
          <w:marBottom w:val="0"/>
          <w:divBdr>
            <w:top w:val="none" w:sz="0" w:space="0" w:color="auto"/>
            <w:left w:val="none" w:sz="0" w:space="0" w:color="auto"/>
            <w:bottom w:val="none" w:sz="0" w:space="0" w:color="auto"/>
            <w:right w:val="none" w:sz="0" w:space="0" w:color="auto"/>
          </w:divBdr>
        </w:div>
        <w:div w:id="858548938">
          <w:marLeft w:val="1166"/>
          <w:marRight w:val="0"/>
          <w:marTop w:val="77"/>
          <w:marBottom w:val="0"/>
          <w:divBdr>
            <w:top w:val="none" w:sz="0" w:space="0" w:color="auto"/>
            <w:left w:val="none" w:sz="0" w:space="0" w:color="auto"/>
            <w:bottom w:val="none" w:sz="0" w:space="0" w:color="auto"/>
            <w:right w:val="none" w:sz="0" w:space="0" w:color="auto"/>
          </w:divBdr>
        </w:div>
      </w:divsChild>
    </w:div>
    <w:div w:id="1617059066">
      <w:bodyDiv w:val="1"/>
      <w:marLeft w:val="0"/>
      <w:marRight w:val="0"/>
      <w:marTop w:val="0"/>
      <w:marBottom w:val="0"/>
      <w:divBdr>
        <w:top w:val="none" w:sz="0" w:space="0" w:color="auto"/>
        <w:left w:val="none" w:sz="0" w:space="0" w:color="auto"/>
        <w:bottom w:val="none" w:sz="0" w:space="0" w:color="auto"/>
        <w:right w:val="none" w:sz="0" w:space="0" w:color="auto"/>
      </w:divBdr>
    </w:div>
    <w:div w:id="1772705332">
      <w:bodyDiv w:val="1"/>
      <w:marLeft w:val="0"/>
      <w:marRight w:val="0"/>
      <w:marTop w:val="0"/>
      <w:marBottom w:val="0"/>
      <w:divBdr>
        <w:top w:val="none" w:sz="0" w:space="0" w:color="auto"/>
        <w:left w:val="none" w:sz="0" w:space="0" w:color="auto"/>
        <w:bottom w:val="none" w:sz="0" w:space="0" w:color="auto"/>
        <w:right w:val="none" w:sz="0" w:space="0" w:color="auto"/>
      </w:divBdr>
    </w:div>
    <w:div w:id="1779525665">
      <w:bodyDiv w:val="1"/>
      <w:marLeft w:val="0"/>
      <w:marRight w:val="0"/>
      <w:marTop w:val="0"/>
      <w:marBottom w:val="0"/>
      <w:divBdr>
        <w:top w:val="none" w:sz="0" w:space="0" w:color="auto"/>
        <w:left w:val="none" w:sz="0" w:space="0" w:color="auto"/>
        <w:bottom w:val="none" w:sz="0" w:space="0" w:color="auto"/>
        <w:right w:val="none" w:sz="0" w:space="0" w:color="auto"/>
      </w:divBdr>
    </w:div>
    <w:div w:id="1863783290">
      <w:bodyDiv w:val="1"/>
      <w:marLeft w:val="0"/>
      <w:marRight w:val="0"/>
      <w:marTop w:val="0"/>
      <w:marBottom w:val="0"/>
      <w:divBdr>
        <w:top w:val="none" w:sz="0" w:space="0" w:color="auto"/>
        <w:left w:val="none" w:sz="0" w:space="0" w:color="auto"/>
        <w:bottom w:val="none" w:sz="0" w:space="0" w:color="auto"/>
        <w:right w:val="none" w:sz="0" w:space="0" w:color="auto"/>
      </w:divBdr>
    </w:div>
    <w:div w:id="1929196840">
      <w:bodyDiv w:val="1"/>
      <w:marLeft w:val="0"/>
      <w:marRight w:val="0"/>
      <w:marTop w:val="0"/>
      <w:marBottom w:val="0"/>
      <w:divBdr>
        <w:top w:val="none" w:sz="0" w:space="0" w:color="auto"/>
        <w:left w:val="none" w:sz="0" w:space="0" w:color="auto"/>
        <w:bottom w:val="none" w:sz="0" w:space="0" w:color="auto"/>
        <w:right w:val="none" w:sz="0" w:space="0" w:color="auto"/>
      </w:divBdr>
    </w:div>
    <w:div w:id="2045250851">
      <w:bodyDiv w:val="1"/>
      <w:marLeft w:val="0"/>
      <w:marRight w:val="0"/>
      <w:marTop w:val="0"/>
      <w:marBottom w:val="0"/>
      <w:divBdr>
        <w:top w:val="none" w:sz="0" w:space="0" w:color="auto"/>
        <w:left w:val="none" w:sz="0" w:space="0" w:color="auto"/>
        <w:bottom w:val="none" w:sz="0" w:space="0" w:color="auto"/>
        <w:right w:val="none" w:sz="0" w:space="0" w:color="auto"/>
      </w:divBdr>
      <w:divsChild>
        <w:div w:id="1593274222">
          <w:marLeft w:val="0"/>
          <w:marRight w:val="0"/>
          <w:marTop w:val="0"/>
          <w:marBottom w:val="0"/>
          <w:divBdr>
            <w:top w:val="none" w:sz="0" w:space="0" w:color="auto"/>
            <w:left w:val="none" w:sz="0" w:space="0" w:color="auto"/>
            <w:bottom w:val="none" w:sz="0" w:space="0" w:color="auto"/>
            <w:right w:val="none" w:sz="0" w:space="0" w:color="auto"/>
          </w:divBdr>
          <w:divsChild>
            <w:div w:id="777598889">
              <w:marLeft w:val="0"/>
              <w:marRight w:val="0"/>
              <w:marTop w:val="150"/>
              <w:marBottom w:val="0"/>
              <w:divBdr>
                <w:top w:val="none" w:sz="0" w:space="0" w:color="auto"/>
                <w:left w:val="none" w:sz="0" w:space="0" w:color="auto"/>
                <w:bottom w:val="none" w:sz="0" w:space="0" w:color="auto"/>
                <w:right w:val="none" w:sz="0" w:space="0" w:color="auto"/>
              </w:divBdr>
              <w:divsChild>
                <w:div w:id="1697730500">
                  <w:marLeft w:val="0"/>
                  <w:marRight w:val="0"/>
                  <w:marTop w:val="0"/>
                  <w:marBottom w:val="0"/>
                  <w:divBdr>
                    <w:top w:val="none" w:sz="0" w:space="0" w:color="auto"/>
                    <w:left w:val="none" w:sz="0" w:space="0" w:color="auto"/>
                    <w:bottom w:val="none" w:sz="0" w:space="0" w:color="auto"/>
                    <w:right w:val="none" w:sz="0" w:space="0" w:color="auto"/>
                  </w:divBdr>
                  <w:divsChild>
                    <w:div w:id="1171409491">
                      <w:marLeft w:val="0"/>
                      <w:marRight w:val="0"/>
                      <w:marTop w:val="0"/>
                      <w:marBottom w:val="0"/>
                      <w:divBdr>
                        <w:top w:val="none" w:sz="0" w:space="0" w:color="auto"/>
                        <w:left w:val="none" w:sz="0" w:space="0" w:color="auto"/>
                        <w:bottom w:val="none" w:sz="0" w:space="0" w:color="auto"/>
                        <w:right w:val="none" w:sz="0" w:space="0" w:color="auto"/>
                      </w:divBdr>
                      <w:divsChild>
                        <w:div w:id="1237596489">
                          <w:marLeft w:val="0"/>
                          <w:marRight w:val="0"/>
                          <w:marTop w:val="0"/>
                          <w:marBottom w:val="0"/>
                          <w:divBdr>
                            <w:top w:val="none" w:sz="0" w:space="0" w:color="auto"/>
                            <w:left w:val="none" w:sz="0" w:space="0" w:color="auto"/>
                            <w:bottom w:val="none" w:sz="0" w:space="0" w:color="auto"/>
                            <w:right w:val="none" w:sz="0" w:space="0" w:color="auto"/>
                          </w:divBdr>
                          <w:divsChild>
                            <w:div w:id="638221593">
                              <w:marLeft w:val="0"/>
                              <w:marRight w:val="0"/>
                              <w:marTop w:val="0"/>
                              <w:marBottom w:val="0"/>
                              <w:divBdr>
                                <w:top w:val="none" w:sz="0" w:space="0" w:color="auto"/>
                                <w:left w:val="none" w:sz="0" w:space="0" w:color="auto"/>
                                <w:bottom w:val="none" w:sz="0" w:space="0" w:color="auto"/>
                                <w:right w:val="none" w:sz="0" w:space="0" w:color="auto"/>
                              </w:divBdr>
                              <w:divsChild>
                                <w:div w:id="1344434055">
                                  <w:marLeft w:val="0"/>
                                  <w:marRight w:val="0"/>
                                  <w:marTop w:val="0"/>
                                  <w:marBottom w:val="0"/>
                                  <w:divBdr>
                                    <w:top w:val="none" w:sz="0" w:space="0" w:color="auto"/>
                                    <w:left w:val="none" w:sz="0" w:space="0" w:color="auto"/>
                                    <w:bottom w:val="none" w:sz="0" w:space="0" w:color="auto"/>
                                    <w:right w:val="none" w:sz="0" w:space="0" w:color="auto"/>
                                  </w:divBdr>
                                  <w:divsChild>
                                    <w:div w:id="411706106">
                                      <w:marLeft w:val="0"/>
                                      <w:marRight w:val="0"/>
                                      <w:marTop w:val="0"/>
                                      <w:marBottom w:val="0"/>
                                      <w:divBdr>
                                        <w:top w:val="none" w:sz="0" w:space="0" w:color="auto"/>
                                        <w:left w:val="none" w:sz="0" w:space="0" w:color="auto"/>
                                        <w:bottom w:val="none" w:sz="0" w:space="0" w:color="auto"/>
                                        <w:right w:val="none" w:sz="0" w:space="0" w:color="auto"/>
                                      </w:divBdr>
                                      <w:divsChild>
                                        <w:div w:id="581839932">
                                          <w:marLeft w:val="0"/>
                                          <w:marRight w:val="0"/>
                                          <w:marTop w:val="0"/>
                                          <w:marBottom w:val="0"/>
                                          <w:divBdr>
                                            <w:top w:val="none" w:sz="0" w:space="0" w:color="auto"/>
                                            <w:left w:val="none" w:sz="0" w:space="0" w:color="auto"/>
                                            <w:bottom w:val="none" w:sz="0" w:space="0" w:color="auto"/>
                                            <w:right w:val="none" w:sz="0" w:space="0" w:color="auto"/>
                                          </w:divBdr>
                                          <w:divsChild>
                                            <w:div w:id="844250637">
                                              <w:marLeft w:val="0"/>
                                              <w:marRight w:val="0"/>
                                              <w:marTop w:val="0"/>
                                              <w:marBottom w:val="0"/>
                                              <w:divBdr>
                                                <w:top w:val="none" w:sz="0" w:space="0" w:color="auto"/>
                                                <w:left w:val="none" w:sz="0" w:space="0" w:color="auto"/>
                                                <w:bottom w:val="none" w:sz="0" w:space="0" w:color="auto"/>
                                                <w:right w:val="none" w:sz="0" w:space="0" w:color="auto"/>
                                              </w:divBdr>
                                              <w:divsChild>
                                                <w:div w:id="932129259">
                                                  <w:marLeft w:val="0"/>
                                                  <w:marRight w:val="0"/>
                                                  <w:marTop w:val="0"/>
                                                  <w:marBottom w:val="0"/>
                                                  <w:divBdr>
                                                    <w:top w:val="none" w:sz="0" w:space="0" w:color="auto"/>
                                                    <w:left w:val="none" w:sz="0" w:space="0" w:color="auto"/>
                                                    <w:bottom w:val="none" w:sz="0" w:space="0" w:color="auto"/>
                                                    <w:right w:val="none" w:sz="0" w:space="0" w:color="auto"/>
                                                  </w:divBdr>
                                                  <w:divsChild>
                                                    <w:div w:id="16863996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jobs.gov.au/relocation-assistance-take-job"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csnaccess.gov.au/sites/SecureSitePortal/jobactive/Documents/Current/Documentary%20Evide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ESCSSLabelD xmlns="http://schemas.microsoft.com/sharepoint/v3" xsi:nil="true"/>
    <ESCSSIncludeInNewsletter xmlns="http://schemas.microsoft.com/sharepoint/v3">No</ESCSSIncludeInNewsletter>
    <ESCSSKeywords xmlns="http://schemas.microsoft.com/sharepoint/v3">Relocation, take-up a job</ESCSSKeywords>
    <ESCSSReviewDate xmlns="http://schemas.microsoft.com/sharepoint/v3" xsi:nil="true"/>
    <ESCSSReviewedBy xmlns="http://schemas.microsoft.com/sharepoint/v3" xsi:nil="true"/>
    <ESCSSSite xmlns="http://schemas.microsoft.com/sharepoint/v3" xsi:nil="true"/>
    <ESCSSContentAuthor xmlns="http://schemas.microsoft.com/sharepoint/v3">707;#O'Shaughnessy,Diane</ESCSSContentAuthor>
    <ESCSSDocumentType xmlns="http://schemas.microsoft.com/sharepoint/v3" xsi:nil="true"/>
    <ESCSSDisplayVersionNumber xmlns="http://schemas.microsoft.com/sharepoint/v3" xsi:nil="true"/>
    <ESCSSContractType xmlns="http://schemas.microsoft.com/sharepoint/v3" xsi:nil="true"/>
    <ESCSSResourceType xmlns="http://schemas.microsoft.com/sharepoint/v3">22;#Alt Version</ESCSSResourceType>
    <ESCSSEffectiveEndDate xmlns="http://schemas.microsoft.com/sharepoint/v3" xsi:nil="true"/>
    <ESCSSSubject xmlns="http://schemas.microsoft.com/sharepoint/v3">20170516-11272839885 </ESCSSSubject>
    <ESCSSEffectiveStartDate xmlns="http://schemas.microsoft.com/sharepoint/v3">2017-06-30T14:00:00+00:00</ESCSSEffectiveStartDate>
    <ESCSSContentApprover xmlns="http://schemas.microsoft.com/sharepoint/v3">1468;#GREEN,Helen</ESCSSContentApprover>
    <ESCSSTopic xmlns="http://schemas.microsoft.com/sharepoint/v3">460;#Relocation Assistance to Take Up a Job</ESCSSTopic>
    <ESCSSContentStatus xmlns="http://schemas.microsoft.com/sharepoint/v3">Current</ESCSSContentStatus>
    <ESCSSContractClause xmlns="http://schemas.microsoft.com/sharepoint/v3" xsi:nil="true"/>
    <ESCSSApprover xmlns="http://schemas.microsoft.com/sharepoint/v3">ml0610@idcprod</ESCSSApprover>
    <ESCSSReviewedOn xmlns="http://schemas.microsoft.com/sharepoint/v3" xsi:nil="true"/>
    <ESCSSBranch xmlns="http://schemas.microsoft.com/sharepoint/v3">DSS - Disability Employment Services Programme Branch </ESCSSBranch>
    <ESCSSIncludeInLatestUpdates xmlns="http://schemas.microsoft.com/sharepoint/v3">No</ESCSSIncludeInLatestUpdates>
    <ESCSSLabelA xmlns="http://schemas.microsoft.com/sharepoint/v3" xsi:nil="true"/>
    <ESCSSBusinessOwnerContact xmlns="http://schemas.microsoft.com/sharepoint/v3">DSS - Participants</ESCSSBusinessOwnerContact>
    <ESCSSESC3Term xmlns="http://schemas.microsoft.com/sharepoint/v3" xsi:nil="true"/>
    <ESCSSSummaryOfUpdate xmlns="http://schemas.microsoft.com/sharepoint/v3">Update Unemployment rates for Capital cities, minor edits to reflect DES Deed</ESCSSSummaryOfUpdate>
    <ESCSSLabelC xmlns="http://schemas.microsoft.com/sharepoint/v3" xsi:nil="true"/>
    <ESCSSLabelB xmlns="http://schemas.microsoft.com/sharepoint/v3">D17/861167 </ESCSSLabelB>
    <Comments xmlns="http://schemas.microsoft.com/sharepoint/v3">This is an updated version of the Relocation Assistance to take up a Job Guideline</Comments>
    <ESCSSWebSiteGroup xmlns="http://schemas.microsoft.com/sharepoint/v3">;#DES;#</ESCSSWebSiteGroup>
  </documentManagement>
</p:properties>
</file>

<file path=customXml/item3.xml><?xml version="1.0" encoding="utf-8"?>
<ct:contentTypeSchema xmlns:ct="http://schemas.microsoft.com/office/2006/metadata/contentType" xmlns:ma="http://schemas.microsoft.com/office/2006/metadata/properties/metaAttributes" ct:_="" ma:_="" ma:contentTypeName="Secure Site Document" ma:contentTypeID="0x0101001FFFC1AF147C4F5C9369E689092D514B00E3BFC326733E4A42BF1D0CC1E50AEDBB" ma:contentTypeVersion="20" ma:contentTypeDescription="Secure Site content type template for recording metadata for documents." ma:contentTypeScope="" ma:versionID="ad58fb982358f2c21dabf53bde00ab43">
  <xsd:schema xmlns:xsd="http://www.w3.org/2001/XMLSchema" xmlns:xs="http://www.w3.org/2001/XMLSchema" xmlns:p="http://schemas.microsoft.com/office/2006/metadata/properties" xmlns:ns1="http://schemas.microsoft.com/sharepoint/v3" targetNamespace="http://schemas.microsoft.com/office/2006/metadata/properties" ma:root="true" ma:fieldsID="c492f58f21e452f2ea461c682dc8f992" ns1:_="">
    <xsd:import namespace="http://schemas.microsoft.com/sharepoint/v3"/>
    <xsd:element name="properties">
      <xsd:complexType>
        <xsd:sequence>
          <xsd:element name="documentManagement">
            <xsd:complexType>
              <xsd:all>
                <xsd:element ref="ns1:ESCSSIncludeInLatestUpdates"/>
                <xsd:element ref="ns1:ESCSSIncludeInNewsletter"/>
                <xsd:element ref="ns1:ESCSSContentAuthor" minOccurs="0"/>
                <xsd:element ref="ns1:ESCSSLabelA" minOccurs="0"/>
                <xsd:element ref="ns1:ESCSSBusinessOwnerContact" minOccurs="0"/>
                <xsd:element ref="ns1:ESCSSBranch" minOccurs="0"/>
                <xsd:element ref="ns1:ESCSSContentApprover" minOccurs="0"/>
                <xsd:element ref="ns1:ESCSSLabelB" minOccurs="0"/>
                <xsd:element ref="ns1:Comments"/>
                <xsd:element ref="ns1:ESCSSKeywords" minOccurs="0"/>
                <xsd:element ref="ns1:ESCSSTopic" minOccurs="0"/>
                <xsd:element ref="ns1:ESCSSWebSiteGroup"/>
                <xsd:element ref="ns1:ESCSSResourceType" minOccurs="0"/>
                <xsd:element ref="ns1:ESCSSContentStatus"/>
                <xsd:element ref="ns1:ESCSSEffectiveStartDate" minOccurs="0"/>
                <xsd:element ref="ns1:ESCSSReviewDate" minOccurs="0"/>
                <xsd:element ref="ns1:ESCSSEffectiveEndDate" minOccurs="0"/>
                <xsd:element ref="ns1:ESCSSSubject" minOccurs="0"/>
                <xsd:element ref="ns1:ESCSSReviewedOn" minOccurs="0"/>
                <xsd:element ref="ns1:ESCSSReviewedBy" minOccurs="0"/>
                <xsd:element ref="ns1:ESCSSDisplayVersionNumber" minOccurs="0"/>
                <xsd:element ref="ns1:ESCSSLabelC" minOccurs="0"/>
                <xsd:element ref="ns1:ESCSSLabelD" minOccurs="0"/>
                <xsd:element ref="ns1:ESCSSSite" minOccurs="0"/>
                <xsd:element ref="ns1:ESCSSContractType" minOccurs="0"/>
                <xsd:element ref="ns1:ESCSSContractClause" minOccurs="0"/>
                <xsd:element ref="ns1:ESCSSESC3Term" minOccurs="0"/>
                <xsd:element ref="ns1:ESCSSDocumentType" minOccurs="0"/>
                <xsd:element ref="ns1:ESCSSApprover" minOccurs="0"/>
                <xsd:element ref="ns1:ESCSSSummaryOf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SSIncludeInLatestUpdates" ma:index="0" ma:displayName="Include in &quot;Latest Updates&quot; feed" ma:default="No" ma:description="If you select &quot;yes&quot;, published content will appear in the &quot;Latest Updates&quot; feed on the Portal." ma:format="RadioButtons" ma:internalName="ESCSSIncludeInLatestUpdates">
      <xsd:simpleType>
        <xsd:restriction base="dms:Unknown">
          <xsd:enumeration value="Yes"/>
          <xsd:enumeration value="No"/>
        </xsd:restriction>
      </xsd:simpleType>
    </xsd:element>
    <xsd:element name="ESCSSIncludeInNewsletter" ma:index="1" ma:displayName="Include in Newsletter" ma:default="No" ma:format="RadioButtons" ma:internalName="ESCSSIncludeInNewsletter" ma:readOnly="false">
      <xsd:simpleType>
        <xsd:restriction base="dms:Unknown">
          <xsd:enumeration value="Yes"/>
          <xsd:enumeration value="No"/>
        </xsd:restriction>
      </xsd:simpleType>
    </xsd:element>
    <xsd:element name="ESCSSContentAuthor" ma:index="2" nillable="true" ma:displayName="Content Author" ma:internalName="ESCSSContentAuthor" ma:readOnly="false">
      <xsd:simpleType>
        <xsd:restriction base="dms:Unknown"/>
      </xsd:simpleType>
    </xsd:element>
    <xsd:element name="ESCSSLabelA" ma:index="3" nillable="true" ma:displayName="Co-ordinator" ma:internalName="ESCSSLabelA" ma:readOnly="false">
      <xsd:simpleType>
        <xsd:restriction base="dms:Text"/>
      </xsd:simpleType>
    </xsd:element>
    <xsd:element name="ESCSSBusinessOwnerContact" ma:index="4" nillable="true" ma:displayName="Content Author Team" ma:internalName="ESCSSBusinessOwnerContact" ma:readOnly="false">
      <xsd:simpleType>
        <xsd:restriction base="dms:Text"/>
      </xsd:simpleType>
    </xsd:element>
    <xsd:element name="ESCSSBranch" ma:index="5" nillable="true" ma:displayName="Content Author Branch" ma:internalName="ESCSSBranch" ma:readOnly="false">
      <xsd:simpleType>
        <xsd:restriction base="dms:Text"/>
      </xsd:simpleType>
    </xsd:element>
    <xsd:element name="ESCSSContentApprover" ma:index="6" nillable="true" ma:displayName="Content Approver" ma:internalName="ESCSSContentApprover" ma:readOnly="false">
      <xsd:simpleType>
        <xsd:restriction base="dms:Unknown"/>
      </xsd:simpleType>
    </xsd:element>
    <xsd:element name="ESCSSLabelB" ma:index="7" nillable="true" ma:displayName="Document ID" ma:internalName="ESCSSLabelB" ma:readOnly="false">
      <xsd:simpleType>
        <xsd:restriction base="dms:Text"/>
      </xsd:simpleType>
    </xsd:element>
    <xsd:element name="Comments" ma:index="10" ma:displayName="Description" ma:internalName="Comments" ma:readOnly="false">
      <xsd:simpleType>
        <xsd:restriction base="dms:Note">
          <xsd:maxLength value="255"/>
        </xsd:restriction>
      </xsd:simpleType>
    </xsd:element>
    <xsd:element name="ESCSSKeywords" ma:index="11" nillable="true" ma:displayName="Keywords" ma:internalName="ESCSSKeywords" ma:readOnly="false">
      <xsd:simpleType>
        <xsd:restriction base="dms:Note"/>
      </xsd:simpleType>
    </xsd:element>
    <xsd:element name="ESCSSTopic" ma:index="12" nillable="true" ma:displayName="Topic" ma:internalName="ESCSSTopic" ma:readOnly="false">
      <xsd:simpleType>
        <xsd:restriction base="dms:Unknown"/>
      </xsd:simpleType>
    </xsd:element>
    <xsd:element name="ESCSSWebSiteGroup" ma:index="13" ma:displayName="Display in Site" ma:internalName="ESCSSWebSiteGroup" ma:readOnly="false">
      <xsd:simpleType>
        <xsd:restriction base="dms:Unknown"/>
      </xsd:simpleType>
    </xsd:element>
    <xsd:element name="ESCSSResourceType" ma:index="14" nillable="true" ma:displayName="Resource Type" ma:internalName="ESCSSResourceType" ma:readOnly="false">
      <xsd:simpleType>
        <xsd:restriction base="dms:Unknown"/>
      </xsd:simpleType>
    </xsd:element>
    <xsd:element name="ESCSSContentStatus" ma:index="15" ma:displayName="Status" ma:default="Current" ma:internalName="ESCSSContentStatus" ma:readOnly="false">
      <xsd:simpleType>
        <xsd:restriction base="dms:Choice">
          <xsd:enumeration value="Current"/>
          <xsd:enumeration value="Archived"/>
        </xsd:restriction>
      </xsd:simpleType>
    </xsd:element>
    <xsd:element name="ESCSSEffectiveStartDate" ma:index="16" nillable="true" ma:displayName="Effective Start Date (dd/mm/yyyy)" ma:format="DateOnly" ma:internalName="ESCSSEffectiveStartDate" ma:readOnly="false">
      <xsd:simpleType>
        <xsd:restriction base="dms:Unknown"/>
      </xsd:simpleType>
    </xsd:element>
    <xsd:element name="ESCSSReviewDate" ma:index="17" nillable="true" ma:displayName="Review Date (dd/mm/yyyy)" ma:format="DateOnly" ma:internalName="ESCSSReviewDate" ma:readOnly="false">
      <xsd:simpleType>
        <xsd:restriction base="dms:Unknown"/>
      </xsd:simpleType>
    </xsd:element>
    <xsd:element name="ESCSSEffectiveEndDate" ma:index="18" nillable="true" ma:displayName="Effective End Date (dd/mm/yyyy)" ma:format="DateOnly" ma:internalName="ESCSSEffectiveEndDate" ma:readOnly="false">
      <xsd:simpleType>
        <xsd:restriction base="dms:Unknown"/>
      </xsd:simpleType>
    </xsd:element>
    <xsd:element name="ESCSSSubject" ma:index="19" nillable="true" ma:displayName="Publishing Reference" ma:internalName="ESCSSSubject" ma:readOnly="false">
      <xsd:simpleType>
        <xsd:restriction base="dms:Text"/>
      </xsd:simpleType>
    </xsd:element>
    <xsd:element name="ESCSSReviewedOn" ma:index="20" nillable="true" ma:displayName="Reviewed On (dd/mm/yyyy)" ma:format="DateOnly" ma:internalName="ESCSSReviewedOn" ma:readOnly="false">
      <xsd:simpleType>
        <xsd:restriction base="dms:DateTime"/>
      </xsd:simpleType>
    </xsd:element>
    <xsd:element name="ESCSSReviewedBy" ma:index="21" nillable="true" ma:displayName="Reviewed By" ma:internalName="ESCSSReviewedBy" ma:readOnly="false">
      <xsd:simpleType>
        <xsd:restriction base="dms:Text"/>
      </xsd:simpleType>
    </xsd:element>
    <xsd:element name="ESCSSDisplayVersionNumber" ma:index="22" nillable="true" ma:displayName="Display Version Number" ma:internalName="ESCSSDisplayVersionNumber" ma:readOnly="false">
      <xsd:simpleType>
        <xsd:restriction base="dms:Text"/>
      </xsd:simpleType>
    </xsd:element>
    <xsd:element name="ESCSSLabelC" ma:index="23" nillable="true" ma:displayName="Label C" ma:internalName="ESCSSLabelC" ma:readOnly="false">
      <xsd:simpleType>
        <xsd:restriction base="dms:Text"/>
      </xsd:simpleType>
    </xsd:element>
    <xsd:element name="ESCSSLabelD" ma:index="24" nillable="true" ma:displayName="Label D" ma:internalName="ESCSSLabelD" ma:readOnly="false">
      <xsd:simpleType>
        <xsd:restriction base="dms:Text"/>
      </xsd:simpleType>
    </xsd:element>
    <xsd:element name="ESCSSSite" ma:index="25" nillable="true" ma:displayName="Site" ma:internalName="ESCSSSite" ma:readOnly="false">
      <xsd:simpleType>
        <xsd:restriction base="dms:Text"/>
      </xsd:simpleType>
    </xsd:element>
    <xsd:element name="ESCSSContractType" ma:index="26" nillable="true" ma:displayName="Contract Type" ma:internalName="ESCSSContractType" ma:readOnly="false">
      <xsd:simpleType>
        <xsd:restriction base="dms:Text"/>
      </xsd:simpleType>
    </xsd:element>
    <xsd:element name="ESCSSContractClause" ma:index="27" nillable="true" ma:displayName="Contract Clause" ma:internalName="ESCSSContractClause" ma:readOnly="false">
      <xsd:simpleType>
        <xsd:restriction base="dms:Text"/>
      </xsd:simpleType>
    </xsd:element>
    <xsd:element name="ESCSSESC3Term" ma:index="28" nillable="true" ma:displayName="ESC3 Term" ma:internalName="ESCSSESC3Term" ma:readOnly="false">
      <xsd:simpleType>
        <xsd:restriction base="dms:Text"/>
      </xsd:simpleType>
    </xsd:element>
    <xsd:element name="ESCSSDocumentType" ma:index="29" nillable="true" ma:displayName="Document Type" ma:internalName="ESCSSDocumentType" ma:readOnly="false">
      <xsd:simpleType>
        <xsd:restriction base="dms:Text"/>
      </xsd:simpleType>
    </xsd:element>
    <xsd:element name="ESCSSApprover" ma:index="30" nillable="true" ma:displayName="Approver" ma:internalName="ESCSSApprover" ma:readOnly="false">
      <xsd:simpleType>
        <xsd:restriction base="dms:Text"/>
      </xsd:simpleType>
    </xsd:element>
    <xsd:element name="ESCSSSummaryOfUpdate" ma:index="31" nillable="true" ma:displayName="Summary of Update" ma:internalName="ESCSSSummaryOfUpdat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992D3-D08E-40F9-BBC0-6D3D22A3DBA6}">
  <ds:schemaRefs>
    <ds:schemaRef ds:uri="http://schemas.microsoft.com/office/2006/metadata/longProperties"/>
  </ds:schemaRefs>
</ds:datastoreItem>
</file>

<file path=customXml/itemProps2.xml><?xml version="1.0" encoding="utf-8"?>
<ds:datastoreItem xmlns:ds="http://schemas.openxmlformats.org/officeDocument/2006/customXml" ds:itemID="{1F53D8F3-F643-4EDE-882B-7D39F76E3795}">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D5169844-2FD4-4E03-9995-3FAFBD392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4344B7-8284-40C2-97F3-8D8078CB52CC}">
  <ds:schemaRefs>
    <ds:schemaRef ds:uri="http://schemas.microsoft.com/sharepoint/v3/contenttype/forms"/>
  </ds:schemaRefs>
</ds:datastoreItem>
</file>

<file path=customXml/itemProps5.xml><?xml version="1.0" encoding="utf-8"?>
<ds:datastoreItem xmlns:ds="http://schemas.openxmlformats.org/officeDocument/2006/customXml" ds:itemID="{910CFE0D-E038-422B-867C-7F31B4B26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3A52BDF7</Template>
  <TotalTime>1</TotalTime>
  <Pages>10</Pages>
  <Words>2498</Words>
  <Characters>14242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Relocation Assistance to the take up a Job Guideline V1.4</vt:lpstr>
    </vt:vector>
  </TitlesOfParts>
  <Company>Australian Government</Company>
  <LinksUpToDate>false</LinksUpToDate>
  <CharactersWithSpaces>16707</CharactersWithSpaces>
  <SharedDoc>false</SharedDoc>
  <HLinks>
    <vt:vector size="72" baseType="variant">
      <vt:variant>
        <vt:i4>3997733</vt:i4>
      </vt:variant>
      <vt:variant>
        <vt:i4>66</vt:i4>
      </vt:variant>
      <vt:variant>
        <vt:i4>0</vt:i4>
      </vt:variant>
      <vt:variant>
        <vt:i4>5</vt:i4>
      </vt:variant>
      <vt:variant>
        <vt:lpwstr>https://ecsn.gov.au/sites/securesiteportal/Pages/HomePage.aspx</vt:lpwstr>
      </vt:variant>
      <vt:variant>
        <vt:lpwstr/>
      </vt:variant>
      <vt:variant>
        <vt:i4>6553637</vt:i4>
      </vt:variant>
      <vt:variant>
        <vt:i4>63</vt:i4>
      </vt:variant>
      <vt:variant>
        <vt:i4>0</vt:i4>
      </vt:variant>
      <vt:variant>
        <vt:i4>5</vt:i4>
      </vt:variant>
      <vt:variant>
        <vt:lpwstr>https://www.ecsn.gov.au/sites/SecureSitePortal/Pages/HomePage.aspx</vt:lpwstr>
      </vt:variant>
      <vt:variant>
        <vt:lpwstr/>
      </vt:variant>
      <vt:variant>
        <vt:i4>1507380</vt:i4>
      </vt:variant>
      <vt:variant>
        <vt:i4>56</vt:i4>
      </vt:variant>
      <vt:variant>
        <vt:i4>0</vt:i4>
      </vt:variant>
      <vt:variant>
        <vt:i4>5</vt:i4>
      </vt:variant>
      <vt:variant>
        <vt:lpwstr/>
      </vt:variant>
      <vt:variant>
        <vt:lpwstr>_Toc266886889</vt:lpwstr>
      </vt:variant>
      <vt:variant>
        <vt:i4>1507380</vt:i4>
      </vt:variant>
      <vt:variant>
        <vt:i4>50</vt:i4>
      </vt:variant>
      <vt:variant>
        <vt:i4>0</vt:i4>
      </vt:variant>
      <vt:variant>
        <vt:i4>5</vt:i4>
      </vt:variant>
      <vt:variant>
        <vt:lpwstr/>
      </vt:variant>
      <vt:variant>
        <vt:lpwstr>_Toc266886888</vt:lpwstr>
      </vt:variant>
      <vt:variant>
        <vt:i4>1507380</vt:i4>
      </vt:variant>
      <vt:variant>
        <vt:i4>44</vt:i4>
      </vt:variant>
      <vt:variant>
        <vt:i4>0</vt:i4>
      </vt:variant>
      <vt:variant>
        <vt:i4>5</vt:i4>
      </vt:variant>
      <vt:variant>
        <vt:lpwstr/>
      </vt:variant>
      <vt:variant>
        <vt:lpwstr>_Toc266886887</vt:lpwstr>
      </vt:variant>
      <vt:variant>
        <vt:i4>1507380</vt:i4>
      </vt:variant>
      <vt:variant>
        <vt:i4>38</vt:i4>
      </vt:variant>
      <vt:variant>
        <vt:i4>0</vt:i4>
      </vt:variant>
      <vt:variant>
        <vt:i4>5</vt:i4>
      </vt:variant>
      <vt:variant>
        <vt:lpwstr/>
      </vt:variant>
      <vt:variant>
        <vt:lpwstr>_Toc266886886</vt:lpwstr>
      </vt:variant>
      <vt:variant>
        <vt:i4>1507380</vt:i4>
      </vt:variant>
      <vt:variant>
        <vt:i4>32</vt:i4>
      </vt:variant>
      <vt:variant>
        <vt:i4>0</vt:i4>
      </vt:variant>
      <vt:variant>
        <vt:i4>5</vt:i4>
      </vt:variant>
      <vt:variant>
        <vt:lpwstr/>
      </vt:variant>
      <vt:variant>
        <vt:lpwstr>_Toc266886885</vt:lpwstr>
      </vt:variant>
      <vt:variant>
        <vt:i4>1507380</vt:i4>
      </vt:variant>
      <vt:variant>
        <vt:i4>26</vt:i4>
      </vt:variant>
      <vt:variant>
        <vt:i4>0</vt:i4>
      </vt:variant>
      <vt:variant>
        <vt:i4>5</vt:i4>
      </vt:variant>
      <vt:variant>
        <vt:lpwstr/>
      </vt:variant>
      <vt:variant>
        <vt:lpwstr>_Toc266886884</vt:lpwstr>
      </vt:variant>
      <vt:variant>
        <vt:i4>1507380</vt:i4>
      </vt:variant>
      <vt:variant>
        <vt:i4>20</vt:i4>
      </vt:variant>
      <vt:variant>
        <vt:i4>0</vt:i4>
      </vt:variant>
      <vt:variant>
        <vt:i4>5</vt:i4>
      </vt:variant>
      <vt:variant>
        <vt:lpwstr/>
      </vt:variant>
      <vt:variant>
        <vt:lpwstr>_Toc266886883</vt:lpwstr>
      </vt:variant>
      <vt:variant>
        <vt:i4>1507380</vt:i4>
      </vt:variant>
      <vt:variant>
        <vt:i4>14</vt:i4>
      </vt:variant>
      <vt:variant>
        <vt:i4>0</vt:i4>
      </vt:variant>
      <vt:variant>
        <vt:i4>5</vt:i4>
      </vt:variant>
      <vt:variant>
        <vt:lpwstr/>
      </vt:variant>
      <vt:variant>
        <vt:lpwstr>_Toc266886882</vt:lpwstr>
      </vt:variant>
      <vt:variant>
        <vt:i4>1507380</vt:i4>
      </vt:variant>
      <vt:variant>
        <vt:i4>8</vt:i4>
      </vt:variant>
      <vt:variant>
        <vt:i4>0</vt:i4>
      </vt:variant>
      <vt:variant>
        <vt:i4>5</vt:i4>
      </vt:variant>
      <vt:variant>
        <vt:lpwstr/>
      </vt:variant>
      <vt:variant>
        <vt:lpwstr>_Toc266886881</vt:lpwstr>
      </vt:variant>
      <vt:variant>
        <vt:i4>1507380</vt:i4>
      </vt:variant>
      <vt:variant>
        <vt:i4>2</vt:i4>
      </vt:variant>
      <vt:variant>
        <vt:i4>0</vt:i4>
      </vt:variant>
      <vt:variant>
        <vt:i4>5</vt:i4>
      </vt:variant>
      <vt:variant>
        <vt:lpwstr/>
      </vt:variant>
      <vt:variant>
        <vt:lpwstr>_Toc266886880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Relocation Assistance to the take up a Job Guideline V1.4</dc:title>
  <dc:creator>OSBORNE, Erin</dc:creator>
  <cp:lastModifiedBy>OSBORNE,Erin</cp:lastModifiedBy>
  <cp:revision>3</cp:revision>
  <cp:lastPrinted>2017-07-14T07:53:00Z</cp:lastPrinted>
  <dcterms:created xsi:type="dcterms:W3CDTF">2018-04-05T00:55:00Z</dcterms:created>
  <dcterms:modified xsi:type="dcterms:W3CDTF">2018-04-10T03:16:00Z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NetUniqueId">
    <vt:lpwstr>D06-8974539</vt:lpwstr>
  </property>
  <property fmtid="{D5CDD505-2E9C-101B-9397-08002B2CF9AE}" pid="3" name="_dlc_ExpireDate">
    <vt:lpwstr>2015-12-23T10:29:55Z</vt:lpwstr>
  </property>
  <property fmtid="{D5CDD505-2E9C-101B-9397-08002B2CF9AE}" pid="4" name="ContentType">
    <vt:lpwstr>DEEWRDocument</vt:lpwstr>
  </property>
  <property fmtid="{D5CDD505-2E9C-101B-9397-08002B2CF9AE}" pid="5" name="ContentTypeId">
    <vt:lpwstr>0x0101001FFFC1AF147C4F5C9369E689092D514B00E3BFC326733E4A42BF1D0CC1E50AEDBB</vt:lpwstr>
  </property>
</Properties>
</file>