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2C7D" w14:textId="77777777" w:rsidR="006620DD" w:rsidRPr="00D457E9" w:rsidRDefault="00977387" w:rsidP="00E63F00">
      <w:pPr>
        <w:jc w:val="center"/>
        <w:rPr>
          <w:rFonts w:cs="Arial"/>
          <w:b/>
          <w:sz w:val="28"/>
          <w:szCs w:val="28"/>
        </w:rPr>
      </w:pPr>
      <w:r>
        <w:rPr>
          <w:noProof/>
          <w:color w:val="000000"/>
        </w:rPr>
        <w:drawing>
          <wp:inline distT="0" distB="0" distL="0" distR="0" wp14:anchorId="51F35431" wp14:editId="7EF1C958">
            <wp:extent cx="3928110" cy="272732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cstate="print"/>
                    <a:srcRect/>
                    <a:stretch>
                      <a:fillRect/>
                    </a:stretch>
                  </pic:blipFill>
                  <pic:spPr bwMode="auto">
                    <a:xfrm>
                      <a:off x="0" y="0"/>
                      <a:ext cx="3928110" cy="2727325"/>
                    </a:xfrm>
                    <a:prstGeom prst="rect">
                      <a:avLst/>
                    </a:prstGeom>
                    <a:noFill/>
                    <a:ln w="9525">
                      <a:noFill/>
                      <a:miter lim="800000"/>
                      <a:headEnd/>
                      <a:tailEnd/>
                    </a:ln>
                  </pic:spPr>
                </pic:pic>
              </a:graphicData>
            </a:graphic>
          </wp:inline>
        </w:drawing>
      </w:r>
    </w:p>
    <w:p w14:paraId="1ABF7B00" w14:textId="70337C35" w:rsidR="00A24297" w:rsidRPr="000B068B" w:rsidRDefault="00977387" w:rsidP="000B068B">
      <w:pPr>
        <w:pStyle w:val="Heading1"/>
        <w:spacing w:before="1320"/>
      </w:pPr>
      <w:bookmarkStart w:id="0" w:name="_Toc495668451"/>
      <w:bookmarkStart w:id="1" w:name="_Toc506551908"/>
      <w:bookmarkStart w:id="2" w:name="_Toc509220819"/>
      <w:bookmarkStart w:id="3" w:name="_Toc509220958"/>
      <w:bookmarkStart w:id="4" w:name="_Toc509221176"/>
      <w:bookmarkStart w:id="5" w:name="_Toc509312028"/>
      <w:bookmarkStart w:id="6" w:name="_Toc509923495"/>
      <w:bookmarkStart w:id="7" w:name="_Toc510018893"/>
      <w:r w:rsidRPr="000B068B">
        <w:t>Criminal Records Checks Guideline</w:t>
      </w:r>
      <w:bookmarkEnd w:id="0"/>
      <w:r w:rsidR="00460610" w:rsidRPr="000B068B">
        <w:t>s</w:t>
      </w:r>
      <w:bookmarkEnd w:id="1"/>
      <w:bookmarkEnd w:id="2"/>
      <w:bookmarkEnd w:id="3"/>
      <w:bookmarkEnd w:id="4"/>
      <w:bookmarkEnd w:id="5"/>
      <w:bookmarkEnd w:id="6"/>
      <w:bookmarkEnd w:id="7"/>
    </w:p>
    <w:p w14:paraId="3EDE5C55" w14:textId="77777777" w:rsidR="00E63F00" w:rsidRPr="008B0586" w:rsidRDefault="00977387" w:rsidP="008B0586">
      <w:pPr>
        <w:jc w:val="center"/>
        <w:rPr>
          <w:b/>
          <w:sz w:val="36"/>
          <w:szCs w:val="36"/>
        </w:rPr>
      </w:pPr>
      <w:bookmarkStart w:id="8" w:name="_Toc510005197"/>
      <w:bookmarkStart w:id="9" w:name="_Toc510018894"/>
      <w:r w:rsidRPr="008B0586">
        <w:rPr>
          <w:b/>
          <w:sz w:val="36"/>
          <w:szCs w:val="36"/>
        </w:rPr>
        <w:t xml:space="preserve">V </w:t>
      </w:r>
      <w:r w:rsidR="00272495" w:rsidRPr="008B0586">
        <w:rPr>
          <w:b/>
          <w:sz w:val="36"/>
          <w:szCs w:val="36"/>
        </w:rPr>
        <w:t>1.0</w:t>
      </w:r>
      <w:bookmarkEnd w:id="8"/>
      <w:bookmarkEnd w:id="9"/>
    </w:p>
    <w:p w14:paraId="41CA1E4E" w14:textId="77777777" w:rsidR="000B068B" w:rsidRDefault="000B068B" w:rsidP="000B068B">
      <w:pPr>
        <w:pStyle w:val="Disclaimer"/>
        <w:pBdr>
          <w:top w:val="single" w:sz="4" w:space="1" w:color="auto"/>
          <w:left w:val="single" w:sz="4" w:space="4" w:color="auto"/>
          <w:bottom w:val="single" w:sz="4" w:space="1" w:color="auto"/>
          <w:right w:val="single" w:sz="4" w:space="4" w:color="auto"/>
        </w:pBdr>
        <w:spacing w:before="58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2190C76F" w14:textId="77777777" w:rsidR="00E63F00" w:rsidRDefault="00E63F00">
      <w:pPr>
        <w:spacing w:after="200" w:line="276" w:lineRule="auto"/>
        <w:rPr>
          <w:b/>
          <w:color w:val="482F92"/>
          <w:sz w:val="32"/>
          <w:szCs w:val="32"/>
        </w:rPr>
      </w:pPr>
      <w:r>
        <w:rPr>
          <w:b/>
          <w:color w:val="482F92"/>
          <w:sz w:val="32"/>
          <w:szCs w:val="32"/>
        </w:rPr>
        <w:br w:type="page"/>
      </w:r>
    </w:p>
    <w:p w14:paraId="4E575293" w14:textId="50609993" w:rsidR="005E23ED" w:rsidRDefault="00132ECE" w:rsidP="000B068B">
      <w:pPr>
        <w:pStyle w:val="Heading2"/>
        <w:spacing w:after="480"/>
      </w:pPr>
      <w:bookmarkStart w:id="10" w:name="_Toc509221177"/>
      <w:bookmarkStart w:id="11" w:name="_Toc509312029"/>
      <w:bookmarkStart w:id="12" w:name="_Toc510018895"/>
      <w:r>
        <w:lastRenderedPageBreak/>
        <w:t>Table of Contents</w:t>
      </w:r>
      <w:bookmarkEnd w:id="10"/>
      <w:bookmarkEnd w:id="11"/>
      <w:bookmarkEnd w:id="12"/>
    </w:p>
    <w:p w14:paraId="2AC53CEB" w14:textId="12A0FA63" w:rsidR="00A7551B" w:rsidRDefault="00132ECE">
      <w:pPr>
        <w:pStyle w:val="TOC1"/>
        <w:rPr>
          <w:rFonts w:eastAsiaTheme="minorEastAsia" w:cstheme="minorBidi"/>
          <w:b w:val="0"/>
          <w:bCs w:val="0"/>
          <w:noProof/>
          <w:sz w:val="22"/>
          <w:szCs w:val="22"/>
        </w:rPr>
      </w:pPr>
      <w:r w:rsidRPr="00E07B69">
        <w:rPr>
          <w:i/>
          <w:iCs/>
          <w:sz w:val="24"/>
          <w:szCs w:val="24"/>
        </w:rPr>
        <w:fldChar w:fldCharType="begin"/>
      </w:r>
      <w:r w:rsidRPr="00E07B69">
        <w:rPr>
          <w:sz w:val="24"/>
          <w:szCs w:val="24"/>
        </w:rPr>
        <w:instrText xml:space="preserve"> TOC \o "1-3" \h \z \u </w:instrText>
      </w:r>
      <w:r w:rsidRPr="00E07B69">
        <w:rPr>
          <w:i/>
          <w:iCs/>
          <w:sz w:val="24"/>
          <w:szCs w:val="24"/>
        </w:rPr>
        <w:fldChar w:fldCharType="separate"/>
      </w:r>
      <w:hyperlink w:anchor="_Toc510018893" w:history="1">
        <w:r w:rsidR="00A7551B" w:rsidRPr="00061935">
          <w:rPr>
            <w:rStyle w:val="Hyperlink"/>
            <w:noProof/>
          </w:rPr>
          <w:t>Criminal Records Checks Guidelines</w:t>
        </w:r>
        <w:r w:rsidR="00A7551B">
          <w:rPr>
            <w:noProof/>
            <w:webHidden/>
          </w:rPr>
          <w:tab/>
        </w:r>
        <w:r w:rsidR="00A7551B">
          <w:rPr>
            <w:noProof/>
            <w:webHidden/>
          </w:rPr>
          <w:fldChar w:fldCharType="begin"/>
        </w:r>
        <w:r w:rsidR="00A7551B">
          <w:rPr>
            <w:noProof/>
            <w:webHidden/>
          </w:rPr>
          <w:instrText xml:space="preserve"> PAGEREF _Toc510018893 \h </w:instrText>
        </w:r>
        <w:r w:rsidR="00A7551B">
          <w:rPr>
            <w:noProof/>
            <w:webHidden/>
          </w:rPr>
        </w:r>
        <w:r w:rsidR="00A7551B">
          <w:rPr>
            <w:noProof/>
            <w:webHidden/>
          </w:rPr>
          <w:fldChar w:fldCharType="separate"/>
        </w:r>
        <w:r w:rsidR="00A7551B">
          <w:rPr>
            <w:noProof/>
            <w:webHidden/>
          </w:rPr>
          <w:t>1</w:t>
        </w:r>
        <w:r w:rsidR="00A7551B">
          <w:rPr>
            <w:noProof/>
            <w:webHidden/>
          </w:rPr>
          <w:fldChar w:fldCharType="end"/>
        </w:r>
      </w:hyperlink>
    </w:p>
    <w:p w14:paraId="1133F515" w14:textId="5BCF24BC" w:rsidR="00A7551B" w:rsidRDefault="00D42EF1">
      <w:pPr>
        <w:pStyle w:val="TOC2"/>
        <w:tabs>
          <w:tab w:val="right" w:pos="9912"/>
        </w:tabs>
        <w:rPr>
          <w:rFonts w:eastAsiaTheme="minorEastAsia" w:cstheme="minorBidi"/>
          <w:i w:val="0"/>
          <w:iCs w:val="0"/>
          <w:noProof/>
          <w:sz w:val="22"/>
          <w:szCs w:val="22"/>
        </w:rPr>
      </w:pPr>
      <w:hyperlink w:anchor="_Toc510018895" w:history="1">
        <w:r w:rsidR="00A7551B" w:rsidRPr="00061935">
          <w:rPr>
            <w:rStyle w:val="Hyperlink"/>
            <w:noProof/>
          </w:rPr>
          <w:t>Table of Contents</w:t>
        </w:r>
        <w:r w:rsidR="00A7551B">
          <w:rPr>
            <w:noProof/>
            <w:webHidden/>
          </w:rPr>
          <w:tab/>
        </w:r>
        <w:r w:rsidR="00A7551B">
          <w:rPr>
            <w:noProof/>
            <w:webHidden/>
          </w:rPr>
          <w:fldChar w:fldCharType="begin"/>
        </w:r>
        <w:r w:rsidR="00A7551B">
          <w:rPr>
            <w:noProof/>
            <w:webHidden/>
          </w:rPr>
          <w:instrText xml:space="preserve"> PAGEREF _Toc510018895 \h </w:instrText>
        </w:r>
        <w:r w:rsidR="00A7551B">
          <w:rPr>
            <w:noProof/>
            <w:webHidden/>
          </w:rPr>
        </w:r>
        <w:r w:rsidR="00A7551B">
          <w:rPr>
            <w:noProof/>
            <w:webHidden/>
          </w:rPr>
          <w:fldChar w:fldCharType="separate"/>
        </w:r>
        <w:r w:rsidR="00A7551B">
          <w:rPr>
            <w:noProof/>
            <w:webHidden/>
          </w:rPr>
          <w:t>2</w:t>
        </w:r>
        <w:r w:rsidR="00A7551B">
          <w:rPr>
            <w:noProof/>
            <w:webHidden/>
          </w:rPr>
          <w:fldChar w:fldCharType="end"/>
        </w:r>
      </w:hyperlink>
    </w:p>
    <w:p w14:paraId="114DD5C3" w14:textId="60B11092" w:rsidR="00A7551B" w:rsidRDefault="00D42EF1">
      <w:pPr>
        <w:pStyle w:val="TOC3"/>
        <w:tabs>
          <w:tab w:val="right" w:pos="9912"/>
        </w:tabs>
        <w:rPr>
          <w:rFonts w:eastAsiaTheme="minorEastAsia" w:cstheme="minorBidi"/>
          <w:noProof/>
          <w:sz w:val="22"/>
          <w:szCs w:val="22"/>
        </w:rPr>
      </w:pPr>
      <w:hyperlink w:anchor="_Toc510018896" w:history="1">
        <w:r w:rsidR="00A7551B" w:rsidRPr="00061935">
          <w:rPr>
            <w:rStyle w:val="Hyperlink"/>
            <w:noProof/>
          </w:rPr>
          <w:t>Document Change History</w:t>
        </w:r>
        <w:r w:rsidR="00A7551B">
          <w:rPr>
            <w:noProof/>
            <w:webHidden/>
          </w:rPr>
          <w:tab/>
        </w:r>
        <w:r w:rsidR="00A7551B">
          <w:rPr>
            <w:noProof/>
            <w:webHidden/>
          </w:rPr>
          <w:fldChar w:fldCharType="begin"/>
        </w:r>
        <w:r w:rsidR="00A7551B">
          <w:rPr>
            <w:noProof/>
            <w:webHidden/>
          </w:rPr>
          <w:instrText xml:space="preserve"> PAGEREF _Toc510018896 \h </w:instrText>
        </w:r>
        <w:r w:rsidR="00A7551B">
          <w:rPr>
            <w:noProof/>
            <w:webHidden/>
          </w:rPr>
        </w:r>
        <w:r w:rsidR="00A7551B">
          <w:rPr>
            <w:noProof/>
            <w:webHidden/>
          </w:rPr>
          <w:fldChar w:fldCharType="separate"/>
        </w:r>
        <w:r w:rsidR="00A7551B">
          <w:rPr>
            <w:noProof/>
            <w:webHidden/>
          </w:rPr>
          <w:t>3</w:t>
        </w:r>
        <w:r w:rsidR="00A7551B">
          <w:rPr>
            <w:noProof/>
            <w:webHidden/>
          </w:rPr>
          <w:fldChar w:fldCharType="end"/>
        </w:r>
      </w:hyperlink>
    </w:p>
    <w:p w14:paraId="720E56FB" w14:textId="7F58B545" w:rsidR="00A7551B" w:rsidRDefault="00D42EF1">
      <w:pPr>
        <w:pStyle w:val="TOC3"/>
        <w:tabs>
          <w:tab w:val="right" w:pos="9912"/>
        </w:tabs>
        <w:rPr>
          <w:rFonts w:eastAsiaTheme="minorEastAsia" w:cstheme="minorBidi"/>
          <w:noProof/>
          <w:sz w:val="22"/>
          <w:szCs w:val="22"/>
        </w:rPr>
      </w:pPr>
      <w:hyperlink w:anchor="_Toc510018897" w:history="1">
        <w:r w:rsidR="00A7551B" w:rsidRPr="00061935">
          <w:rPr>
            <w:rStyle w:val="Hyperlink"/>
            <w:noProof/>
          </w:rPr>
          <w:t>Background</w:t>
        </w:r>
        <w:r w:rsidR="00A7551B">
          <w:rPr>
            <w:noProof/>
            <w:webHidden/>
          </w:rPr>
          <w:tab/>
        </w:r>
        <w:r w:rsidR="00A7551B">
          <w:rPr>
            <w:noProof/>
            <w:webHidden/>
          </w:rPr>
          <w:fldChar w:fldCharType="begin"/>
        </w:r>
        <w:r w:rsidR="00A7551B">
          <w:rPr>
            <w:noProof/>
            <w:webHidden/>
          </w:rPr>
          <w:instrText xml:space="preserve"> PAGEREF _Toc510018897 \h </w:instrText>
        </w:r>
        <w:r w:rsidR="00A7551B">
          <w:rPr>
            <w:noProof/>
            <w:webHidden/>
          </w:rPr>
        </w:r>
        <w:r w:rsidR="00A7551B">
          <w:rPr>
            <w:noProof/>
            <w:webHidden/>
          </w:rPr>
          <w:fldChar w:fldCharType="separate"/>
        </w:r>
        <w:r w:rsidR="00A7551B">
          <w:rPr>
            <w:noProof/>
            <w:webHidden/>
          </w:rPr>
          <w:t>3</w:t>
        </w:r>
        <w:r w:rsidR="00A7551B">
          <w:rPr>
            <w:noProof/>
            <w:webHidden/>
          </w:rPr>
          <w:fldChar w:fldCharType="end"/>
        </w:r>
      </w:hyperlink>
    </w:p>
    <w:p w14:paraId="2B2BBD6B" w14:textId="064D51A8" w:rsidR="00A7551B" w:rsidRDefault="00D42EF1">
      <w:pPr>
        <w:pStyle w:val="TOC3"/>
        <w:tabs>
          <w:tab w:val="right" w:pos="9912"/>
        </w:tabs>
        <w:rPr>
          <w:rFonts w:eastAsiaTheme="minorEastAsia" w:cstheme="minorBidi"/>
          <w:noProof/>
          <w:sz w:val="22"/>
          <w:szCs w:val="22"/>
        </w:rPr>
      </w:pPr>
      <w:hyperlink w:anchor="_Toc510018898" w:history="1">
        <w:r w:rsidR="00A7551B" w:rsidRPr="00061935">
          <w:rPr>
            <w:rStyle w:val="Hyperlink"/>
            <w:noProof/>
          </w:rPr>
          <w:t>Disability Employment Services Grant Agreement Clauses:</w:t>
        </w:r>
        <w:r w:rsidR="00A7551B">
          <w:rPr>
            <w:noProof/>
            <w:webHidden/>
          </w:rPr>
          <w:tab/>
        </w:r>
        <w:r w:rsidR="00A7551B">
          <w:rPr>
            <w:noProof/>
            <w:webHidden/>
          </w:rPr>
          <w:fldChar w:fldCharType="begin"/>
        </w:r>
        <w:r w:rsidR="00A7551B">
          <w:rPr>
            <w:noProof/>
            <w:webHidden/>
          </w:rPr>
          <w:instrText xml:space="preserve"> PAGEREF _Toc510018898 \h </w:instrText>
        </w:r>
        <w:r w:rsidR="00A7551B">
          <w:rPr>
            <w:noProof/>
            <w:webHidden/>
          </w:rPr>
        </w:r>
        <w:r w:rsidR="00A7551B">
          <w:rPr>
            <w:noProof/>
            <w:webHidden/>
          </w:rPr>
          <w:fldChar w:fldCharType="separate"/>
        </w:r>
        <w:r w:rsidR="00A7551B">
          <w:rPr>
            <w:noProof/>
            <w:webHidden/>
          </w:rPr>
          <w:t>3</w:t>
        </w:r>
        <w:r w:rsidR="00A7551B">
          <w:rPr>
            <w:noProof/>
            <w:webHidden/>
          </w:rPr>
          <w:fldChar w:fldCharType="end"/>
        </w:r>
      </w:hyperlink>
    </w:p>
    <w:p w14:paraId="480E6A71" w14:textId="63EA0000" w:rsidR="00A7551B" w:rsidRDefault="00D42EF1">
      <w:pPr>
        <w:pStyle w:val="TOC3"/>
        <w:tabs>
          <w:tab w:val="right" w:pos="9912"/>
        </w:tabs>
        <w:rPr>
          <w:rFonts w:eastAsiaTheme="minorEastAsia" w:cstheme="minorBidi"/>
          <w:noProof/>
          <w:sz w:val="22"/>
          <w:szCs w:val="22"/>
        </w:rPr>
      </w:pPr>
      <w:hyperlink w:anchor="_Toc510018899" w:history="1">
        <w:r w:rsidR="00A7551B" w:rsidRPr="00061935">
          <w:rPr>
            <w:rStyle w:val="Hyperlink"/>
            <w:noProof/>
          </w:rPr>
          <w:t>Reference documents relevant to this guideline</w:t>
        </w:r>
        <w:r w:rsidR="00A7551B">
          <w:rPr>
            <w:noProof/>
            <w:webHidden/>
          </w:rPr>
          <w:tab/>
        </w:r>
        <w:r w:rsidR="00A7551B">
          <w:rPr>
            <w:noProof/>
            <w:webHidden/>
          </w:rPr>
          <w:fldChar w:fldCharType="begin"/>
        </w:r>
        <w:r w:rsidR="00A7551B">
          <w:rPr>
            <w:noProof/>
            <w:webHidden/>
          </w:rPr>
          <w:instrText xml:space="preserve"> PAGEREF _Toc510018899 \h </w:instrText>
        </w:r>
        <w:r w:rsidR="00A7551B">
          <w:rPr>
            <w:noProof/>
            <w:webHidden/>
          </w:rPr>
        </w:r>
        <w:r w:rsidR="00A7551B">
          <w:rPr>
            <w:noProof/>
            <w:webHidden/>
          </w:rPr>
          <w:fldChar w:fldCharType="separate"/>
        </w:r>
        <w:r w:rsidR="00A7551B">
          <w:rPr>
            <w:noProof/>
            <w:webHidden/>
          </w:rPr>
          <w:t>3</w:t>
        </w:r>
        <w:r w:rsidR="00A7551B">
          <w:rPr>
            <w:noProof/>
            <w:webHidden/>
          </w:rPr>
          <w:fldChar w:fldCharType="end"/>
        </w:r>
      </w:hyperlink>
    </w:p>
    <w:p w14:paraId="6C165035" w14:textId="297F73E0" w:rsidR="00A7551B" w:rsidRDefault="00D42EF1">
      <w:pPr>
        <w:pStyle w:val="TOC3"/>
        <w:tabs>
          <w:tab w:val="right" w:pos="9912"/>
        </w:tabs>
        <w:rPr>
          <w:rFonts w:eastAsiaTheme="minorEastAsia" w:cstheme="minorBidi"/>
          <w:noProof/>
          <w:sz w:val="22"/>
          <w:szCs w:val="22"/>
        </w:rPr>
      </w:pPr>
      <w:hyperlink w:anchor="_Toc510018900" w:history="1">
        <w:r w:rsidR="00A7551B" w:rsidRPr="00061935">
          <w:rPr>
            <w:rStyle w:val="Hyperlink"/>
            <w:noProof/>
          </w:rPr>
          <w:t>Explanatory Note</w:t>
        </w:r>
        <w:r w:rsidR="00A7551B">
          <w:rPr>
            <w:noProof/>
            <w:webHidden/>
          </w:rPr>
          <w:tab/>
        </w:r>
        <w:r w:rsidR="00A7551B">
          <w:rPr>
            <w:noProof/>
            <w:webHidden/>
          </w:rPr>
          <w:fldChar w:fldCharType="begin"/>
        </w:r>
        <w:r w:rsidR="00A7551B">
          <w:rPr>
            <w:noProof/>
            <w:webHidden/>
          </w:rPr>
          <w:instrText xml:space="preserve"> PAGEREF _Toc510018900 \h </w:instrText>
        </w:r>
        <w:r w:rsidR="00A7551B">
          <w:rPr>
            <w:noProof/>
            <w:webHidden/>
          </w:rPr>
        </w:r>
        <w:r w:rsidR="00A7551B">
          <w:rPr>
            <w:noProof/>
            <w:webHidden/>
          </w:rPr>
          <w:fldChar w:fldCharType="separate"/>
        </w:r>
        <w:r w:rsidR="00A7551B">
          <w:rPr>
            <w:noProof/>
            <w:webHidden/>
          </w:rPr>
          <w:t>3</w:t>
        </w:r>
        <w:r w:rsidR="00A7551B">
          <w:rPr>
            <w:noProof/>
            <w:webHidden/>
          </w:rPr>
          <w:fldChar w:fldCharType="end"/>
        </w:r>
      </w:hyperlink>
    </w:p>
    <w:p w14:paraId="2F0FF552" w14:textId="2D17002F" w:rsidR="00A7551B" w:rsidRDefault="00D42EF1">
      <w:pPr>
        <w:pStyle w:val="TOC3"/>
        <w:tabs>
          <w:tab w:val="right" w:pos="9912"/>
        </w:tabs>
        <w:rPr>
          <w:rFonts w:eastAsiaTheme="minorEastAsia" w:cstheme="minorBidi"/>
          <w:noProof/>
          <w:sz w:val="22"/>
          <w:szCs w:val="22"/>
        </w:rPr>
      </w:pPr>
      <w:hyperlink w:anchor="_Toc510018901" w:history="1">
        <w:r w:rsidR="00A7551B" w:rsidRPr="00061935">
          <w:rPr>
            <w:rStyle w:val="Hyperlink"/>
            <w:noProof/>
          </w:rPr>
          <w:t>Criminal Records Checks Guidelines - What a DES Provider must do to comply</w:t>
        </w:r>
        <w:r w:rsidR="00A7551B">
          <w:rPr>
            <w:noProof/>
            <w:webHidden/>
          </w:rPr>
          <w:tab/>
        </w:r>
        <w:r w:rsidR="00A7551B">
          <w:rPr>
            <w:noProof/>
            <w:webHidden/>
          </w:rPr>
          <w:fldChar w:fldCharType="begin"/>
        </w:r>
        <w:r w:rsidR="00A7551B">
          <w:rPr>
            <w:noProof/>
            <w:webHidden/>
          </w:rPr>
          <w:instrText xml:space="preserve"> PAGEREF _Toc510018901 \h </w:instrText>
        </w:r>
        <w:r w:rsidR="00A7551B">
          <w:rPr>
            <w:noProof/>
            <w:webHidden/>
          </w:rPr>
        </w:r>
        <w:r w:rsidR="00A7551B">
          <w:rPr>
            <w:noProof/>
            <w:webHidden/>
          </w:rPr>
          <w:fldChar w:fldCharType="separate"/>
        </w:r>
        <w:r w:rsidR="00A7551B">
          <w:rPr>
            <w:noProof/>
            <w:webHidden/>
          </w:rPr>
          <w:t>4</w:t>
        </w:r>
        <w:r w:rsidR="00A7551B">
          <w:rPr>
            <w:noProof/>
            <w:webHidden/>
          </w:rPr>
          <w:fldChar w:fldCharType="end"/>
        </w:r>
      </w:hyperlink>
    </w:p>
    <w:p w14:paraId="12430C34" w14:textId="57F1BBF5" w:rsidR="00A7551B" w:rsidRDefault="00D42EF1">
      <w:pPr>
        <w:pStyle w:val="TOC3"/>
        <w:tabs>
          <w:tab w:val="right" w:pos="9912"/>
        </w:tabs>
        <w:rPr>
          <w:rFonts w:eastAsiaTheme="minorEastAsia" w:cstheme="minorBidi"/>
          <w:noProof/>
          <w:sz w:val="22"/>
          <w:szCs w:val="22"/>
        </w:rPr>
      </w:pPr>
      <w:hyperlink w:anchor="_Toc510018902" w:history="1">
        <w:r w:rsidR="00A7551B" w:rsidRPr="00061935">
          <w:rPr>
            <w:rStyle w:val="Hyperlink"/>
            <w:noProof/>
          </w:rPr>
          <w:t>Sourcing Criminal Records Checks</w:t>
        </w:r>
        <w:r w:rsidR="00A7551B">
          <w:rPr>
            <w:noProof/>
            <w:webHidden/>
          </w:rPr>
          <w:tab/>
        </w:r>
        <w:r w:rsidR="00A7551B">
          <w:rPr>
            <w:noProof/>
            <w:webHidden/>
          </w:rPr>
          <w:fldChar w:fldCharType="begin"/>
        </w:r>
        <w:r w:rsidR="00A7551B">
          <w:rPr>
            <w:noProof/>
            <w:webHidden/>
          </w:rPr>
          <w:instrText xml:space="preserve"> PAGEREF _Toc510018902 \h </w:instrText>
        </w:r>
        <w:r w:rsidR="00A7551B">
          <w:rPr>
            <w:noProof/>
            <w:webHidden/>
          </w:rPr>
        </w:r>
        <w:r w:rsidR="00A7551B">
          <w:rPr>
            <w:noProof/>
            <w:webHidden/>
          </w:rPr>
          <w:fldChar w:fldCharType="separate"/>
        </w:r>
        <w:r w:rsidR="00A7551B">
          <w:rPr>
            <w:noProof/>
            <w:webHidden/>
          </w:rPr>
          <w:t>8</w:t>
        </w:r>
        <w:r w:rsidR="00A7551B">
          <w:rPr>
            <w:noProof/>
            <w:webHidden/>
          </w:rPr>
          <w:fldChar w:fldCharType="end"/>
        </w:r>
      </w:hyperlink>
    </w:p>
    <w:p w14:paraId="5202F2DA" w14:textId="4F5C80C7" w:rsidR="00132ECE" w:rsidRPr="00E07B69" w:rsidDel="009C3B85" w:rsidRDefault="00132ECE" w:rsidP="00132ECE">
      <w:r w:rsidRPr="00E07B69">
        <w:fldChar w:fldCharType="end"/>
      </w:r>
    </w:p>
    <w:p w14:paraId="02456E27" w14:textId="33B399A9" w:rsidR="00977387" w:rsidRDefault="00977387" w:rsidP="003653F8">
      <w:pPr>
        <w:pStyle w:val="TOCHeading"/>
      </w:pPr>
    </w:p>
    <w:p w14:paraId="3C9F7B6D" w14:textId="051CEEC8" w:rsidR="00977387" w:rsidRPr="00A4688A" w:rsidRDefault="00977387" w:rsidP="003653F8">
      <w:r w:rsidRPr="000848F0">
        <w:br w:type="page"/>
      </w:r>
    </w:p>
    <w:p w14:paraId="081B8DAF" w14:textId="10921983" w:rsidR="008E0B8E" w:rsidRDefault="008E0B8E" w:rsidP="008E0B8E">
      <w:pPr>
        <w:rPr>
          <w:b/>
          <w:sz w:val="20"/>
          <w:szCs w:val="20"/>
        </w:rPr>
      </w:pPr>
      <w:bookmarkStart w:id="13" w:name="_Toc229559847"/>
      <w:bookmarkStart w:id="14" w:name="_Toc284406765"/>
      <w:bookmarkStart w:id="15" w:name="_Toc384218794"/>
      <w:bookmarkStart w:id="16" w:name="_Toc491941577"/>
      <w:r w:rsidRPr="008E0B8E">
        <w:rPr>
          <w:b/>
          <w:sz w:val="20"/>
          <w:szCs w:val="20"/>
        </w:rPr>
        <w:lastRenderedPageBreak/>
        <w:t>Criminal Record Checks Guidelines</w:t>
      </w:r>
    </w:p>
    <w:p w14:paraId="4FE976CE" w14:textId="77777777" w:rsidR="000B068B" w:rsidRPr="008E0B8E" w:rsidRDefault="000B068B" w:rsidP="008E0B8E">
      <w:pPr>
        <w:rPr>
          <w:b/>
          <w:sz w:val="20"/>
          <w:szCs w:val="20"/>
        </w:rPr>
      </w:pPr>
    </w:p>
    <w:p w14:paraId="4D4ED359" w14:textId="1E24E2BF" w:rsidR="00977387" w:rsidRPr="00EE3DD4" w:rsidRDefault="00977387" w:rsidP="000B068B">
      <w:pPr>
        <w:pStyle w:val="Heading3"/>
        <w:spacing w:before="0" w:after="240"/>
      </w:pPr>
      <w:bookmarkStart w:id="17" w:name="_Toc510018896"/>
      <w:r w:rsidRPr="00EE3DD4">
        <w:t xml:space="preserve">Document Change </w:t>
      </w:r>
      <w:r w:rsidRPr="00E97485">
        <w:t>History</w:t>
      </w:r>
      <w:bookmarkEnd w:id="13"/>
      <w:bookmarkEnd w:id="14"/>
      <w:bookmarkEnd w:id="15"/>
      <w:bookmarkEnd w:id="16"/>
      <w:bookmarkEnd w:id="17"/>
    </w:p>
    <w:tbl>
      <w:tblPr>
        <w:tblStyle w:val="TableGrid"/>
        <w:tblW w:w="8824" w:type="dxa"/>
        <w:tblLook w:val="01E0" w:firstRow="1" w:lastRow="1" w:firstColumn="1" w:lastColumn="1" w:noHBand="0" w:noVBand="0"/>
        <w:tblCaption w:val="Document Change History"/>
      </w:tblPr>
      <w:tblGrid>
        <w:gridCol w:w="974"/>
        <w:gridCol w:w="1661"/>
        <w:gridCol w:w="1301"/>
        <w:gridCol w:w="4888"/>
      </w:tblGrid>
      <w:tr w:rsidR="00E97485" w:rsidRPr="00EE3DD4" w14:paraId="129DBAD3" w14:textId="77777777" w:rsidTr="00714137">
        <w:trPr>
          <w:tblHeader/>
        </w:trPr>
        <w:tc>
          <w:tcPr>
            <w:tcW w:w="974" w:type="dxa"/>
          </w:tcPr>
          <w:p w14:paraId="640EEA80" w14:textId="77777777" w:rsidR="00E97485" w:rsidRPr="00714137" w:rsidRDefault="00E97485" w:rsidP="00714137">
            <w:pPr>
              <w:spacing w:before="120" w:after="120"/>
              <w:jc w:val="center"/>
              <w:rPr>
                <w:b/>
                <w:color w:val="000000" w:themeColor="text1"/>
                <w:sz w:val="22"/>
                <w:szCs w:val="22"/>
              </w:rPr>
            </w:pPr>
            <w:r w:rsidRPr="00714137">
              <w:rPr>
                <w:rFonts w:cs="Arial"/>
                <w:b/>
                <w:color w:val="000000" w:themeColor="text1"/>
                <w:sz w:val="22"/>
                <w:szCs w:val="22"/>
              </w:rPr>
              <w:t>Version</w:t>
            </w:r>
          </w:p>
        </w:tc>
        <w:tc>
          <w:tcPr>
            <w:tcW w:w="1661" w:type="dxa"/>
          </w:tcPr>
          <w:p w14:paraId="2B47234B" w14:textId="64DDCBD2" w:rsidR="00E97485" w:rsidRPr="00714137" w:rsidRDefault="00714137" w:rsidP="00714137">
            <w:pPr>
              <w:spacing w:before="120" w:after="120"/>
              <w:jc w:val="center"/>
              <w:rPr>
                <w:b/>
                <w:color w:val="000000" w:themeColor="text1"/>
                <w:sz w:val="22"/>
                <w:szCs w:val="22"/>
              </w:rPr>
            </w:pPr>
            <w:r>
              <w:rPr>
                <w:rFonts w:cs="Arial"/>
                <w:b/>
                <w:color w:val="000000" w:themeColor="text1"/>
                <w:sz w:val="22"/>
                <w:szCs w:val="22"/>
              </w:rPr>
              <w:t>Effective</w:t>
            </w:r>
            <w:r w:rsidR="00521029" w:rsidRPr="00714137">
              <w:rPr>
                <w:rFonts w:cs="Arial"/>
                <w:b/>
                <w:color w:val="000000" w:themeColor="text1"/>
                <w:sz w:val="22"/>
                <w:szCs w:val="22"/>
              </w:rPr>
              <w:t xml:space="preserve"> </w:t>
            </w:r>
            <w:r w:rsidR="00E97485" w:rsidRPr="00714137">
              <w:rPr>
                <w:rFonts w:cs="Arial"/>
                <w:b/>
                <w:color w:val="000000" w:themeColor="text1"/>
                <w:sz w:val="22"/>
                <w:szCs w:val="22"/>
              </w:rPr>
              <w:t>Date</w:t>
            </w:r>
          </w:p>
        </w:tc>
        <w:tc>
          <w:tcPr>
            <w:tcW w:w="1301" w:type="dxa"/>
          </w:tcPr>
          <w:p w14:paraId="6321B236" w14:textId="77777777" w:rsidR="00E97485" w:rsidRPr="00714137" w:rsidRDefault="00E97485" w:rsidP="00714137">
            <w:pPr>
              <w:spacing w:before="120" w:after="120"/>
              <w:jc w:val="center"/>
              <w:rPr>
                <w:b/>
                <w:color w:val="000000" w:themeColor="text1"/>
                <w:sz w:val="22"/>
                <w:szCs w:val="22"/>
              </w:rPr>
            </w:pPr>
            <w:r w:rsidRPr="00714137">
              <w:rPr>
                <w:rFonts w:cs="Arial"/>
                <w:b/>
                <w:color w:val="000000" w:themeColor="text1"/>
                <w:sz w:val="22"/>
                <w:szCs w:val="22"/>
              </w:rPr>
              <w:t>End Date</w:t>
            </w:r>
          </w:p>
        </w:tc>
        <w:tc>
          <w:tcPr>
            <w:tcW w:w="4888" w:type="dxa"/>
          </w:tcPr>
          <w:p w14:paraId="1EBEA3C7" w14:textId="5F04A546" w:rsidR="00E97485" w:rsidRPr="00714137" w:rsidRDefault="00E97485" w:rsidP="00714137">
            <w:pPr>
              <w:spacing w:before="120" w:after="120"/>
              <w:jc w:val="center"/>
              <w:rPr>
                <w:b/>
                <w:color w:val="000000" w:themeColor="text1"/>
                <w:sz w:val="22"/>
                <w:szCs w:val="22"/>
              </w:rPr>
            </w:pPr>
            <w:r w:rsidRPr="00714137">
              <w:rPr>
                <w:rFonts w:cs="Arial"/>
                <w:b/>
                <w:color w:val="000000" w:themeColor="text1"/>
                <w:sz w:val="22"/>
                <w:szCs w:val="22"/>
              </w:rPr>
              <w:t xml:space="preserve">Change </w:t>
            </w:r>
            <w:r w:rsidR="00E91992">
              <w:rPr>
                <w:rFonts w:cs="Arial"/>
                <w:b/>
                <w:color w:val="000000" w:themeColor="text1"/>
                <w:sz w:val="22"/>
                <w:szCs w:val="22"/>
              </w:rPr>
              <w:t xml:space="preserve">&amp; </w:t>
            </w:r>
            <w:r w:rsidRPr="00714137">
              <w:rPr>
                <w:rFonts w:cs="Arial"/>
                <w:b/>
                <w:color w:val="000000" w:themeColor="text1"/>
                <w:sz w:val="22"/>
                <w:szCs w:val="22"/>
              </w:rPr>
              <w:t>Location</w:t>
            </w:r>
          </w:p>
        </w:tc>
      </w:tr>
      <w:tr w:rsidR="00E97485" w:rsidRPr="0086378F" w14:paraId="688797E4" w14:textId="77777777" w:rsidTr="00714137">
        <w:tc>
          <w:tcPr>
            <w:tcW w:w="974" w:type="dxa"/>
          </w:tcPr>
          <w:p w14:paraId="4814E69A" w14:textId="77777777" w:rsidR="00E97485" w:rsidRPr="00E91992" w:rsidRDefault="00E97485" w:rsidP="001F19F4">
            <w:pPr>
              <w:pStyle w:val="TableText9pt"/>
              <w:spacing w:after="120"/>
              <w:jc w:val="center"/>
              <w:rPr>
                <w:rFonts w:cs="Arial"/>
                <w:sz w:val="22"/>
                <w:szCs w:val="22"/>
              </w:rPr>
            </w:pPr>
            <w:r w:rsidRPr="00E91992">
              <w:rPr>
                <w:rFonts w:cs="Arial"/>
                <w:sz w:val="22"/>
                <w:szCs w:val="22"/>
              </w:rPr>
              <w:t>1.0</w:t>
            </w:r>
          </w:p>
        </w:tc>
        <w:tc>
          <w:tcPr>
            <w:tcW w:w="1661" w:type="dxa"/>
          </w:tcPr>
          <w:p w14:paraId="64DF7364" w14:textId="110BB6C2" w:rsidR="00E97485" w:rsidRPr="00E91992" w:rsidRDefault="00BC1293" w:rsidP="001F19F4">
            <w:pPr>
              <w:pStyle w:val="TableText9pt"/>
              <w:spacing w:after="120"/>
              <w:jc w:val="center"/>
              <w:rPr>
                <w:rFonts w:cs="Arial"/>
                <w:sz w:val="22"/>
                <w:szCs w:val="22"/>
              </w:rPr>
            </w:pPr>
            <w:r w:rsidRPr="00E91992">
              <w:rPr>
                <w:rFonts w:cs="Arial"/>
                <w:sz w:val="22"/>
                <w:szCs w:val="22"/>
              </w:rPr>
              <w:t>1 July 2018</w:t>
            </w:r>
          </w:p>
        </w:tc>
        <w:tc>
          <w:tcPr>
            <w:tcW w:w="1301" w:type="dxa"/>
          </w:tcPr>
          <w:p w14:paraId="6B5AAE2C" w14:textId="77777777" w:rsidR="00E97485" w:rsidRPr="00E91992" w:rsidRDefault="00E97485" w:rsidP="001F19F4">
            <w:pPr>
              <w:pStyle w:val="TableText9pt"/>
              <w:spacing w:after="120"/>
              <w:jc w:val="center"/>
              <w:rPr>
                <w:rFonts w:cs="Arial"/>
                <w:sz w:val="22"/>
                <w:szCs w:val="22"/>
              </w:rPr>
            </w:pPr>
          </w:p>
        </w:tc>
        <w:tc>
          <w:tcPr>
            <w:tcW w:w="4888" w:type="dxa"/>
          </w:tcPr>
          <w:p w14:paraId="10D8CEF0" w14:textId="77777777" w:rsidR="00E97485" w:rsidRPr="00E91992" w:rsidRDefault="00E97485" w:rsidP="001F19F4">
            <w:pPr>
              <w:pStyle w:val="TableText9pt"/>
              <w:spacing w:after="120"/>
              <w:rPr>
                <w:rFonts w:cs="Arial"/>
                <w:sz w:val="22"/>
                <w:szCs w:val="22"/>
              </w:rPr>
            </w:pPr>
            <w:r w:rsidRPr="00E91992">
              <w:rPr>
                <w:rFonts w:cs="Arial"/>
                <w:sz w:val="22"/>
                <w:szCs w:val="22"/>
              </w:rPr>
              <w:t>Original version of document</w:t>
            </w:r>
          </w:p>
        </w:tc>
      </w:tr>
    </w:tbl>
    <w:p w14:paraId="50E1148E" w14:textId="77777777" w:rsidR="000B068B" w:rsidRDefault="000B068B" w:rsidP="00FD7588">
      <w:bookmarkStart w:id="18" w:name="_Toc491941578"/>
      <w:bookmarkStart w:id="19" w:name="_Toc284406766"/>
    </w:p>
    <w:p w14:paraId="7964DCF7" w14:textId="5E85DFA1" w:rsidR="001205C2" w:rsidRDefault="002F6A3B" w:rsidP="000B068B">
      <w:pPr>
        <w:pStyle w:val="Heading3"/>
        <w:spacing w:before="0" w:after="240"/>
      </w:pPr>
      <w:bookmarkStart w:id="20" w:name="_Toc510018897"/>
      <w:r>
        <w:t>Background</w:t>
      </w:r>
      <w:bookmarkEnd w:id="20"/>
    </w:p>
    <w:p w14:paraId="2D7DE4B2" w14:textId="49CE10CD" w:rsidR="001205C2" w:rsidRDefault="001205C2" w:rsidP="000B068B">
      <w:pPr>
        <w:rPr>
          <w:sz w:val="22"/>
          <w:szCs w:val="22"/>
        </w:rPr>
      </w:pPr>
      <w:r w:rsidRPr="00EF7EB6">
        <w:rPr>
          <w:sz w:val="22"/>
          <w:szCs w:val="22"/>
        </w:rPr>
        <w:t>This Guideline outlines the responsibilities of DES Providers in relation to criminal records checks, including processes for obtaining criminal record chec</w:t>
      </w:r>
      <w:r w:rsidR="002F6A3B">
        <w:rPr>
          <w:sz w:val="22"/>
          <w:szCs w:val="22"/>
        </w:rPr>
        <w:t>ks in each State and Territory.</w:t>
      </w:r>
    </w:p>
    <w:p w14:paraId="01675C06" w14:textId="77777777" w:rsidR="000B068B" w:rsidRPr="00EF7EB6" w:rsidRDefault="000B068B" w:rsidP="000B068B">
      <w:pPr>
        <w:rPr>
          <w:sz w:val="22"/>
          <w:szCs w:val="22"/>
        </w:rPr>
      </w:pPr>
    </w:p>
    <w:p w14:paraId="51BB48F8" w14:textId="4CC3A213" w:rsidR="001205C2" w:rsidRDefault="001205C2" w:rsidP="000B068B">
      <w:pPr>
        <w:rPr>
          <w:rFonts w:eastAsiaTheme="minorHAnsi"/>
          <w:sz w:val="22"/>
          <w:szCs w:val="22"/>
          <w:lang w:eastAsia="en-US"/>
        </w:rPr>
      </w:pPr>
      <w:r w:rsidRPr="00EF7EB6">
        <w:rPr>
          <w:rFonts w:eastAsiaTheme="minorHAnsi"/>
          <w:sz w:val="22"/>
          <w:szCs w:val="22"/>
          <w:lang w:eastAsia="en-US"/>
        </w:rPr>
        <w:t>For the purposes of this document, a ‘criminal record check’ may refer to both a criminal records check and a Working with Children check.</w:t>
      </w:r>
    </w:p>
    <w:p w14:paraId="082D852D" w14:textId="77777777" w:rsidR="000B068B" w:rsidRPr="00EF7EB6" w:rsidRDefault="000B068B" w:rsidP="000B068B">
      <w:pPr>
        <w:rPr>
          <w:sz w:val="22"/>
          <w:szCs w:val="22"/>
        </w:rPr>
      </w:pPr>
    </w:p>
    <w:p w14:paraId="685D793E" w14:textId="0752E080" w:rsidR="00460610" w:rsidRDefault="001205C2" w:rsidP="00460610">
      <w:pPr>
        <w:rPr>
          <w:b/>
          <w:sz w:val="22"/>
          <w:szCs w:val="22"/>
        </w:rPr>
      </w:pPr>
      <w:r w:rsidRPr="00EF7EB6">
        <w:rPr>
          <w:b/>
          <w:sz w:val="22"/>
          <w:szCs w:val="22"/>
        </w:rPr>
        <w:t>Note: This should not be read as a stand-alone document, please refer to the Disability Employment Services Grant Agreement.</w:t>
      </w:r>
      <w:bookmarkStart w:id="21" w:name="_Toc491941579"/>
      <w:bookmarkEnd w:id="18"/>
    </w:p>
    <w:p w14:paraId="117B3B16" w14:textId="77777777" w:rsidR="000B068B" w:rsidRPr="00EF7EB6" w:rsidRDefault="000B068B" w:rsidP="00460610">
      <w:pPr>
        <w:rPr>
          <w:b/>
          <w:sz w:val="22"/>
          <w:szCs w:val="22"/>
        </w:rPr>
      </w:pPr>
    </w:p>
    <w:p w14:paraId="7B54739D" w14:textId="34EFA36E" w:rsidR="00D50ABE" w:rsidRDefault="00AA27CE" w:rsidP="000B068B">
      <w:pPr>
        <w:pStyle w:val="Heading3"/>
        <w:spacing w:before="0" w:after="240"/>
      </w:pPr>
      <w:r>
        <w:t xml:space="preserve"> </w:t>
      </w:r>
      <w:bookmarkStart w:id="22" w:name="_Toc510018898"/>
      <w:r w:rsidR="00122B73">
        <w:t xml:space="preserve">Disability Employment Services </w:t>
      </w:r>
      <w:r w:rsidR="005F15E0">
        <w:t>Grant Agreement</w:t>
      </w:r>
      <w:r w:rsidR="00D50ABE" w:rsidRPr="000A150D">
        <w:t xml:space="preserve"> Clauses:</w:t>
      </w:r>
      <w:bookmarkEnd w:id="21"/>
      <w:bookmarkEnd w:id="22"/>
    </w:p>
    <w:p w14:paraId="71E449AA" w14:textId="77777777" w:rsidR="00D50ABE" w:rsidRPr="00EF7EB6" w:rsidRDefault="00D50ABE" w:rsidP="000B068B">
      <w:pPr>
        <w:rPr>
          <w:sz w:val="22"/>
          <w:szCs w:val="22"/>
        </w:rPr>
      </w:pPr>
      <w:r w:rsidRPr="00EF7EB6">
        <w:rPr>
          <w:sz w:val="22"/>
          <w:szCs w:val="22"/>
        </w:rPr>
        <w:t xml:space="preserve">The relevant clauses in the Disability Employment Services </w:t>
      </w:r>
      <w:r w:rsidR="005F15E0" w:rsidRPr="00EF7EB6">
        <w:rPr>
          <w:sz w:val="22"/>
          <w:szCs w:val="22"/>
        </w:rPr>
        <w:t>Grant Agreement</w:t>
      </w:r>
      <w:r w:rsidR="00BB2F91" w:rsidRPr="00EF7EB6">
        <w:rPr>
          <w:sz w:val="22"/>
          <w:szCs w:val="22"/>
        </w:rPr>
        <w:t xml:space="preserve"> are:</w:t>
      </w:r>
    </w:p>
    <w:p w14:paraId="494AE687" w14:textId="77777777" w:rsidR="00994127" w:rsidRPr="008B0586" w:rsidRDefault="00D50ABE" w:rsidP="008B0586">
      <w:pPr>
        <w:rPr>
          <w:rFonts w:cs="Arial"/>
          <w:sz w:val="22"/>
          <w:szCs w:val="22"/>
        </w:rPr>
      </w:pPr>
      <w:r w:rsidRPr="008B0586">
        <w:rPr>
          <w:rFonts w:cs="Arial"/>
          <w:sz w:val="22"/>
          <w:szCs w:val="22"/>
        </w:rPr>
        <w:t xml:space="preserve">Clause </w:t>
      </w:r>
      <w:r w:rsidR="00DC59E6" w:rsidRPr="008B0586">
        <w:rPr>
          <w:rFonts w:cs="Arial"/>
          <w:sz w:val="22"/>
          <w:szCs w:val="22"/>
        </w:rPr>
        <w:t>16</w:t>
      </w:r>
      <w:r w:rsidRPr="008B0586">
        <w:rPr>
          <w:rFonts w:cs="Arial"/>
          <w:sz w:val="22"/>
          <w:szCs w:val="22"/>
        </w:rPr>
        <w:t xml:space="preserve"> – Criminal records checks and other measures</w:t>
      </w:r>
    </w:p>
    <w:p w14:paraId="51010730" w14:textId="1DD1F2A0" w:rsidR="00994127" w:rsidRPr="008B0586" w:rsidRDefault="00994127" w:rsidP="008B0586">
      <w:pPr>
        <w:rPr>
          <w:rFonts w:cs="Arial"/>
          <w:sz w:val="22"/>
          <w:szCs w:val="22"/>
        </w:rPr>
      </w:pPr>
      <w:r w:rsidRPr="008B0586">
        <w:rPr>
          <w:rFonts w:cs="Arial"/>
          <w:sz w:val="22"/>
          <w:szCs w:val="22"/>
        </w:rPr>
        <w:t>Clause 44</w:t>
      </w:r>
      <w:r w:rsidR="00D8612E" w:rsidRPr="008B0586">
        <w:rPr>
          <w:rFonts w:cs="Arial"/>
          <w:sz w:val="22"/>
          <w:szCs w:val="22"/>
        </w:rPr>
        <w:t xml:space="preserve"> - </w:t>
      </w:r>
      <w:r w:rsidR="00BA022B" w:rsidRPr="008B0586">
        <w:rPr>
          <w:rFonts w:cs="Arial"/>
          <w:sz w:val="22"/>
          <w:szCs w:val="22"/>
        </w:rPr>
        <w:t>Records the Provider must keep</w:t>
      </w:r>
    </w:p>
    <w:p w14:paraId="5DEAF3DF" w14:textId="759AD11F" w:rsidR="00D50ABE" w:rsidRPr="008B0586" w:rsidRDefault="00994127" w:rsidP="008B0586">
      <w:pPr>
        <w:rPr>
          <w:rFonts w:cs="Arial"/>
          <w:sz w:val="22"/>
          <w:szCs w:val="22"/>
        </w:rPr>
      </w:pPr>
      <w:r w:rsidRPr="008B0586">
        <w:rPr>
          <w:rFonts w:cs="Arial"/>
          <w:sz w:val="22"/>
          <w:szCs w:val="22"/>
        </w:rPr>
        <w:t xml:space="preserve">Clause 45 - </w:t>
      </w:r>
      <w:r w:rsidR="00BA022B" w:rsidRPr="008B0586">
        <w:rPr>
          <w:rFonts w:cs="Arial"/>
          <w:sz w:val="22"/>
          <w:szCs w:val="22"/>
        </w:rPr>
        <w:t xml:space="preserve">Access by Participants and Employers to </w:t>
      </w:r>
      <w:r w:rsidR="00E051BA" w:rsidRPr="008B0586">
        <w:rPr>
          <w:rFonts w:cs="Arial"/>
          <w:sz w:val="22"/>
          <w:szCs w:val="22"/>
        </w:rPr>
        <w:t>R</w:t>
      </w:r>
      <w:r w:rsidR="00BA022B" w:rsidRPr="008B0586">
        <w:rPr>
          <w:rFonts w:cs="Arial"/>
          <w:sz w:val="22"/>
          <w:szCs w:val="22"/>
        </w:rPr>
        <w:t>ecords held by the Provider</w:t>
      </w:r>
    </w:p>
    <w:p w14:paraId="199A8842" w14:textId="294F01B8" w:rsidR="00D50ABE" w:rsidRPr="008B0586" w:rsidRDefault="00D50ABE" w:rsidP="008B0586">
      <w:pPr>
        <w:rPr>
          <w:sz w:val="22"/>
          <w:szCs w:val="22"/>
        </w:rPr>
      </w:pPr>
      <w:r w:rsidRPr="008B0586">
        <w:rPr>
          <w:sz w:val="22"/>
          <w:szCs w:val="22"/>
        </w:rPr>
        <w:t>Clause 9</w:t>
      </w:r>
      <w:r w:rsidR="006C5400" w:rsidRPr="008B0586">
        <w:rPr>
          <w:sz w:val="22"/>
          <w:szCs w:val="22"/>
        </w:rPr>
        <w:t>8</w:t>
      </w:r>
      <w:r w:rsidRPr="008B0586">
        <w:rPr>
          <w:sz w:val="22"/>
          <w:szCs w:val="22"/>
        </w:rPr>
        <w:t xml:space="preserve"> – </w:t>
      </w:r>
      <w:r w:rsidR="00DC59E6" w:rsidRPr="008B0586">
        <w:rPr>
          <w:sz w:val="22"/>
          <w:szCs w:val="22"/>
        </w:rPr>
        <w:t>National Work Experience Program</w:t>
      </w:r>
      <w:r w:rsidR="00E051BA" w:rsidRPr="008B0586">
        <w:rPr>
          <w:sz w:val="22"/>
          <w:szCs w:val="22"/>
        </w:rPr>
        <w:t>me</w:t>
      </w:r>
      <w:r w:rsidR="00DC59E6" w:rsidRPr="008B0586">
        <w:rPr>
          <w:sz w:val="22"/>
          <w:szCs w:val="22"/>
        </w:rPr>
        <w:t xml:space="preserve"> Placements</w:t>
      </w:r>
    </w:p>
    <w:p w14:paraId="71D33D1F" w14:textId="2A7A099B" w:rsidR="005B33DD" w:rsidRPr="008B0586" w:rsidRDefault="00D50ABE" w:rsidP="008B0586">
      <w:pPr>
        <w:rPr>
          <w:sz w:val="22"/>
          <w:szCs w:val="22"/>
        </w:rPr>
      </w:pPr>
      <w:r w:rsidRPr="008B0586">
        <w:rPr>
          <w:rFonts w:cs="Arial"/>
          <w:sz w:val="22"/>
          <w:szCs w:val="22"/>
        </w:rPr>
        <w:t xml:space="preserve">Section </w:t>
      </w:r>
      <w:proofErr w:type="spellStart"/>
      <w:r w:rsidRPr="008B0586">
        <w:rPr>
          <w:rFonts w:cs="Arial"/>
          <w:sz w:val="22"/>
          <w:szCs w:val="22"/>
        </w:rPr>
        <w:t>3C</w:t>
      </w:r>
      <w:proofErr w:type="spellEnd"/>
      <w:r w:rsidRPr="008B0586">
        <w:rPr>
          <w:rFonts w:cs="Arial"/>
          <w:sz w:val="22"/>
          <w:szCs w:val="22"/>
        </w:rPr>
        <w:t>– Control of Information</w:t>
      </w:r>
    </w:p>
    <w:p w14:paraId="26CF461E" w14:textId="235C1D14" w:rsidR="00584002" w:rsidRPr="008B0586" w:rsidRDefault="000F4783" w:rsidP="008B0586">
      <w:pPr>
        <w:rPr>
          <w:sz w:val="22"/>
          <w:szCs w:val="22"/>
        </w:rPr>
      </w:pPr>
      <w:r w:rsidRPr="008B0586">
        <w:rPr>
          <w:rFonts w:cs="Arial"/>
          <w:sz w:val="22"/>
          <w:szCs w:val="22"/>
        </w:rPr>
        <w:t>Annex</w:t>
      </w:r>
      <w:r w:rsidR="00584002" w:rsidRPr="008B0586">
        <w:rPr>
          <w:rFonts w:cs="Arial"/>
          <w:sz w:val="22"/>
          <w:szCs w:val="22"/>
        </w:rPr>
        <w:t xml:space="preserve">ure A </w:t>
      </w:r>
      <w:r w:rsidR="000B068B" w:rsidRPr="008B0586">
        <w:rPr>
          <w:rFonts w:cs="Arial"/>
          <w:sz w:val="22"/>
          <w:szCs w:val="22"/>
        </w:rPr>
        <w:t>–</w:t>
      </w:r>
      <w:r w:rsidR="00584002" w:rsidRPr="008B0586">
        <w:rPr>
          <w:rFonts w:cs="Arial"/>
          <w:sz w:val="22"/>
          <w:szCs w:val="22"/>
        </w:rPr>
        <w:t xml:space="preserve"> Definitions</w:t>
      </w:r>
    </w:p>
    <w:p w14:paraId="3B27F592" w14:textId="77777777" w:rsidR="000B068B" w:rsidRPr="00EF7EB6" w:rsidRDefault="000B068B" w:rsidP="000B068B">
      <w:pPr>
        <w:pStyle w:val="ListParagraph"/>
        <w:ind w:left="284"/>
        <w:rPr>
          <w:sz w:val="22"/>
          <w:szCs w:val="22"/>
        </w:rPr>
      </w:pPr>
    </w:p>
    <w:p w14:paraId="5399DDDB" w14:textId="29128069" w:rsidR="00777F06" w:rsidRDefault="00777F06" w:rsidP="000B068B">
      <w:pPr>
        <w:pStyle w:val="Heading3"/>
        <w:spacing w:before="0" w:after="240"/>
      </w:pPr>
      <w:bookmarkStart w:id="23" w:name="_Toc510018899"/>
      <w:r w:rsidRPr="0036685A">
        <w:t>Reference documents relevant to this guideline</w:t>
      </w:r>
      <w:bookmarkEnd w:id="23"/>
    </w:p>
    <w:p w14:paraId="64095C53" w14:textId="273988D7" w:rsidR="00777F06" w:rsidRPr="00EF7EB6" w:rsidRDefault="00C073BE" w:rsidP="00550AD3">
      <w:pPr>
        <w:spacing w:before="120" w:after="120"/>
        <w:rPr>
          <w:rStyle w:val="Hyperlink"/>
          <w:color w:val="auto"/>
          <w:sz w:val="22"/>
          <w:szCs w:val="22"/>
          <w:u w:val="none"/>
        </w:rPr>
      </w:pPr>
      <w:r w:rsidRPr="00EF7EB6">
        <w:rPr>
          <w:rStyle w:val="Hyperlink"/>
          <w:color w:val="auto"/>
          <w:sz w:val="22"/>
          <w:szCs w:val="22"/>
          <w:u w:val="none"/>
        </w:rPr>
        <w:t>National Work Experience Program</w:t>
      </w:r>
      <w:r w:rsidR="008B0586">
        <w:rPr>
          <w:rStyle w:val="Hyperlink"/>
          <w:color w:val="auto"/>
          <w:sz w:val="22"/>
          <w:szCs w:val="22"/>
          <w:u w:val="none"/>
        </w:rPr>
        <w:t>me</w:t>
      </w:r>
      <w:r w:rsidR="00E86AAE" w:rsidRPr="00EF7EB6">
        <w:rPr>
          <w:rStyle w:val="Hyperlink"/>
          <w:color w:val="auto"/>
          <w:sz w:val="22"/>
          <w:szCs w:val="22"/>
          <w:u w:val="none"/>
        </w:rPr>
        <w:t xml:space="preserve"> for Disability Employment Services </w:t>
      </w:r>
      <w:r w:rsidRPr="00EF7EB6">
        <w:rPr>
          <w:rStyle w:val="Hyperlink"/>
          <w:color w:val="auto"/>
          <w:sz w:val="22"/>
          <w:szCs w:val="22"/>
          <w:u w:val="none"/>
        </w:rPr>
        <w:t>Guideline</w:t>
      </w:r>
      <w:r w:rsidR="00460610" w:rsidRPr="00EF7EB6">
        <w:rPr>
          <w:rStyle w:val="Hyperlink"/>
          <w:color w:val="auto"/>
          <w:sz w:val="22"/>
          <w:szCs w:val="22"/>
          <w:u w:val="none"/>
        </w:rPr>
        <w:t>s</w:t>
      </w:r>
    </w:p>
    <w:p w14:paraId="4682B02C" w14:textId="1E7B1818" w:rsidR="00FA0574" w:rsidRPr="003D714B" w:rsidRDefault="00FA0574" w:rsidP="003D714B">
      <w:pPr>
        <w:pStyle w:val="Heading3"/>
        <w:rPr>
          <w:rStyle w:val="Hyperlink"/>
          <w:color w:val="auto"/>
          <w:u w:val="none"/>
        </w:rPr>
      </w:pPr>
      <w:bookmarkStart w:id="24" w:name="_Toc510018900"/>
      <w:r w:rsidRPr="003D714B">
        <w:rPr>
          <w:rStyle w:val="Hyperlink"/>
          <w:color w:val="auto"/>
          <w:u w:val="none"/>
        </w:rPr>
        <w:t>Explanatory Note</w:t>
      </w:r>
      <w:bookmarkEnd w:id="24"/>
    </w:p>
    <w:p w14:paraId="27C2E77C" w14:textId="77777777" w:rsidR="004337D8" w:rsidRPr="004337D8" w:rsidRDefault="004337D8" w:rsidP="000B068B">
      <w:pPr>
        <w:rPr>
          <w:sz w:val="22"/>
        </w:rPr>
      </w:pPr>
      <w:r w:rsidRPr="004337D8">
        <w:rPr>
          <w:sz w:val="22"/>
        </w:rPr>
        <w:t>All capitalised terms have the same meaning as in Disability Employment Services Grant Agreement.</w:t>
      </w:r>
    </w:p>
    <w:p w14:paraId="7B37353E" w14:textId="38BA6211" w:rsidR="004337D8" w:rsidRDefault="004337D8" w:rsidP="000B068B">
      <w:pPr>
        <w:rPr>
          <w:sz w:val="22"/>
        </w:rPr>
      </w:pPr>
      <w:r w:rsidRPr="004337D8">
        <w:rPr>
          <w:sz w:val="22"/>
        </w:rPr>
        <w:t>In this document, “must” means that compliance is mandatory and “</w:t>
      </w:r>
      <w:r w:rsidR="00843DC1" w:rsidRPr="004337D8">
        <w:rPr>
          <w:sz w:val="22"/>
        </w:rPr>
        <w:t>should,</w:t>
      </w:r>
      <w:r w:rsidRPr="004337D8">
        <w:rPr>
          <w:sz w:val="22"/>
        </w:rPr>
        <w:t>” means that compliance represents best practice.</w:t>
      </w:r>
    </w:p>
    <w:p w14:paraId="61510196" w14:textId="77777777" w:rsidR="000B068B" w:rsidRPr="004337D8" w:rsidRDefault="000B068B" w:rsidP="000B068B">
      <w:pPr>
        <w:rPr>
          <w:sz w:val="22"/>
        </w:rPr>
      </w:pPr>
    </w:p>
    <w:p w14:paraId="07CAEF40" w14:textId="77777777" w:rsidR="003D714B" w:rsidRDefault="003D714B">
      <w:pPr>
        <w:spacing w:after="200" w:line="276" w:lineRule="auto"/>
        <w:rPr>
          <w:rFonts w:eastAsiaTheme="majorEastAsia" w:cstheme="majorBidi"/>
          <w:b/>
          <w:bCs/>
        </w:rPr>
      </w:pPr>
      <w:bookmarkStart w:id="25" w:name="_Toc284406774"/>
      <w:bookmarkStart w:id="26" w:name="_Toc491941581"/>
      <w:bookmarkEnd w:id="19"/>
      <w:r>
        <w:br w:type="page"/>
      </w:r>
    </w:p>
    <w:p w14:paraId="58CDA625" w14:textId="533147DC" w:rsidR="00977387" w:rsidRPr="00F55944" w:rsidRDefault="00F55944" w:rsidP="00F55944">
      <w:pPr>
        <w:pStyle w:val="Heading3"/>
      </w:pPr>
      <w:bookmarkStart w:id="27" w:name="_Toc510018901"/>
      <w:r w:rsidRPr="00F55944">
        <w:lastRenderedPageBreak/>
        <w:t>Criminal Records Checks Guidelines</w:t>
      </w:r>
      <w:r>
        <w:t xml:space="preserve"> - </w:t>
      </w:r>
      <w:r w:rsidR="00977387" w:rsidRPr="00F55944">
        <w:t xml:space="preserve">What a DES </w:t>
      </w:r>
      <w:r w:rsidR="004025CB" w:rsidRPr="00F55944">
        <w:t>Provider</w:t>
      </w:r>
      <w:r w:rsidR="00977387" w:rsidRPr="00F55944">
        <w:t xml:space="preserve"> must do to comply</w:t>
      </w:r>
      <w:bookmarkEnd w:id="25"/>
      <w:bookmarkEnd w:id="26"/>
      <w:bookmarkEnd w:id="27"/>
    </w:p>
    <w:p w14:paraId="11B5AF3F" w14:textId="0F769BB6" w:rsidR="004B7AE5" w:rsidRPr="00EF7EB6" w:rsidRDefault="004B7AE5" w:rsidP="000B068B">
      <w:pPr>
        <w:rPr>
          <w:sz w:val="22"/>
          <w:szCs w:val="22"/>
        </w:rPr>
      </w:pPr>
      <w:r w:rsidRPr="00EF7EB6">
        <w:rPr>
          <w:sz w:val="22"/>
          <w:szCs w:val="22"/>
        </w:rPr>
        <w:t xml:space="preserve">Criminal records checks must be carried out where legislation requires it; </w:t>
      </w:r>
      <w:r w:rsidRPr="00EF7EB6">
        <w:rPr>
          <w:b/>
          <w:sz w:val="22"/>
          <w:szCs w:val="22"/>
        </w:rPr>
        <w:t>or</w:t>
      </w:r>
      <w:r w:rsidRPr="00EF7EB6">
        <w:rPr>
          <w:sz w:val="22"/>
          <w:szCs w:val="22"/>
        </w:rPr>
        <w:t xml:space="preserve"> where an activity is subject to industry accreditation requirements/standards; </w:t>
      </w:r>
      <w:r w:rsidRPr="00EF7EB6">
        <w:rPr>
          <w:b/>
          <w:sz w:val="22"/>
          <w:szCs w:val="22"/>
        </w:rPr>
        <w:t>or</w:t>
      </w:r>
      <w:r w:rsidRPr="00EF7EB6">
        <w:rPr>
          <w:sz w:val="22"/>
          <w:szCs w:val="22"/>
        </w:rPr>
        <w:t xml:space="preserve"> where the Department specifies a records check is needed. A criminal records check must be completed for all activities where the Participant will have regular or unsupervised contact with Children, the elder</w:t>
      </w:r>
      <w:r w:rsidR="00CA0C91">
        <w:rPr>
          <w:sz w:val="22"/>
          <w:szCs w:val="22"/>
        </w:rPr>
        <w:t>ly, or other vulnerable people.</w:t>
      </w:r>
    </w:p>
    <w:p w14:paraId="0210C2E8" w14:textId="77777777" w:rsidR="00977387" w:rsidRPr="00A87783" w:rsidRDefault="00977387" w:rsidP="00977387">
      <w:pPr>
        <w:ind w:left="720"/>
      </w:pPr>
    </w:p>
    <w:tbl>
      <w:tblPr>
        <w:tblStyle w:val="TableGrid"/>
        <w:tblW w:w="10138" w:type="dxa"/>
        <w:tblLook w:val="01E0" w:firstRow="1" w:lastRow="1" w:firstColumn="1" w:lastColumn="1" w:noHBand="0" w:noVBand="0"/>
        <w:tblCaption w:val="What a DES provider must do. Who is responsible. What is required."/>
        <w:tblDescription w:val="This table describes what a provider must do to comply with the criminal records check policy."/>
      </w:tblPr>
      <w:tblGrid>
        <w:gridCol w:w="2268"/>
        <w:gridCol w:w="7870"/>
      </w:tblGrid>
      <w:tr w:rsidR="00977387" w:rsidRPr="000B068B" w14:paraId="6950CEA5" w14:textId="77777777" w:rsidTr="00725C9E">
        <w:trPr>
          <w:trHeight w:val="204"/>
          <w:tblHeader/>
        </w:trPr>
        <w:tc>
          <w:tcPr>
            <w:tcW w:w="2235" w:type="dxa"/>
          </w:tcPr>
          <w:p w14:paraId="5811E88A" w14:textId="77777777" w:rsidR="00977387" w:rsidRPr="000B068B" w:rsidRDefault="00977387" w:rsidP="00550AD3">
            <w:pPr>
              <w:jc w:val="center"/>
              <w:rPr>
                <w:sz w:val="22"/>
                <w:szCs w:val="22"/>
              </w:rPr>
            </w:pPr>
            <w:bookmarkStart w:id="28" w:name="_Toc491941582"/>
            <w:r w:rsidRPr="000B068B">
              <w:rPr>
                <w:b/>
                <w:sz w:val="22"/>
                <w:szCs w:val="22"/>
              </w:rPr>
              <w:t>Who is Responsible:</w:t>
            </w:r>
            <w:bookmarkEnd w:id="28"/>
          </w:p>
        </w:tc>
        <w:tc>
          <w:tcPr>
            <w:tcW w:w="7903" w:type="dxa"/>
          </w:tcPr>
          <w:p w14:paraId="4212E10F" w14:textId="77777777" w:rsidR="00977387" w:rsidRPr="000B068B" w:rsidRDefault="00977387" w:rsidP="00550AD3">
            <w:pPr>
              <w:jc w:val="center"/>
              <w:rPr>
                <w:sz w:val="22"/>
                <w:szCs w:val="22"/>
              </w:rPr>
            </w:pPr>
            <w:bookmarkStart w:id="29" w:name="_Toc491941583"/>
            <w:r w:rsidRPr="000B068B">
              <w:rPr>
                <w:b/>
                <w:sz w:val="22"/>
                <w:szCs w:val="22"/>
              </w:rPr>
              <w:t>What is Required:</w:t>
            </w:r>
            <w:bookmarkEnd w:id="29"/>
          </w:p>
        </w:tc>
      </w:tr>
      <w:tr w:rsidR="00977387" w:rsidRPr="006F5BB7" w14:paraId="1770BD8E" w14:textId="77777777" w:rsidTr="00725C9E">
        <w:tc>
          <w:tcPr>
            <w:tcW w:w="2235" w:type="dxa"/>
          </w:tcPr>
          <w:p w14:paraId="5C1473BF" w14:textId="77777777" w:rsidR="00977387" w:rsidRPr="006F5BB7" w:rsidRDefault="00977387" w:rsidP="001F19F4">
            <w:pPr>
              <w:spacing w:before="120"/>
              <w:rPr>
                <w:rFonts w:asciiTheme="minorHAnsi" w:hAnsiTheme="minorHAnsi" w:cstheme="minorHAnsi"/>
                <w:b/>
                <w:sz w:val="22"/>
                <w:szCs w:val="22"/>
              </w:rPr>
            </w:pPr>
            <w:r w:rsidRPr="006F5BB7">
              <w:rPr>
                <w:rFonts w:asciiTheme="minorHAnsi" w:hAnsiTheme="minorHAnsi" w:cstheme="minorHAnsi"/>
                <w:b/>
                <w:sz w:val="22"/>
                <w:szCs w:val="22"/>
              </w:rPr>
              <w:t xml:space="preserve">1. The DES </w:t>
            </w:r>
            <w:r w:rsidR="004025CB" w:rsidRPr="006F5BB7">
              <w:rPr>
                <w:rFonts w:asciiTheme="minorHAnsi" w:hAnsiTheme="minorHAnsi" w:cstheme="minorHAnsi"/>
                <w:b/>
                <w:sz w:val="22"/>
                <w:szCs w:val="22"/>
              </w:rPr>
              <w:t>Provider</w:t>
            </w:r>
          </w:p>
          <w:p w14:paraId="17A93E21" w14:textId="77777777" w:rsidR="00977387" w:rsidRPr="006F5BB7" w:rsidRDefault="00977387" w:rsidP="001F19F4">
            <w:pPr>
              <w:rPr>
                <w:rFonts w:asciiTheme="minorHAnsi" w:hAnsiTheme="minorHAnsi" w:cstheme="minorHAnsi"/>
                <w:b/>
                <w:sz w:val="22"/>
                <w:szCs w:val="22"/>
              </w:rPr>
            </w:pPr>
          </w:p>
          <w:p w14:paraId="52C1465D" w14:textId="77777777" w:rsidR="00977387" w:rsidRPr="006F5BB7" w:rsidRDefault="00977387" w:rsidP="001F19F4">
            <w:pPr>
              <w:rPr>
                <w:rFonts w:asciiTheme="minorHAnsi" w:hAnsiTheme="minorHAnsi" w:cstheme="minorHAnsi"/>
                <w:b/>
                <w:sz w:val="22"/>
                <w:szCs w:val="22"/>
              </w:rPr>
            </w:pPr>
            <w:bookmarkStart w:id="30" w:name="_Toc284406775"/>
            <w:r w:rsidRPr="006F5BB7">
              <w:rPr>
                <w:rFonts w:asciiTheme="minorHAnsi" w:hAnsiTheme="minorHAnsi" w:cstheme="minorHAnsi"/>
                <w:b/>
                <w:sz w:val="22"/>
                <w:szCs w:val="22"/>
              </w:rPr>
              <w:t>Identify if a criminal records check needs to be undertaken for an activity and obtain the check</w:t>
            </w:r>
            <w:bookmarkEnd w:id="30"/>
          </w:p>
          <w:p w14:paraId="5BB53779" w14:textId="77777777" w:rsidR="00977387" w:rsidRPr="006F5BB7" w:rsidRDefault="00977387" w:rsidP="001F19F4">
            <w:pPr>
              <w:rPr>
                <w:rFonts w:asciiTheme="minorHAnsi" w:hAnsiTheme="minorHAnsi" w:cstheme="minorHAnsi"/>
                <w:b/>
                <w:sz w:val="22"/>
                <w:szCs w:val="22"/>
              </w:rPr>
            </w:pPr>
          </w:p>
          <w:p w14:paraId="521E070E" w14:textId="2C58F3A1" w:rsidR="00977387" w:rsidRPr="006F5BB7" w:rsidRDefault="00977387" w:rsidP="001F19F4">
            <w:pPr>
              <w:autoSpaceDE w:val="0"/>
              <w:autoSpaceDN w:val="0"/>
              <w:adjustRightInd w:val="0"/>
              <w:rPr>
                <w:rFonts w:asciiTheme="minorHAnsi" w:hAnsiTheme="minorHAnsi" w:cstheme="minorHAnsi"/>
                <w:i/>
                <w:color w:val="000000"/>
                <w:sz w:val="22"/>
                <w:szCs w:val="22"/>
              </w:rPr>
            </w:pPr>
            <w:r w:rsidRPr="006F5BB7">
              <w:rPr>
                <w:rFonts w:asciiTheme="minorHAnsi" w:hAnsiTheme="minorHAnsi" w:cstheme="minorHAnsi"/>
                <w:i/>
                <w:color w:val="000000"/>
                <w:sz w:val="22"/>
                <w:szCs w:val="22"/>
              </w:rPr>
              <w:t xml:space="preserve">Disability Employment Services </w:t>
            </w:r>
            <w:r w:rsidR="005F15E0" w:rsidRPr="006F5BB7">
              <w:rPr>
                <w:rFonts w:asciiTheme="minorHAnsi" w:hAnsiTheme="minorHAnsi" w:cstheme="minorHAnsi"/>
                <w:i/>
                <w:color w:val="000000"/>
                <w:sz w:val="22"/>
                <w:szCs w:val="22"/>
              </w:rPr>
              <w:t>Grant Agreement</w:t>
            </w:r>
            <w:r w:rsidRPr="006F5BB7">
              <w:rPr>
                <w:rFonts w:asciiTheme="minorHAnsi" w:hAnsiTheme="minorHAnsi" w:cstheme="minorHAnsi"/>
                <w:i/>
                <w:color w:val="000000"/>
                <w:sz w:val="22"/>
                <w:szCs w:val="22"/>
              </w:rPr>
              <w:t xml:space="preserve"> Clause</w:t>
            </w:r>
            <w:r w:rsidR="003D714B" w:rsidRPr="006F5BB7">
              <w:rPr>
                <w:rFonts w:asciiTheme="minorHAnsi" w:hAnsiTheme="minorHAnsi" w:cstheme="minorHAnsi"/>
                <w:i/>
                <w:color w:val="000000"/>
                <w:sz w:val="22"/>
                <w:szCs w:val="22"/>
              </w:rPr>
              <w:t>s</w:t>
            </w:r>
            <w:r w:rsidRPr="006F5BB7">
              <w:rPr>
                <w:rFonts w:asciiTheme="minorHAnsi" w:hAnsiTheme="minorHAnsi" w:cstheme="minorHAnsi"/>
                <w:i/>
                <w:color w:val="000000"/>
                <w:sz w:val="22"/>
                <w:szCs w:val="22"/>
              </w:rPr>
              <w:t xml:space="preserve"> References:</w:t>
            </w:r>
          </w:p>
          <w:p w14:paraId="650185B7" w14:textId="77777777"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Clause </w:t>
            </w:r>
            <w:r w:rsidR="00DC59E6" w:rsidRPr="006F5BB7">
              <w:rPr>
                <w:rFonts w:asciiTheme="minorHAnsi" w:hAnsiTheme="minorHAnsi" w:cstheme="minorHAnsi"/>
                <w:color w:val="000000"/>
                <w:sz w:val="22"/>
                <w:szCs w:val="22"/>
              </w:rPr>
              <w:t>16</w:t>
            </w:r>
          </w:p>
          <w:p w14:paraId="0673B153" w14:textId="7E7866C7"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Clause 9</w:t>
            </w:r>
            <w:r w:rsidR="008E672B" w:rsidRPr="006F5BB7">
              <w:rPr>
                <w:rFonts w:asciiTheme="minorHAnsi" w:hAnsiTheme="minorHAnsi" w:cstheme="minorHAnsi"/>
                <w:color w:val="000000"/>
                <w:sz w:val="22"/>
                <w:szCs w:val="22"/>
              </w:rPr>
              <w:t>8</w:t>
            </w:r>
          </w:p>
          <w:p w14:paraId="1F666996" w14:textId="77777777"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Annexure A - Definitions: Child/Children</w:t>
            </w:r>
          </w:p>
          <w:p w14:paraId="36ED6E51" w14:textId="77777777" w:rsidR="00977387" w:rsidRPr="006F5BB7" w:rsidRDefault="00977387" w:rsidP="003D714B">
            <w:pPr>
              <w:numPr>
                <w:ilvl w:val="0"/>
                <w:numId w:val="11"/>
              </w:numPr>
              <w:tabs>
                <w:tab w:val="num" w:pos="720"/>
              </w:tabs>
              <w:rPr>
                <w:rFonts w:asciiTheme="minorHAnsi" w:hAnsiTheme="minorHAnsi" w:cstheme="minorHAnsi"/>
                <w:sz w:val="22"/>
                <w:szCs w:val="22"/>
              </w:rPr>
            </w:pPr>
            <w:r w:rsidRPr="006F5BB7">
              <w:rPr>
                <w:rFonts w:asciiTheme="minorHAnsi" w:hAnsiTheme="minorHAnsi" w:cstheme="minorHAnsi"/>
                <w:color w:val="000000"/>
                <w:sz w:val="22"/>
                <w:szCs w:val="22"/>
              </w:rPr>
              <w:t>Relevant state and territory legislation</w:t>
            </w:r>
          </w:p>
        </w:tc>
        <w:tc>
          <w:tcPr>
            <w:tcW w:w="7903" w:type="dxa"/>
          </w:tcPr>
          <w:p w14:paraId="4DADF690" w14:textId="77777777" w:rsidR="00977387" w:rsidRPr="006F5BB7" w:rsidRDefault="001A77BB" w:rsidP="00271B57">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A</w:t>
            </w:r>
            <w:r w:rsidR="00977387" w:rsidRPr="006F5BB7">
              <w:rPr>
                <w:rFonts w:asciiTheme="minorHAnsi" w:hAnsiTheme="minorHAnsi" w:cstheme="minorHAnsi"/>
                <w:sz w:val="22"/>
                <w:szCs w:val="22"/>
              </w:rPr>
              <w:t xml:space="preserve"> criminal records check</w:t>
            </w:r>
            <w:r w:rsidRPr="006F5BB7">
              <w:rPr>
                <w:rFonts w:asciiTheme="minorHAnsi" w:hAnsiTheme="minorHAnsi" w:cstheme="minorHAnsi"/>
                <w:sz w:val="22"/>
                <w:szCs w:val="22"/>
              </w:rPr>
              <w:t xml:space="preserve"> is needed </w:t>
            </w:r>
            <w:r w:rsidR="00977387" w:rsidRPr="006F5BB7">
              <w:rPr>
                <w:rFonts w:asciiTheme="minorHAnsi" w:hAnsiTheme="minorHAnsi" w:cstheme="minorHAnsi"/>
                <w:sz w:val="22"/>
                <w:szCs w:val="22"/>
              </w:rPr>
              <w:t>where:</w:t>
            </w:r>
          </w:p>
          <w:p w14:paraId="25D8C3B0" w14:textId="77777777" w:rsidR="00977387" w:rsidRPr="006F5BB7" w:rsidRDefault="00977387" w:rsidP="00271B57">
            <w:pPr>
              <w:numPr>
                <w:ilvl w:val="0"/>
                <w:numId w:val="1"/>
              </w:numPr>
              <w:tabs>
                <w:tab w:val="clear" w:pos="720"/>
              </w:tabs>
              <w:autoSpaceDE w:val="0"/>
              <w:autoSpaceDN w:val="0"/>
              <w:adjustRightInd w:val="0"/>
              <w:spacing w:after="120"/>
              <w:ind w:left="349" w:hanging="349"/>
              <w:rPr>
                <w:rFonts w:asciiTheme="minorHAnsi" w:hAnsiTheme="minorHAnsi" w:cstheme="minorHAnsi"/>
                <w:sz w:val="22"/>
                <w:szCs w:val="22"/>
              </w:rPr>
            </w:pPr>
            <w:r w:rsidRPr="006F5BB7">
              <w:rPr>
                <w:rFonts w:asciiTheme="minorHAnsi" w:hAnsiTheme="minorHAnsi" w:cstheme="minorHAnsi"/>
                <w:sz w:val="22"/>
                <w:szCs w:val="22"/>
              </w:rPr>
              <w:t>legislation requires criminal records checks to be conducted</w:t>
            </w:r>
            <w:r w:rsidR="004025CB" w:rsidRPr="006F5BB7">
              <w:rPr>
                <w:rFonts w:asciiTheme="minorHAnsi" w:hAnsiTheme="minorHAnsi" w:cstheme="minorHAnsi"/>
                <w:sz w:val="22"/>
                <w:szCs w:val="22"/>
              </w:rPr>
              <w:t>;</w:t>
            </w:r>
          </w:p>
          <w:p w14:paraId="07D7F475" w14:textId="77777777" w:rsidR="00977387" w:rsidRPr="006F5BB7" w:rsidRDefault="00977387" w:rsidP="00271B57">
            <w:pPr>
              <w:numPr>
                <w:ilvl w:val="0"/>
                <w:numId w:val="1"/>
              </w:numPr>
              <w:tabs>
                <w:tab w:val="clear" w:pos="720"/>
              </w:tabs>
              <w:autoSpaceDE w:val="0"/>
              <w:autoSpaceDN w:val="0"/>
              <w:adjustRightInd w:val="0"/>
              <w:spacing w:after="120"/>
              <w:ind w:left="349" w:hanging="349"/>
              <w:rPr>
                <w:rFonts w:asciiTheme="minorHAnsi" w:hAnsiTheme="minorHAnsi" w:cstheme="minorHAnsi"/>
                <w:sz w:val="22"/>
                <w:szCs w:val="22"/>
              </w:rPr>
            </w:pPr>
            <w:r w:rsidRPr="006F5BB7">
              <w:rPr>
                <w:rFonts w:asciiTheme="minorHAnsi" w:hAnsiTheme="minorHAnsi" w:cstheme="minorHAnsi"/>
                <w:sz w:val="22"/>
                <w:szCs w:val="22"/>
              </w:rPr>
              <w:t>the activity is subject to industry accreditation requirements, industry standards, or a legal requirement that the activity can only be carried out by people who have not been convicted of particular crimes</w:t>
            </w:r>
            <w:r w:rsidR="004025CB" w:rsidRPr="006F5BB7">
              <w:rPr>
                <w:rFonts w:asciiTheme="minorHAnsi" w:hAnsiTheme="minorHAnsi" w:cstheme="minorHAnsi"/>
                <w:sz w:val="22"/>
                <w:szCs w:val="22"/>
              </w:rPr>
              <w:t>;</w:t>
            </w:r>
          </w:p>
          <w:p w14:paraId="02C9E4DB" w14:textId="77777777" w:rsidR="00977387" w:rsidRPr="006F5BB7" w:rsidRDefault="00977387" w:rsidP="00271B57">
            <w:pPr>
              <w:numPr>
                <w:ilvl w:val="0"/>
                <w:numId w:val="1"/>
              </w:numPr>
              <w:tabs>
                <w:tab w:val="clear" w:pos="720"/>
              </w:tabs>
              <w:autoSpaceDE w:val="0"/>
              <w:autoSpaceDN w:val="0"/>
              <w:adjustRightInd w:val="0"/>
              <w:spacing w:after="120"/>
              <w:ind w:left="349" w:hanging="349"/>
              <w:rPr>
                <w:rFonts w:asciiTheme="minorHAnsi" w:hAnsiTheme="minorHAnsi" w:cstheme="minorHAnsi"/>
                <w:sz w:val="22"/>
                <w:szCs w:val="22"/>
              </w:rPr>
            </w:pPr>
            <w:r w:rsidRPr="006F5BB7">
              <w:rPr>
                <w:rFonts w:asciiTheme="minorHAnsi" w:hAnsiTheme="minorHAnsi" w:cstheme="minorHAnsi"/>
                <w:sz w:val="22"/>
                <w:szCs w:val="22"/>
              </w:rPr>
              <w:t>the activity is specified by the Department as requiring criminal records check</w:t>
            </w:r>
            <w:r w:rsidR="004025CB" w:rsidRPr="006F5BB7">
              <w:rPr>
                <w:rFonts w:asciiTheme="minorHAnsi" w:hAnsiTheme="minorHAnsi" w:cstheme="minorHAnsi"/>
                <w:sz w:val="22"/>
                <w:szCs w:val="22"/>
              </w:rPr>
              <w:t>;</w:t>
            </w:r>
            <w:r w:rsidRPr="006F5BB7">
              <w:rPr>
                <w:rFonts w:asciiTheme="minorHAnsi" w:hAnsiTheme="minorHAnsi" w:cstheme="minorHAnsi"/>
                <w:sz w:val="22"/>
                <w:szCs w:val="22"/>
              </w:rPr>
              <w:t xml:space="preserve"> or</w:t>
            </w:r>
          </w:p>
          <w:p w14:paraId="165D4974" w14:textId="77777777" w:rsidR="00977387" w:rsidRPr="006F5BB7" w:rsidRDefault="00977387" w:rsidP="00271B57">
            <w:pPr>
              <w:numPr>
                <w:ilvl w:val="0"/>
                <w:numId w:val="1"/>
              </w:numPr>
              <w:tabs>
                <w:tab w:val="clear" w:pos="720"/>
              </w:tabs>
              <w:spacing w:after="120"/>
              <w:ind w:left="349" w:hanging="349"/>
              <w:rPr>
                <w:rFonts w:asciiTheme="minorHAnsi" w:hAnsiTheme="minorHAnsi" w:cstheme="minorHAnsi"/>
                <w:sz w:val="22"/>
                <w:szCs w:val="22"/>
              </w:rPr>
            </w:pPr>
            <w:r w:rsidRPr="006F5BB7">
              <w:rPr>
                <w:rFonts w:asciiTheme="minorHAnsi" w:hAnsiTheme="minorHAnsi" w:cstheme="minorHAnsi"/>
                <w:sz w:val="22"/>
                <w:szCs w:val="22"/>
              </w:rPr>
              <w:t xml:space="preserve">it is otherwise an activity in which the Participant and/or </w:t>
            </w:r>
            <w:r w:rsidR="001A77BB" w:rsidRPr="006F5BB7">
              <w:rPr>
                <w:rFonts w:asciiTheme="minorHAnsi" w:hAnsiTheme="minorHAnsi" w:cstheme="minorHAnsi"/>
                <w:sz w:val="22"/>
                <w:szCs w:val="22"/>
              </w:rPr>
              <w:t xml:space="preserve">their </w:t>
            </w:r>
            <w:r w:rsidRPr="006F5BB7">
              <w:rPr>
                <w:rFonts w:asciiTheme="minorHAnsi" w:hAnsiTheme="minorHAnsi" w:cstheme="minorHAnsi"/>
                <w:sz w:val="22"/>
                <w:szCs w:val="22"/>
              </w:rPr>
              <w:t>supervisor will have regular or unsupervised contact with children, the elderly, or other classes of vulnerable people, and for which it would be considered prudent for a reasonable person that a criminal records check be conducted.</w:t>
            </w:r>
          </w:p>
          <w:p w14:paraId="13D79AD9" w14:textId="684C0FFF" w:rsidR="00977387" w:rsidRPr="006F5BB7" w:rsidRDefault="00977387" w:rsidP="00271B57">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prior to commencing a Participant or engaging a supervisor on an activity, establish whether the nature of the activity req</w:t>
            </w:r>
            <w:r w:rsidR="00BB03F2" w:rsidRPr="006F5BB7">
              <w:rPr>
                <w:rFonts w:asciiTheme="minorHAnsi" w:hAnsiTheme="minorHAnsi" w:cstheme="minorHAnsi"/>
                <w:sz w:val="22"/>
                <w:szCs w:val="22"/>
              </w:rPr>
              <w:t xml:space="preserve">uires a criminal records check. The </w:t>
            </w:r>
            <w:r w:rsidR="002C4F8B" w:rsidRPr="006F5BB7">
              <w:rPr>
                <w:rFonts w:asciiTheme="minorHAnsi" w:hAnsiTheme="minorHAnsi" w:cstheme="minorHAnsi"/>
                <w:sz w:val="22"/>
                <w:szCs w:val="22"/>
              </w:rPr>
              <w:t xml:space="preserve">DES </w:t>
            </w:r>
            <w:r w:rsidR="004025CB" w:rsidRPr="006F5BB7">
              <w:rPr>
                <w:rFonts w:asciiTheme="minorHAnsi" w:hAnsiTheme="minorHAnsi" w:cstheme="minorHAnsi"/>
                <w:sz w:val="22"/>
                <w:szCs w:val="22"/>
              </w:rPr>
              <w:t>Provider</w:t>
            </w:r>
            <w:r w:rsidR="00BB03F2" w:rsidRPr="006F5BB7">
              <w:rPr>
                <w:rFonts w:asciiTheme="minorHAnsi" w:hAnsiTheme="minorHAnsi" w:cstheme="minorHAnsi"/>
                <w:sz w:val="22"/>
                <w:szCs w:val="22"/>
              </w:rPr>
              <w:t xml:space="preserve"> is not required to arrange for a criminal records check to be conducted for a </w:t>
            </w:r>
            <w:r w:rsidR="004025CB" w:rsidRPr="006F5BB7">
              <w:rPr>
                <w:rFonts w:asciiTheme="minorHAnsi" w:hAnsiTheme="minorHAnsi" w:cstheme="minorHAnsi"/>
                <w:sz w:val="22"/>
                <w:szCs w:val="22"/>
              </w:rPr>
              <w:t>P</w:t>
            </w:r>
            <w:r w:rsidR="00BB03F2" w:rsidRPr="006F5BB7">
              <w:rPr>
                <w:rFonts w:asciiTheme="minorHAnsi" w:hAnsiTheme="minorHAnsi" w:cstheme="minorHAnsi"/>
                <w:sz w:val="22"/>
                <w:szCs w:val="22"/>
              </w:rPr>
              <w:t xml:space="preserve">articipant/supervisor starting in employment, unless there is a statutory requirement for the </w:t>
            </w:r>
            <w:r w:rsidR="002C4F8B" w:rsidRPr="006F5BB7">
              <w:rPr>
                <w:rFonts w:asciiTheme="minorHAnsi" w:hAnsiTheme="minorHAnsi" w:cstheme="minorHAnsi"/>
                <w:sz w:val="22"/>
                <w:szCs w:val="22"/>
              </w:rPr>
              <w:t xml:space="preserve">DES </w:t>
            </w:r>
            <w:r w:rsidR="004025CB" w:rsidRPr="006F5BB7">
              <w:rPr>
                <w:rFonts w:asciiTheme="minorHAnsi" w:hAnsiTheme="minorHAnsi" w:cstheme="minorHAnsi"/>
                <w:sz w:val="22"/>
                <w:szCs w:val="22"/>
              </w:rPr>
              <w:t>Provider</w:t>
            </w:r>
            <w:r w:rsidR="00BB03F2" w:rsidRPr="006F5BB7">
              <w:rPr>
                <w:rFonts w:asciiTheme="minorHAnsi" w:hAnsiTheme="minorHAnsi" w:cstheme="minorHAnsi"/>
                <w:sz w:val="22"/>
                <w:szCs w:val="22"/>
              </w:rPr>
              <w:t xml:space="preserve"> to do so. </w:t>
            </w:r>
            <w:r w:rsidRPr="006F5BB7">
              <w:rPr>
                <w:rFonts w:asciiTheme="minorHAnsi" w:hAnsiTheme="minorHAnsi" w:cstheme="minorHAnsi"/>
                <w:sz w:val="22"/>
                <w:szCs w:val="22"/>
              </w:rPr>
              <w:t xml:space="preserve">Where a criminal records check is required,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arrange for the check to be completed before </w:t>
            </w:r>
            <w:r w:rsidR="00821FD1" w:rsidRPr="006F5BB7">
              <w:rPr>
                <w:rFonts w:asciiTheme="minorHAnsi" w:hAnsiTheme="minorHAnsi" w:cstheme="minorHAnsi"/>
                <w:sz w:val="22"/>
                <w:szCs w:val="22"/>
              </w:rPr>
              <w:t>allowing the</w:t>
            </w:r>
            <w:r w:rsidR="00AC20A4" w:rsidRPr="006F5BB7">
              <w:rPr>
                <w:rFonts w:asciiTheme="minorHAnsi" w:hAnsiTheme="minorHAnsi" w:cstheme="minorHAnsi"/>
                <w:sz w:val="22"/>
                <w:szCs w:val="22"/>
              </w:rPr>
              <w:t xml:space="preserve"> </w:t>
            </w:r>
            <w:r w:rsidRPr="006F5BB7">
              <w:rPr>
                <w:rFonts w:asciiTheme="minorHAnsi" w:hAnsiTheme="minorHAnsi" w:cstheme="minorHAnsi"/>
                <w:sz w:val="22"/>
                <w:szCs w:val="22"/>
              </w:rPr>
              <w:t>Participant and/or supervisor to participate or be associated with the activity.</w:t>
            </w:r>
          </w:p>
          <w:p w14:paraId="515C27AF" w14:textId="4846FD59" w:rsidR="00F5015C" w:rsidRPr="006F5BB7" w:rsidRDefault="00BB03F2" w:rsidP="00271B57">
            <w:pPr>
              <w:spacing w:after="120"/>
              <w:rPr>
                <w:rFonts w:asciiTheme="minorHAnsi" w:hAnsiTheme="minorHAnsi" w:cstheme="minorHAnsi"/>
                <w:sz w:val="22"/>
                <w:szCs w:val="22"/>
              </w:rPr>
            </w:pPr>
            <w:r w:rsidRPr="006F5BB7">
              <w:rPr>
                <w:rFonts w:asciiTheme="minorHAnsi" w:hAnsiTheme="minorHAnsi" w:cstheme="minorHAnsi"/>
                <w:sz w:val="22"/>
                <w:szCs w:val="22"/>
              </w:rPr>
              <w:t xml:space="preserve">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obtain the Participant’s or supervisor’s written permission before undertaking a criminal records check or a Working with Children check using the ‘C</w:t>
            </w:r>
            <w:r w:rsidRPr="006F5BB7">
              <w:rPr>
                <w:rFonts w:asciiTheme="minorHAnsi" w:hAnsiTheme="minorHAnsi" w:cstheme="minorHAnsi"/>
                <w:color w:val="000000"/>
                <w:sz w:val="22"/>
                <w:szCs w:val="22"/>
              </w:rPr>
              <w:t xml:space="preserve">onsent to Obtain Personal Information’ form or the relevant form required by the organisation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h</w:t>
            </w:r>
            <w:r w:rsidR="00647D0D" w:rsidRPr="006F5BB7">
              <w:rPr>
                <w:rFonts w:asciiTheme="minorHAnsi" w:hAnsiTheme="minorHAnsi" w:cstheme="minorHAnsi"/>
                <w:color w:val="000000"/>
                <w:sz w:val="22"/>
                <w:szCs w:val="22"/>
              </w:rPr>
              <w:t>as chosen to conduct the check.</w:t>
            </w:r>
          </w:p>
          <w:p w14:paraId="576B4EE5" w14:textId="6ED044EA" w:rsidR="00977387" w:rsidRPr="006F5BB7" w:rsidRDefault="00977387" w:rsidP="00271B57">
            <w:pPr>
              <w:spacing w:after="120"/>
              <w:rPr>
                <w:rFonts w:asciiTheme="minorHAnsi" w:hAnsiTheme="minorHAnsi" w:cstheme="minorHAnsi"/>
                <w:sz w:val="22"/>
                <w:szCs w:val="22"/>
              </w:rPr>
            </w:pPr>
            <w:r w:rsidRPr="006F5BB7">
              <w:rPr>
                <w:rFonts w:asciiTheme="minorHAnsi" w:hAnsiTheme="minorHAnsi" w:cstheme="minorHAnsi"/>
                <w:sz w:val="22"/>
                <w:szCs w:val="22"/>
              </w:rPr>
              <w:t xml:space="preserve">Criminal records checks enable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to ensure that a Participa</w:t>
            </w:r>
            <w:r w:rsidR="00647D0D" w:rsidRPr="006F5BB7">
              <w:rPr>
                <w:rFonts w:asciiTheme="minorHAnsi" w:hAnsiTheme="minorHAnsi" w:cstheme="minorHAnsi"/>
                <w:sz w:val="22"/>
                <w:szCs w:val="22"/>
              </w:rPr>
              <w:t>nt or supervisor does not have:</w:t>
            </w:r>
          </w:p>
          <w:p w14:paraId="4ABE9DBA" w14:textId="537FCB2D" w:rsidR="00977387" w:rsidRPr="006F5BB7" w:rsidRDefault="00977387" w:rsidP="00897C6E">
            <w:pPr>
              <w:pStyle w:val="Default"/>
              <w:numPr>
                <w:ilvl w:val="0"/>
                <w:numId w:val="2"/>
              </w:numPr>
              <w:tabs>
                <w:tab w:val="clear" w:pos="720"/>
              </w:tabs>
              <w:ind w:left="349" w:hanging="349"/>
              <w:rPr>
                <w:rFonts w:asciiTheme="minorHAnsi" w:hAnsiTheme="minorHAnsi" w:cstheme="minorHAnsi"/>
                <w:sz w:val="22"/>
                <w:szCs w:val="22"/>
              </w:rPr>
            </w:pPr>
            <w:r w:rsidRPr="006F5BB7">
              <w:rPr>
                <w:rFonts w:asciiTheme="minorHAnsi" w:hAnsiTheme="minorHAnsi" w:cstheme="minorHAnsi"/>
                <w:sz w:val="22"/>
                <w:szCs w:val="22"/>
              </w:rPr>
              <w:t>a conviction for crime(s) that would suggest people will be placed at undue risk of injury or mistreatment</w:t>
            </w:r>
            <w:r w:rsidR="004025CB" w:rsidRPr="006F5BB7">
              <w:rPr>
                <w:rFonts w:asciiTheme="minorHAnsi" w:hAnsiTheme="minorHAnsi" w:cstheme="minorHAnsi"/>
                <w:sz w:val="22"/>
                <w:szCs w:val="22"/>
              </w:rPr>
              <w:t>;</w:t>
            </w:r>
          </w:p>
          <w:p w14:paraId="0DB5D00D" w14:textId="77777777" w:rsidR="00977387" w:rsidRPr="006F5BB7" w:rsidRDefault="00977387" w:rsidP="00897C6E">
            <w:pPr>
              <w:pStyle w:val="Default"/>
              <w:numPr>
                <w:ilvl w:val="0"/>
                <w:numId w:val="2"/>
              </w:numPr>
              <w:tabs>
                <w:tab w:val="clear" w:pos="720"/>
              </w:tabs>
              <w:ind w:left="349" w:hanging="349"/>
              <w:rPr>
                <w:rFonts w:asciiTheme="minorHAnsi" w:hAnsiTheme="minorHAnsi" w:cstheme="minorHAnsi"/>
                <w:sz w:val="22"/>
                <w:szCs w:val="22"/>
              </w:rPr>
            </w:pPr>
            <w:r w:rsidRPr="006F5BB7">
              <w:rPr>
                <w:rFonts w:asciiTheme="minorHAnsi" w:hAnsiTheme="minorHAnsi" w:cstheme="minorHAnsi"/>
                <w:sz w:val="22"/>
                <w:szCs w:val="22"/>
              </w:rPr>
              <w:t>a conviction for crime(s) against children where there  may be direct or indirect contact with childre</w:t>
            </w:r>
            <w:r w:rsidR="004025CB" w:rsidRPr="006F5BB7">
              <w:rPr>
                <w:rFonts w:asciiTheme="minorHAnsi" w:hAnsiTheme="minorHAnsi" w:cstheme="minorHAnsi"/>
                <w:sz w:val="22"/>
                <w:szCs w:val="22"/>
              </w:rPr>
              <w:t>n;</w:t>
            </w:r>
            <w:r w:rsidRPr="006F5BB7">
              <w:rPr>
                <w:rFonts w:asciiTheme="minorHAnsi" w:hAnsiTheme="minorHAnsi" w:cstheme="minorHAnsi"/>
                <w:sz w:val="22"/>
                <w:szCs w:val="22"/>
              </w:rPr>
              <w:t xml:space="preserve"> and</w:t>
            </w:r>
          </w:p>
          <w:p w14:paraId="12FB3048" w14:textId="49457496" w:rsidR="00977387" w:rsidRPr="006F5BB7" w:rsidRDefault="00977387" w:rsidP="00897C6E">
            <w:pPr>
              <w:pStyle w:val="Default"/>
              <w:numPr>
                <w:ilvl w:val="0"/>
                <w:numId w:val="2"/>
              </w:numPr>
              <w:tabs>
                <w:tab w:val="clear" w:pos="720"/>
              </w:tabs>
              <w:ind w:left="349" w:hanging="349"/>
              <w:rPr>
                <w:rFonts w:asciiTheme="minorHAnsi" w:hAnsiTheme="minorHAnsi" w:cstheme="minorHAnsi"/>
                <w:sz w:val="22"/>
                <w:szCs w:val="22"/>
              </w:rPr>
            </w:pPr>
            <w:r w:rsidRPr="006F5BB7">
              <w:rPr>
                <w:rFonts w:asciiTheme="minorHAnsi" w:hAnsiTheme="minorHAnsi" w:cstheme="minorHAnsi"/>
                <w:sz w:val="22"/>
                <w:szCs w:val="22"/>
              </w:rPr>
              <w:t>a conviction for murder, sexual assault or any other form of assault that resulted in a prison sentence (which is relevant to where a Participant and/or supervisor may have direct or indirect contact with vulnerable people). In</w:t>
            </w:r>
            <w:r w:rsidR="009E399C" w:rsidRPr="006F5BB7">
              <w:rPr>
                <w:rFonts w:asciiTheme="minorHAnsi" w:hAnsiTheme="minorHAnsi" w:cstheme="minorHAnsi"/>
                <w:sz w:val="22"/>
                <w:szCs w:val="22"/>
              </w:rPr>
              <w:t xml:space="preserve"> </w:t>
            </w:r>
            <w:r w:rsidRPr="006F5BB7">
              <w:rPr>
                <w:rFonts w:asciiTheme="minorHAnsi" w:hAnsiTheme="minorHAnsi" w:cstheme="minorHAnsi"/>
                <w:sz w:val="22"/>
                <w:szCs w:val="22"/>
              </w:rPr>
              <w:t>the case of less serious assault convictions</w:t>
            </w:r>
            <w:r w:rsidR="000F4783" w:rsidRPr="006F5BB7">
              <w:rPr>
                <w:rFonts w:asciiTheme="minorHAnsi" w:hAnsiTheme="minorHAnsi" w:cstheme="minorHAnsi"/>
                <w:sz w:val="22"/>
                <w:szCs w:val="22"/>
              </w:rPr>
              <w:t>,</w:t>
            </w:r>
            <w:r w:rsidRPr="006F5BB7">
              <w:rPr>
                <w:rFonts w:asciiTheme="minorHAnsi" w:hAnsiTheme="minorHAnsi" w:cstheme="minorHAnsi"/>
                <w:sz w:val="22"/>
                <w:szCs w:val="22"/>
              </w:rPr>
              <w:t xml:space="preserve"> consideration must be given to the extent of the contact that a Participant and/or supervisor should have and the level o</w:t>
            </w:r>
            <w:r w:rsidR="00647D0D" w:rsidRPr="006F5BB7">
              <w:rPr>
                <w:rFonts w:asciiTheme="minorHAnsi" w:hAnsiTheme="minorHAnsi" w:cstheme="minorHAnsi"/>
                <w:sz w:val="22"/>
                <w:szCs w:val="22"/>
              </w:rPr>
              <w:t>f supervision that is required.</w:t>
            </w:r>
          </w:p>
          <w:p w14:paraId="4977FE6A" w14:textId="77777777" w:rsidR="00977387" w:rsidRPr="006F5BB7" w:rsidRDefault="00CA4781" w:rsidP="001F19F4">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When </w:t>
            </w:r>
            <w:r w:rsidR="00977387" w:rsidRPr="006F5BB7">
              <w:rPr>
                <w:rFonts w:asciiTheme="minorHAnsi" w:hAnsiTheme="minorHAnsi" w:cstheme="minorHAnsi"/>
                <w:sz w:val="22"/>
                <w:szCs w:val="22"/>
              </w:rPr>
              <w:t xml:space="preserve">determining </w:t>
            </w:r>
            <w:r w:rsidRPr="006F5BB7">
              <w:rPr>
                <w:rFonts w:asciiTheme="minorHAnsi" w:hAnsiTheme="minorHAnsi" w:cstheme="minorHAnsi"/>
                <w:sz w:val="22"/>
                <w:szCs w:val="22"/>
              </w:rPr>
              <w:t xml:space="preserve">if </w:t>
            </w:r>
            <w:r w:rsidR="00977387" w:rsidRPr="006F5BB7">
              <w:rPr>
                <w:rFonts w:asciiTheme="minorHAnsi" w:hAnsiTheme="minorHAnsi" w:cstheme="minorHAnsi"/>
                <w:sz w:val="22"/>
                <w:szCs w:val="22"/>
              </w:rPr>
              <w:t xml:space="preserve">a criminal records check is required, the DES </w:t>
            </w:r>
            <w:r w:rsidR="004025CB" w:rsidRPr="006F5BB7">
              <w:rPr>
                <w:rFonts w:asciiTheme="minorHAnsi" w:hAnsiTheme="minorHAnsi" w:cstheme="minorHAnsi"/>
                <w:sz w:val="22"/>
                <w:szCs w:val="22"/>
              </w:rPr>
              <w:t>Provider</w:t>
            </w:r>
            <w:r w:rsidR="00977387" w:rsidRPr="006F5BB7">
              <w:rPr>
                <w:rFonts w:asciiTheme="minorHAnsi" w:hAnsiTheme="minorHAnsi" w:cstheme="minorHAnsi"/>
                <w:sz w:val="22"/>
                <w:szCs w:val="22"/>
              </w:rPr>
              <w:t xml:space="preserve"> </w:t>
            </w:r>
            <w:r w:rsidRPr="006F5BB7">
              <w:rPr>
                <w:rFonts w:asciiTheme="minorHAnsi" w:hAnsiTheme="minorHAnsi" w:cstheme="minorHAnsi"/>
                <w:sz w:val="22"/>
                <w:szCs w:val="22"/>
              </w:rPr>
              <w:t>may</w:t>
            </w:r>
            <w:r w:rsidR="00977387" w:rsidRPr="006F5BB7">
              <w:rPr>
                <w:rFonts w:asciiTheme="minorHAnsi" w:hAnsiTheme="minorHAnsi" w:cstheme="minorHAnsi"/>
                <w:sz w:val="22"/>
                <w:szCs w:val="22"/>
              </w:rPr>
              <w:t xml:space="preserve"> take into account whether other people working or volunteering in the activity have </w:t>
            </w:r>
            <w:r w:rsidR="00C97DD2" w:rsidRPr="006F5BB7">
              <w:rPr>
                <w:rFonts w:asciiTheme="minorHAnsi" w:hAnsiTheme="minorHAnsi" w:cstheme="minorHAnsi"/>
                <w:sz w:val="22"/>
                <w:szCs w:val="22"/>
              </w:rPr>
              <w:t xml:space="preserve">had a </w:t>
            </w:r>
            <w:r w:rsidR="00977387" w:rsidRPr="006F5BB7">
              <w:rPr>
                <w:rFonts w:asciiTheme="minorHAnsi" w:hAnsiTheme="minorHAnsi" w:cstheme="minorHAnsi"/>
                <w:sz w:val="22"/>
                <w:szCs w:val="22"/>
              </w:rPr>
              <w:t>criminal record check.</w:t>
            </w:r>
          </w:p>
          <w:p w14:paraId="1B68148F" w14:textId="77777777" w:rsidR="00CA4781" w:rsidRPr="006F5BB7" w:rsidRDefault="00977387" w:rsidP="004B32B4">
            <w:pPr>
              <w:autoSpaceDE w:val="0"/>
              <w:autoSpaceDN w:val="0"/>
              <w:adjustRightInd w:val="0"/>
              <w:spacing w:after="120"/>
              <w:rPr>
                <w:rFonts w:asciiTheme="minorHAnsi" w:hAnsiTheme="minorHAnsi" w:cstheme="minorHAnsi"/>
                <w:color w:val="000000"/>
                <w:sz w:val="22"/>
                <w:szCs w:val="22"/>
              </w:rPr>
            </w:pPr>
            <w:r w:rsidRPr="006F5BB7">
              <w:rPr>
                <w:rFonts w:asciiTheme="minorHAnsi" w:hAnsiTheme="minorHAnsi" w:cstheme="minorHAnsi"/>
                <w:sz w:val="22"/>
                <w:szCs w:val="22"/>
              </w:rPr>
              <w:t xml:space="preserve">It is up to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to choose an organisation for processing criminal records checks</w:t>
            </w:r>
            <w:r w:rsidR="00736DB4" w:rsidRPr="006F5BB7">
              <w:rPr>
                <w:rFonts w:asciiTheme="minorHAnsi" w:hAnsiTheme="minorHAnsi" w:cstheme="minorHAnsi"/>
                <w:sz w:val="22"/>
                <w:szCs w:val="22"/>
              </w:rPr>
              <w:t>.</w:t>
            </w:r>
            <w:r w:rsidR="00CA4781" w:rsidRPr="006F5BB7">
              <w:rPr>
                <w:rFonts w:asciiTheme="minorHAnsi" w:hAnsiTheme="minorHAnsi" w:cstheme="minorHAnsi"/>
                <w:sz w:val="22"/>
                <w:szCs w:val="22"/>
              </w:rPr>
              <w:t xml:space="preserve"> </w:t>
            </w:r>
            <w:r w:rsidR="00736DB4" w:rsidRPr="006F5BB7">
              <w:rPr>
                <w:rFonts w:asciiTheme="minorHAnsi" w:hAnsiTheme="minorHAnsi" w:cstheme="minorHAnsi"/>
                <w:color w:val="000000"/>
                <w:sz w:val="22"/>
                <w:szCs w:val="22"/>
              </w:rPr>
              <w:t xml:space="preserve">The DES </w:t>
            </w:r>
            <w:r w:rsidR="004025CB" w:rsidRPr="006F5BB7">
              <w:rPr>
                <w:rFonts w:asciiTheme="minorHAnsi" w:hAnsiTheme="minorHAnsi" w:cstheme="minorHAnsi"/>
                <w:color w:val="000000"/>
                <w:sz w:val="22"/>
                <w:szCs w:val="22"/>
              </w:rPr>
              <w:t>Provider</w:t>
            </w:r>
            <w:r w:rsidR="00736DB4" w:rsidRPr="006F5BB7">
              <w:rPr>
                <w:rFonts w:asciiTheme="minorHAnsi" w:hAnsiTheme="minorHAnsi" w:cstheme="minorHAnsi"/>
                <w:color w:val="000000"/>
                <w:sz w:val="22"/>
                <w:szCs w:val="22"/>
              </w:rPr>
              <w:t xml:space="preserve"> must meet the expenses for the cost of all criminal records checks and/or Working with Children checks conducted for their Participants/</w:t>
            </w:r>
            <w:r w:rsidR="00736DB4" w:rsidRPr="006F5BB7">
              <w:rPr>
                <w:rFonts w:asciiTheme="minorHAnsi" w:hAnsiTheme="minorHAnsi" w:cstheme="minorHAnsi"/>
                <w:sz w:val="22"/>
                <w:szCs w:val="22"/>
              </w:rPr>
              <w:t>supervisors</w:t>
            </w:r>
            <w:r w:rsidR="00736DB4" w:rsidRPr="006F5BB7">
              <w:rPr>
                <w:rFonts w:asciiTheme="minorHAnsi" w:hAnsiTheme="minorHAnsi" w:cstheme="minorHAnsi"/>
                <w:color w:val="000000"/>
                <w:sz w:val="22"/>
                <w:szCs w:val="22"/>
              </w:rPr>
              <w:t>.</w:t>
            </w:r>
          </w:p>
          <w:p w14:paraId="02E96295" w14:textId="0A38BCA2" w:rsidR="00736DB4" w:rsidRPr="006F5BB7" w:rsidRDefault="00CA4781" w:rsidP="001F19F4">
            <w:pPr>
              <w:spacing w:after="120"/>
              <w:rPr>
                <w:rFonts w:asciiTheme="minorHAnsi" w:hAnsiTheme="minorHAnsi" w:cstheme="minorHAnsi"/>
                <w:sz w:val="22"/>
                <w:szCs w:val="22"/>
              </w:rPr>
            </w:pPr>
            <w:r w:rsidRPr="006F5BB7">
              <w:rPr>
                <w:rFonts w:asciiTheme="minorHAnsi" w:hAnsiTheme="minorHAnsi" w:cstheme="minorHAnsi"/>
                <w:sz w:val="22"/>
                <w:szCs w:val="22"/>
              </w:rPr>
              <w:t xml:space="preserve">Legislative requirements, the </w:t>
            </w:r>
            <w:r w:rsidR="00977387" w:rsidRPr="006F5BB7">
              <w:rPr>
                <w:rFonts w:asciiTheme="minorHAnsi" w:hAnsiTheme="minorHAnsi" w:cstheme="minorHAnsi"/>
                <w:sz w:val="22"/>
                <w:szCs w:val="22"/>
              </w:rPr>
              <w:t xml:space="preserve">type of criminal records check issued, requirements for </w:t>
            </w:r>
            <w:r w:rsidR="00977387" w:rsidRPr="006F5BB7">
              <w:rPr>
                <w:rFonts w:asciiTheme="minorHAnsi" w:hAnsiTheme="minorHAnsi" w:cstheme="minorHAnsi"/>
                <w:sz w:val="22"/>
                <w:szCs w:val="22"/>
              </w:rPr>
              <w:lastRenderedPageBreak/>
              <w:t xml:space="preserve">undertaking the processing of criminal records checks and application fees vary considerably between </w:t>
            </w:r>
            <w:r w:rsidRPr="006F5BB7">
              <w:rPr>
                <w:rFonts w:asciiTheme="minorHAnsi" w:hAnsiTheme="minorHAnsi" w:cstheme="minorHAnsi"/>
                <w:sz w:val="22"/>
                <w:szCs w:val="22"/>
              </w:rPr>
              <w:t>different Australian jurisdictions</w:t>
            </w:r>
            <w:r w:rsidR="00977387" w:rsidRPr="006F5BB7">
              <w:rPr>
                <w:rFonts w:asciiTheme="minorHAnsi" w:hAnsiTheme="minorHAnsi" w:cstheme="minorHAnsi"/>
                <w:color w:val="000000"/>
                <w:sz w:val="22"/>
                <w:szCs w:val="22"/>
              </w:rPr>
              <w:t xml:space="preserve"> </w:t>
            </w:r>
            <w:r w:rsidRPr="006F5BB7">
              <w:rPr>
                <w:rFonts w:asciiTheme="minorHAnsi" w:hAnsiTheme="minorHAnsi" w:cstheme="minorHAnsi"/>
                <w:color w:val="000000"/>
                <w:sz w:val="22"/>
                <w:szCs w:val="22"/>
              </w:rPr>
              <w:t xml:space="preserve">and </w:t>
            </w:r>
            <w:r w:rsidR="00C97DD2" w:rsidRPr="006F5BB7">
              <w:rPr>
                <w:rFonts w:asciiTheme="minorHAnsi" w:hAnsiTheme="minorHAnsi" w:cstheme="minorHAnsi"/>
                <w:color w:val="000000"/>
                <w:sz w:val="22"/>
                <w:szCs w:val="22"/>
              </w:rPr>
              <w:t>government</w:t>
            </w:r>
            <w:r w:rsidR="00736DB4" w:rsidRPr="006F5BB7">
              <w:rPr>
                <w:rFonts w:asciiTheme="minorHAnsi" w:hAnsiTheme="minorHAnsi" w:cstheme="minorHAnsi"/>
                <w:color w:val="000000"/>
                <w:sz w:val="22"/>
                <w:szCs w:val="22"/>
              </w:rPr>
              <w:t xml:space="preserve"> </w:t>
            </w:r>
            <w:r w:rsidR="00977387" w:rsidRPr="006F5BB7">
              <w:rPr>
                <w:rFonts w:asciiTheme="minorHAnsi" w:hAnsiTheme="minorHAnsi" w:cstheme="minorHAnsi"/>
                <w:color w:val="000000"/>
                <w:sz w:val="22"/>
                <w:szCs w:val="22"/>
              </w:rPr>
              <w:t>bodies</w:t>
            </w:r>
            <w:r w:rsidR="00977387" w:rsidRPr="006F5BB7">
              <w:rPr>
                <w:rFonts w:asciiTheme="minorHAnsi" w:hAnsiTheme="minorHAnsi" w:cstheme="minorHAnsi"/>
                <w:sz w:val="22"/>
                <w:szCs w:val="22"/>
              </w:rPr>
              <w:t>.</w:t>
            </w:r>
          </w:p>
          <w:p w14:paraId="4E779D2F" w14:textId="1862AD8D"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The Working with Children check is different to the criminal records check and Participants and supervisors may be required to get both. This is because the Working with Children check is only concerned with offences that could indicate a child may be harmed. For example, where an Activity involves working with vulnerable people, a conviction for theft</w:t>
            </w:r>
            <w:r w:rsidR="00736DB4" w:rsidRPr="006F5BB7">
              <w:rPr>
                <w:rFonts w:asciiTheme="minorHAnsi" w:hAnsiTheme="minorHAnsi" w:cstheme="minorHAnsi"/>
                <w:sz w:val="22"/>
                <w:szCs w:val="22"/>
              </w:rPr>
              <w:t xml:space="preserve"> (that would not be picked up on a Working with Children Check)</w:t>
            </w:r>
            <w:r w:rsidRPr="006F5BB7">
              <w:rPr>
                <w:rFonts w:asciiTheme="minorHAnsi" w:hAnsiTheme="minorHAnsi" w:cstheme="minorHAnsi"/>
                <w:sz w:val="22"/>
                <w:szCs w:val="22"/>
              </w:rPr>
              <w:t xml:space="preserve"> may be of relevance to the DES </w:t>
            </w:r>
            <w:r w:rsidR="004025CB" w:rsidRPr="006F5BB7">
              <w:rPr>
                <w:rFonts w:asciiTheme="minorHAnsi" w:hAnsiTheme="minorHAnsi" w:cstheme="minorHAnsi"/>
                <w:sz w:val="22"/>
                <w:szCs w:val="22"/>
              </w:rPr>
              <w:t>Provider</w:t>
            </w:r>
            <w:r w:rsidR="00647D0D" w:rsidRPr="006F5BB7">
              <w:rPr>
                <w:rFonts w:asciiTheme="minorHAnsi" w:hAnsiTheme="minorHAnsi" w:cstheme="minorHAnsi"/>
                <w:sz w:val="22"/>
                <w:szCs w:val="22"/>
              </w:rPr>
              <w:t>.</w:t>
            </w:r>
          </w:p>
          <w:p w14:paraId="5DD5F09D" w14:textId="77777777"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 xml:space="preserve">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remain aware of current legislative requirements in their respective state or territory to ensure that Participants and supervisors have the appropriate criminal records check and/or Working with Children check in place prior to commencement on an activity that requires a check/s.</w:t>
            </w:r>
          </w:p>
          <w:p w14:paraId="737C8E06" w14:textId="4F21059D"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color w:val="000000"/>
                <w:sz w:val="22"/>
                <w:szCs w:val="22"/>
              </w:rPr>
              <w:t>T</w:t>
            </w:r>
            <w:r w:rsidRPr="006F5BB7">
              <w:rPr>
                <w:rFonts w:asciiTheme="minorHAnsi" w:hAnsiTheme="minorHAnsi" w:cstheme="minorHAnsi"/>
                <w:sz w:val="22"/>
                <w:szCs w:val="22"/>
              </w:rPr>
              <w:t>he Participant has the right to refuse consent</w:t>
            </w:r>
            <w:r w:rsidR="000F4783" w:rsidRPr="006F5BB7">
              <w:rPr>
                <w:rFonts w:asciiTheme="minorHAnsi" w:hAnsiTheme="minorHAnsi" w:cstheme="minorHAnsi"/>
                <w:sz w:val="22"/>
                <w:szCs w:val="22"/>
              </w:rPr>
              <w:t>,</w:t>
            </w:r>
            <w:r w:rsidRPr="006F5BB7">
              <w:rPr>
                <w:rFonts w:asciiTheme="minorHAnsi" w:hAnsiTheme="minorHAnsi" w:cstheme="minorHAnsi"/>
                <w:sz w:val="22"/>
                <w:szCs w:val="22"/>
              </w:rPr>
              <w:t xml:space="preserve"> as does the supervisor (subject to any contractual relations between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and the </w:t>
            </w:r>
            <w:r w:rsidR="000F4783" w:rsidRPr="006F5BB7">
              <w:rPr>
                <w:rFonts w:asciiTheme="minorHAnsi" w:hAnsiTheme="minorHAnsi" w:cstheme="minorHAnsi"/>
                <w:sz w:val="22"/>
                <w:szCs w:val="22"/>
              </w:rPr>
              <w:t>supervisor</w:t>
            </w:r>
            <w:r w:rsidR="00821FD1" w:rsidRPr="006F5BB7">
              <w:rPr>
                <w:rFonts w:asciiTheme="minorHAnsi" w:hAnsiTheme="minorHAnsi" w:cstheme="minorHAnsi"/>
                <w:sz w:val="22"/>
                <w:szCs w:val="22"/>
              </w:rPr>
              <w:t xml:space="preserve"> that</w:t>
            </w:r>
            <w:r w:rsidR="000F4783" w:rsidRPr="006F5BB7">
              <w:rPr>
                <w:rFonts w:asciiTheme="minorHAnsi" w:hAnsiTheme="minorHAnsi" w:cstheme="minorHAnsi"/>
                <w:sz w:val="22"/>
                <w:szCs w:val="22"/>
              </w:rPr>
              <w:t xml:space="preserve"> is</w:t>
            </w:r>
            <w:r w:rsidRPr="006F5BB7">
              <w:rPr>
                <w:rFonts w:asciiTheme="minorHAnsi" w:hAnsiTheme="minorHAnsi" w:cstheme="minorHAnsi"/>
                <w:sz w:val="22"/>
                <w:szCs w:val="22"/>
              </w:rPr>
              <w:t xml:space="preserve"> depending on the terms of the employment contract).</w:t>
            </w:r>
          </w:p>
          <w:p w14:paraId="0C6177F7" w14:textId="4649EE25"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 xml:space="preserve">If a criminal records check or a Working with Children check is refused by the Participant or </w:t>
            </w:r>
            <w:r w:rsidR="00BC07C6" w:rsidRPr="006F5BB7">
              <w:rPr>
                <w:rFonts w:asciiTheme="minorHAnsi" w:hAnsiTheme="minorHAnsi" w:cstheme="minorHAnsi"/>
                <w:sz w:val="22"/>
                <w:szCs w:val="22"/>
              </w:rPr>
              <w:t>supervisor,</w:t>
            </w:r>
            <w:r w:rsidRPr="006F5BB7">
              <w:rPr>
                <w:rFonts w:asciiTheme="minorHAnsi" w:hAnsiTheme="minorHAnsi" w:cstheme="minorHAnsi"/>
                <w:sz w:val="22"/>
                <w:szCs w:val="22"/>
              </w:rPr>
              <w:t xml:space="preserve"> they should be referred to an activity where a criminal records check is not required.</w:t>
            </w:r>
          </w:p>
          <w:p w14:paraId="1243F4E8" w14:textId="77777777"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If children</w:t>
            </w:r>
            <w:r w:rsidR="002C0F0D" w:rsidRPr="006F5BB7">
              <w:rPr>
                <w:rFonts w:asciiTheme="minorHAnsi" w:hAnsiTheme="minorHAnsi" w:cstheme="minorHAnsi"/>
                <w:sz w:val="22"/>
                <w:szCs w:val="22"/>
              </w:rPr>
              <w:t xml:space="preserve"> or vulnerable people</w:t>
            </w:r>
            <w:r w:rsidRPr="006F5BB7">
              <w:rPr>
                <w:rFonts w:asciiTheme="minorHAnsi" w:hAnsiTheme="minorHAnsi" w:cstheme="minorHAnsi"/>
                <w:sz w:val="22"/>
                <w:szCs w:val="22"/>
              </w:rPr>
              <w:t xml:space="preserve"> will be participating in an activity alongside adult Participants, then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will need to use their discretion to decide on how to best manage the activity so the safety of the children</w:t>
            </w:r>
            <w:r w:rsidR="002C0F0D" w:rsidRPr="006F5BB7">
              <w:rPr>
                <w:rFonts w:asciiTheme="minorHAnsi" w:hAnsiTheme="minorHAnsi" w:cstheme="minorHAnsi"/>
                <w:sz w:val="22"/>
                <w:szCs w:val="22"/>
              </w:rPr>
              <w:t>/vulnerable people</w:t>
            </w:r>
            <w:r w:rsidRPr="006F5BB7">
              <w:rPr>
                <w:rFonts w:asciiTheme="minorHAnsi" w:hAnsiTheme="minorHAnsi" w:cstheme="minorHAnsi"/>
                <w:sz w:val="22"/>
                <w:szCs w:val="22"/>
              </w:rPr>
              <w:t xml:space="preserve"> is assured. In particular,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ensure that the activity has a greater level of supervision and may, for instance, require that the supervisor and/or Participants have had a criminal records check and/or a Working with Children check completed.</w:t>
            </w:r>
          </w:p>
          <w:p w14:paraId="54172845" w14:textId="77777777" w:rsidR="00977387" w:rsidRPr="006F5BB7" w:rsidRDefault="00977387" w:rsidP="001F19F4">
            <w:pPr>
              <w:pStyle w:val="CommentText"/>
              <w:spacing w:after="120"/>
              <w:rPr>
                <w:rFonts w:asciiTheme="minorHAnsi" w:hAnsiTheme="minorHAnsi" w:cstheme="minorHAnsi"/>
                <w:b/>
                <w:sz w:val="22"/>
                <w:szCs w:val="22"/>
              </w:rPr>
            </w:pPr>
            <w:r w:rsidRPr="006F5BB7">
              <w:rPr>
                <w:rFonts w:asciiTheme="minorHAnsi" w:hAnsiTheme="minorHAnsi" w:cstheme="minorHAnsi"/>
                <w:b/>
                <w:sz w:val="22"/>
                <w:szCs w:val="22"/>
              </w:rPr>
              <w:t>Note:</w:t>
            </w:r>
            <w:r w:rsidRPr="006F5BB7">
              <w:rPr>
                <w:rFonts w:asciiTheme="minorHAnsi" w:hAnsiTheme="minorHAnsi" w:cstheme="minorHAnsi"/>
                <w:sz w:val="22"/>
                <w:szCs w:val="22"/>
              </w:rPr>
              <w:t xml:space="preserve"> In addition to obtaining criminal records checks and Working with Children checks, an appropriate person employed by the organisation running the activity (who may be the supervisor) also needs to be at the location at all times where Participants will have direct contact with children or other vulnerable groups.</w:t>
            </w:r>
          </w:p>
        </w:tc>
      </w:tr>
      <w:tr w:rsidR="00977387" w:rsidRPr="006F5BB7" w14:paraId="2EFE36B5" w14:textId="77777777" w:rsidTr="00725C9E">
        <w:trPr>
          <w:trHeight w:val="1812"/>
        </w:trPr>
        <w:tc>
          <w:tcPr>
            <w:tcW w:w="2235" w:type="dxa"/>
          </w:tcPr>
          <w:p w14:paraId="5B24A5EF" w14:textId="77777777" w:rsidR="00977387" w:rsidRPr="006F5BB7" w:rsidRDefault="00977387" w:rsidP="001F19F4">
            <w:pPr>
              <w:spacing w:before="120"/>
              <w:rPr>
                <w:rFonts w:asciiTheme="minorHAnsi" w:hAnsiTheme="minorHAnsi" w:cstheme="minorHAnsi"/>
                <w:b/>
                <w:sz w:val="22"/>
                <w:szCs w:val="22"/>
              </w:rPr>
            </w:pPr>
            <w:r w:rsidRPr="006F5BB7">
              <w:rPr>
                <w:rFonts w:asciiTheme="minorHAnsi" w:hAnsiTheme="minorHAnsi" w:cstheme="minorHAnsi"/>
                <w:b/>
                <w:sz w:val="22"/>
                <w:szCs w:val="22"/>
              </w:rPr>
              <w:lastRenderedPageBreak/>
              <w:t xml:space="preserve">2. The DES </w:t>
            </w:r>
            <w:r w:rsidR="004025CB" w:rsidRPr="006F5BB7">
              <w:rPr>
                <w:rFonts w:asciiTheme="minorHAnsi" w:hAnsiTheme="minorHAnsi" w:cstheme="minorHAnsi"/>
                <w:b/>
                <w:sz w:val="22"/>
                <w:szCs w:val="22"/>
              </w:rPr>
              <w:t>Provider</w:t>
            </w:r>
          </w:p>
          <w:p w14:paraId="27FEA841" w14:textId="77777777" w:rsidR="00977387" w:rsidRPr="006F5BB7" w:rsidRDefault="00977387" w:rsidP="001F19F4">
            <w:pPr>
              <w:rPr>
                <w:rFonts w:asciiTheme="minorHAnsi" w:hAnsiTheme="minorHAnsi" w:cstheme="minorHAnsi"/>
                <w:sz w:val="22"/>
                <w:szCs w:val="22"/>
              </w:rPr>
            </w:pPr>
          </w:p>
          <w:p w14:paraId="76F5B80F" w14:textId="03FA90D7" w:rsidR="00977387" w:rsidRPr="006F5BB7" w:rsidRDefault="00977387" w:rsidP="001F19F4">
            <w:pPr>
              <w:rPr>
                <w:rFonts w:asciiTheme="minorHAnsi" w:hAnsiTheme="minorHAnsi" w:cstheme="minorHAnsi"/>
                <w:b/>
                <w:sz w:val="22"/>
                <w:szCs w:val="22"/>
              </w:rPr>
            </w:pPr>
            <w:bookmarkStart w:id="31" w:name="_Toc284406776"/>
            <w:bookmarkStart w:id="32" w:name="_Toc384218801"/>
            <w:r w:rsidRPr="006F5BB7">
              <w:rPr>
                <w:rFonts w:asciiTheme="minorHAnsi" w:hAnsiTheme="minorHAnsi" w:cstheme="minorHAnsi"/>
                <w:b/>
                <w:sz w:val="22"/>
                <w:szCs w:val="22"/>
              </w:rPr>
              <w:t>Send the application for the criminal records check to the organisation processing the check</w:t>
            </w:r>
            <w:bookmarkEnd w:id="31"/>
            <w:bookmarkEnd w:id="32"/>
          </w:p>
        </w:tc>
        <w:tc>
          <w:tcPr>
            <w:tcW w:w="7903" w:type="dxa"/>
          </w:tcPr>
          <w:p w14:paraId="4BA30059" w14:textId="77777777" w:rsidR="00977387" w:rsidRPr="006F5BB7" w:rsidRDefault="00977387" w:rsidP="001F19F4">
            <w:pPr>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Depending on the protocols of the organisation conducting the check, the check forms will be returned to either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or direct to the applicant Participant/supervisor. In the latter case,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w:t>
            </w:r>
            <w:r w:rsidR="00657CE4" w:rsidRPr="006F5BB7">
              <w:rPr>
                <w:rFonts w:asciiTheme="minorHAnsi" w:hAnsiTheme="minorHAnsi" w:cstheme="minorHAnsi"/>
                <w:sz w:val="22"/>
                <w:szCs w:val="22"/>
              </w:rPr>
              <w:t xml:space="preserve">must </w:t>
            </w:r>
            <w:r w:rsidRPr="006F5BB7">
              <w:rPr>
                <w:rFonts w:asciiTheme="minorHAnsi" w:hAnsiTheme="minorHAnsi" w:cstheme="minorHAnsi"/>
                <w:sz w:val="22"/>
                <w:szCs w:val="22"/>
              </w:rPr>
              <w:t>ensure that the Participant/supervisor provides a copy of the application and the results to them before they can commence on the nominated activity.</w:t>
            </w:r>
          </w:p>
          <w:p w14:paraId="47513B8F" w14:textId="09B10A96"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Some organisations that conduct criminal records checks will return interim reports indicating a potential match exists. This does not necessarily indicate that the applicant has a criminal conviction</w:t>
            </w:r>
            <w:r w:rsidR="000F4783" w:rsidRPr="006F5BB7">
              <w:rPr>
                <w:rFonts w:asciiTheme="minorHAnsi" w:hAnsiTheme="minorHAnsi" w:cstheme="minorHAnsi"/>
                <w:sz w:val="22"/>
                <w:szCs w:val="22"/>
              </w:rPr>
              <w:t xml:space="preserve">, </w:t>
            </w:r>
            <w:r w:rsidRPr="006F5BB7">
              <w:rPr>
                <w:rFonts w:asciiTheme="minorHAnsi" w:hAnsiTheme="minorHAnsi" w:cstheme="minorHAnsi"/>
                <w:sz w:val="22"/>
                <w:szCs w:val="22"/>
              </w:rPr>
              <w:t>which would preclude him or he</w:t>
            </w:r>
            <w:r w:rsidR="00BC07C6" w:rsidRPr="006F5BB7">
              <w:rPr>
                <w:rFonts w:asciiTheme="minorHAnsi" w:hAnsiTheme="minorHAnsi" w:cstheme="minorHAnsi"/>
                <w:sz w:val="22"/>
                <w:szCs w:val="22"/>
              </w:rPr>
              <w:t>r from undertaking an activity.</w:t>
            </w:r>
          </w:p>
          <w:p w14:paraId="1266C600" w14:textId="14CB0065"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For instance, organisations such as the A</w:t>
            </w:r>
            <w:r w:rsidR="00334DF7" w:rsidRPr="006F5BB7">
              <w:rPr>
                <w:rFonts w:asciiTheme="minorHAnsi" w:hAnsiTheme="minorHAnsi" w:cstheme="minorHAnsi"/>
                <w:sz w:val="22"/>
                <w:szCs w:val="22"/>
              </w:rPr>
              <w:t xml:space="preserve">ustralian </w:t>
            </w:r>
            <w:r w:rsidRPr="006F5BB7">
              <w:rPr>
                <w:rFonts w:asciiTheme="minorHAnsi" w:hAnsiTheme="minorHAnsi" w:cstheme="minorHAnsi"/>
                <w:sz w:val="22"/>
                <w:szCs w:val="22"/>
              </w:rPr>
              <w:t>F</w:t>
            </w:r>
            <w:r w:rsidR="00334DF7" w:rsidRPr="006F5BB7">
              <w:rPr>
                <w:rFonts w:asciiTheme="minorHAnsi" w:hAnsiTheme="minorHAnsi" w:cstheme="minorHAnsi"/>
                <w:sz w:val="22"/>
                <w:szCs w:val="22"/>
              </w:rPr>
              <w:t>ederal Police</w:t>
            </w:r>
            <w:r w:rsidR="00334302" w:rsidRPr="006F5BB7">
              <w:rPr>
                <w:rFonts w:asciiTheme="minorHAnsi" w:hAnsiTheme="minorHAnsi" w:cstheme="minorHAnsi"/>
                <w:sz w:val="22"/>
                <w:szCs w:val="22"/>
              </w:rPr>
              <w:t xml:space="preserve"> (</w:t>
            </w:r>
            <w:proofErr w:type="spellStart"/>
            <w:r w:rsidR="00334302" w:rsidRPr="006F5BB7">
              <w:rPr>
                <w:rFonts w:asciiTheme="minorHAnsi" w:hAnsiTheme="minorHAnsi" w:cstheme="minorHAnsi"/>
                <w:sz w:val="22"/>
                <w:szCs w:val="22"/>
              </w:rPr>
              <w:t>AFP</w:t>
            </w:r>
            <w:proofErr w:type="spellEnd"/>
            <w:r w:rsidR="00334302" w:rsidRPr="006F5BB7">
              <w:rPr>
                <w:rFonts w:asciiTheme="minorHAnsi" w:hAnsiTheme="minorHAnsi" w:cstheme="minorHAnsi"/>
                <w:sz w:val="22"/>
                <w:szCs w:val="22"/>
              </w:rPr>
              <w:t>)</w:t>
            </w:r>
            <w:r w:rsidRPr="006F5BB7">
              <w:rPr>
                <w:rFonts w:asciiTheme="minorHAnsi" w:hAnsiTheme="minorHAnsi" w:cstheme="minorHAnsi"/>
                <w:sz w:val="22"/>
                <w:szCs w:val="22"/>
              </w:rPr>
              <w:t xml:space="preserve">, </w:t>
            </w:r>
            <w:proofErr w:type="spellStart"/>
            <w:r w:rsidRPr="006F5BB7">
              <w:rPr>
                <w:rFonts w:asciiTheme="minorHAnsi" w:hAnsiTheme="minorHAnsi" w:cstheme="minorHAnsi"/>
                <w:sz w:val="22"/>
                <w:szCs w:val="22"/>
              </w:rPr>
              <w:t>CrimTrac</w:t>
            </w:r>
            <w:proofErr w:type="spellEnd"/>
            <w:r w:rsidRPr="006F5BB7">
              <w:rPr>
                <w:rFonts w:asciiTheme="minorHAnsi" w:hAnsiTheme="minorHAnsi" w:cstheme="minorHAnsi"/>
                <w:sz w:val="22"/>
                <w:szCs w:val="22"/>
              </w:rPr>
              <w:t xml:space="preserve"> and state and territory police will often need to exchange information in order to determine if a relevant criminal conviction exists. In some </w:t>
            </w:r>
            <w:r w:rsidR="000F4783" w:rsidRPr="006F5BB7">
              <w:rPr>
                <w:rFonts w:asciiTheme="minorHAnsi" w:hAnsiTheme="minorHAnsi" w:cstheme="minorHAnsi"/>
                <w:sz w:val="22"/>
                <w:szCs w:val="22"/>
              </w:rPr>
              <w:t>cases,</w:t>
            </w:r>
            <w:r w:rsidRPr="006F5BB7">
              <w:rPr>
                <w:rFonts w:asciiTheme="minorHAnsi" w:hAnsiTheme="minorHAnsi" w:cstheme="minorHAnsi"/>
                <w:sz w:val="22"/>
                <w:szCs w:val="22"/>
              </w:rPr>
              <w:t xml:space="preserve"> the organisation that is conducting the check will send a report to the applicant or designated third party advising them that further investigation is being undertaken. If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receives preliminary advice of this nature, then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should not use this information to cancel the criminal records check and/or automatically look for an activity that does not require a criminal records check.</w:t>
            </w:r>
          </w:p>
          <w:p w14:paraId="0BC6BACE" w14:textId="1DF008F8"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 xml:space="preserve">If criminal history exists, the organisation conducting the criminal records check and/or Working with Children check will provide written reports that contain information about criminal convictions, findings of guilt and/or charges yet to be </w:t>
            </w:r>
            <w:r w:rsidRPr="006F5BB7">
              <w:rPr>
                <w:rFonts w:asciiTheme="minorHAnsi" w:hAnsiTheme="minorHAnsi" w:cstheme="minorHAnsi"/>
                <w:sz w:val="22"/>
                <w:szCs w:val="22"/>
              </w:rPr>
              <w:lastRenderedPageBreak/>
              <w:t>hea</w:t>
            </w:r>
            <w:r w:rsidR="00BC07C6" w:rsidRPr="006F5BB7">
              <w:rPr>
                <w:rFonts w:asciiTheme="minorHAnsi" w:hAnsiTheme="minorHAnsi" w:cstheme="minorHAnsi"/>
                <w:sz w:val="22"/>
                <w:szCs w:val="22"/>
              </w:rPr>
              <w:t>rd when the check is processed.</w:t>
            </w:r>
          </w:p>
          <w:p w14:paraId="61F92B47" w14:textId="151A6095" w:rsidR="00094443" w:rsidRPr="006F5BB7" w:rsidRDefault="00977387" w:rsidP="00725C9E">
            <w:pPr>
              <w:spacing w:after="100" w:afterAutospacing="1"/>
              <w:rPr>
                <w:rFonts w:asciiTheme="minorHAnsi" w:hAnsiTheme="minorHAnsi" w:cstheme="minorHAnsi"/>
                <w:sz w:val="22"/>
                <w:szCs w:val="22"/>
              </w:rPr>
            </w:pPr>
            <w:r w:rsidRPr="006F5BB7">
              <w:rPr>
                <w:rFonts w:asciiTheme="minorHAnsi" w:hAnsiTheme="minorHAnsi" w:cstheme="minorHAnsi"/>
                <w:sz w:val="22"/>
                <w:szCs w:val="22"/>
              </w:rPr>
              <w:t xml:space="preserve">After checking police records, if a potential match is not </w:t>
            </w:r>
            <w:r w:rsidR="000F4783" w:rsidRPr="006F5BB7">
              <w:rPr>
                <w:rFonts w:asciiTheme="minorHAnsi" w:hAnsiTheme="minorHAnsi" w:cstheme="minorHAnsi"/>
                <w:sz w:val="22"/>
                <w:szCs w:val="22"/>
              </w:rPr>
              <w:t>confirmed;</w:t>
            </w:r>
            <w:r w:rsidRPr="006F5BB7">
              <w:rPr>
                <w:rFonts w:asciiTheme="minorHAnsi" w:hAnsiTheme="minorHAnsi" w:cstheme="minorHAnsi"/>
                <w:sz w:val="22"/>
                <w:szCs w:val="22"/>
              </w:rPr>
              <w:t xml:space="preserve"> either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or the applicant will be advised that there is no match against the applicant’s name. Where the information is precluded from release under specific legislation or policy,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or the applicant is advised that there is no match.</w:t>
            </w:r>
          </w:p>
        </w:tc>
      </w:tr>
      <w:tr w:rsidR="00977387" w:rsidRPr="006F5BB7" w14:paraId="5A33FFF9" w14:textId="77777777" w:rsidTr="00725C9E">
        <w:tc>
          <w:tcPr>
            <w:tcW w:w="2235" w:type="dxa"/>
          </w:tcPr>
          <w:p w14:paraId="69859784" w14:textId="77777777" w:rsidR="00977387" w:rsidRPr="006F5BB7" w:rsidRDefault="00977387" w:rsidP="001F19F4">
            <w:pPr>
              <w:spacing w:before="120"/>
              <w:rPr>
                <w:rFonts w:asciiTheme="minorHAnsi" w:hAnsiTheme="minorHAnsi" w:cstheme="minorHAnsi"/>
                <w:b/>
                <w:sz w:val="22"/>
                <w:szCs w:val="22"/>
              </w:rPr>
            </w:pPr>
            <w:r w:rsidRPr="006F5BB7">
              <w:rPr>
                <w:rFonts w:asciiTheme="minorHAnsi" w:hAnsiTheme="minorHAnsi" w:cstheme="minorHAnsi"/>
                <w:b/>
                <w:sz w:val="22"/>
                <w:szCs w:val="22"/>
              </w:rPr>
              <w:lastRenderedPageBreak/>
              <w:t xml:space="preserve">3. The DES </w:t>
            </w:r>
            <w:r w:rsidR="004025CB" w:rsidRPr="006F5BB7">
              <w:rPr>
                <w:rFonts w:asciiTheme="minorHAnsi" w:hAnsiTheme="minorHAnsi" w:cstheme="minorHAnsi"/>
                <w:b/>
                <w:sz w:val="22"/>
                <w:szCs w:val="22"/>
              </w:rPr>
              <w:t>Provider</w:t>
            </w:r>
          </w:p>
          <w:p w14:paraId="45129405" w14:textId="77777777" w:rsidR="00977387" w:rsidRPr="006F5BB7" w:rsidRDefault="00977387" w:rsidP="001F19F4">
            <w:pPr>
              <w:autoSpaceDE w:val="0"/>
              <w:autoSpaceDN w:val="0"/>
              <w:adjustRightInd w:val="0"/>
              <w:rPr>
                <w:rFonts w:asciiTheme="minorHAnsi" w:hAnsiTheme="minorHAnsi" w:cstheme="minorHAnsi"/>
                <w:sz w:val="22"/>
                <w:szCs w:val="22"/>
              </w:rPr>
            </w:pPr>
          </w:p>
          <w:p w14:paraId="74C56153" w14:textId="77777777" w:rsidR="00977387" w:rsidRPr="006F5BB7" w:rsidRDefault="00977387" w:rsidP="00C469CF">
            <w:pPr>
              <w:rPr>
                <w:rFonts w:asciiTheme="minorHAnsi" w:hAnsiTheme="minorHAnsi" w:cstheme="minorHAnsi"/>
                <w:b/>
                <w:sz w:val="22"/>
                <w:szCs w:val="22"/>
              </w:rPr>
            </w:pPr>
            <w:bookmarkStart w:id="33" w:name="_Toc284406777"/>
            <w:bookmarkStart w:id="34" w:name="_Toc384218802"/>
            <w:r w:rsidRPr="006F5BB7">
              <w:rPr>
                <w:rFonts w:asciiTheme="minorHAnsi" w:hAnsiTheme="minorHAnsi" w:cstheme="minorHAnsi"/>
                <w:b/>
                <w:sz w:val="22"/>
                <w:szCs w:val="22"/>
              </w:rPr>
              <w:t>Identify an activity for the Participant/supervisor to participate in while waiting for the check/s to be processed</w:t>
            </w:r>
            <w:bookmarkEnd w:id="33"/>
            <w:bookmarkEnd w:id="34"/>
          </w:p>
          <w:p w14:paraId="5333A15E" w14:textId="77777777" w:rsidR="00977387" w:rsidRPr="006F5BB7" w:rsidRDefault="00977387" w:rsidP="001F19F4">
            <w:pPr>
              <w:rPr>
                <w:rFonts w:asciiTheme="minorHAnsi" w:hAnsiTheme="minorHAnsi" w:cstheme="minorHAnsi"/>
                <w:sz w:val="22"/>
                <w:szCs w:val="22"/>
              </w:rPr>
            </w:pPr>
          </w:p>
        </w:tc>
        <w:tc>
          <w:tcPr>
            <w:tcW w:w="7903" w:type="dxa"/>
          </w:tcPr>
          <w:p w14:paraId="7EC2627E" w14:textId="77777777" w:rsidR="00977387" w:rsidRPr="006F5BB7" w:rsidRDefault="00977387" w:rsidP="001F19F4">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Criminal records checks and/or the Working with Children check may be completed in a few days but in some cases may take up to six months to complete</w:t>
            </w:r>
            <w:r w:rsidR="00334302" w:rsidRPr="006F5BB7">
              <w:rPr>
                <w:rFonts w:asciiTheme="minorHAnsi" w:hAnsiTheme="minorHAnsi" w:cstheme="minorHAnsi"/>
                <w:sz w:val="22"/>
                <w:szCs w:val="22"/>
              </w:rPr>
              <w:t>.</w:t>
            </w:r>
            <w:r w:rsidRPr="006F5BB7">
              <w:rPr>
                <w:rFonts w:asciiTheme="minorHAnsi" w:hAnsiTheme="minorHAnsi" w:cstheme="minorHAnsi"/>
                <w:sz w:val="22"/>
                <w:szCs w:val="22"/>
              </w:rPr>
              <w:t xml:space="preserve"> </w:t>
            </w:r>
            <w:r w:rsidR="00334302" w:rsidRPr="006F5BB7">
              <w:rPr>
                <w:rFonts w:asciiTheme="minorHAnsi" w:hAnsiTheme="minorHAnsi" w:cstheme="minorHAnsi"/>
                <w:sz w:val="22"/>
                <w:szCs w:val="22"/>
              </w:rPr>
              <w:t xml:space="preserve">The </w:t>
            </w:r>
            <w:r w:rsidRPr="006F5BB7">
              <w:rPr>
                <w:rFonts w:asciiTheme="minorHAnsi" w:hAnsiTheme="minorHAnsi" w:cstheme="minorHAnsi"/>
                <w:sz w:val="22"/>
                <w:szCs w:val="22"/>
              </w:rPr>
              <w:t xml:space="preserve">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will need to consider interim or alternative activities/interventions for the Participant/supervisor to participate in while results are pending.</w:t>
            </w:r>
          </w:p>
          <w:p w14:paraId="024989B1" w14:textId="03FDE9A3" w:rsidR="00977387" w:rsidRPr="006F5BB7" w:rsidRDefault="00977387" w:rsidP="001F19F4">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In some instances, before results of criminal records checks are received,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and the Participant may decide that the interim activity is preferred to the proposed </w:t>
            </w:r>
            <w:r w:rsidR="00DB2C89" w:rsidRPr="006F5BB7">
              <w:rPr>
                <w:rFonts w:asciiTheme="minorHAnsi" w:hAnsiTheme="minorHAnsi" w:cstheme="minorHAnsi"/>
                <w:sz w:val="22"/>
                <w:szCs w:val="22"/>
              </w:rPr>
              <w:t>activity, which</w:t>
            </w:r>
            <w:r w:rsidRPr="006F5BB7">
              <w:rPr>
                <w:rFonts w:asciiTheme="minorHAnsi" w:hAnsiTheme="minorHAnsi" w:cstheme="minorHAnsi"/>
                <w:sz w:val="22"/>
                <w:szCs w:val="22"/>
              </w:rPr>
              <w:t xml:space="preserve"> originally required the criminal records check. If this is the case, the Participant may remain on the interim activity.</w:t>
            </w:r>
          </w:p>
        </w:tc>
      </w:tr>
      <w:tr w:rsidR="00977387" w:rsidRPr="006F5BB7" w14:paraId="176EA5E6" w14:textId="77777777" w:rsidTr="00725C9E">
        <w:tc>
          <w:tcPr>
            <w:tcW w:w="2235" w:type="dxa"/>
          </w:tcPr>
          <w:p w14:paraId="17EFE7E7" w14:textId="77777777" w:rsidR="00977387" w:rsidRPr="006F5BB7" w:rsidRDefault="00977387" w:rsidP="001F19F4">
            <w:pPr>
              <w:spacing w:before="120"/>
              <w:rPr>
                <w:rFonts w:asciiTheme="minorHAnsi" w:hAnsiTheme="minorHAnsi" w:cstheme="minorHAnsi"/>
                <w:b/>
                <w:sz w:val="22"/>
                <w:szCs w:val="22"/>
              </w:rPr>
            </w:pPr>
            <w:r w:rsidRPr="006F5BB7">
              <w:rPr>
                <w:rFonts w:asciiTheme="minorHAnsi" w:hAnsiTheme="minorHAnsi" w:cstheme="minorHAnsi"/>
                <w:b/>
                <w:sz w:val="22"/>
                <w:szCs w:val="22"/>
              </w:rPr>
              <w:t xml:space="preserve">4. The DES </w:t>
            </w:r>
            <w:r w:rsidR="004025CB" w:rsidRPr="006F5BB7">
              <w:rPr>
                <w:rFonts w:asciiTheme="minorHAnsi" w:hAnsiTheme="minorHAnsi" w:cstheme="minorHAnsi"/>
                <w:b/>
                <w:sz w:val="22"/>
                <w:szCs w:val="22"/>
              </w:rPr>
              <w:t>Provider</w:t>
            </w:r>
          </w:p>
          <w:p w14:paraId="69A0375F" w14:textId="77777777" w:rsidR="00977387" w:rsidRPr="006F5BB7" w:rsidRDefault="00977387" w:rsidP="001F19F4">
            <w:pPr>
              <w:rPr>
                <w:rFonts w:asciiTheme="minorHAnsi" w:hAnsiTheme="minorHAnsi" w:cstheme="minorHAnsi"/>
                <w:sz w:val="22"/>
                <w:szCs w:val="22"/>
              </w:rPr>
            </w:pPr>
          </w:p>
          <w:p w14:paraId="42792907" w14:textId="77777777" w:rsidR="00977387" w:rsidRPr="006F5BB7" w:rsidRDefault="00977387" w:rsidP="00C469CF">
            <w:pPr>
              <w:rPr>
                <w:rFonts w:asciiTheme="minorHAnsi" w:hAnsiTheme="minorHAnsi" w:cstheme="minorHAnsi"/>
                <w:b/>
                <w:sz w:val="22"/>
                <w:szCs w:val="22"/>
              </w:rPr>
            </w:pPr>
            <w:bookmarkStart w:id="35" w:name="_Toc284406778"/>
            <w:bookmarkStart w:id="36" w:name="_Toc384218803"/>
            <w:r w:rsidRPr="006F5BB7">
              <w:rPr>
                <w:rFonts w:asciiTheme="minorHAnsi" w:hAnsiTheme="minorHAnsi" w:cstheme="minorHAnsi"/>
                <w:b/>
                <w:sz w:val="22"/>
                <w:szCs w:val="22"/>
              </w:rPr>
              <w:t>Manage the results of the criminal records check</w:t>
            </w:r>
            <w:bookmarkEnd w:id="35"/>
            <w:bookmarkEnd w:id="36"/>
          </w:p>
          <w:p w14:paraId="3D27D280" w14:textId="77777777" w:rsidR="00977387" w:rsidRPr="006F5BB7" w:rsidRDefault="00977387" w:rsidP="001F19F4">
            <w:pPr>
              <w:rPr>
                <w:rFonts w:asciiTheme="minorHAnsi" w:hAnsiTheme="minorHAnsi" w:cstheme="minorHAnsi"/>
                <w:sz w:val="22"/>
                <w:szCs w:val="22"/>
              </w:rPr>
            </w:pPr>
          </w:p>
          <w:p w14:paraId="3BC353FD" w14:textId="28B91E0C" w:rsidR="00977387" w:rsidRPr="006F5BB7" w:rsidRDefault="00977387" w:rsidP="00897C6E">
            <w:pPr>
              <w:autoSpaceDE w:val="0"/>
              <w:autoSpaceDN w:val="0"/>
              <w:adjustRightInd w:val="0"/>
              <w:spacing w:after="120"/>
              <w:rPr>
                <w:rFonts w:asciiTheme="minorHAnsi" w:hAnsiTheme="minorHAnsi" w:cstheme="minorHAnsi"/>
                <w:i/>
                <w:color w:val="000000"/>
                <w:sz w:val="22"/>
                <w:szCs w:val="22"/>
              </w:rPr>
            </w:pPr>
            <w:r w:rsidRPr="006F5BB7">
              <w:rPr>
                <w:rFonts w:asciiTheme="minorHAnsi" w:hAnsiTheme="minorHAnsi" w:cstheme="minorHAnsi"/>
                <w:i/>
                <w:color w:val="000000"/>
                <w:sz w:val="22"/>
                <w:szCs w:val="22"/>
              </w:rPr>
              <w:t xml:space="preserve">Disability Employment Services </w:t>
            </w:r>
            <w:r w:rsidR="005F15E0" w:rsidRPr="006F5BB7">
              <w:rPr>
                <w:rFonts w:asciiTheme="minorHAnsi" w:hAnsiTheme="minorHAnsi" w:cstheme="minorHAnsi"/>
                <w:i/>
                <w:color w:val="000000"/>
                <w:sz w:val="22"/>
                <w:szCs w:val="22"/>
              </w:rPr>
              <w:t>Grant Agreement</w:t>
            </w:r>
            <w:r w:rsidRPr="006F5BB7">
              <w:rPr>
                <w:rFonts w:asciiTheme="minorHAnsi" w:hAnsiTheme="minorHAnsi" w:cstheme="minorHAnsi"/>
                <w:i/>
                <w:color w:val="000000"/>
                <w:sz w:val="22"/>
                <w:szCs w:val="22"/>
              </w:rPr>
              <w:t xml:space="preserve"> Clause</w:t>
            </w:r>
            <w:r w:rsidR="003D714B" w:rsidRPr="006F5BB7">
              <w:rPr>
                <w:rFonts w:asciiTheme="minorHAnsi" w:hAnsiTheme="minorHAnsi" w:cstheme="minorHAnsi"/>
                <w:i/>
                <w:color w:val="000000"/>
                <w:sz w:val="22"/>
                <w:szCs w:val="22"/>
              </w:rPr>
              <w:t>s</w:t>
            </w:r>
            <w:r w:rsidRPr="006F5BB7">
              <w:rPr>
                <w:rFonts w:asciiTheme="minorHAnsi" w:hAnsiTheme="minorHAnsi" w:cstheme="minorHAnsi"/>
                <w:i/>
                <w:color w:val="000000"/>
                <w:sz w:val="22"/>
                <w:szCs w:val="22"/>
              </w:rPr>
              <w:t xml:space="preserve"> References:</w:t>
            </w:r>
          </w:p>
          <w:p w14:paraId="4F79E26E" w14:textId="77777777"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Clause </w:t>
            </w:r>
            <w:r w:rsidR="00DC59E6" w:rsidRPr="006F5BB7">
              <w:rPr>
                <w:rFonts w:asciiTheme="minorHAnsi" w:hAnsiTheme="minorHAnsi" w:cstheme="minorHAnsi"/>
                <w:color w:val="000000"/>
                <w:sz w:val="22"/>
                <w:szCs w:val="22"/>
              </w:rPr>
              <w:t>16</w:t>
            </w:r>
          </w:p>
          <w:p w14:paraId="11F087C8" w14:textId="168C572E"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Clause 9</w:t>
            </w:r>
            <w:r w:rsidR="008E672B" w:rsidRPr="006F5BB7">
              <w:rPr>
                <w:rFonts w:asciiTheme="minorHAnsi" w:hAnsiTheme="minorHAnsi" w:cstheme="minorHAnsi"/>
                <w:color w:val="000000"/>
                <w:sz w:val="22"/>
                <w:szCs w:val="22"/>
              </w:rPr>
              <w:t>8</w:t>
            </w:r>
          </w:p>
          <w:p w14:paraId="5395B3C2" w14:textId="77777777" w:rsidR="00977387" w:rsidRPr="006F5BB7" w:rsidRDefault="00977387" w:rsidP="001F19F4">
            <w:pPr>
              <w:ind w:left="720"/>
              <w:rPr>
                <w:rFonts w:asciiTheme="minorHAnsi" w:hAnsiTheme="minorHAnsi" w:cstheme="minorHAnsi"/>
                <w:sz w:val="22"/>
                <w:szCs w:val="22"/>
              </w:rPr>
            </w:pPr>
          </w:p>
        </w:tc>
        <w:tc>
          <w:tcPr>
            <w:tcW w:w="7903" w:type="dxa"/>
          </w:tcPr>
          <w:p w14:paraId="311E0AD8" w14:textId="77777777" w:rsidR="00977387" w:rsidRPr="006F5BB7" w:rsidRDefault="00977387" w:rsidP="001F19F4">
            <w:pPr>
              <w:spacing w:before="120" w:after="120"/>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If the criminal records check uncovers a relevant criminal conviction, the applicant may dispute the conviction and request another criminal records check to be completed. If the applicant does dispute the conviction/s,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will need to contact the organisation that conducted the original check to ensure it is correct.</w:t>
            </w:r>
          </w:p>
          <w:p w14:paraId="6892D37D" w14:textId="1ED9CFAE" w:rsidR="00977387" w:rsidRPr="006F5BB7" w:rsidRDefault="00977387" w:rsidP="00B7371C">
            <w:pPr>
              <w:spacing w:after="120"/>
              <w:rPr>
                <w:rFonts w:asciiTheme="minorHAnsi" w:hAnsiTheme="minorHAnsi" w:cstheme="minorHAnsi"/>
                <w:sz w:val="22"/>
                <w:szCs w:val="22"/>
              </w:rPr>
            </w:pPr>
            <w:r w:rsidRPr="006F5BB7">
              <w:rPr>
                <w:rFonts w:asciiTheme="minorHAnsi" w:hAnsiTheme="minorHAnsi" w:cstheme="minorHAnsi"/>
                <w:sz w:val="22"/>
                <w:szCs w:val="22"/>
              </w:rPr>
              <w:t xml:space="preserve">If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becomes aware, or has received notice from the </w:t>
            </w:r>
            <w:proofErr w:type="spellStart"/>
            <w:r w:rsidRPr="006F5BB7">
              <w:rPr>
                <w:rFonts w:asciiTheme="minorHAnsi" w:hAnsiTheme="minorHAnsi" w:cstheme="minorHAnsi"/>
                <w:sz w:val="22"/>
                <w:szCs w:val="22"/>
              </w:rPr>
              <w:t>AFP</w:t>
            </w:r>
            <w:proofErr w:type="spellEnd"/>
            <w:r w:rsidRPr="006F5BB7">
              <w:rPr>
                <w:rFonts w:asciiTheme="minorHAnsi" w:hAnsiTheme="minorHAnsi" w:cstheme="minorHAnsi"/>
                <w:sz w:val="22"/>
                <w:szCs w:val="22"/>
              </w:rPr>
              <w:t xml:space="preserve"> or </w:t>
            </w:r>
            <w:proofErr w:type="spellStart"/>
            <w:r w:rsidRPr="006F5BB7">
              <w:rPr>
                <w:rFonts w:asciiTheme="minorHAnsi" w:hAnsiTheme="minorHAnsi" w:cstheme="minorHAnsi"/>
                <w:sz w:val="22"/>
                <w:szCs w:val="22"/>
              </w:rPr>
              <w:t>CrimTrac</w:t>
            </w:r>
            <w:proofErr w:type="spellEnd"/>
            <w:r w:rsidRPr="006F5BB7">
              <w:rPr>
                <w:rFonts w:asciiTheme="minorHAnsi" w:hAnsiTheme="minorHAnsi" w:cstheme="minorHAnsi"/>
                <w:sz w:val="22"/>
                <w:szCs w:val="22"/>
              </w:rPr>
              <w:t xml:space="preserve">, </w:t>
            </w:r>
            <w:r w:rsidRPr="006F5BB7">
              <w:rPr>
                <w:rFonts w:asciiTheme="minorHAnsi" w:hAnsiTheme="minorHAnsi" w:cstheme="minorHAnsi"/>
                <w:color w:val="000000"/>
                <w:sz w:val="22"/>
                <w:szCs w:val="22"/>
              </w:rPr>
              <w:t xml:space="preserve">or relevant state or territory police or other body (as applicable), </w:t>
            </w:r>
            <w:r w:rsidRPr="006F5BB7">
              <w:rPr>
                <w:rFonts w:asciiTheme="minorHAnsi" w:hAnsiTheme="minorHAnsi" w:cstheme="minorHAnsi"/>
                <w:sz w:val="22"/>
                <w:szCs w:val="22"/>
              </w:rPr>
              <w:t xml:space="preserve">that there have been changes to the information provided in relation to a criminal records check,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should immediately decide, using the information available</w:t>
            </w:r>
            <w:r w:rsidR="008B7D88" w:rsidRPr="006F5BB7">
              <w:rPr>
                <w:rFonts w:asciiTheme="minorHAnsi" w:hAnsiTheme="minorHAnsi" w:cstheme="minorHAnsi"/>
                <w:sz w:val="22"/>
                <w:szCs w:val="22"/>
              </w:rPr>
              <w:t>, whether it is appropriate to:</w:t>
            </w:r>
          </w:p>
          <w:p w14:paraId="63C84623" w14:textId="77777777" w:rsidR="00977387" w:rsidRPr="006F5BB7" w:rsidRDefault="00977387" w:rsidP="00897C6E">
            <w:pPr>
              <w:pStyle w:val="Default"/>
              <w:numPr>
                <w:ilvl w:val="0"/>
                <w:numId w:val="3"/>
              </w:numPr>
              <w:tabs>
                <w:tab w:val="clear" w:pos="720"/>
              </w:tabs>
              <w:ind w:left="349" w:hanging="349"/>
              <w:rPr>
                <w:rFonts w:asciiTheme="minorHAnsi" w:hAnsiTheme="minorHAnsi" w:cstheme="minorHAnsi"/>
                <w:sz w:val="22"/>
                <w:szCs w:val="22"/>
              </w:rPr>
            </w:pPr>
            <w:r w:rsidRPr="006F5BB7">
              <w:rPr>
                <w:rFonts w:asciiTheme="minorHAnsi" w:hAnsiTheme="minorHAnsi" w:cstheme="minorHAnsi"/>
                <w:sz w:val="22"/>
                <w:szCs w:val="22"/>
              </w:rPr>
              <w:t>leave the Participant/supervisor on the activity</w:t>
            </w:r>
          </w:p>
          <w:p w14:paraId="1537A3DB" w14:textId="05D4703E" w:rsidR="00977387" w:rsidRPr="006F5BB7" w:rsidRDefault="00977387" w:rsidP="00897C6E">
            <w:pPr>
              <w:pStyle w:val="Default"/>
              <w:numPr>
                <w:ilvl w:val="0"/>
                <w:numId w:val="3"/>
              </w:numPr>
              <w:tabs>
                <w:tab w:val="clear" w:pos="720"/>
              </w:tabs>
              <w:ind w:left="349" w:hanging="349"/>
              <w:rPr>
                <w:rFonts w:asciiTheme="minorHAnsi" w:hAnsiTheme="minorHAnsi" w:cstheme="minorHAnsi"/>
                <w:sz w:val="22"/>
                <w:szCs w:val="22"/>
              </w:rPr>
            </w:pPr>
            <w:r w:rsidRPr="006F5BB7">
              <w:rPr>
                <w:rFonts w:asciiTheme="minorHAnsi" w:hAnsiTheme="minorHAnsi" w:cstheme="minorHAnsi"/>
                <w:sz w:val="22"/>
                <w:szCs w:val="22"/>
              </w:rPr>
              <w:t>move the Participant/supervisor to an activity which is not an activity which specifically requires a</w:t>
            </w:r>
            <w:r w:rsidR="008B7D88" w:rsidRPr="006F5BB7">
              <w:rPr>
                <w:rFonts w:asciiTheme="minorHAnsi" w:hAnsiTheme="minorHAnsi" w:cstheme="minorHAnsi"/>
                <w:sz w:val="22"/>
                <w:szCs w:val="22"/>
              </w:rPr>
              <w:t xml:space="preserve"> criminal records check, and/or</w:t>
            </w:r>
          </w:p>
          <w:p w14:paraId="1295B4B2" w14:textId="77777777" w:rsidR="00977387" w:rsidRPr="006F5BB7" w:rsidRDefault="00977387" w:rsidP="00897C6E">
            <w:pPr>
              <w:pStyle w:val="Default"/>
              <w:numPr>
                <w:ilvl w:val="0"/>
                <w:numId w:val="3"/>
              </w:numPr>
              <w:tabs>
                <w:tab w:val="clear" w:pos="720"/>
              </w:tabs>
              <w:spacing w:after="120"/>
              <w:ind w:left="349" w:hanging="349"/>
              <w:rPr>
                <w:rFonts w:asciiTheme="minorHAnsi" w:hAnsiTheme="minorHAnsi" w:cstheme="minorHAnsi"/>
                <w:sz w:val="22"/>
                <w:szCs w:val="22"/>
              </w:rPr>
            </w:pPr>
            <w:r w:rsidRPr="006F5BB7">
              <w:rPr>
                <w:rFonts w:asciiTheme="minorHAnsi" w:hAnsiTheme="minorHAnsi" w:cstheme="minorHAnsi"/>
                <w:sz w:val="22"/>
                <w:szCs w:val="22"/>
              </w:rPr>
              <w:t>repeat the criminal records check process.</w:t>
            </w:r>
          </w:p>
          <w:p w14:paraId="1441C39E" w14:textId="10D1C209" w:rsidR="00977387" w:rsidRPr="006F5BB7" w:rsidRDefault="00977387" w:rsidP="001F19F4">
            <w:pPr>
              <w:spacing w:after="120"/>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Where the criminal records check has uncovered a criminal conviction that precludes the Participant/supervisor from participating on an activity,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will need to refer the Participant/supervisor to an alternate activity that does not re</w:t>
            </w:r>
            <w:r w:rsidR="008B7D88" w:rsidRPr="006F5BB7">
              <w:rPr>
                <w:rFonts w:asciiTheme="minorHAnsi" w:hAnsiTheme="minorHAnsi" w:cstheme="minorHAnsi"/>
                <w:color w:val="000000"/>
                <w:sz w:val="22"/>
                <w:szCs w:val="22"/>
              </w:rPr>
              <w:t>quire a criminal records check.</w:t>
            </w:r>
          </w:p>
          <w:p w14:paraId="39FA4BA8" w14:textId="77777777" w:rsidR="00977387" w:rsidRPr="006F5BB7" w:rsidRDefault="00977387" w:rsidP="00B7371C">
            <w:pPr>
              <w:spacing w:after="120"/>
              <w:rPr>
                <w:rFonts w:asciiTheme="minorHAnsi" w:hAnsiTheme="minorHAnsi" w:cstheme="minorHAnsi"/>
                <w:b/>
                <w:color w:val="000000"/>
                <w:sz w:val="22"/>
                <w:szCs w:val="22"/>
              </w:rPr>
            </w:pPr>
            <w:r w:rsidRPr="006F5BB7">
              <w:rPr>
                <w:rFonts w:asciiTheme="minorHAnsi" w:hAnsiTheme="minorHAnsi" w:cstheme="minorHAnsi"/>
                <w:b/>
                <w:color w:val="000000"/>
                <w:sz w:val="22"/>
                <w:szCs w:val="22"/>
              </w:rPr>
              <w:t>Participant</w:t>
            </w:r>
          </w:p>
          <w:p w14:paraId="52353BE7" w14:textId="3A2C5D77"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If the criminal records check uncovers an issue that might reasonably impact on Participant’s suitability for an activity</w:t>
            </w:r>
            <w:r w:rsidR="009E399C" w:rsidRPr="006F5BB7">
              <w:rPr>
                <w:rFonts w:asciiTheme="minorHAnsi" w:hAnsiTheme="minorHAnsi" w:cstheme="minorHAnsi"/>
                <w:sz w:val="22"/>
                <w:szCs w:val="22"/>
              </w:rPr>
              <w:t>,</w:t>
            </w:r>
            <w:r w:rsidRPr="006F5BB7">
              <w:rPr>
                <w:rFonts w:asciiTheme="minorHAnsi" w:hAnsiTheme="minorHAnsi" w:cstheme="minorHAnsi"/>
                <w:sz w:val="22"/>
                <w:szCs w:val="22"/>
              </w:rPr>
              <w:t xml:space="preserve">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may need to undertake a risk assess</w:t>
            </w:r>
            <w:r w:rsidR="000F4783" w:rsidRPr="006F5BB7">
              <w:rPr>
                <w:rFonts w:asciiTheme="minorHAnsi" w:hAnsiTheme="minorHAnsi" w:cstheme="minorHAnsi"/>
                <w:sz w:val="22"/>
                <w:szCs w:val="22"/>
              </w:rPr>
              <w:t>ment to ascertain whether</w:t>
            </w:r>
            <w:r w:rsidRPr="006F5BB7">
              <w:rPr>
                <w:rFonts w:asciiTheme="minorHAnsi" w:hAnsiTheme="minorHAnsi" w:cstheme="minorHAnsi"/>
                <w:sz w:val="22"/>
                <w:szCs w:val="22"/>
              </w:rPr>
              <w:t xml:space="preserve"> they should refer them to the activity.</w:t>
            </w:r>
          </w:p>
          <w:p w14:paraId="5F47FEE2" w14:textId="5E427527" w:rsidR="00977387" w:rsidRPr="006F5BB7" w:rsidRDefault="00977387" w:rsidP="001F19F4">
            <w:pPr>
              <w:autoSpaceDE w:val="0"/>
              <w:autoSpaceDN w:val="0"/>
              <w:adjustRightInd w:val="0"/>
              <w:rPr>
                <w:rFonts w:asciiTheme="minorHAnsi" w:hAnsiTheme="minorHAnsi" w:cstheme="minorHAnsi"/>
                <w:sz w:val="22"/>
                <w:szCs w:val="22"/>
              </w:rPr>
            </w:pPr>
            <w:r w:rsidRPr="006F5BB7">
              <w:rPr>
                <w:rFonts w:asciiTheme="minorHAnsi" w:hAnsiTheme="minorHAnsi" w:cstheme="minorHAnsi"/>
                <w:sz w:val="22"/>
                <w:szCs w:val="22"/>
              </w:rPr>
              <w:t xml:space="preserve">For example, it may be the case that a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in Western Australia identifies an activity for a Participant where one of the tasks is working at a local canteen that routinely serves children.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then applies for a criminal records check and a Working with Children check. The Working with Children check does not uncover any relevant conviction or criminal history </w:t>
            </w:r>
            <w:r w:rsidR="000F6676" w:rsidRPr="006F5BB7">
              <w:rPr>
                <w:rFonts w:asciiTheme="minorHAnsi" w:hAnsiTheme="minorHAnsi" w:cstheme="minorHAnsi"/>
                <w:sz w:val="22"/>
                <w:szCs w:val="22"/>
              </w:rPr>
              <w:t>however;</w:t>
            </w:r>
            <w:r w:rsidRPr="006F5BB7">
              <w:rPr>
                <w:rFonts w:asciiTheme="minorHAnsi" w:hAnsiTheme="minorHAnsi" w:cstheme="minorHAnsi"/>
                <w:sz w:val="22"/>
                <w:szCs w:val="22"/>
              </w:rPr>
              <w:t xml:space="preserve"> the criminal records check uncovers a criminal conviction for stealing. The Participant has no history of assault, or aggressive behaviour, however they have advised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that they have a history of gambling.</w:t>
            </w:r>
          </w:p>
          <w:p w14:paraId="680A0881" w14:textId="77777777" w:rsidR="00977387" w:rsidRPr="006F5BB7" w:rsidRDefault="00977387" w:rsidP="001F19F4">
            <w:pPr>
              <w:autoSpaceDE w:val="0"/>
              <w:autoSpaceDN w:val="0"/>
              <w:adjustRightInd w:val="0"/>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While it might be regarded as an acceptable risk for the Participant to be working with children,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may decide that it is not appropriate for the Participant to be handling money.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might decide, however, that they can mitigate the potential risk of money being stolen by arranging for appropriate </w:t>
            </w:r>
            <w:r w:rsidRPr="006F5BB7">
              <w:rPr>
                <w:rFonts w:asciiTheme="minorHAnsi" w:hAnsiTheme="minorHAnsi" w:cstheme="minorHAnsi"/>
                <w:sz w:val="22"/>
                <w:szCs w:val="22"/>
              </w:rPr>
              <w:lastRenderedPageBreak/>
              <w:t xml:space="preserve">supervision. The course of action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eventually takes, after looking at all the available options, is at their discretion.</w:t>
            </w:r>
          </w:p>
          <w:p w14:paraId="63F525FC" w14:textId="77777777" w:rsidR="00977387" w:rsidRPr="006F5BB7" w:rsidRDefault="00977387" w:rsidP="00B7371C">
            <w:pPr>
              <w:spacing w:after="120"/>
              <w:rPr>
                <w:rFonts w:asciiTheme="minorHAnsi" w:hAnsiTheme="minorHAnsi" w:cstheme="minorHAnsi"/>
                <w:b/>
                <w:color w:val="000000"/>
                <w:sz w:val="22"/>
                <w:szCs w:val="22"/>
              </w:rPr>
            </w:pPr>
            <w:r w:rsidRPr="006F5BB7">
              <w:rPr>
                <w:rFonts w:asciiTheme="minorHAnsi" w:hAnsiTheme="minorHAnsi" w:cstheme="minorHAnsi"/>
                <w:b/>
                <w:color w:val="000000"/>
                <w:sz w:val="22"/>
                <w:szCs w:val="22"/>
              </w:rPr>
              <w:t>Supervisor</w:t>
            </w:r>
          </w:p>
          <w:p w14:paraId="4EBF2EAE" w14:textId="77777777" w:rsidR="00977387" w:rsidRPr="006F5BB7" w:rsidRDefault="00977387"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 xml:space="preserve">If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chooses to use the services of the </w:t>
            </w:r>
            <w:r w:rsidRPr="006F5BB7">
              <w:rPr>
                <w:rFonts w:asciiTheme="minorHAnsi" w:hAnsiTheme="minorHAnsi" w:cstheme="minorHAnsi"/>
                <w:color w:val="000000"/>
                <w:sz w:val="22"/>
                <w:szCs w:val="22"/>
              </w:rPr>
              <w:t xml:space="preserve">supervisor </w:t>
            </w:r>
            <w:r w:rsidRPr="006F5BB7">
              <w:rPr>
                <w:rFonts w:asciiTheme="minorHAnsi" w:hAnsiTheme="minorHAnsi" w:cstheme="minorHAnsi"/>
                <w:sz w:val="22"/>
                <w:szCs w:val="22"/>
              </w:rPr>
              <w:t xml:space="preserve">on other activities, they must use their discretion and they must not arrange for the </w:t>
            </w:r>
            <w:r w:rsidRPr="006F5BB7">
              <w:rPr>
                <w:rFonts w:asciiTheme="minorHAnsi" w:hAnsiTheme="minorHAnsi" w:cstheme="minorHAnsi"/>
                <w:color w:val="000000"/>
                <w:sz w:val="22"/>
                <w:szCs w:val="22"/>
              </w:rPr>
              <w:t xml:space="preserve">supervisor </w:t>
            </w:r>
            <w:r w:rsidRPr="006F5BB7">
              <w:rPr>
                <w:rFonts w:asciiTheme="minorHAnsi" w:hAnsiTheme="minorHAnsi" w:cstheme="minorHAnsi"/>
                <w:sz w:val="22"/>
                <w:szCs w:val="22"/>
              </w:rPr>
              <w:t xml:space="preserve">to be deployed to other activities, if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thinks that there is a reasonably foreseeable risk that the </w:t>
            </w:r>
            <w:r w:rsidRPr="006F5BB7">
              <w:rPr>
                <w:rFonts w:asciiTheme="minorHAnsi" w:hAnsiTheme="minorHAnsi" w:cstheme="minorHAnsi"/>
                <w:color w:val="000000"/>
                <w:sz w:val="22"/>
                <w:szCs w:val="22"/>
              </w:rPr>
              <w:t xml:space="preserve">supervisor </w:t>
            </w:r>
            <w:r w:rsidRPr="006F5BB7">
              <w:rPr>
                <w:rFonts w:asciiTheme="minorHAnsi" w:hAnsiTheme="minorHAnsi" w:cstheme="minorHAnsi"/>
                <w:sz w:val="22"/>
                <w:szCs w:val="22"/>
              </w:rPr>
              <w:t>will cause loss or harm to others on the activity.</w:t>
            </w:r>
          </w:p>
        </w:tc>
      </w:tr>
      <w:tr w:rsidR="00977387" w:rsidRPr="006F5BB7" w14:paraId="045E5339" w14:textId="77777777" w:rsidTr="00725C9E">
        <w:tc>
          <w:tcPr>
            <w:tcW w:w="2235" w:type="dxa"/>
          </w:tcPr>
          <w:p w14:paraId="0ADF367C" w14:textId="77777777" w:rsidR="00977387" w:rsidRPr="006F5BB7" w:rsidRDefault="00977387" w:rsidP="001F19F4">
            <w:pPr>
              <w:spacing w:before="120"/>
              <w:rPr>
                <w:rFonts w:asciiTheme="minorHAnsi" w:hAnsiTheme="minorHAnsi" w:cstheme="minorHAnsi"/>
                <w:b/>
                <w:sz w:val="22"/>
                <w:szCs w:val="22"/>
              </w:rPr>
            </w:pPr>
            <w:r w:rsidRPr="006F5BB7">
              <w:rPr>
                <w:rFonts w:asciiTheme="minorHAnsi" w:hAnsiTheme="minorHAnsi" w:cstheme="minorHAnsi"/>
                <w:b/>
                <w:sz w:val="22"/>
                <w:szCs w:val="22"/>
              </w:rPr>
              <w:lastRenderedPageBreak/>
              <w:t xml:space="preserve">5. The DES </w:t>
            </w:r>
            <w:r w:rsidR="004025CB" w:rsidRPr="006F5BB7">
              <w:rPr>
                <w:rFonts w:asciiTheme="minorHAnsi" w:hAnsiTheme="minorHAnsi" w:cstheme="minorHAnsi"/>
                <w:b/>
                <w:sz w:val="22"/>
                <w:szCs w:val="22"/>
              </w:rPr>
              <w:t>Provider</w:t>
            </w:r>
          </w:p>
          <w:p w14:paraId="3039E2ED" w14:textId="77777777" w:rsidR="00977387" w:rsidRPr="006F5BB7" w:rsidRDefault="00977387" w:rsidP="001F19F4">
            <w:pPr>
              <w:autoSpaceDE w:val="0"/>
              <w:autoSpaceDN w:val="0"/>
              <w:adjustRightInd w:val="0"/>
              <w:rPr>
                <w:rFonts w:asciiTheme="minorHAnsi" w:hAnsiTheme="minorHAnsi" w:cstheme="minorHAnsi"/>
                <w:sz w:val="22"/>
                <w:szCs w:val="22"/>
              </w:rPr>
            </w:pPr>
          </w:p>
          <w:p w14:paraId="37C37A8F" w14:textId="77777777" w:rsidR="00977387" w:rsidRPr="006F5BB7" w:rsidRDefault="00977387" w:rsidP="00C469CF">
            <w:pPr>
              <w:rPr>
                <w:rFonts w:asciiTheme="minorHAnsi" w:hAnsiTheme="minorHAnsi" w:cstheme="minorHAnsi"/>
                <w:b/>
                <w:sz w:val="22"/>
                <w:szCs w:val="22"/>
              </w:rPr>
            </w:pPr>
            <w:bookmarkStart w:id="37" w:name="_Toc284406779"/>
            <w:bookmarkStart w:id="38" w:name="_Toc384218804"/>
            <w:r w:rsidRPr="006F5BB7">
              <w:rPr>
                <w:rFonts w:asciiTheme="minorHAnsi" w:hAnsiTheme="minorHAnsi" w:cstheme="minorHAnsi"/>
                <w:b/>
                <w:sz w:val="22"/>
                <w:szCs w:val="22"/>
              </w:rPr>
              <w:t>Undertake appropriate records management processes</w:t>
            </w:r>
            <w:bookmarkEnd w:id="37"/>
            <w:bookmarkEnd w:id="38"/>
          </w:p>
          <w:p w14:paraId="61419F55" w14:textId="77777777" w:rsidR="00977387" w:rsidRPr="006F5BB7" w:rsidRDefault="00977387" w:rsidP="001F19F4">
            <w:pPr>
              <w:rPr>
                <w:rFonts w:asciiTheme="minorHAnsi" w:hAnsiTheme="minorHAnsi" w:cstheme="minorHAnsi"/>
                <w:i/>
                <w:sz w:val="22"/>
                <w:szCs w:val="22"/>
              </w:rPr>
            </w:pPr>
          </w:p>
          <w:p w14:paraId="2D8A627C" w14:textId="1AA420BA" w:rsidR="00977387" w:rsidRPr="006F5BB7" w:rsidRDefault="00977387" w:rsidP="001F19F4">
            <w:pPr>
              <w:autoSpaceDE w:val="0"/>
              <w:autoSpaceDN w:val="0"/>
              <w:adjustRightInd w:val="0"/>
              <w:rPr>
                <w:rFonts w:asciiTheme="minorHAnsi" w:hAnsiTheme="minorHAnsi" w:cstheme="minorHAnsi"/>
                <w:i/>
                <w:color w:val="000000"/>
                <w:sz w:val="22"/>
                <w:szCs w:val="22"/>
              </w:rPr>
            </w:pPr>
            <w:r w:rsidRPr="006F5BB7">
              <w:rPr>
                <w:rFonts w:asciiTheme="minorHAnsi" w:hAnsiTheme="minorHAnsi" w:cstheme="minorHAnsi"/>
                <w:i/>
                <w:color w:val="000000"/>
                <w:sz w:val="22"/>
                <w:szCs w:val="22"/>
              </w:rPr>
              <w:t xml:space="preserve">Disability Employment Services </w:t>
            </w:r>
            <w:r w:rsidR="005F15E0" w:rsidRPr="006F5BB7">
              <w:rPr>
                <w:rFonts w:asciiTheme="minorHAnsi" w:hAnsiTheme="minorHAnsi" w:cstheme="minorHAnsi"/>
                <w:i/>
                <w:color w:val="000000"/>
                <w:sz w:val="22"/>
                <w:szCs w:val="22"/>
              </w:rPr>
              <w:t>Grant Agreement</w:t>
            </w:r>
            <w:r w:rsidRPr="006F5BB7">
              <w:rPr>
                <w:rFonts w:asciiTheme="minorHAnsi" w:hAnsiTheme="minorHAnsi" w:cstheme="minorHAnsi"/>
                <w:i/>
                <w:color w:val="000000"/>
                <w:sz w:val="22"/>
                <w:szCs w:val="22"/>
              </w:rPr>
              <w:t xml:space="preserve"> Clause</w:t>
            </w:r>
            <w:r w:rsidR="003D714B" w:rsidRPr="006F5BB7">
              <w:rPr>
                <w:rFonts w:asciiTheme="minorHAnsi" w:hAnsiTheme="minorHAnsi" w:cstheme="minorHAnsi"/>
                <w:i/>
                <w:color w:val="000000"/>
                <w:sz w:val="22"/>
                <w:szCs w:val="22"/>
              </w:rPr>
              <w:t>s</w:t>
            </w:r>
            <w:r w:rsidRPr="006F5BB7">
              <w:rPr>
                <w:rFonts w:asciiTheme="minorHAnsi" w:hAnsiTheme="minorHAnsi" w:cstheme="minorHAnsi"/>
                <w:i/>
                <w:color w:val="000000"/>
                <w:sz w:val="22"/>
                <w:szCs w:val="22"/>
              </w:rPr>
              <w:t xml:space="preserve"> References:</w:t>
            </w:r>
          </w:p>
          <w:p w14:paraId="30F10A63" w14:textId="77777777"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Section </w:t>
            </w:r>
            <w:proofErr w:type="spellStart"/>
            <w:r w:rsidRPr="006F5BB7">
              <w:rPr>
                <w:rFonts w:asciiTheme="minorHAnsi" w:hAnsiTheme="minorHAnsi" w:cstheme="minorHAnsi"/>
                <w:color w:val="000000"/>
                <w:sz w:val="22"/>
                <w:szCs w:val="22"/>
              </w:rPr>
              <w:t>3C</w:t>
            </w:r>
            <w:proofErr w:type="spellEnd"/>
          </w:p>
          <w:p w14:paraId="2A283B8D" w14:textId="0C65A1B1"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sz w:val="22"/>
                <w:szCs w:val="22"/>
              </w:rPr>
              <w:t xml:space="preserve">Clause </w:t>
            </w:r>
            <w:r w:rsidR="001C1EA5" w:rsidRPr="006F5BB7">
              <w:rPr>
                <w:rFonts w:asciiTheme="minorHAnsi" w:hAnsiTheme="minorHAnsi" w:cstheme="minorHAnsi"/>
                <w:sz w:val="22"/>
                <w:szCs w:val="22"/>
              </w:rPr>
              <w:t>44</w:t>
            </w:r>
          </w:p>
          <w:p w14:paraId="648163EA" w14:textId="31F8AA7D" w:rsidR="00977387" w:rsidRPr="006F5BB7" w:rsidRDefault="00977387" w:rsidP="003D714B">
            <w:pPr>
              <w:numPr>
                <w:ilvl w:val="0"/>
                <w:numId w:val="11"/>
              </w:numPr>
              <w:tabs>
                <w:tab w:val="num" w:pos="720"/>
              </w:tabs>
              <w:rPr>
                <w:rFonts w:asciiTheme="minorHAnsi" w:hAnsiTheme="minorHAnsi" w:cstheme="minorHAnsi"/>
                <w:color w:val="000000"/>
                <w:sz w:val="22"/>
                <w:szCs w:val="22"/>
              </w:rPr>
            </w:pPr>
            <w:r w:rsidRPr="006F5BB7">
              <w:rPr>
                <w:rFonts w:asciiTheme="minorHAnsi" w:hAnsiTheme="minorHAnsi" w:cstheme="minorHAnsi"/>
                <w:sz w:val="22"/>
                <w:szCs w:val="22"/>
              </w:rPr>
              <w:t xml:space="preserve">Clause </w:t>
            </w:r>
            <w:r w:rsidR="001C1EA5" w:rsidRPr="006F5BB7">
              <w:rPr>
                <w:rFonts w:asciiTheme="minorHAnsi" w:hAnsiTheme="minorHAnsi" w:cstheme="minorHAnsi"/>
                <w:sz w:val="22"/>
                <w:szCs w:val="22"/>
              </w:rPr>
              <w:t>45</w:t>
            </w:r>
          </w:p>
        </w:tc>
        <w:tc>
          <w:tcPr>
            <w:tcW w:w="7903" w:type="dxa"/>
          </w:tcPr>
          <w:p w14:paraId="52E30417" w14:textId="7E7D0D2C" w:rsidR="00977387" w:rsidRPr="006F5BB7" w:rsidRDefault="00977387" w:rsidP="001F19F4">
            <w:pPr>
              <w:spacing w:before="120" w:after="120"/>
              <w:rPr>
                <w:rFonts w:asciiTheme="minorHAnsi" w:hAnsiTheme="minorHAnsi" w:cstheme="minorHAnsi"/>
                <w:sz w:val="22"/>
                <w:szCs w:val="22"/>
              </w:rPr>
            </w:pPr>
            <w:r w:rsidRPr="006F5BB7">
              <w:rPr>
                <w:rFonts w:asciiTheme="minorHAnsi" w:hAnsiTheme="minorHAnsi" w:cstheme="minorHAnsi"/>
                <w:sz w:val="22"/>
                <w:szCs w:val="22"/>
              </w:rPr>
              <w:t xml:space="preserve">The results of criminal records checks are personal and confidential.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must not disclose the information to other parties unless permission is obtained f</w:t>
            </w:r>
            <w:r w:rsidR="008B7D88" w:rsidRPr="006F5BB7">
              <w:rPr>
                <w:rFonts w:asciiTheme="minorHAnsi" w:hAnsiTheme="minorHAnsi" w:cstheme="minorHAnsi"/>
                <w:sz w:val="22"/>
                <w:szCs w:val="22"/>
              </w:rPr>
              <w:t>rom the Participant/supervisor.</w:t>
            </w:r>
          </w:p>
          <w:p w14:paraId="6A20B866" w14:textId="77777777" w:rsidR="00977387" w:rsidRPr="006F5BB7" w:rsidRDefault="00977387" w:rsidP="001F19F4">
            <w:pPr>
              <w:spacing w:after="120"/>
              <w:rPr>
                <w:rFonts w:asciiTheme="minorHAnsi" w:hAnsiTheme="minorHAnsi" w:cstheme="minorHAnsi"/>
                <w:color w:val="000000"/>
                <w:sz w:val="22"/>
                <w:szCs w:val="22"/>
              </w:rPr>
            </w:pPr>
            <w:r w:rsidRPr="006F5BB7">
              <w:rPr>
                <w:rFonts w:asciiTheme="minorHAnsi" w:hAnsiTheme="minorHAnsi" w:cstheme="minorHAnsi"/>
                <w:sz w:val="22"/>
                <w:szCs w:val="22"/>
              </w:rPr>
              <w:t xml:space="preserve">Anyone </w:t>
            </w:r>
            <w:r w:rsidRPr="006F5BB7">
              <w:rPr>
                <w:rFonts w:asciiTheme="minorHAnsi" w:hAnsiTheme="minorHAnsi" w:cstheme="minorHAnsi"/>
                <w:color w:val="000000"/>
                <w:sz w:val="22"/>
                <w:szCs w:val="22"/>
              </w:rPr>
              <w:t>who is required to sight criminal records checks or Working with Children checks should be reminded that the information needs to be treated sensitively at all times.</w:t>
            </w:r>
          </w:p>
          <w:p w14:paraId="044F1D4A" w14:textId="04E74F47"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Criminal records checks, Working with Children checks and any associated material must be securely stored at all times to ensure co</w:t>
            </w:r>
            <w:r w:rsidR="000F6676" w:rsidRPr="006F5BB7">
              <w:rPr>
                <w:rFonts w:asciiTheme="minorHAnsi" w:hAnsiTheme="minorHAnsi" w:cstheme="minorHAnsi"/>
                <w:sz w:val="22"/>
                <w:szCs w:val="22"/>
              </w:rPr>
              <w:t>nfidentiality.</w:t>
            </w:r>
          </w:p>
          <w:p w14:paraId="6A235980" w14:textId="7898E1DA" w:rsidR="00977387" w:rsidRPr="006F5BB7" w:rsidRDefault="00977387" w:rsidP="00B7371C">
            <w:pPr>
              <w:autoSpaceDE w:val="0"/>
              <w:autoSpaceDN w:val="0"/>
              <w:adjustRightInd w:val="0"/>
              <w:spacing w:after="120"/>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If </w:t>
            </w:r>
            <w:r w:rsidRPr="006F5BB7">
              <w:rPr>
                <w:rFonts w:asciiTheme="minorHAnsi" w:hAnsiTheme="minorHAnsi" w:cstheme="minorHAnsi"/>
                <w:sz w:val="22"/>
                <w:szCs w:val="22"/>
              </w:rPr>
              <w:t xml:space="preserve">documents are faxed to speed up the criminal records check process, additional caution is required </w:t>
            </w:r>
            <w:r w:rsidRPr="006F5BB7">
              <w:rPr>
                <w:rFonts w:asciiTheme="minorHAnsi" w:hAnsiTheme="minorHAnsi" w:cstheme="minorHAnsi"/>
                <w:color w:val="000000"/>
                <w:sz w:val="22"/>
                <w:szCs w:val="22"/>
              </w:rPr>
              <w:t xml:space="preserve">in order to ensure that confidentiality is maintained.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needs to implement steps to ens</w:t>
            </w:r>
            <w:r w:rsidR="000F6676" w:rsidRPr="006F5BB7">
              <w:rPr>
                <w:rFonts w:asciiTheme="minorHAnsi" w:hAnsiTheme="minorHAnsi" w:cstheme="minorHAnsi"/>
                <w:color w:val="000000"/>
                <w:sz w:val="22"/>
                <w:szCs w:val="22"/>
              </w:rPr>
              <w:t>ure confidentiality, including:</w:t>
            </w:r>
          </w:p>
          <w:p w14:paraId="692D777D" w14:textId="7549E223" w:rsidR="00977387" w:rsidRPr="006F5BB7" w:rsidRDefault="00977387" w:rsidP="00B7371C">
            <w:pPr>
              <w:numPr>
                <w:ilvl w:val="0"/>
                <w:numId w:val="4"/>
              </w:numPr>
              <w:tabs>
                <w:tab w:val="clear" w:pos="720"/>
              </w:tabs>
              <w:autoSpaceDE w:val="0"/>
              <w:autoSpaceDN w:val="0"/>
              <w:adjustRightInd w:val="0"/>
              <w:spacing w:after="60"/>
              <w:ind w:left="349" w:hanging="349"/>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confidential material is only to be sent via the specific means that the </w:t>
            </w:r>
            <w:proofErr w:type="spellStart"/>
            <w:r w:rsidRPr="006F5BB7">
              <w:rPr>
                <w:rFonts w:asciiTheme="minorHAnsi" w:hAnsiTheme="minorHAnsi" w:cstheme="minorHAnsi"/>
                <w:color w:val="000000"/>
                <w:sz w:val="22"/>
                <w:szCs w:val="22"/>
              </w:rPr>
              <w:t>AFP</w:t>
            </w:r>
            <w:proofErr w:type="spellEnd"/>
            <w:r w:rsidRPr="006F5BB7">
              <w:rPr>
                <w:rFonts w:asciiTheme="minorHAnsi" w:hAnsiTheme="minorHAnsi" w:cstheme="minorHAnsi"/>
                <w:color w:val="000000"/>
                <w:sz w:val="22"/>
                <w:szCs w:val="22"/>
              </w:rPr>
              <w:t xml:space="preserve">, </w:t>
            </w:r>
            <w:proofErr w:type="spellStart"/>
            <w:r w:rsidRPr="006F5BB7">
              <w:rPr>
                <w:rFonts w:asciiTheme="minorHAnsi" w:hAnsiTheme="minorHAnsi" w:cstheme="minorHAnsi"/>
                <w:color w:val="000000"/>
                <w:sz w:val="22"/>
                <w:szCs w:val="22"/>
              </w:rPr>
              <w:t>CrimTrac</w:t>
            </w:r>
            <w:proofErr w:type="spellEnd"/>
            <w:r w:rsidRPr="006F5BB7">
              <w:rPr>
                <w:rFonts w:asciiTheme="minorHAnsi" w:hAnsiTheme="minorHAnsi" w:cstheme="minorHAnsi"/>
                <w:color w:val="000000"/>
                <w:sz w:val="22"/>
                <w:szCs w:val="22"/>
              </w:rPr>
              <w:t>, or relevant state or territory police force (as applicable) ha</w:t>
            </w:r>
            <w:r w:rsidR="000F6676" w:rsidRPr="006F5BB7">
              <w:rPr>
                <w:rFonts w:asciiTheme="minorHAnsi" w:hAnsiTheme="minorHAnsi" w:cstheme="minorHAnsi"/>
                <w:color w:val="000000"/>
                <w:sz w:val="22"/>
                <w:szCs w:val="22"/>
              </w:rPr>
              <w:t>ve identified for this purpose;</w:t>
            </w:r>
          </w:p>
          <w:p w14:paraId="104DD725" w14:textId="77777777" w:rsidR="00977387" w:rsidRPr="006F5BB7" w:rsidRDefault="00977387" w:rsidP="00897C6E">
            <w:pPr>
              <w:numPr>
                <w:ilvl w:val="0"/>
                <w:numId w:val="4"/>
              </w:numPr>
              <w:tabs>
                <w:tab w:val="clear" w:pos="720"/>
              </w:tabs>
              <w:autoSpaceDE w:val="0"/>
              <w:autoSpaceDN w:val="0"/>
              <w:adjustRightInd w:val="0"/>
              <w:ind w:left="349" w:hanging="349"/>
              <w:rPr>
                <w:rFonts w:asciiTheme="minorHAnsi" w:hAnsiTheme="minorHAnsi" w:cstheme="minorHAnsi"/>
                <w:sz w:val="22"/>
                <w:szCs w:val="22"/>
              </w:rPr>
            </w:pPr>
            <w:r w:rsidRPr="006F5BB7">
              <w:rPr>
                <w:rFonts w:asciiTheme="minorHAnsi" w:hAnsiTheme="minorHAnsi" w:cstheme="minorHAnsi"/>
                <w:sz w:val="22"/>
                <w:szCs w:val="22"/>
              </w:rPr>
              <w:t>where fax machines are used in the criminal records check process:</w:t>
            </w:r>
          </w:p>
          <w:p w14:paraId="15436D07" w14:textId="77777777" w:rsidR="00977387" w:rsidRPr="006F5BB7" w:rsidRDefault="00977387" w:rsidP="00B7371C">
            <w:pPr>
              <w:numPr>
                <w:ilvl w:val="0"/>
                <w:numId w:val="9"/>
              </w:numPr>
              <w:tabs>
                <w:tab w:val="clear" w:pos="1440"/>
              </w:tabs>
              <w:autoSpaceDE w:val="0"/>
              <w:autoSpaceDN w:val="0"/>
              <w:adjustRightInd w:val="0"/>
              <w:spacing w:after="60"/>
              <w:ind w:left="774" w:hanging="425"/>
              <w:rPr>
                <w:rFonts w:asciiTheme="minorHAnsi" w:hAnsiTheme="minorHAnsi" w:cstheme="minorHAnsi"/>
                <w:sz w:val="22"/>
                <w:szCs w:val="22"/>
              </w:rPr>
            </w:pPr>
            <w:r w:rsidRPr="006F5BB7">
              <w:rPr>
                <w:rFonts w:asciiTheme="minorHAnsi" w:hAnsiTheme="minorHAnsi" w:cstheme="minorHAnsi"/>
                <w:sz w:val="22"/>
                <w:szCs w:val="22"/>
              </w:rPr>
              <w:t>the fax machines are to be regularly monitored by appropriately trained staff</w:t>
            </w:r>
          </w:p>
          <w:p w14:paraId="56BA5D10" w14:textId="77777777" w:rsidR="00977387" w:rsidRPr="006F5BB7" w:rsidRDefault="00977387" w:rsidP="00897C6E">
            <w:pPr>
              <w:numPr>
                <w:ilvl w:val="0"/>
                <w:numId w:val="9"/>
              </w:numPr>
              <w:tabs>
                <w:tab w:val="clear" w:pos="1440"/>
              </w:tabs>
              <w:autoSpaceDE w:val="0"/>
              <w:autoSpaceDN w:val="0"/>
              <w:adjustRightInd w:val="0"/>
              <w:ind w:left="774" w:hanging="425"/>
              <w:rPr>
                <w:rFonts w:asciiTheme="minorHAnsi" w:hAnsiTheme="minorHAnsi" w:cstheme="minorHAnsi"/>
                <w:sz w:val="22"/>
                <w:szCs w:val="22"/>
              </w:rPr>
            </w:pPr>
            <w:r w:rsidRPr="006F5BB7">
              <w:rPr>
                <w:rFonts w:asciiTheme="minorHAnsi" w:hAnsiTheme="minorHAnsi" w:cstheme="minorHAnsi"/>
                <w:sz w:val="22"/>
                <w:szCs w:val="22"/>
              </w:rPr>
              <w:t>confidential material is not to be left on fax machines</w:t>
            </w:r>
          </w:p>
          <w:p w14:paraId="46911F81" w14:textId="77777777" w:rsidR="00977387" w:rsidRPr="006F5BB7" w:rsidRDefault="00977387" w:rsidP="00B7371C">
            <w:pPr>
              <w:numPr>
                <w:ilvl w:val="0"/>
                <w:numId w:val="9"/>
              </w:numPr>
              <w:tabs>
                <w:tab w:val="clear" w:pos="1440"/>
              </w:tabs>
              <w:autoSpaceDE w:val="0"/>
              <w:autoSpaceDN w:val="0"/>
              <w:adjustRightInd w:val="0"/>
              <w:spacing w:after="60"/>
              <w:ind w:left="774" w:hanging="425"/>
              <w:rPr>
                <w:rFonts w:asciiTheme="minorHAnsi" w:hAnsiTheme="minorHAnsi" w:cstheme="minorHAnsi"/>
                <w:sz w:val="22"/>
                <w:szCs w:val="22"/>
              </w:rPr>
            </w:pPr>
            <w:r w:rsidRPr="006F5BB7">
              <w:rPr>
                <w:rFonts w:asciiTheme="minorHAnsi" w:hAnsiTheme="minorHAnsi" w:cstheme="minorHAnsi"/>
                <w:sz w:val="22"/>
                <w:szCs w:val="22"/>
              </w:rPr>
              <w:t>changes to fax numbers or faults with fax machines are to be advised immediately to the organisation that is conducting the check</w:t>
            </w:r>
          </w:p>
          <w:p w14:paraId="487278E5" w14:textId="77777777" w:rsidR="00977387" w:rsidRPr="006F5BB7" w:rsidRDefault="00977387" w:rsidP="00B7371C">
            <w:pPr>
              <w:numPr>
                <w:ilvl w:val="0"/>
                <w:numId w:val="9"/>
              </w:numPr>
              <w:tabs>
                <w:tab w:val="clear" w:pos="1440"/>
              </w:tabs>
              <w:autoSpaceDE w:val="0"/>
              <w:autoSpaceDN w:val="0"/>
              <w:adjustRightInd w:val="0"/>
              <w:spacing w:after="60"/>
              <w:ind w:left="774" w:hanging="425"/>
              <w:rPr>
                <w:rFonts w:asciiTheme="minorHAnsi" w:hAnsiTheme="minorHAnsi" w:cstheme="minorHAnsi"/>
                <w:sz w:val="22"/>
                <w:szCs w:val="22"/>
              </w:rPr>
            </w:pPr>
            <w:r w:rsidRPr="006F5BB7">
              <w:rPr>
                <w:rFonts w:asciiTheme="minorHAnsi" w:hAnsiTheme="minorHAnsi" w:cstheme="minorHAnsi"/>
                <w:sz w:val="22"/>
                <w:szCs w:val="22"/>
              </w:rPr>
              <w:t xml:space="preserve">confidential faxes are not to be sent outside normal business hours, and </w:t>
            </w:r>
          </w:p>
          <w:p w14:paraId="6A94CBA5" w14:textId="4C961E19" w:rsidR="00977387" w:rsidRPr="006F5BB7" w:rsidRDefault="00977387" w:rsidP="00897C6E">
            <w:pPr>
              <w:numPr>
                <w:ilvl w:val="0"/>
                <w:numId w:val="9"/>
              </w:numPr>
              <w:tabs>
                <w:tab w:val="clear" w:pos="1440"/>
              </w:tabs>
              <w:autoSpaceDE w:val="0"/>
              <w:autoSpaceDN w:val="0"/>
              <w:adjustRightInd w:val="0"/>
              <w:spacing w:after="120"/>
              <w:ind w:left="774" w:hanging="425"/>
              <w:rPr>
                <w:rFonts w:asciiTheme="minorHAnsi" w:hAnsiTheme="minorHAnsi" w:cstheme="minorHAnsi"/>
                <w:sz w:val="22"/>
                <w:szCs w:val="22"/>
              </w:rPr>
            </w:pPr>
            <w:r w:rsidRPr="006F5BB7">
              <w:rPr>
                <w:rFonts w:asciiTheme="minorHAnsi" w:hAnsiTheme="minorHAnsi" w:cstheme="minorHAnsi"/>
                <w:sz w:val="22"/>
                <w:szCs w:val="22"/>
              </w:rPr>
              <w:t xml:space="preserve">all faxes, including confidential material, must carry a confidentiality statement </w:t>
            </w:r>
            <w:r w:rsidR="000F6676" w:rsidRPr="006F5BB7">
              <w:rPr>
                <w:rFonts w:asciiTheme="minorHAnsi" w:hAnsiTheme="minorHAnsi" w:cstheme="minorHAnsi"/>
                <w:sz w:val="22"/>
                <w:szCs w:val="22"/>
              </w:rPr>
              <w:t>in case the fax is misdirected.</w:t>
            </w:r>
          </w:p>
          <w:p w14:paraId="69556CB4" w14:textId="3DFCC823" w:rsidR="00977387" w:rsidRPr="006F5BB7" w:rsidRDefault="00977387" w:rsidP="001F19F4">
            <w:pPr>
              <w:autoSpaceDE w:val="0"/>
              <w:autoSpaceDN w:val="0"/>
              <w:adjustRightInd w:val="0"/>
              <w:spacing w:after="120"/>
              <w:rPr>
                <w:rFonts w:asciiTheme="minorHAnsi" w:hAnsiTheme="minorHAnsi" w:cstheme="minorHAnsi"/>
                <w:color w:val="000000"/>
                <w:sz w:val="22"/>
                <w:szCs w:val="22"/>
              </w:rPr>
            </w:pPr>
            <w:r w:rsidRPr="006F5BB7">
              <w:rPr>
                <w:rFonts w:asciiTheme="minorHAnsi" w:hAnsiTheme="minorHAnsi" w:cstheme="minorHAnsi"/>
                <w:sz w:val="22"/>
                <w:szCs w:val="22"/>
              </w:rPr>
              <w:t xml:space="preserve">Criminal records checks are only valid at the time of issue. The </w:t>
            </w:r>
            <w:proofErr w:type="spellStart"/>
            <w:r w:rsidRPr="006F5BB7">
              <w:rPr>
                <w:rFonts w:asciiTheme="minorHAnsi" w:hAnsiTheme="minorHAnsi" w:cstheme="minorHAnsi"/>
                <w:sz w:val="22"/>
                <w:szCs w:val="22"/>
              </w:rPr>
              <w:t>AFP</w:t>
            </w:r>
            <w:proofErr w:type="spellEnd"/>
            <w:r w:rsidRPr="006F5BB7">
              <w:rPr>
                <w:rFonts w:asciiTheme="minorHAnsi" w:hAnsiTheme="minorHAnsi" w:cstheme="minorHAnsi"/>
                <w:sz w:val="22"/>
                <w:szCs w:val="22"/>
              </w:rPr>
              <w:t xml:space="preserve">, </w:t>
            </w:r>
            <w:proofErr w:type="spellStart"/>
            <w:r w:rsidRPr="006F5BB7">
              <w:rPr>
                <w:rFonts w:asciiTheme="minorHAnsi" w:hAnsiTheme="minorHAnsi" w:cstheme="minorHAnsi"/>
                <w:sz w:val="22"/>
                <w:szCs w:val="22"/>
              </w:rPr>
              <w:t>CrimTrac</w:t>
            </w:r>
            <w:proofErr w:type="spellEnd"/>
            <w:r w:rsidRPr="006F5BB7">
              <w:rPr>
                <w:rFonts w:asciiTheme="minorHAnsi" w:hAnsiTheme="minorHAnsi" w:cstheme="minorHAnsi"/>
                <w:sz w:val="22"/>
                <w:szCs w:val="22"/>
              </w:rPr>
              <w:t xml:space="preserve">, and state and territory police will not guarantee the results of a criminal records check for an extended period of time, and will not automatically issue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with an update if a Participant/supervisor </w:t>
            </w:r>
            <w:r w:rsidRPr="006F5BB7">
              <w:rPr>
                <w:rFonts w:asciiTheme="minorHAnsi" w:hAnsiTheme="minorHAnsi" w:cstheme="minorHAnsi"/>
                <w:color w:val="000000"/>
                <w:sz w:val="22"/>
                <w:szCs w:val="22"/>
              </w:rPr>
              <w:t>is convicted of an offence after the crimi</w:t>
            </w:r>
            <w:r w:rsidR="000F6676" w:rsidRPr="006F5BB7">
              <w:rPr>
                <w:rFonts w:asciiTheme="minorHAnsi" w:hAnsiTheme="minorHAnsi" w:cstheme="minorHAnsi"/>
                <w:color w:val="000000"/>
                <w:sz w:val="22"/>
                <w:szCs w:val="22"/>
              </w:rPr>
              <w:t>nal records check is completed.</w:t>
            </w:r>
          </w:p>
          <w:p w14:paraId="0D382796" w14:textId="77777777" w:rsidR="00977387" w:rsidRPr="006F5BB7" w:rsidRDefault="00977387" w:rsidP="001F19F4">
            <w:pPr>
              <w:autoSpaceDE w:val="0"/>
              <w:autoSpaceDN w:val="0"/>
              <w:adjustRightInd w:val="0"/>
              <w:spacing w:after="120"/>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It is </w:t>
            </w:r>
            <w:r w:rsidR="00AF2E19" w:rsidRPr="006F5BB7">
              <w:rPr>
                <w:rFonts w:asciiTheme="minorHAnsi" w:hAnsiTheme="minorHAnsi" w:cstheme="minorHAnsi"/>
                <w:color w:val="000000"/>
                <w:sz w:val="22"/>
                <w:szCs w:val="22"/>
              </w:rPr>
              <w:t>the Department’s</w:t>
            </w:r>
            <w:r w:rsidRPr="006F5BB7">
              <w:rPr>
                <w:rFonts w:asciiTheme="minorHAnsi" w:hAnsiTheme="minorHAnsi" w:cstheme="minorHAnsi"/>
                <w:color w:val="000000"/>
                <w:sz w:val="22"/>
                <w:szCs w:val="22"/>
              </w:rPr>
              <w:t xml:space="preserve"> policy that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can retain and undertake risk assessments based on the results of a Participant’s and/or supervisor’s criminal records check for up to 12 months from the date the check is issued.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should shred criminal records checks after this time.</w:t>
            </w:r>
          </w:p>
          <w:p w14:paraId="3E535213" w14:textId="2C409940" w:rsidR="00977387" w:rsidRPr="006F5BB7" w:rsidRDefault="00977387" w:rsidP="001F19F4">
            <w:pPr>
              <w:autoSpaceDE w:val="0"/>
              <w:autoSpaceDN w:val="0"/>
              <w:adjustRightInd w:val="0"/>
              <w:spacing w:after="120"/>
              <w:rPr>
                <w:rFonts w:asciiTheme="minorHAnsi" w:hAnsiTheme="minorHAnsi" w:cstheme="minorHAnsi"/>
                <w:color w:val="000000"/>
                <w:sz w:val="22"/>
                <w:szCs w:val="22"/>
              </w:rPr>
            </w:pPr>
            <w:r w:rsidRPr="006F5BB7">
              <w:rPr>
                <w:rFonts w:asciiTheme="minorHAnsi" w:hAnsiTheme="minorHAnsi" w:cstheme="minorHAnsi"/>
                <w:color w:val="000000"/>
                <w:sz w:val="22"/>
                <w:szCs w:val="22"/>
              </w:rPr>
              <w:t xml:space="preserve">If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has reason to be concerned with the validity of a criminal records check within the 12 month period, for example if a Participant/supervisor advises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that they have been charged with assault, then a further criminal reco</w:t>
            </w:r>
            <w:r w:rsidR="000F6676" w:rsidRPr="006F5BB7">
              <w:rPr>
                <w:rFonts w:asciiTheme="minorHAnsi" w:hAnsiTheme="minorHAnsi" w:cstheme="minorHAnsi"/>
                <w:color w:val="000000"/>
                <w:sz w:val="22"/>
                <w:szCs w:val="22"/>
              </w:rPr>
              <w:t xml:space="preserve">rds check should be obtained. </w:t>
            </w:r>
            <w:r w:rsidRPr="006F5BB7">
              <w:rPr>
                <w:rFonts w:asciiTheme="minorHAnsi" w:hAnsiTheme="minorHAnsi" w:cstheme="minorHAnsi"/>
                <w:color w:val="000000"/>
                <w:sz w:val="22"/>
                <w:szCs w:val="22"/>
              </w:rPr>
              <w:t>I</w:t>
            </w:r>
            <w:r w:rsidR="000F6676" w:rsidRPr="006F5BB7">
              <w:rPr>
                <w:rFonts w:asciiTheme="minorHAnsi" w:hAnsiTheme="minorHAnsi" w:cstheme="minorHAnsi"/>
                <w:color w:val="000000"/>
                <w:sz w:val="22"/>
                <w:szCs w:val="22"/>
              </w:rPr>
              <w:t xml:space="preserve">f </w:t>
            </w:r>
            <w:r w:rsidRPr="006F5BB7">
              <w:rPr>
                <w:rFonts w:asciiTheme="minorHAnsi" w:hAnsiTheme="minorHAnsi" w:cstheme="minorHAnsi"/>
                <w:color w:val="000000"/>
                <w:sz w:val="22"/>
                <w:szCs w:val="22"/>
              </w:rPr>
              <w:t xml:space="preserve">necessary, following a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’s risk assessment, the DES </w:t>
            </w:r>
            <w:r w:rsidR="004025CB" w:rsidRPr="006F5BB7">
              <w:rPr>
                <w:rFonts w:asciiTheme="minorHAnsi" w:hAnsiTheme="minorHAnsi" w:cstheme="minorHAnsi"/>
                <w:color w:val="000000"/>
                <w:sz w:val="22"/>
                <w:szCs w:val="22"/>
              </w:rPr>
              <w:t>Provider</w:t>
            </w:r>
            <w:r w:rsidRPr="006F5BB7">
              <w:rPr>
                <w:rFonts w:asciiTheme="minorHAnsi" w:hAnsiTheme="minorHAnsi" w:cstheme="minorHAnsi"/>
                <w:color w:val="000000"/>
                <w:sz w:val="22"/>
                <w:szCs w:val="22"/>
              </w:rPr>
              <w:t xml:space="preserve"> should place the Participant/supervisor on another </w:t>
            </w:r>
            <w:r w:rsidR="000F4783" w:rsidRPr="006F5BB7">
              <w:rPr>
                <w:rFonts w:asciiTheme="minorHAnsi" w:hAnsiTheme="minorHAnsi" w:cstheme="minorHAnsi"/>
                <w:color w:val="000000"/>
                <w:sz w:val="22"/>
                <w:szCs w:val="22"/>
              </w:rPr>
              <w:t>activity, which</w:t>
            </w:r>
            <w:r w:rsidRPr="006F5BB7">
              <w:rPr>
                <w:rFonts w:asciiTheme="minorHAnsi" w:hAnsiTheme="minorHAnsi" w:cstheme="minorHAnsi"/>
                <w:color w:val="000000"/>
                <w:sz w:val="22"/>
                <w:szCs w:val="22"/>
              </w:rPr>
              <w:t xml:space="preserve"> does not require a criminal records check.</w:t>
            </w:r>
          </w:p>
          <w:p w14:paraId="1D807FAA" w14:textId="6FD7A4AE"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 xml:space="preserve">In some </w:t>
            </w:r>
            <w:r w:rsidR="000F4783" w:rsidRPr="006F5BB7">
              <w:rPr>
                <w:rFonts w:asciiTheme="minorHAnsi" w:hAnsiTheme="minorHAnsi" w:cstheme="minorHAnsi"/>
                <w:sz w:val="22"/>
                <w:szCs w:val="22"/>
              </w:rPr>
              <w:t>instances,</w:t>
            </w:r>
            <w:r w:rsidRPr="006F5BB7">
              <w:rPr>
                <w:rFonts w:asciiTheme="minorHAnsi" w:hAnsiTheme="minorHAnsi" w:cstheme="minorHAnsi"/>
                <w:sz w:val="22"/>
                <w:szCs w:val="22"/>
              </w:rPr>
              <w:t xml:space="preserve"> a supervisor may also be a Participant on that or another activity. In that situation,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may have carried out a criminal records check on </w:t>
            </w:r>
            <w:r w:rsidRPr="006F5BB7">
              <w:rPr>
                <w:rFonts w:asciiTheme="minorHAnsi" w:hAnsiTheme="minorHAnsi" w:cstheme="minorHAnsi"/>
                <w:sz w:val="22"/>
                <w:szCs w:val="22"/>
              </w:rPr>
              <w:lastRenderedPageBreak/>
              <w:t>the person and therefore another criminal records check may not be required.</w:t>
            </w:r>
          </w:p>
          <w:p w14:paraId="65AE71A6" w14:textId="4D6A240D" w:rsidR="00977387" w:rsidRPr="006F5BB7" w:rsidRDefault="00C17D10" w:rsidP="001F19F4">
            <w:pPr>
              <w:autoSpaceDE w:val="0"/>
              <w:autoSpaceDN w:val="0"/>
              <w:adjustRightInd w:val="0"/>
              <w:spacing w:after="120"/>
              <w:rPr>
                <w:rFonts w:asciiTheme="minorHAnsi" w:hAnsiTheme="minorHAnsi" w:cstheme="minorHAnsi"/>
                <w:sz w:val="22"/>
                <w:szCs w:val="22"/>
              </w:rPr>
            </w:pPr>
            <w:r w:rsidRPr="006F5BB7">
              <w:rPr>
                <w:rFonts w:asciiTheme="minorHAnsi" w:hAnsiTheme="minorHAnsi" w:cstheme="minorHAnsi"/>
                <w:sz w:val="22"/>
                <w:szCs w:val="22"/>
              </w:rPr>
              <w:t>The Department</w:t>
            </w:r>
            <w:r w:rsidR="00573C43" w:rsidRPr="006F5BB7">
              <w:rPr>
                <w:rFonts w:asciiTheme="minorHAnsi" w:hAnsiTheme="minorHAnsi" w:cstheme="minorHAnsi"/>
                <w:sz w:val="22"/>
                <w:szCs w:val="22"/>
              </w:rPr>
              <w:t xml:space="preserve">’s IT </w:t>
            </w:r>
            <w:r w:rsidR="00E843D4" w:rsidRPr="006F5BB7">
              <w:rPr>
                <w:rFonts w:asciiTheme="minorHAnsi" w:hAnsiTheme="minorHAnsi" w:cstheme="minorHAnsi"/>
                <w:sz w:val="22"/>
                <w:szCs w:val="22"/>
              </w:rPr>
              <w:t>Systems</w:t>
            </w:r>
            <w:r w:rsidR="009E399C" w:rsidRPr="006F5BB7">
              <w:rPr>
                <w:rFonts w:asciiTheme="minorHAnsi" w:hAnsiTheme="minorHAnsi" w:cstheme="minorHAnsi"/>
                <w:sz w:val="22"/>
                <w:szCs w:val="22"/>
              </w:rPr>
              <w:t xml:space="preserve"> have </w:t>
            </w:r>
            <w:r w:rsidR="00977387" w:rsidRPr="006F5BB7">
              <w:rPr>
                <w:rFonts w:asciiTheme="minorHAnsi" w:hAnsiTheme="minorHAnsi" w:cstheme="minorHAnsi"/>
                <w:sz w:val="22"/>
                <w:szCs w:val="22"/>
              </w:rPr>
              <w:t xml:space="preserve">a specific field for entering information about criminal records checks in relation to activities. The DES </w:t>
            </w:r>
            <w:r w:rsidR="004025CB" w:rsidRPr="006F5BB7">
              <w:rPr>
                <w:rFonts w:asciiTheme="minorHAnsi" w:hAnsiTheme="minorHAnsi" w:cstheme="minorHAnsi"/>
                <w:sz w:val="22"/>
                <w:szCs w:val="22"/>
              </w:rPr>
              <w:t>Provider</w:t>
            </w:r>
            <w:r w:rsidR="00977387" w:rsidRPr="006F5BB7">
              <w:rPr>
                <w:rFonts w:asciiTheme="minorHAnsi" w:hAnsiTheme="minorHAnsi" w:cstheme="minorHAnsi"/>
                <w:sz w:val="22"/>
                <w:szCs w:val="22"/>
              </w:rPr>
              <w:t xml:space="preserve"> needs to record whether criminal records checks are required for the activity in the </w:t>
            </w:r>
            <w:r w:rsidR="00573C43" w:rsidRPr="006F5BB7">
              <w:rPr>
                <w:rFonts w:asciiTheme="minorHAnsi" w:hAnsiTheme="minorHAnsi" w:cstheme="minorHAnsi"/>
                <w:sz w:val="22"/>
                <w:szCs w:val="22"/>
              </w:rPr>
              <w:t xml:space="preserve">Department’s IT </w:t>
            </w:r>
            <w:r w:rsidR="00E843D4" w:rsidRPr="006F5BB7">
              <w:rPr>
                <w:rFonts w:asciiTheme="minorHAnsi" w:hAnsiTheme="minorHAnsi" w:cstheme="minorHAnsi"/>
                <w:sz w:val="22"/>
                <w:szCs w:val="22"/>
              </w:rPr>
              <w:t>Systems</w:t>
            </w:r>
            <w:r w:rsidR="00977387" w:rsidRPr="006F5BB7">
              <w:rPr>
                <w:rFonts w:asciiTheme="minorHAnsi" w:hAnsiTheme="minorHAnsi" w:cstheme="minorHAnsi"/>
                <w:sz w:val="22"/>
                <w:szCs w:val="22"/>
              </w:rPr>
              <w:t xml:space="preserve"> at the time the activity record is created.</w:t>
            </w:r>
          </w:p>
          <w:p w14:paraId="704AE5C9" w14:textId="7EC82079" w:rsidR="00977387" w:rsidRPr="006F5BB7" w:rsidRDefault="00977387" w:rsidP="001F19F4">
            <w:pPr>
              <w:spacing w:after="120"/>
              <w:rPr>
                <w:rFonts w:asciiTheme="minorHAnsi" w:hAnsiTheme="minorHAnsi" w:cstheme="minorHAnsi"/>
                <w:sz w:val="22"/>
                <w:szCs w:val="22"/>
              </w:rPr>
            </w:pPr>
            <w:r w:rsidRPr="006F5BB7">
              <w:rPr>
                <w:rFonts w:asciiTheme="minorHAnsi" w:hAnsiTheme="minorHAnsi" w:cstheme="minorHAnsi"/>
                <w:sz w:val="22"/>
                <w:szCs w:val="22"/>
              </w:rPr>
              <w:t xml:space="preserve">If the Participant/supervisor requests a copy of the results of their criminal records check,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needs to ensure that the Participant/supervisor provides proof of identity before</w:t>
            </w:r>
            <w:r w:rsidR="000F6676" w:rsidRPr="006F5BB7">
              <w:rPr>
                <w:rFonts w:asciiTheme="minorHAnsi" w:hAnsiTheme="minorHAnsi" w:cstheme="minorHAnsi"/>
                <w:sz w:val="22"/>
                <w:szCs w:val="22"/>
              </w:rPr>
              <w:t xml:space="preserve"> they are provided with a copy.</w:t>
            </w:r>
          </w:p>
        </w:tc>
      </w:tr>
    </w:tbl>
    <w:p w14:paraId="17A60A21" w14:textId="77874364" w:rsidR="003A3117" w:rsidRPr="006F5BB7" w:rsidRDefault="003A3117" w:rsidP="003D714B">
      <w:pPr>
        <w:pStyle w:val="Heading3"/>
        <w:spacing w:before="120" w:after="240"/>
        <w:rPr>
          <w:rFonts w:asciiTheme="minorHAnsi" w:hAnsiTheme="minorHAnsi" w:cstheme="minorHAnsi"/>
        </w:rPr>
      </w:pPr>
      <w:bookmarkStart w:id="39" w:name="_Toc491941584"/>
      <w:bookmarkStart w:id="40" w:name="_Toc510018902"/>
      <w:r w:rsidRPr="006F5BB7">
        <w:rPr>
          <w:rFonts w:asciiTheme="minorHAnsi" w:hAnsiTheme="minorHAnsi" w:cstheme="minorHAnsi"/>
        </w:rPr>
        <w:lastRenderedPageBreak/>
        <w:t>Sourcing Criminal Records Checks</w:t>
      </w:r>
      <w:bookmarkEnd w:id="39"/>
      <w:bookmarkEnd w:id="40"/>
    </w:p>
    <w:p w14:paraId="57DF46B7" w14:textId="77777777" w:rsidR="00882806" w:rsidRPr="006F5BB7" w:rsidRDefault="00882806" w:rsidP="000B068B">
      <w:pPr>
        <w:rPr>
          <w:rFonts w:asciiTheme="minorHAnsi" w:hAnsiTheme="minorHAnsi" w:cstheme="minorHAnsi"/>
          <w:sz w:val="22"/>
          <w:szCs w:val="22"/>
        </w:rPr>
      </w:pPr>
      <w:r w:rsidRPr="006F5BB7">
        <w:rPr>
          <w:rFonts w:asciiTheme="minorHAnsi" w:hAnsiTheme="minorHAnsi" w:cstheme="minorHAnsi"/>
          <w:sz w:val="22"/>
          <w:szCs w:val="22"/>
        </w:rPr>
        <w:t xml:space="preserve">There is no single national framework setting out the requirements for obtaining criminal records checks or Working with Children checks. Each state and territory differs in its </w:t>
      </w:r>
      <w:r w:rsidR="00513429" w:rsidRPr="006F5BB7">
        <w:rPr>
          <w:rFonts w:asciiTheme="minorHAnsi" w:hAnsiTheme="minorHAnsi" w:cstheme="minorHAnsi"/>
          <w:sz w:val="22"/>
          <w:szCs w:val="22"/>
        </w:rPr>
        <w:t>legal obligations and processes.</w:t>
      </w:r>
    </w:p>
    <w:p w14:paraId="33E59BFD" w14:textId="417B470F" w:rsidR="000B068B" w:rsidRPr="006F5BB7" w:rsidRDefault="00882806" w:rsidP="000B068B">
      <w:pPr>
        <w:rPr>
          <w:rFonts w:asciiTheme="minorHAnsi" w:hAnsiTheme="minorHAnsi" w:cstheme="minorHAnsi"/>
          <w:sz w:val="22"/>
          <w:szCs w:val="22"/>
        </w:rPr>
      </w:pPr>
      <w:r w:rsidRPr="006F5BB7">
        <w:rPr>
          <w:rFonts w:asciiTheme="minorHAnsi" w:hAnsiTheme="minorHAnsi" w:cstheme="minorHAnsi"/>
          <w:sz w:val="22"/>
          <w:szCs w:val="22"/>
        </w:rPr>
        <w:t xml:space="preserve">For a general overview on the requirements for each state/territory for the Working with Children check, please visit the </w:t>
      </w:r>
      <w:hyperlink r:id="rId13" w:history="1">
        <w:r w:rsidRPr="006F5BB7">
          <w:rPr>
            <w:rStyle w:val="Hyperlink"/>
            <w:rFonts w:asciiTheme="minorHAnsi" w:hAnsiTheme="minorHAnsi" w:cstheme="minorHAnsi"/>
            <w:sz w:val="22"/>
            <w:szCs w:val="22"/>
          </w:rPr>
          <w:t>Australian Institut</w:t>
        </w:r>
        <w:r w:rsidR="0060314D" w:rsidRPr="006F5BB7">
          <w:rPr>
            <w:rStyle w:val="Hyperlink"/>
            <w:rFonts w:asciiTheme="minorHAnsi" w:hAnsiTheme="minorHAnsi" w:cstheme="minorHAnsi"/>
            <w:sz w:val="22"/>
            <w:szCs w:val="22"/>
          </w:rPr>
          <w:t>e of Family Studies website</w:t>
        </w:r>
      </w:hyperlink>
      <w:r w:rsidR="00125E6A" w:rsidRPr="006F5BB7">
        <w:rPr>
          <w:rFonts w:asciiTheme="minorHAnsi" w:hAnsiTheme="minorHAnsi" w:cstheme="minorHAnsi"/>
          <w:sz w:val="22"/>
          <w:szCs w:val="22"/>
        </w:rPr>
        <w:t xml:space="preserve"> (</w:t>
      </w:r>
      <w:r w:rsidR="00125E6A" w:rsidRPr="00407146">
        <w:rPr>
          <w:rFonts w:asciiTheme="minorHAnsi" w:hAnsiTheme="minorHAnsi" w:cstheme="minorHAnsi"/>
          <w:sz w:val="22"/>
          <w:szCs w:val="22"/>
        </w:rPr>
        <w:t>http://www.aifs.gov.au/nch/pubs/sheets/rs13/rs13.html</w:t>
      </w:r>
      <w:r w:rsidR="00125E6A" w:rsidRPr="006F5BB7">
        <w:rPr>
          <w:rFonts w:asciiTheme="minorHAnsi" w:hAnsiTheme="minorHAnsi" w:cstheme="minorHAnsi"/>
          <w:sz w:val="22"/>
          <w:szCs w:val="22"/>
        </w:rPr>
        <w:t>)</w:t>
      </w:r>
    </w:p>
    <w:p w14:paraId="2BA8B332" w14:textId="2DE48C42" w:rsidR="00882806" w:rsidRPr="006F5BB7" w:rsidRDefault="00125E6A" w:rsidP="000B068B">
      <w:pPr>
        <w:rPr>
          <w:rStyle w:val="Hyperlink"/>
          <w:rFonts w:asciiTheme="minorHAnsi" w:hAnsiTheme="minorHAnsi" w:cstheme="minorHAnsi"/>
          <w:sz w:val="22"/>
          <w:szCs w:val="22"/>
        </w:rPr>
      </w:pPr>
      <w:r w:rsidRPr="006F5BB7">
        <w:rPr>
          <w:rFonts w:asciiTheme="minorHAnsi" w:hAnsiTheme="minorHAnsi" w:cstheme="minorHAnsi"/>
          <w:sz w:val="22"/>
          <w:szCs w:val="22"/>
        </w:rPr>
        <w:t xml:space="preserve"> </w:t>
      </w:r>
    </w:p>
    <w:p w14:paraId="01EF6168" w14:textId="151640EF" w:rsidR="00C97DD2" w:rsidRPr="006F5BB7" w:rsidRDefault="00882806" w:rsidP="000B068B">
      <w:pPr>
        <w:rPr>
          <w:rFonts w:asciiTheme="minorHAnsi" w:hAnsiTheme="minorHAnsi" w:cstheme="minorHAnsi"/>
          <w:sz w:val="22"/>
          <w:szCs w:val="22"/>
        </w:rPr>
      </w:pPr>
      <w:r w:rsidRPr="006F5BB7">
        <w:rPr>
          <w:rFonts w:asciiTheme="minorHAnsi" w:hAnsiTheme="minorHAnsi" w:cstheme="minorHAnsi"/>
          <w:sz w:val="22"/>
          <w:szCs w:val="22"/>
        </w:rPr>
        <w:t xml:space="preserve">It is the DES </w:t>
      </w:r>
      <w:r w:rsidR="004025CB" w:rsidRPr="006F5BB7">
        <w:rPr>
          <w:rFonts w:asciiTheme="minorHAnsi" w:hAnsiTheme="minorHAnsi" w:cstheme="minorHAnsi"/>
          <w:sz w:val="22"/>
          <w:szCs w:val="22"/>
        </w:rPr>
        <w:t>Provider</w:t>
      </w:r>
      <w:r w:rsidR="00A33CFB" w:rsidRPr="006F5BB7">
        <w:rPr>
          <w:rFonts w:asciiTheme="minorHAnsi" w:hAnsiTheme="minorHAnsi" w:cstheme="minorHAnsi"/>
          <w:sz w:val="22"/>
          <w:szCs w:val="22"/>
        </w:rPr>
        <w:t>’</w:t>
      </w:r>
      <w:r w:rsidRPr="006F5BB7">
        <w:rPr>
          <w:rFonts w:asciiTheme="minorHAnsi" w:hAnsiTheme="minorHAnsi" w:cstheme="minorHAnsi"/>
          <w:sz w:val="22"/>
          <w:szCs w:val="22"/>
        </w:rPr>
        <w:t>s responsibility to ensure that it keeps abreast of</w:t>
      </w:r>
      <w:r w:rsidR="00513429" w:rsidRPr="006F5BB7">
        <w:rPr>
          <w:rFonts w:asciiTheme="minorHAnsi" w:hAnsiTheme="minorHAnsi" w:cstheme="minorHAnsi"/>
          <w:sz w:val="22"/>
          <w:szCs w:val="22"/>
        </w:rPr>
        <w:t>, and complies</w:t>
      </w:r>
      <w:r w:rsidRPr="006F5BB7">
        <w:rPr>
          <w:rFonts w:asciiTheme="minorHAnsi" w:hAnsiTheme="minorHAnsi" w:cstheme="minorHAnsi"/>
          <w:sz w:val="22"/>
          <w:szCs w:val="22"/>
        </w:rPr>
        <w:t xml:space="preserve"> </w:t>
      </w:r>
      <w:r w:rsidR="00513429" w:rsidRPr="006F5BB7">
        <w:rPr>
          <w:rFonts w:asciiTheme="minorHAnsi" w:hAnsiTheme="minorHAnsi" w:cstheme="minorHAnsi"/>
          <w:sz w:val="22"/>
          <w:szCs w:val="22"/>
        </w:rPr>
        <w:t>with, legislative</w:t>
      </w:r>
      <w:r w:rsidRPr="006F5BB7">
        <w:rPr>
          <w:rFonts w:asciiTheme="minorHAnsi" w:hAnsiTheme="minorHAnsi" w:cstheme="minorHAnsi"/>
          <w:sz w:val="22"/>
          <w:szCs w:val="22"/>
        </w:rPr>
        <w:t xml:space="preserve"> requirements </w:t>
      </w:r>
      <w:r w:rsidR="00513429" w:rsidRPr="006F5BB7">
        <w:rPr>
          <w:rFonts w:asciiTheme="minorHAnsi" w:hAnsiTheme="minorHAnsi" w:cstheme="minorHAnsi"/>
          <w:sz w:val="22"/>
          <w:szCs w:val="22"/>
        </w:rPr>
        <w:t xml:space="preserve">and processes </w:t>
      </w:r>
      <w:r w:rsidRPr="006F5BB7">
        <w:rPr>
          <w:rFonts w:asciiTheme="minorHAnsi" w:hAnsiTheme="minorHAnsi" w:cstheme="minorHAnsi"/>
          <w:sz w:val="22"/>
          <w:szCs w:val="22"/>
        </w:rPr>
        <w:t xml:space="preserve">for obtaining criminal records checks. </w:t>
      </w:r>
      <w:r w:rsidR="0032359D" w:rsidRPr="006F5BB7">
        <w:rPr>
          <w:rFonts w:asciiTheme="minorHAnsi" w:hAnsiTheme="minorHAnsi" w:cstheme="minorHAnsi"/>
          <w:sz w:val="22"/>
          <w:szCs w:val="22"/>
        </w:rPr>
        <w:t xml:space="preserve">It is recommended that DES </w:t>
      </w:r>
      <w:r w:rsidR="004025CB" w:rsidRPr="006F5BB7">
        <w:rPr>
          <w:rFonts w:asciiTheme="minorHAnsi" w:hAnsiTheme="minorHAnsi" w:cstheme="minorHAnsi"/>
          <w:sz w:val="22"/>
          <w:szCs w:val="22"/>
        </w:rPr>
        <w:t>Provider</w:t>
      </w:r>
      <w:r w:rsidR="0032359D" w:rsidRPr="006F5BB7">
        <w:rPr>
          <w:rFonts w:asciiTheme="minorHAnsi" w:hAnsiTheme="minorHAnsi" w:cstheme="minorHAnsi"/>
          <w:sz w:val="22"/>
          <w:szCs w:val="22"/>
        </w:rPr>
        <w:t>s periodically check their state or territories legislative requirements.</w:t>
      </w:r>
      <w:r w:rsidR="00C97DD2" w:rsidRPr="006F5BB7">
        <w:rPr>
          <w:rFonts w:asciiTheme="minorHAnsi" w:hAnsiTheme="minorHAnsi" w:cstheme="minorHAnsi"/>
          <w:sz w:val="22"/>
          <w:szCs w:val="22"/>
        </w:rPr>
        <w:t xml:space="preserve"> </w:t>
      </w:r>
    </w:p>
    <w:p w14:paraId="11C5CD72" w14:textId="77777777" w:rsidR="000B068B" w:rsidRPr="006F5BB7" w:rsidRDefault="000B068B" w:rsidP="000B068B">
      <w:pPr>
        <w:rPr>
          <w:rFonts w:asciiTheme="minorHAnsi" w:hAnsiTheme="minorHAnsi" w:cstheme="minorHAnsi"/>
          <w:sz w:val="22"/>
          <w:szCs w:val="22"/>
        </w:rPr>
      </w:pPr>
    </w:p>
    <w:p w14:paraId="577876E5" w14:textId="27B983D8" w:rsidR="003A3117" w:rsidRPr="006F5BB7" w:rsidRDefault="00C97DD2" w:rsidP="000B068B">
      <w:pPr>
        <w:rPr>
          <w:rFonts w:asciiTheme="minorHAnsi" w:hAnsiTheme="minorHAnsi" w:cstheme="minorHAnsi"/>
          <w:sz w:val="22"/>
          <w:szCs w:val="22"/>
        </w:rPr>
      </w:pPr>
      <w:r w:rsidRPr="006F5BB7">
        <w:rPr>
          <w:rFonts w:asciiTheme="minorHAnsi" w:hAnsiTheme="minorHAnsi" w:cstheme="minorHAnsi"/>
          <w:sz w:val="22"/>
          <w:szCs w:val="22"/>
        </w:rPr>
        <w:t xml:space="preserve">The information contained in the following table was correct at the time of publication. In addition to the government bodies mentioned below, there are also a number of private companies that undertake criminal records checks. The decision as to which organisation to use is at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s</w:t>
      </w:r>
      <w:r w:rsidR="00654DE6" w:rsidRPr="006F5BB7">
        <w:rPr>
          <w:rFonts w:asciiTheme="minorHAnsi" w:hAnsiTheme="minorHAnsi" w:cstheme="minorHAnsi"/>
          <w:sz w:val="22"/>
          <w:szCs w:val="22"/>
        </w:rPr>
        <w:t>’</w:t>
      </w:r>
      <w:r w:rsidRPr="006F5BB7">
        <w:rPr>
          <w:rFonts w:asciiTheme="minorHAnsi" w:hAnsiTheme="minorHAnsi" w:cstheme="minorHAnsi"/>
          <w:sz w:val="22"/>
          <w:szCs w:val="22"/>
        </w:rPr>
        <w:t xml:space="preserve"> </w:t>
      </w:r>
      <w:r w:rsidR="00E524AA" w:rsidRPr="006F5BB7">
        <w:rPr>
          <w:rFonts w:asciiTheme="minorHAnsi" w:hAnsiTheme="minorHAnsi" w:cstheme="minorHAnsi"/>
          <w:sz w:val="22"/>
          <w:szCs w:val="22"/>
        </w:rPr>
        <w:t>discretion</w:t>
      </w:r>
      <w:r w:rsidRPr="006F5BB7">
        <w:rPr>
          <w:rFonts w:asciiTheme="minorHAnsi" w:hAnsiTheme="minorHAnsi" w:cstheme="minorHAnsi"/>
          <w:sz w:val="22"/>
          <w:szCs w:val="22"/>
        </w:rPr>
        <w:t xml:space="preserve"> and the Department will not be held liable for, or be bound by the terms of, any contract that the DES </w:t>
      </w:r>
      <w:r w:rsidR="004025CB" w:rsidRPr="006F5BB7">
        <w:rPr>
          <w:rFonts w:asciiTheme="minorHAnsi" w:hAnsiTheme="minorHAnsi" w:cstheme="minorHAnsi"/>
          <w:sz w:val="22"/>
          <w:szCs w:val="22"/>
        </w:rPr>
        <w:t>Provider</w:t>
      </w:r>
      <w:r w:rsidRPr="006F5BB7">
        <w:rPr>
          <w:rFonts w:asciiTheme="minorHAnsi" w:hAnsiTheme="minorHAnsi" w:cstheme="minorHAnsi"/>
          <w:sz w:val="22"/>
          <w:szCs w:val="22"/>
        </w:rPr>
        <w:t xml:space="preserve"> enters into with a private company.</w:t>
      </w:r>
    </w:p>
    <w:p w14:paraId="43761E2A" w14:textId="77777777" w:rsidR="00882806" w:rsidRPr="006F5BB7" w:rsidRDefault="00882806" w:rsidP="00882806">
      <w:pPr>
        <w:rPr>
          <w:rFonts w:asciiTheme="minorHAnsi" w:hAnsiTheme="minorHAnsi" w:cstheme="minorHAnsi"/>
        </w:rPr>
      </w:pPr>
    </w:p>
    <w:tbl>
      <w:tblPr>
        <w:tblStyle w:val="TableGrid"/>
        <w:tblW w:w="0" w:type="auto"/>
        <w:tblLook w:val="04A0" w:firstRow="1" w:lastRow="0" w:firstColumn="1" w:lastColumn="0" w:noHBand="0" w:noVBand="1"/>
        <w:tblCaption w:val="Jurisdiction Conatcts"/>
        <w:tblDescription w:val="This talbe outlines the state and territoy contacts for Criminal Record checks."/>
      </w:tblPr>
      <w:tblGrid>
        <w:gridCol w:w="2830"/>
        <w:gridCol w:w="6186"/>
      </w:tblGrid>
      <w:tr w:rsidR="001A0CDA" w:rsidRPr="001A0CDA" w14:paraId="44715785" w14:textId="77777777" w:rsidTr="008E6B64">
        <w:trPr>
          <w:trHeight w:val="416"/>
          <w:tblHeader/>
        </w:trPr>
        <w:tc>
          <w:tcPr>
            <w:tcW w:w="2830" w:type="dxa"/>
            <w:vAlign w:val="center"/>
          </w:tcPr>
          <w:p w14:paraId="63D7B163" w14:textId="77777777" w:rsidR="001A0CDA" w:rsidRPr="001A0CDA" w:rsidRDefault="001A0CDA" w:rsidP="001A0CDA">
            <w:pPr>
              <w:spacing w:after="200" w:line="276" w:lineRule="auto"/>
              <w:rPr>
                <w:rFonts w:asciiTheme="minorHAnsi" w:eastAsiaTheme="minorHAnsi" w:hAnsiTheme="minorHAnsi" w:cstheme="minorHAnsi"/>
                <w:b/>
                <w:sz w:val="22"/>
                <w:szCs w:val="22"/>
                <w:lang w:eastAsia="en-US"/>
              </w:rPr>
            </w:pPr>
            <w:bookmarkStart w:id="41" w:name="_Toc417051147"/>
            <w:r w:rsidRPr="001A0CDA">
              <w:rPr>
                <w:rFonts w:asciiTheme="minorHAnsi" w:eastAsiaTheme="minorHAnsi" w:hAnsiTheme="minorHAnsi" w:cstheme="minorHAnsi"/>
                <w:b/>
                <w:sz w:val="22"/>
                <w:szCs w:val="22"/>
                <w:lang w:eastAsia="en-US"/>
              </w:rPr>
              <w:t>Jurisdiction</w:t>
            </w:r>
            <w:bookmarkEnd w:id="41"/>
          </w:p>
        </w:tc>
        <w:tc>
          <w:tcPr>
            <w:tcW w:w="6186" w:type="dxa"/>
            <w:vAlign w:val="center"/>
          </w:tcPr>
          <w:p w14:paraId="64BD123B" w14:textId="77777777" w:rsidR="001A0CDA" w:rsidRPr="001A0CDA" w:rsidRDefault="001A0CDA" w:rsidP="001A0CDA">
            <w:pPr>
              <w:spacing w:after="200" w:line="276" w:lineRule="auto"/>
              <w:rPr>
                <w:rFonts w:asciiTheme="minorHAnsi" w:eastAsiaTheme="minorHAnsi" w:hAnsiTheme="minorHAnsi" w:cstheme="minorHAnsi"/>
                <w:b/>
                <w:sz w:val="22"/>
                <w:szCs w:val="22"/>
                <w:lang w:eastAsia="en-US"/>
              </w:rPr>
            </w:pPr>
            <w:bookmarkStart w:id="42" w:name="_Toc417051148"/>
            <w:r w:rsidRPr="001A0CDA">
              <w:rPr>
                <w:rFonts w:asciiTheme="minorHAnsi" w:eastAsiaTheme="minorHAnsi" w:hAnsiTheme="minorHAnsi" w:cstheme="minorHAnsi"/>
                <w:b/>
                <w:sz w:val="22"/>
                <w:szCs w:val="22"/>
                <w:lang w:eastAsia="en-US"/>
              </w:rPr>
              <w:t>Body</w:t>
            </w:r>
            <w:bookmarkEnd w:id="42"/>
          </w:p>
        </w:tc>
      </w:tr>
      <w:tr w:rsidR="001A0CDA" w:rsidRPr="001A0CDA" w14:paraId="6E3C06F5" w14:textId="77777777" w:rsidTr="008E6B64">
        <w:tc>
          <w:tcPr>
            <w:tcW w:w="2830" w:type="dxa"/>
          </w:tcPr>
          <w:p w14:paraId="4B376D58"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National</w:t>
            </w:r>
          </w:p>
        </w:tc>
        <w:tc>
          <w:tcPr>
            <w:tcW w:w="6186" w:type="dxa"/>
          </w:tcPr>
          <w:p w14:paraId="286AB59E" w14:textId="6E0CF92D"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14" w:history="1">
              <w:r w:rsidR="001A0CDA" w:rsidRPr="001A0CDA">
                <w:rPr>
                  <w:rFonts w:asciiTheme="minorHAnsi" w:eastAsiaTheme="minorHAnsi" w:hAnsiTheme="minorHAnsi" w:cstheme="minorHAnsi"/>
                  <w:b/>
                  <w:color w:val="0000FF" w:themeColor="hyperlink"/>
                  <w:sz w:val="22"/>
                  <w:szCs w:val="22"/>
                  <w:u w:val="single"/>
                  <w:lang w:eastAsia="en-US"/>
                </w:rPr>
                <w:t>CrimTrac</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http://www.crimtrac.gov.au/</w:t>
            </w:r>
            <w:r w:rsidR="001A0CDA" w:rsidRPr="001A0CDA">
              <w:rPr>
                <w:rFonts w:asciiTheme="minorHAnsi" w:eastAsiaTheme="minorHAnsi" w:hAnsiTheme="minorHAnsi" w:cstheme="minorHAnsi"/>
                <w:sz w:val="22"/>
                <w:szCs w:val="22"/>
                <w:lang w:eastAsia="en-US"/>
              </w:rPr>
              <w:t>)</w:t>
            </w:r>
          </w:p>
          <w:p w14:paraId="20C6306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DES Providers requiring more than 500 criminal records checks per-year can choose to use </w:t>
            </w:r>
            <w:proofErr w:type="spellStart"/>
            <w:r w:rsidRPr="001A0CDA">
              <w:rPr>
                <w:rFonts w:asciiTheme="minorHAnsi" w:eastAsiaTheme="minorHAnsi" w:hAnsiTheme="minorHAnsi" w:cstheme="minorHAnsi"/>
                <w:sz w:val="22"/>
                <w:szCs w:val="22"/>
                <w:lang w:eastAsia="en-US"/>
              </w:rPr>
              <w:t>CrimTrac</w:t>
            </w:r>
            <w:proofErr w:type="spellEnd"/>
            <w:r w:rsidRPr="001A0CDA">
              <w:rPr>
                <w:rFonts w:asciiTheme="minorHAnsi" w:eastAsiaTheme="minorHAnsi" w:hAnsiTheme="minorHAnsi" w:cstheme="minorHAnsi"/>
                <w:sz w:val="22"/>
                <w:szCs w:val="22"/>
                <w:lang w:eastAsia="en-US"/>
              </w:rPr>
              <w:t xml:space="preserve"> to obtain criminal records checks, regardless of the state/territory in which the DES Provider operates. Further information is available on the </w:t>
            </w:r>
            <w:proofErr w:type="spellStart"/>
            <w:r w:rsidRPr="001A0CDA">
              <w:rPr>
                <w:rFonts w:asciiTheme="minorHAnsi" w:eastAsiaTheme="minorHAnsi" w:hAnsiTheme="minorHAnsi" w:cstheme="minorHAnsi"/>
                <w:sz w:val="22"/>
                <w:szCs w:val="22"/>
                <w:lang w:eastAsia="en-US"/>
              </w:rPr>
              <w:t>CrimTrac</w:t>
            </w:r>
            <w:proofErr w:type="spellEnd"/>
            <w:r w:rsidRPr="001A0CDA">
              <w:rPr>
                <w:rFonts w:asciiTheme="minorHAnsi" w:eastAsiaTheme="minorHAnsi" w:hAnsiTheme="minorHAnsi" w:cstheme="minorHAnsi"/>
                <w:sz w:val="22"/>
                <w:szCs w:val="22"/>
                <w:lang w:eastAsia="en-US"/>
              </w:rPr>
              <w:t xml:space="preserve"> website.</w:t>
            </w:r>
          </w:p>
        </w:tc>
      </w:tr>
      <w:tr w:rsidR="001A0CDA" w:rsidRPr="001A0CDA" w14:paraId="6726F73B" w14:textId="77777777" w:rsidTr="008E6B64">
        <w:tc>
          <w:tcPr>
            <w:tcW w:w="2830" w:type="dxa"/>
          </w:tcPr>
          <w:p w14:paraId="0FE3C48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Australian Capital Territory</w:t>
            </w:r>
          </w:p>
        </w:tc>
        <w:tc>
          <w:tcPr>
            <w:tcW w:w="6186" w:type="dxa"/>
          </w:tcPr>
          <w:p w14:paraId="2FF7AC63" w14:textId="6043E969"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15" w:history="1">
              <w:r w:rsidR="001A0CDA" w:rsidRPr="001A0CDA">
                <w:rPr>
                  <w:rFonts w:asciiTheme="minorHAnsi" w:eastAsiaTheme="minorHAnsi" w:hAnsiTheme="minorHAnsi" w:cstheme="minorHAnsi"/>
                  <w:b/>
                  <w:color w:val="0000FF" w:themeColor="hyperlink"/>
                  <w:sz w:val="22"/>
                  <w:szCs w:val="22"/>
                  <w:u w:val="single"/>
                  <w:lang w:eastAsia="en-US"/>
                </w:rPr>
                <w:t>Australian Federal Policy (AFP)</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http://www.afp.gov.au/</w:t>
            </w:r>
            <w:r w:rsidR="001A0CDA" w:rsidRPr="001A0CDA">
              <w:rPr>
                <w:rFonts w:asciiTheme="minorHAnsi" w:eastAsiaTheme="minorHAnsi" w:hAnsiTheme="minorHAnsi" w:cstheme="minorHAnsi"/>
                <w:sz w:val="22"/>
                <w:szCs w:val="22"/>
                <w:lang w:eastAsia="en-US"/>
              </w:rPr>
              <w:t xml:space="preserve">) </w:t>
            </w:r>
          </w:p>
          <w:p w14:paraId="4B9D2C07"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DES Providers may apply to the </w:t>
            </w:r>
            <w:proofErr w:type="spellStart"/>
            <w:r w:rsidRPr="001A0CDA">
              <w:rPr>
                <w:rFonts w:asciiTheme="minorHAnsi" w:eastAsiaTheme="minorHAnsi" w:hAnsiTheme="minorHAnsi" w:cstheme="minorHAnsi"/>
                <w:sz w:val="22"/>
                <w:szCs w:val="22"/>
                <w:lang w:eastAsia="en-US"/>
              </w:rPr>
              <w:t>AFP</w:t>
            </w:r>
            <w:proofErr w:type="spellEnd"/>
            <w:r w:rsidRPr="001A0CDA">
              <w:rPr>
                <w:rFonts w:asciiTheme="minorHAnsi" w:eastAsiaTheme="minorHAnsi" w:hAnsiTheme="minorHAnsi" w:cstheme="minorHAnsi"/>
                <w:sz w:val="22"/>
                <w:szCs w:val="22"/>
                <w:lang w:eastAsia="en-US"/>
              </w:rPr>
              <w:t xml:space="preserve"> to obtain criminal records for residents of the ACT, as well as Jervis Bay Territory and other external territories. DES Providers may also apply for people seeking employment with the Australian Government or people requiring a check under Australian Government legislation. Application forms and further information is available on the </w:t>
            </w:r>
            <w:proofErr w:type="spellStart"/>
            <w:r w:rsidRPr="001A0CDA">
              <w:rPr>
                <w:rFonts w:asciiTheme="minorHAnsi" w:eastAsiaTheme="minorHAnsi" w:hAnsiTheme="minorHAnsi" w:cstheme="minorHAnsi"/>
                <w:sz w:val="22"/>
                <w:szCs w:val="22"/>
                <w:lang w:eastAsia="en-US"/>
              </w:rPr>
              <w:t>AFP</w:t>
            </w:r>
            <w:proofErr w:type="spellEnd"/>
            <w:r w:rsidRPr="001A0CDA">
              <w:rPr>
                <w:rFonts w:asciiTheme="minorHAnsi" w:eastAsiaTheme="minorHAnsi" w:hAnsiTheme="minorHAnsi" w:cstheme="minorHAnsi"/>
                <w:sz w:val="22"/>
                <w:szCs w:val="22"/>
                <w:lang w:eastAsia="en-US"/>
              </w:rPr>
              <w:t xml:space="preserve"> website.</w:t>
            </w:r>
          </w:p>
          <w:p w14:paraId="67AEEF1E" w14:textId="052246A2"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16" w:history="1">
              <w:r w:rsidR="001A0CDA" w:rsidRPr="001A0CDA">
                <w:rPr>
                  <w:rFonts w:asciiTheme="minorHAnsi" w:eastAsiaTheme="minorHAnsi" w:hAnsiTheme="minorHAnsi" w:cstheme="minorHAnsi"/>
                  <w:b/>
                  <w:color w:val="0000FF" w:themeColor="hyperlink"/>
                  <w:sz w:val="22"/>
                  <w:szCs w:val="22"/>
                  <w:u w:val="single"/>
                  <w:lang w:eastAsia="en-US"/>
                </w:rPr>
                <w:t>Office of Regulatory Services</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http://www.ors.act.gov.au/</w:t>
            </w:r>
            <w:r w:rsidR="001A0CDA" w:rsidRPr="001A0CDA">
              <w:rPr>
                <w:rFonts w:asciiTheme="minorHAnsi" w:eastAsiaTheme="minorHAnsi" w:hAnsiTheme="minorHAnsi" w:cstheme="minorHAnsi"/>
                <w:sz w:val="22"/>
                <w:szCs w:val="22"/>
                <w:lang w:eastAsia="en-US"/>
              </w:rPr>
              <w:t xml:space="preserve">)  </w:t>
            </w:r>
          </w:p>
          <w:p w14:paraId="3D18454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A Working with Vulnerable People check is required for anyone working or volunteering with vulnerable people in the ACT, including children. Applications forms and further information is </w:t>
            </w:r>
            <w:r w:rsidRPr="001A0CDA">
              <w:rPr>
                <w:rFonts w:asciiTheme="minorHAnsi" w:eastAsiaTheme="minorHAnsi" w:hAnsiTheme="minorHAnsi" w:cstheme="minorHAnsi"/>
                <w:sz w:val="22"/>
                <w:szCs w:val="22"/>
                <w:lang w:eastAsia="en-US"/>
              </w:rPr>
              <w:lastRenderedPageBreak/>
              <w:t>available on the Office of Regulatory Services website.</w:t>
            </w:r>
          </w:p>
        </w:tc>
      </w:tr>
      <w:tr w:rsidR="001A0CDA" w:rsidRPr="001A0CDA" w14:paraId="54885E13" w14:textId="77777777" w:rsidTr="008E6B64">
        <w:tc>
          <w:tcPr>
            <w:tcW w:w="2830" w:type="dxa"/>
          </w:tcPr>
          <w:p w14:paraId="5CE779FC"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lastRenderedPageBreak/>
              <w:t>Western Australia</w:t>
            </w:r>
          </w:p>
        </w:tc>
        <w:tc>
          <w:tcPr>
            <w:tcW w:w="6186" w:type="dxa"/>
          </w:tcPr>
          <w:p w14:paraId="373F9370" w14:textId="37CA9D5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b/>
                <w:sz w:val="22"/>
                <w:szCs w:val="22"/>
                <w:lang w:eastAsia="en-US"/>
              </w:rPr>
              <w:t>Western Australian Police</w:t>
            </w:r>
            <w:r w:rsidRPr="001A0CDA">
              <w:rPr>
                <w:rFonts w:asciiTheme="minorHAnsi" w:eastAsiaTheme="minorHAnsi" w:hAnsiTheme="minorHAnsi" w:cstheme="minorHAnsi"/>
                <w:sz w:val="22"/>
                <w:szCs w:val="22"/>
                <w:lang w:eastAsia="en-US"/>
              </w:rPr>
              <w:t xml:space="preserve"> (</w:t>
            </w:r>
            <w:r w:rsidRPr="00407146">
              <w:rPr>
                <w:rFonts w:asciiTheme="minorHAnsi" w:eastAsiaTheme="minorHAnsi" w:hAnsiTheme="minorHAnsi" w:cstheme="minorHAnsi"/>
                <w:sz w:val="22"/>
                <w:szCs w:val="22"/>
                <w:lang w:eastAsia="en-US"/>
              </w:rPr>
              <w:t>http://www.police.wa.gov.au/</w:t>
            </w:r>
            <w:r w:rsidRPr="001A0CDA">
              <w:rPr>
                <w:rFonts w:asciiTheme="minorHAnsi" w:eastAsiaTheme="minorHAnsi" w:hAnsiTheme="minorHAnsi" w:cstheme="minorHAnsi"/>
                <w:sz w:val="22"/>
                <w:szCs w:val="22"/>
                <w:lang w:eastAsia="en-US"/>
              </w:rPr>
              <w:t>)</w:t>
            </w:r>
          </w:p>
          <w:p w14:paraId="1D07EFD4"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Applications for National Police Certificates and Working with Children checks need to be made in person at Australia Post outlets. Application forms can be downloaded from the police website. There are certain requirements related to these applications and DES Providers should check the WA police and Australia Post websites for further information.</w:t>
            </w:r>
          </w:p>
        </w:tc>
      </w:tr>
      <w:tr w:rsidR="001A0CDA" w:rsidRPr="001A0CDA" w14:paraId="0708EDDC" w14:textId="77777777" w:rsidTr="008E6B64">
        <w:tc>
          <w:tcPr>
            <w:tcW w:w="2830" w:type="dxa"/>
          </w:tcPr>
          <w:p w14:paraId="0E8DD260"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New South Wales</w:t>
            </w:r>
          </w:p>
        </w:tc>
        <w:tc>
          <w:tcPr>
            <w:tcW w:w="6186" w:type="dxa"/>
          </w:tcPr>
          <w:p w14:paraId="71CC6DAF" w14:textId="7157A720"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17" w:history="1">
              <w:r w:rsidR="001A0CDA" w:rsidRPr="001A0CDA">
                <w:rPr>
                  <w:rFonts w:asciiTheme="minorHAnsi" w:eastAsiaTheme="minorHAnsi" w:hAnsiTheme="minorHAnsi" w:cstheme="minorHAnsi"/>
                  <w:b/>
                  <w:color w:val="0000FF" w:themeColor="hyperlink"/>
                  <w:sz w:val="22"/>
                  <w:szCs w:val="22"/>
                  <w:u w:val="single"/>
                  <w:lang w:eastAsia="en-US"/>
                </w:rPr>
                <w:t>Office of the Children’s Guardian</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http://www.kidsguardian.nsw.gov.au/</w:t>
            </w:r>
            <w:r w:rsidR="001A0CDA" w:rsidRPr="001A0CDA">
              <w:rPr>
                <w:rFonts w:asciiTheme="minorHAnsi" w:eastAsiaTheme="minorHAnsi" w:hAnsiTheme="minorHAnsi" w:cstheme="minorHAnsi"/>
                <w:sz w:val="22"/>
                <w:szCs w:val="22"/>
                <w:lang w:eastAsia="en-US"/>
              </w:rPr>
              <w:t xml:space="preserve">) </w:t>
            </w:r>
            <w:r w:rsidR="001A0CDA" w:rsidRPr="001A0CDA">
              <w:rPr>
                <w:rFonts w:asciiTheme="minorHAnsi" w:eastAsiaTheme="minorHAnsi" w:hAnsiTheme="minorHAnsi" w:cstheme="minorHAnsi"/>
                <w:b/>
                <w:sz w:val="22"/>
                <w:szCs w:val="22"/>
                <w:u w:val="single"/>
                <w:lang w:eastAsia="en-US"/>
              </w:rPr>
              <w:t xml:space="preserve"> </w:t>
            </w:r>
          </w:p>
          <w:p w14:paraId="4A98D759"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The Office of the Children’s Guardian administers the NSW Working with Children Check. Further information and application forms are available online at the Office’s website.</w:t>
            </w:r>
          </w:p>
          <w:p w14:paraId="648A4613" w14:textId="09F051E1" w:rsidR="001A0CDA" w:rsidRPr="001A0CDA" w:rsidRDefault="00D42EF1" w:rsidP="001A0CDA">
            <w:pPr>
              <w:spacing w:after="200" w:line="276" w:lineRule="auto"/>
              <w:rPr>
                <w:rFonts w:asciiTheme="minorHAnsi" w:eastAsiaTheme="minorHAnsi" w:hAnsiTheme="minorHAnsi" w:cstheme="minorHAnsi"/>
                <w:b/>
                <w:sz w:val="22"/>
                <w:szCs w:val="22"/>
                <w:lang w:eastAsia="en-US"/>
              </w:rPr>
            </w:pPr>
            <w:hyperlink r:id="rId18" w:history="1">
              <w:r w:rsidR="001A0CDA" w:rsidRPr="001A0CDA">
                <w:rPr>
                  <w:rFonts w:asciiTheme="minorHAnsi" w:eastAsiaTheme="minorHAnsi" w:hAnsiTheme="minorHAnsi" w:cstheme="minorHAnsi"/>
                  <w:b/>
                  <w:color w:val="0000FF" w:themeColor="hyperlink"/>
                  <w:sz w:val="22"/>
                  <w:szCs w:val="22"/>
                  <w:u w:val="single"/>
                  <w:lang w:eastAsia="en-US"/>
                </w:rPr>
                <w:t>New South Wales Police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http://www.police.nsw.gov.au/</w:t>
            </w:r>
            <w:r w:rsidR="001A0CDA" w:rsidRPr="001A0CDA">
              <w:rPr>
                <w:rFonts w:asciiTheme="minorHAnsi" w:eastAsiaTheme="minorHAnsi" w:hAnsiTheme="minorHAnsi" w:cstheme="minorHAnsi"/>
                <w:sz w:val="22"/>
                <w:szCs w:val="22"/>
                <w:lang w:eastAsia="en-US"/>
              </w:rPr>
              <w:t xml:space="preserve">) </w:t>
            </w:r>
          </w:p>
          <w:p w14:paraId="27AF3174"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In NSW, a criminal records check can be applied for through the NSW Police. Further information and application forms are available on the NSW Police website.</w:t>
            </w:r>
          </w:p>
        </w:tc>
      </w:tr>
      <w:tr w:rsidR="001A0CDA" w:rsidRPr="001A0CDA" w14:paraId="46C3F4E9" w14:textId="77777777" w:rsidTr="008E6B64">
        <w:tc>
          <w:tcPr>
            <w:tcW w:w="2830" w:type="dxa"/>
          </w:tcPr>
          <w:p w14:paraId="7C99C5AB"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Queensland</w:t>
            </w:r>
          </w:p>
        </w:tc>
        <w:tc>
          <w:tcPr>
            <w:tcW w:w="6186" w:type="dxa"/>
          </w:tcPr>
          <w:p w14:paraId="32412C87" w14:textId="0C5F7CA1"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19" w:history="1">
              <w:r w:rsidR="001A0CDA" w:rsidRPr="001A0CDA">
                <w:rPr>
                  <w:rFonts w:asciiTheme="minorHAnsi" w:eastAsiaTheme="minorHAnsi" w:hAnsiTheme="minorHAnsi" w:cstheme="minorHAnsi"/>
                  <w:b/>
                  <w:color w:val="0000FF" w:themeColor="hyperlink"/>
                  <w:sz w:val="22"/>
                  <w:szCs w:val="22"/>
                  <w:u w:val="single"/>
                  <w:lang w:eastAsia="en-US"/>
                </w:rPr>
                <w:t>Public Safety Business Agency</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http://www.bluecard.qld.gov.au/</w:t>
            </w:r>
            <w:r w:rsidR="001A0CDA" w:rsidRPr="001A0CDA">
              <w:rPr>
                <w:rFonts w:asciiTheme="minorHAnsi" w:eastAsiaTheme="minorHAnsi" w:hAnsiTheme="minorHAnsi" w:cstheme="minorHAnsi"/>
                <w:sz w:val="22"/>
                <w:szCs w:val="22"/>
                <w:lang w:eastAsia="en-US"/>
              </w:rPr>
              <w:t xml:space="preserve">) </w:t>
            </w:r>
          </w:p>
          <w:p w14:paraId="0956172E"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In Queensland, the Public Safety Business Agency is responsible for the Blue Card (criminal records checks) for those intending on working with children. This also covers the criminal records check. Applications may be made online at the </w:t>
            </w:r>
            <w:proofErr w:type="spellStart"/>
            <w:r w:rsidRPr="001A0CDA">
              <w:rPr>
                <w:rFonts w:asciiTheme="minorHAnsi" w:eastAsiaTheme="minorHAnsi" w:hAnsiTheme="minorHAnsi" w:cstheme="minorHAnsi"/>
                <w:sz w:val="22"/>
                <w:szCs w:val="22"/>
                <w:lang w:eastAsia="en-US"/>
              </w:rPr>
              <w:t>Bluecard</w:t>
            </w:r>
            <w:proofErr w:type="spellEnd"/>
            <w:r w:rsidRPr="001A0CDA">
              <w:rPr>
                <w:rFonts w:asciiTheme="minorHAnsi" w:eastAsiaTheme="minorHAnsi" w:hAnsiTheme="minorHAnsi" w:cstheme="minorHAnsi"/>
                <w:sz w:val="22"/>
                <w:szCs w:val="22"/>
                <w:lang w:eastAsia="en-US"/>
              </w:rPr>
              <w:t xml:space="preserve"> website.</w:t>
            </w:r>
          </w:p>
        </w:tc>
      </w:tr>
      <w:tr w:rsidR="001A0CDA" w:rsidRPr="001A0CDA" w14:paraId="715A0B7C" w14:textId="77777777" w:rsidTr="008E6B64">
        <w:tc>
          <w:tcPr>
            <w:tcW w:w="2830" w:type="dxa"/>
          </w:tcPr>
          <w:p w14:paraId="66976722"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Victoria</w:t>
            </w:r>
          </w:p>
        </w:tc>
        <w:tc>
          <w:tcPr>
            <w:tcW w:w="6186" w:type="dxa"/>
          </w:tcPr>
          <w:p w14:paraId="595C710C" w14:textId="77777777"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0" w:history="1">
              <w:r w:rsidR="001A0CDA" w:rsidRPr="001A0CDA">
                <w:rPr>
                  <w:rFonts w:asciiTheme="minorHAnsi" w:eastAsiaTheme="minorHAnsi" w:hAnsiTheme="minorHAnsi" w:cstheme="minorHAnsi"/>
                  <w:b/>
                  <w:color w:val="0000FF" w:themeColor="hyperlink"/>
                  <w:sz w:val="22"/>
                  <w:szCs w:val="22"/>
                  <w:u w:val="single"/>
                  <w:lang w:eastAsia="en-US"/>
                </w:rPr>
                <w:t>Victorian Department of Justice</w:t>
              </w:r>
            </w:hyperlink>
            <w:r w:rsidR="001A0CDA" w:rsidRPr="001A0CDA">
              <w:rPr>
                <w:rFonts w:asciiTheme="minorHAnsi" w:eastAsiaTheme="minorHAnsi" w:hAnsiTheme="minorHAnsi" w:cstheme="minorHAnsi"/>
                <w:sz w:val="22"/>
                <w:szCs w:val="22"/>
                <w:lang w:eastAsia="en-US"/>
              </w:rPr>
              <w:t xml:space="preserve"> (http://www.workingwithchildren.vic.gov.au/) </w:t>
            </w:r>
          </w:p>
          <w:p w14:paraId="4A69B033"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In Victoria, Working with Children Checks are conducted by the Victorian Department of Justice. Applications forms are available online through the Working with Children website and must be lodged with a participating Australia Post outlet.</w:t>
            </w:r>
          </w:p>
          <w:p w14:paraId="5399825F" w14:textId="46778920"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1" w:history="1">
              <w:r w:rsidR="001A0CDA" w:rsidRPr="001A0CDA">
                <w:rPr>
                  <w:rFonts w:asciiTheme="minorHAnsi" w:eastAsiaTheme="minorHAnsi" w:hAnsiTheme="minorHAnsi" w:cstheme="minorHAnsi"/>
                  <w:b/>
                  <w:color w:val="0000FF" w:themeColor="hyperlink"/>
                  <w:sz w:val="22"/>
                  <w:szCs w:val="22"/>
                  <w:u w:val="single"/>
                  <w:lang w:eastAsia="en-US"/>
                </w:rPr>
                <w:t>Victoria Police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http://www.police.vic.gov.au/</w:t>
            </w:r>
            <w:r w:rsidR="001A0CDA" w:rsidRPr="001A0CDA">
              <w:rPr>
                <w:rFonts w:asciiTheme="minorHAnsi" w:eastAsiaTheme="minorHAnsi" w:hAnsiTheme="minorHAnsi" w:cstheme="minorHAnsi"/>
                <w:sz w:val="22"/>
                <w:szCs w:val="22"/>
                <w:lang w:eastAsia="en-US"/>
              </w:rPr>
              <w:t xml:space="preserve">) </w:t>
            </w:r>
          </w:p>
          <w:p w14:paraId="432B5B4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In Victoria, a criminal records check can be applied for through the Victorian Police. Application forms are available online at the Victoria Police website.</w:t>
            </w:r>
          </w:p>
        </w:tc>
      </w:tr>
      <w:tr w:rsidR="001A0CDA" w:rsidRPr="001A0CDA" w14:paraId="26DB00EF" w14:textId="77777777" w:rsidTr="008E6B64">
        <w:tc>
          <w:tcPr>
            <w:tcW w:w="2830" w:type="dxa"/>
          </w:tcPr>
          <w:p w14:paraId="26777994"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Tasmania</w:t>
            </w:r>
          </w:p>
        </w:tc>
        <w:tc>
          <w:tcPr>
            <w:tcW w:w="6186" w:type="dxa"/>
          </w:tcPr>
          <w:p w14:paraId="507FDB09" w14:textId="11007388"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2" w:history="1">
              <w:r w:rsidR="001A0CDA" w:rsidRPr="001A0CDA">
                <w:rPr>
                  <w:rFonts w:asciiTheme="minorHAnsi" w:eastAsiaTheme="minorHAnsi" w:hAnsiTheme="minorHAnsi" w:cstheme="minorHAnsi"/>
                  <w:b/>
                  <w:color w:val="0000FF" w:themeColor="hyperlink"/>
                  <w:sz w:val="22"/>
                  <w:szCs w:val="22"/>
                  <w:u w:val="single"/>
                  <w:lang w:eastAsia="en-US"/>
                </w:rPr>
                <w:t>Tasmanian Department of Justice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http://www.justice.tas.gov.au/</w:t>
            </w:r>
            <w:r w:rsidR="001A0CDA" w:rsidRPr="001A0CDA">
              <w:rPr>
                <w:rFonts w:asciiTheme="minorHAnsi" w:eastAsiaTheme="minorHAnsi" w:hAnsiTheme="minorHAnsi" w:cstheme="minorHAnsi"/>
                <w:sz w:val="22"/>
                <w:szCs w:val="22"/>
                <w:lang w:eastAsia="en-US"/>
              </w:rPr>
              <w:t xml:space="preserve">) </w:t>
            </w:r>
          </w:p>
          <w:p w14:paraId="5402D1EB"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In Tasmania, people wanting to work or volunteer with children must apply to the Working with Children Register. An online application, as well as further details about the process, are </w:t>
            </w:r>
            <w:r w:rsidRPr="001A0CDA">
              <w:rPr>
                <w:rFonts w:asciiTheme="minorHAnsi" w:eastAsiaTheme="minorHAnsi" w:hAnsiTheme="minorHAnsi" w:cstheme="minorHAnsi"/>
                <w:sz w:val="22"/>
                <w:szCs w:val="22"/>
                <w:lang w:eastAsia="en-US"/>
              </w:rPr>
              <w:lastRenderedPageBreak/>
              <w:t>located on the Department of Justice website.</w:t>
            </w:r>
          </w:p>
          <w:p w14:paraId="0B3C028F" w14:textId="2BDB8069"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3" w:history="1">
              <w:r w:rsidR="001A0CDA" w:rsidRPr="001A0CDA">
                <w:rPr>
                  <w:rFonts w:asciiTheme="minorHAnsi" w:eastAsiaTheme="minorHAnsi" w:hAnsiTheme="minorHAnsi" w:cstheme="minorHAnsi"/>
                  <w:b/>
                  <w:color w:val="0000FF" w:themeColor="hyperlink"/>
                  <w:sz w:val="22"/>
                  <w:szCs w:val="22"/>
                  <w:u w:val="single"/>
                  <w:lang w:eastAsia="en-US"/>
                </w:rPr>
                <w:t>Tasmania Police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http://www.police.tas.gov.au/</w:t>
            </w:r>
            <w:r w:rsidR="001A0CDA" w:rsidRPr="001A0CDA">
              <w:rPr>
                <w:rFonts w:asciiTheme="minorHAnsi" w:eastAsiaTheme="minorHAnsi" w:hAnsiTheme="minorHAnsi" w:cstheme="minorHAnsi"/>
                <w:sz w:val="22"/>
                <w:szCs w:val="22"/>
                <w:lang w:eastAsia="en-US"/>
              </w:rPr>
              <w:t xml:space="preserve">) </w:t>
            </w:r>
          </w:p>
          <w:p w14:paraId="183AE7C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In Tasmania, a criminal records check can be applied for through the Tasmanian Police. Details of the application process are available on the police website.</w:t>
            </w:r>
          </w:p>
        </w:tc>
      </w:tr>
      <w:tr w:rsidR="001A0CDA" w:rsidRPr="001A0CDA" w14:paraId="0D1544D0" w14:textId="77777777" w:rsidTr="008E6B64">
        <w:tc>
          <w:tcPr>
            <w:tcW w:w="2830" w:type="dxa"/>
          </w:tcPr>
          <w:p w14:paraId="3ABF8E6A"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lastRenderedPageBreak/>
              <w:t>South Australia</w:t>
            </w:r>
          </w:p>
        </w:tc>
        <w:tc>
          <w:tcPr>
            <w:tcW w:w="6186" w:type="dxa"/>
          </w:tcPr>
          <w:p w14:paraId="61C75E2F" w14:textId="77D448EB"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4" w:history="1">
              <w:r w:rsidR="001A0CDA" w:rsidRPr="001A0CDA">
                <w:rPr>
                  <w:rFonts w:asciiTheme="minorHAnsi" w:eastAsiaTheme="minorHAnsi" w:hAnsiTheme="minorHAnsi" w:cstheme="minorHAnsi"/>
                  <w:b/>
                  <w:color w:val="0000FF" w:themeColor="hyperlink"/>
                  <w:sz w:val="22"/>
                  <w:szCs w:val="22"/>
                  <w:u w:val="single"/>
                  <w:lang w:eastAsia="en-US"/>
                </w:rPr>
                <w:t>South Australia Police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http://www.police.sa.gov.au/</w:t>
            </w:r>
            <w:r w:rsidR="001A0CDA" w:rsidRPr="001A0CDA">
              <w:rPr>
                <w:rFonts w:asciiTheme="minorHAnsi" w:eastAsiaTheme="minorHAnsi" w:hAnsiTheme="minorHAnsi" w:cstheme="minorHAnsi"/>
                <w:sz w:val="22"/>
                <w:szCs w:val="22"/>
                <w:lang w:eastAsia="en-US"/>
              </w:rPr>
              <w:t xml:space="preserve">) </w:t>
            </w:r>
          </w:p>
          <w:p w14:paraId="38751D92"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In South Australia, a criminal records check can be applied for through the South Australian Police. Application forms and details about the application process are available on the police website</w:t>
            </w:r>
          </w:p>
          <w:p w14:paraId="7FFC4479" w14:textId="1B6DF695"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5" w:history="1">
              <w:r w:rsidR="001A0CDA" w:rsidRPr="001A0CDA">
                <w:rPr>
                  <w:rFonts w:asciiTheme="minorHAnsi" w:eastAsiaTheme="minorHAnsi" w:hAnsiTheme="minorHAnsi" w:cstheme="minorHAnsi"/>
                  <w:b/>
                  <w:color w:val="0000FF" w:themeColor="hyperlink"/>
                  <w:sz w:val="22"/>
                  <w:szCs w:val="22"/>
                  <w:u w:val="single"/>
                  <w:lang w:eastAsia="en-US"/>
                </w:rPr>
                <w:t>Departmen</w:t>
              </w:r>
              <w:r w:rsidR="001A0CDA" w:rsidRPr="001A0CDA">
                <w:rPr>
                  <w:rFonts w:asciiTheme="minorHAnsi" w:eastAsiaTheme="minorHAnsi" w:hAnsiTheme="minorHAnsi" w:cstheme="minorHAnsi"/>
                  <w:color w:val="0000FF" w:themeColor="hyperlink"/>
                  <w:sz w:val="22"/>
                  <w:szCs w:val="22"/>
                  <w:u w:val="single"/>
                  <w:lang w:eastAsia="en-US"/>
                </w:rPr>
                <w:t>t</w:t>
              </w:r>
              <w:r w:rsidR="001A0CDA" w:rsidRPr="001A0CDA">
                <w:rPr>
                  <w:rFonts w:asciiTheme="minorHAnsi" w:eastAsiaTheme="minorHAnsi" w:hAnsiTheme="minorHAnsi" w:cstheme="minorHAnsi"/>
                  <w:b/>
                  <w:color w:val="0000FF" w:themeColor="hyperlink"/>
                  <w:sz w:val="22"/>
                  <w:szCs w:val="22"/>
                  <w:u w:val="single"/>
                  <w:lang w:eastAsia="en-US"/>
                </w:rPr>
                <w:t xml:space="preserve"> of Communities and Social Inclusion (DCSI)</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http://www.dcsi.sa.gov.au/</w:t>
            </w:r>
            <w:r w:rsidR="001A0CDA" w:rsidRPr="001A0CDA">
              <w:rPr>
                <w:rFonts w:asciiTheme="minorHAnsi" w:eastAsiaTheme="minorHAnsi" w:hAnsiTheme="minorHAnsi" w:cstheme="minorHAnsi"/>
                <w:sz w:val="22"/>
                <w:szCs w:val="22"/>
                <w:lang w:eastAsia="en-US"/>
              </w:rPr>
              <w:t xml:space="preserve">) </w:t>
            </w:r>
          </w:p>
          <w:p w14:paraId="0BDBDF61"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 xml:space="preserve">Organisations requiring child-related employment screening may apply to have the screening conducted by the </w:t>
            </w:r>
            <w:proofErr w:type="spellStart"/>
            <w:r w:rsidRPr="001A0CDA">
              <w:rPr>
                <w:rFonts w:asciiTheme="minorHAnsi" w:eastAsiaTheme="minorHAnsi" w:hAnsiTheme="minorHAnsi" w:cstheme="minorHAnsi"/>
                <w:sz w:val="22"/>
                <w:szCs w:val="22"/>
                <w:lang w:eastAsia="en-US"/>
              </w:rPr>
              <w:t>DCSI</w:t>
            </w:r>
            <w:proofErr w:type="spellEnd"/>
            <w:r w:rsidRPr="001A0CDA">
              <w:rPr>
                <w:rFonts w:asciiTheme="minorHAnsi" w:eastAsiaTheme="minorHAnsi" w:hAnsiTheme="minorHAnsi" w:cstheme="minorHAnsi"/>
                <w:sz w:val="22"/>
                <w:szCs w:val="22"/>
                <w:lang w:eastAsia="en-US"/>
              </w:rPr>
              <w:t xml:space="preserve"> or another authorised screening unit. Information about child-related employment screening, disability services employment screening, vulnerable person-related employment screening, aged care sector employment screening, and employment probity screening is available on the </w:t>
            </w:r>
            <w:proofErr w:type="spellStart"/>
            <w:r w:rsidRPr="001A0CDA">
              <w:rPr>
                <w:rFonts w:asciiTheme="minorHAnsi" w:eastAsiaTheme="minorHAnsi" w:hAnsiTheme="minorHAnsi" w:cstheme="minorHAnsi"/>
                <w:sz w:val="22"/>
                <w:szCs w:val="22"/>
                <w:lang w:eastAsia="en-US"/>
              </w:rPr>
              <w:t>DCSI</w:t>
            </w:r>
            <w:proofErr w:type="spellEnd"/>
            <w:r w:rsidRPr="001A0CDA">
              <w:rPr>
                <w:rFonts w:asciiTheme="minorHAnsi" w:eastAsiaTheme="minorHAnsi" w:hAnsiTheme="minorHAnsi" w:cstheme="minorHAnsi"/>
                <w:sz w:val="22"/>
                <w:szCs w:val="22"/>
                <w:lang w:eastAsia="en-US"/>
              </w:rPr>
              <w:t xml:space="preserve"> website.</w:t>
            </w:r>
          </w:p>
        </w:tc>
      </w:tr>
      <w:tr w:rsidR="001A0CDA" w:rsidRPr="001A0CDA" w14:paraId="18692932" w14:textId="77777777" w:rsidTr="008E6B64">
        <w:tc>
          <w:tcPr>
            <w:tcW w:w="2830" w:type="dxa"/>
          </w:tcPr>
          <w:p w14:paraId="03FD985D"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Northern Territory</w:t>
            </w:r>
          </w:p>
        </w:tc>
        <w:tc>
          <w:tcPr>
            <w:tcW w:w="6186" w:type="dxa"/>
          </w:tcPr>
          <w:p w14:paraId="32CACF20" w14:textId="792A6731" w:rsidR="001A0CDA" w:rsidRPr="001A0CDA" w:rsidRDefault="00D42EF1" w:rsidP="001A0CDA">
            <w:pPr>
              <w:spacing w:after="200" w:line="276" w:lineRule="auto"/>
              <w:rPr>
                <w:rFonts w:asciiTheme="minorHAnsi" w:eastAsiaTheme="minorHAnsi" w:hAnsiTheme="minorHAnsi" w:cstheme="minorHAnsi"/>
                <w:sz w:val="22"/>
                <w:szCs w:val="22"/>
                <w:lang w:eastAsia="en-US"/>
              </w:rPr>
            </w:pPr>
            <w:hyperlink r:id="rId26" w:history="1">
              <w:r w:rsidR="001A0CDA" w:rsidRPr="001A0CDA">
                <w:rPr>
                  <w:rFonts w:asciiTheme="minorHAnsi" w:eastAsiaTheme="minorHAnsi" w:hAnsiTheme="minorHAnsi" w:cstheme="minorHAnsi"/>
                  <w:b/>
                  <w:color w:val="0000FF" w:themeColor="hyperlink"/>
                  <w:sz w:val="22"/>
                  <w:szCs w:val="22"/>
                  <w:u w:val="single"/>
                  <w:lang w:eastAsia="en-US"/>
                </w:rPr>
                <w:t>Northern Territory Police</w:t>
              </w:r>
            </w:hyperlink>
            <w:r w:rsidR="001A0CDA" w:rsidRPr="001A0CDA">
              <w:rPr>
                <w:rFonts w:asciiTheme="minorHAnsi" w:eastAsiaTheme="minorHAnsi" w:hAnsiTheme="minorHAnsi" w:cstheme="minorHAnsi"/>
                <w:sz w:val="22"/>
                <w:szCs w:val="22"/>
                <w:lang w:eastAsia="en-US"/>
              </w:rPr>
              <w:t xml:space="preserve"> (</w:t>
            </w:r>
            <w:r w:rsidR="001A0CDA" w:rsidRPr="00407146">
              <w:rPr>
                <w:rFonts w:asciiTheme="minorHAnsi" w:eastAsiaTheme="minorHAnsi" w:hAnsiTheme="minorHAnsi" w:cstheme="minorHAnsi"/>
                <w:sz w:val="22"/>
                <w:szCs w:val="22"/>
                <w:lang w:eastAsia="en-US"/>
              </w:rPr>
              <w:t>http://www.pfes.nt.gov.au/</w:t>
            </w:r>
            <w:r w:rsidR="001A0CDA" w:rsidRPr="001A0CDA">
              <w:rPr>
                <w:rFonts w:asciiTheme="minorHAnsi" w:eastAsiaTheme="minorHAnsi" w:hAnsiTheme="minorHAnsi" w:cstheme="minorHAnsi"/>
                <w:sz w:val="22"/>
                <w:szCs w:val="22"/>
                <w:lang w:eastAsia="en-US"/>
              </w:rPr>
              <w:t xml:space="preserve">) </w:t>
            </w:r>
          </w:p>
          <w:p w14:paraId="2978BFF7" w14:textId="77777777" w:rsidR="001A0CDA" w:rsidRPr="001A0CDA" w:rsidRDefault="001A0CDA" w:rsidP="001A0CDA">
            <w:pPr>
              <w:spacing w:after="200" w:line="276" w:lineRule="auto"/>
              <w:rPr>
                <w:rFonts w:asciiTheme="minorHAnsi" w:eastAsiaTheme="minorHAnsi" w:hAnsiTheme="minorHAnsi" w:cstheme="minorHAnsi"/>
                <w:sz w:val="22"/>
                <w:szCs w:val="22"/>
                <w:lang w:eastAsia="en-US"/>
              </w:rPr>
            </w:pPr>
            <w:r w:rsidRPr="001A0CDA">
              <w:rPr>
                <w:rFonts w:asciiTheme="minorHAnsi" w:eastAsiaTheme="minorHAnsi" w:hAnsiTheme="minorHAnsi" w:cstheme="minorHAnsi"/>
                <w:sz w:val="22"/>
                <w:szCs w:val="22"/>
                <w:lang w:eastAsia="en-US"/>
              </w:rPr>
              <w:t>The Northern Territory Police conduct criminal records checks and Working with Children’s checks. Online application forms, as well as details about the application process, are available on the Northern Territory Police website.</w:t>
            </w:r>
          </w:p>
        </w:tc>
      </w:tr>
    </w:tbl>
    <w:p w14:paraId="1211DC58" w14:textId="77777777" w:rsidR="003A3117" w:rsidRDefault="003A3117" w:rsidP="000D3D6D"/>
    <w:sectPr w:rsidR="003A3117" w:rsidSect="003249C6">
      <w:headerReference w:type="even" r:id="rId27"/>
      <w:headerReference w:type="default" r:id="rId28"/>
      <w:footerReference w:type="even" r:id="rId29"/>
      <w:footerReference w:type="default" r:id="rId30"/>
      <w:headerReference w:type="first" r:id="rId31"/>
      <w:footerReference w:type="first" r:id="rId32"/>
      <w:pgSz w:w="11906" w:h="16838"/>
      <w:pgMar w:top="851" w:right="992" w:bottom="851" w:left="992"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C3E1D" w14:textId="77777777" w:rsidR="008231A4" w:rsidRDefault="008231A4" w:rsidP="002A593A">
      <w:r>
        <w:separator/>
      </w:r>
    </w:p>
  </w:endnote>
  <w:endnote w:type="continuationSeparator" w:id="0">
    <w:p w14:paraId="7D7EC1E2" w14:textId="77777777" w:rsidR="008231A4" w:rsidRDefault="008231A4" w:rsidP="002A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D652" w14:textId="77777777" w:rsidR="00D42EF1" w:rsidRDefault="00D42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13FE" w14:textId="525BCEC9" w:rsidR="00460610" w:rsidRPr="00D42EF1" w:rsidRDefault="00460610" w:rsidP="00460610">
    <w:pPr>
      <w:pStyle w:val="Footer"/>
      <w:rPr>
        <w:color w:val="808080" w:themeColor="background1" w:themeShade="80"/>
        <w:sz w:val="16"/>
        <w:szCs w:val="16"/>
      </w:rPr>
    </w:pPr>
    <w:r w:rsidRPr="00D42EF1">
      <w:rPr>
        <w:color w:val="808080" w:themeColor="background1" w:themeShade="80"/>
        <w:sz w:val="16"/>
        <w:szCs w:val="16"/>
      </w:rPr>
      <w:t>Criminal Records Checks Guidelines</w:t>
    </w:r>
    <w:r w:rsidR="002225FE" w:rsidRPr="00D42EF1">
      <w:rPr>
        <w:color w:val="808080" w:themeColor="background1" w:themeShade="80"/>
        <w:sz w:val="16"/>
        <w:szCs w:val="16"/>
      </w:rPr>
      <w:t xml:space="preserve"> </w:t>
    </w:r>
  </w:p>
  <w:p w14:paraId="0BA2D6CF" w14:textId="17BF9421" w:rsidR="00460610" w:rsidRPr="00D42EF1" w:rsidRDefault="00D42EF1" w:rsidP="00460610">
    <w:pPr>
      <w:pStyle w:val="Footer"/>
      <w:rPr>
        <w:color w:val="808080" w:themeColor="background1" w:themeShade="80"/>
        <w:sz w:val="16"/>
        <w:szCs w:val="16"/>
      </w:rPr>
    </w:pPr>
    <w:r w:rsidRPr="00D42EF1">
      <w:rPr>
        <w:color w:val="808080" w:themeColor="background1" w:themeShade="80"/>
        <w:sz w:val="16"/>
        <w:szCs w:val="16"/>
      </w:rPr>
      <w:t xml:space="preserve">TRIM ID: </w:t>
    </w:r>
    <w:proofErr w:type="spellStart"/>
    <w:r w:rsidRPr="00D42EF1">
      <w:rPr>
        <w:color w:val="808080" w:themeColor="background1" w:themeShade="80"/>
        <w:sz w:val="16"/>
        <w:szCs w:val="16"/>
      </w:rPr>
      <w:t>D18</w:t>
    </w:r>
    <w:proofErr w:type="spellEnd"/>
    <w:r w:rsidRPr="00D42EF1">
      <w:rPr>
        <w:color w:val="808080" w:themeColor="background1" w:themeShade="80"/>
        <w:sz w:val="16"/>
        <w:szCs w:val="16"/>
      </w:rPr>
      <w:t>/2327</w:t>
    </w:r>
    <w:bookmarkStart w:id="43" w:name="_GoBack"/>
    <w:bookmarkEnd w:id="43"/>
    <w:r w:rsidRPr="00D42EF1">
      <w:rPr>
        <w:color w:val="808080" w:themeColor="background1" w:themeShade="80"/>
        <w:sz w:val="16"/>
        <w:szCs w:val="16"/>
      </w:rPr>
      <w:t>67</w:t>
    </w:r>
  </w:p>
  <w:p w14:paraId="01178D62" w14:textId="04FF09FD" w:rsidR="00460610" w:rsidRPr="00D42EF1" w:rsidRDefault="007C70C8" w:rsidP="00460610">
    <w:pPr>
      <w:pStyle w:val="Footer"/>
      <w:rPr>
        <w:color w:val="808080" w:themeColor="background1" w:themeShade="80"/>
        <w:sz w:val="16"/>
        <w:szCs w:val="16"/>
      </w:rPr>
    </w:pPr>
    <w:r w:rsidRPr="00D42EF1">
      <w:rPr>
        <w:color w:val="808080" w:themeColor="background1" w:themeShade="80"/>
        <w:sz w:val="16"/>
        <w:szCs w:val="16"/>
      </w:rPr>
      <w:t xml:space="preserve">Arc Record number: </w:t>
    </w:r>
    <w:proofErr w:type="spellStart"/>
    <w:r w:rsidRPr="00D42EF1">
      <w:rPr>
        <w:color w:val="808080" w:themeColor="background1" w:themeShade="80"/>
        <w:sz w:val="16"/>
        <w:szCs w:val="16"/>
      </w:rPr>
      <w:t>D18</w:t>
    </w:r>
    <w:proofErr w:type="spellEnd"/>
    <w:r w:rsidRPr="00D42EF1">
      <w:rPr>
        <w:color w:val="808080" w:themeColor="background1" w:themeShade="80"/>
        <w:sz w:val="16"/>
        <w:szCs w:val="16"/>
      </w:rPr>
      <w:t>/349988</w:t>
    </w:r>
    <w:r w:rsidR="00460610" w:rsidRPr="00D42EF1">
      <w:rPr>
        <w:color w:val="808080" w:themeColor="background1" w:themeShade="80"/>
        <w:sz w:val="16"/>
        <w:szCs w:val="16"/>
      </w:rPr>
      <w:tab/>
    </w:r>
    <w:r w:rsidR="00460610" w:rsidRPr="00D42EF1">
      <w:rPr>
        <w:color w:val="808080" w:themeColor="background1" w:themeShade="80"/>
        <w:sz w:val="16"/>
        <w:szCs w:val="16"/>
      </w:rPr>
      <w:tab/>
      <w:t>Effective Date: 1 July 2018</w:t>
    </w:r>
    <w:r w:rsidR="00460610" w:rsidRPr="00D42EF1">
      <w:rPr>
        <w:color w:val="808080" w:themeColor="background1" w:themeShade="80"/>
        <w:sz w:val="16"/>
        <w:szCs w:val="16"/>
      </w:rPr>
      <w:tab/>
    </w:r>
  </w:p>
  <w:p w14:paraId="4C4E846B" w14:textId="2BA271EF" w:rsidR="0050366A" w:rsidRPr="00D42EF1" w:rsidRDefault="003249C6" w:rsidP="00D42EF1">
    <w:pPr>
      <w:pStyle w:val="Footer"/>
      <w:jc w:val="center"/>
      <w:rPr>
        <w:color w:val="808080" w:themeColor="background1" w:themeShade="80"/>
        <w:sz w:val="16"/>
        <w:szCs w:val="16"/>
      </w:rPr>
    </w:pPr>
    <w:r w:rsidRPr="00D42EF1">
      <w:rPr>
        <w:color w:val="808080" w:themeColor="background1" w:themeShade="80"/>
        <w:sz w:val="16"/>
        <w:szCs w:val="16"/>
      </w:rPr>
      <w:fldChar w:fldCharType="begin"/>
    </w:r>
    <w:r w:rsidRPr="00D42EF1">
      <w:rPr>
        <w:color w:val="808080" w:themeColor="background1" w:themeShade="80"/>
        <w:sz w:val="16"/>
        <w:szCs w:val="16"/>
      </w:rPr>
      <w:instrText xml:space="preserve"> PAGE  \* Arabic  \* MERGEFORMAT </w:instrText>
    </w:r>
    <w:r w:rsidRPr="00D42EF1">
      <w:rPr>
        <w:color w:val="808080" w:themeColor="background1" w:themeShade="80"/>
        <w:sz w:val="16"/>
        <w:szCs w:val="16"/>
      </w:rPr>
      <w:fldChar w:fldCharType="separate"/>
    </w:r>
    <w:r w:rsidR="00D42EF1">
      <w:rPr>
        <w:noProof/>
        <w:color w:val="808080" w:themeColor="background1" w:themeShade="80"/>
        <w:sz w:val="16"/>
        <w:szCs w:val="16"/>
      </w:rPr>
      <w:t>9</w:t>
    </w:r>
    <w:r w:rsidRPr="00D42EF1">
      <w:rPr>
        <w:color w:val="808080" w:themeColor="background1" w:themeShade="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A926" w14:textId="77777777" w:rsidR="00A47C77" w:rsidRPr="00D42EF1" w:rsidRDefault="00A47C77" w:rsidP="00A47C77">
    <w:pPr>
      <w:pStyle w:val="Footer"/>
      <w:rPr>
        <w:color w:val="808080" w:themeColor="background1" w:themeShade="80"/>
        <w:sz w:val="16"/>
        <w:szCs w:val="16"/>
      </w:rPr>
    </w:pPr>
    <w:r w:rsidRPr="00D42EF1">
      <w:rPr>
        <w:color w:val="808080" w:themeColor="background1" w:themeShade="80"/>
        <w:sz w:val="16"/>
        <w:szCs w:val="16"/>
      </w:rPr>
      <w:t xml:space="preserve">Criminal Records Checks Guidelines </w:t>
    </w:r>
  </w:p>
  <w:p w14:paraId="0602E87B" w14:textId="6E2C7931" w:rsidR="00A47C77" w:rsidRPr="00D42EF1" w:rsidRDefault="00D42EF1" w:rsidP="00A47C77">
    <w:pPr>
      <w:pStyle w:val="Footer"/>
      <w:rPr>
        <w:color w:val="808080" w:themeColor="background1" w:themeShade="80"/>
        <w:sz w:val="16"/>
        <w:szCs w:val="16"/>
      </w:rPr>
    </w:pPr>
    <w:r w:rsidRPr="00D42EF1">
      <w:rPr>
        <w:color w:val="808080" w:themeColor="background1" w:themeShade="80"/>
        <w:sz w:val="16"/>
        <w:szCs w:val="16"/>
      </w:rPr>
      <w:t xml:space="preserve">TRIM ID: </w:t>
    </w:r>
    <w:proofErr w:type="spellStart"/>
    <w:r w:rsidRPr="00D42EF1">
      <w:rPr>
        <w:color w:val="808080" w:themeColor="background1" w:themeShade="80"/>
        <w:sz w:val="16"/>
        <w:szCs w:val="16"/>
      </w:rPr>
      <w:t>D18</w:t>
    </w:r>
    <w:proofErr w:type="spellEnd"/>
    <w:r w:rsidRPr="00D42EF1">
      <w:rPr>
        <w:color w:val="808080" w:themeColor="background1" w:themeShade="80"/>
        <w:sz w:val="16"/>
        <w:szCs w:val="16"/>
      </w:rPr>
      <w:t>/232767</w:t>
    </w:r>
  </w:p>
  <w:p w14:paraId="75B3919A" w14:textId="389D69B6" w:rsidR="00C35946" w:rsidRPr="00D42EF1" w:rsidRDefault="00A47C77" w:rsidP="00A47C77">
    <w:pPr>
      <w:pStyle w:val="Footer"/>
      <w:rPr>
        <w:color w:val="808080" w:themeColor="background1" w:themeShade="80"/>
        <w:sz w:val="16"/>
        <w:szCs w:val="16"/>
      </w:rPr>
    </w:pPr>
    <w:r w:rsidRPr="00D42EF1">
      <w:rPr>
        <w:color w:val="808080" w:themeColor="background1" w:themeShade="80"/>
        <w:sz w:val="16"/>
        <w:szCs w:val="16"/>
      </w:rPr>
      <w:t xml:space="preserve">Arc Record number: </w:t>
    </w:r>
    <w:proofErr w:type="spellStart"/>
    <w:r w:rsidRPr="00D42EF1">
      <w:rPr>
        <w:color w:val="808080" w:themeColor="background1" w:themeShade="80"/>
        <w:sz w:val="16"/>
        <w:szCs w:val="16"/>
      </w:rPr>
      <w:t>D18</w:t>
    </w:r>
    <w:proofErr w:type="spellEnd"/>
    <w:r w:rsidRPr="00D42EF1">
      <w:rPr>
        <w:color w:val="808080" w:themeColor="background1" w:themeShade="80"/>
        <w:sz w:val="16"/>
        <w:szCs w:val="16"/>
      </w:rPr>
      <w:t>/349988</w:t>
    </w:r>
    <w:r w:rsidRPr="00D42EF1">
      <w:rPr>
        <w:color w:val="808080" w:themeColor="background1" w:themeShade="80"/>
        <w:sz w:val="16"/>
        <w:szCs w:val="16"/>
      </w:rPr>
      <w:tab/>
    </w:r>
    <w:r w:rsidRPr="00D42EF1">
      <w:rPr>
        <w:color w:val="808080" w:themeColor="background1" w:themeShade="80"/>
        <w:sz w:val="16"/>
        <w:szCs w:val="16"/>
      </w:rPr>
      <w:tab/>
      <w:t>Effective Date: 1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D7E77" w14:textId="77777777" w:rsidR="008231A4" w:rsidRDefault="008231A4" w:rsidP="002A593A">
      <w:r>
        <w:separator/>
      </w:r>
    </w:p>
  </w:footnote>
  <w:footnote w:type="continuationSeparator" w:id="0">
    <w:p w14:paraId="68357B36" w14:textId="77777777" w:rsidR="008231A4" w:rsidRDefault="008231A4" w:rsidP="002A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F3F4" w14:textId="77777777" w:rsidR="00D42EF1" w:rsidRDefault="00D42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A5A8D" w14:textId="77777777" w:rsidR="00D42EF1" w:rsidRDefault="00D42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EF6B" w14:textId="77777777" w:rsidR="00D42EF1" w:rsidRDefault="00D42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A55"/>
    <w:multiLevelType w:val="hybridMultilevel"/>
    <w:tmpl w:val="7A20BCBA"/>
    <w:lvl w:ilvl="0" w:tplc="312CB584">
      <w:start w:val="1"/>
      <w:numFmt w:val="bullet"/>
      <w:lvlText w:val=""/>
      <w:lvlJc w:val="left"/>
      <w:pPr>
        <w:tabs>
          <w:tab w:val="num" w:pos="720"/>
        </w:tabs>
        <w:ind w:left="720" w:hanging="360"/>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B7148"/>
    <w:multiLevelType w:val="hybridMultilevel"/>
    <w:tmpl w:val="66A2B9BE"/>
    <w:lvl w:ilvl="0" w:tplc="0C090003">
      <w:start w:val="1"/>
      <w:numFmt w:val="bullet"/>
      <w:lvlText w:val="o"/>
      <w:lvlJc w:val="left"/>
      <w:pPr>
        <w:tabs>
          <w:tab w:val="num" w:pos="1440"/>
        </w:tabs>
        <w:ind w:left="1440" w:hanging="360"/>
      </w:pPr>
      <w:rPr>
        <w:rFonts w:ascii="Courier New" w:hAnsi="Courier New" w:cs="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47665E6">
      <w:start w:val="1"/>
      <w:numFmt w:val="bullet"/>
      <w:lvlText w:val=""/>
      <w:lvlJc w:val="left"/>
      <w:pPr>
        <w:tabs>
          <w:tab w:val="num" w:pos="2160"/>
        </w:tabs>
        <w:ind w:left="2160" w:hanging="360"/>
      </w:pPr>
      <w:rPr>
        <w:rFonts w:ascii="Symbol" w:hAnsi="Symbol" w:hint="default"/>
        <w:b/>
        <w:i w:val="0"/>
        <w:color w:val="000000"/>
        <w:sz w:val="22"/>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174867FF"/>
    <w:multiLevelType w:val="hybridMultilevel"/>
    <w:tmpl w:val="EF308EDE"/>
    <w:lvl w:ilvl="0" w:tplc="FB987DEE">
      <w:start w:val="1"/>
      <w:numFmt w:val="bullet"/>
      <w:lvlText w:val=""/>
      <w:lvlJc w:val="left"/>
      <w:pPr>
        <w:tabs>
          <w:tab w:val="num" w:pos="720"/>
        </w:tabs>
        <w:ind w:left="720" w:hanging="360"/>
      </w:pPr>
      <w:rPr>
        <w:rFonts w:ascii="Symbol" w:hAnsi="Symbol" w:hint="default"/>
        <w:b/>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AEB5DDE"/>
    <w:multiLevelType w:val="hybridMultilevel"/>
    <w:tmpl w:val="D9EE3EDE"/>
    <w:lvl w:ilvl="0" w:tplc="1EFC1494">
      <w:start w:val="1"/>
      <w:numFmt w:val="decimal"/>
      <w:lvlText w:val="%1."/>
      <w:lvlJc w:val="left"/>
      <w:pPr>
        <w:tabs>
          <w:tab w:val="num" w:pos="1080"/>
        </w:tabs>
        <w:ind w:left="1080" w:hanging="360"/>
      </w:pPr>
      <w:rPr>
        <w:rFonts w:ascii="Calibri" w:hAnsi="Calibri" w:hint="default"/>
        <w:b w:val="0"/>
        <w:i w:val="0"/>
        <w:color w:val="000000"/>
        <w:sz w:val="24"/>
        <w:szCs w:val="24"/>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2F8D702E"/>
    <w:multiLevelType w:val="hybridMultilevel"/>
    <w:tmpl w:val="E1A89EC6"/>
    <w:lvl w:ilvl="0" w:tplc="FB987DEE">
      <w:start w:val="1"/>
      <w:numFmt w:val="bullet"/>
      <w:lvlText w:val=""/>
      <w:lvlJc w:val="left"/>
      <w:pPr>
        <w:tabs>
          <w:tab w:val="num" w:pos="720"/>
        </w:tabs>
        <w:ind w:left="720" w:hanging="360"/>
      </w:pPr>
      <w:rPr>
        <w:rFonts w:ascii="Symbol" w:hAnsi="Symbol" w:hint="default"/>
        <w:b/>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0AB5B7B"/>
    <w:multiLevelType w:val="hybridMultilevel"/>
    <w:tmpl w:val="93162EBC"/>
    <w:lvl w:ilvl="0" w:tplc="312CB584">
      <w:start w:val="1"/>
      <w:numFmt w:val="bullet"/>
      <w:lvlText w:val=""/>
      <w:lvlJc w:val="left"/>
      <w:pPr>
        <w:tabs>
          <w:tab w:val="num" w:pos="720"/>
        </w:tabs>
        <w:ind w:left="720" w:hanging="360"/>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4D86D9D"/>
    <w:multiLevelType w:val="hybridMultilevel"/>
    <w:tmpl w:val="D026FD3C"/>
    <w:lvl w:ilvl="0" w:tplc="0C090001">
      <w:start w:val="1"/>
      <w:numFmt w:val="bullet"/>
      <w:lvlText w:val=""/>
      <w:lvlJc w:val="left"/>
      <w:pPr>
        <w:ind w:left="720" w:hanging="360"/>
      </w:pPr>
      <w:rPr>
        <w:rFonts w:ascii="Symbol" w:hAnsi="Symbol" w:hint="default"/>
        <w:b w:val="0"/>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8D6DE6"/>
    <w:multiLevelType w:val="hybridMultilevel"/>
    <w:tmpl w:val="A0D24710"/>
    <w:lvl w:ilvl="0" w:tplc="53043A1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EB1481"/>
    <w:multiLevelType w:val="hybridMultilevel"/>
    <w:tmpl w:val="9848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43755D"/>
    <w:multiLevelType w:val="hybridMultilevel"/>
    <w:tmpl w:val="7FE86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7220DA"/>
    <w:multiLevelType w:val="hybridMultilevel"/>
    <w:tmpl w:val="AD82FAE6"/>
    <w:lvl w:ilvl="0" w:tplc="FB987DEE">
      <w:start w:val="1"/>
      <w:numFmt w:val="bullet"/>
      <w:lvlText w:val=""/>
      <w:lvlJc w:val="left"/>
      <w:pPr>
        <w:tabs>
          <w:tab w:val="num" w:pos="720"/>
        </w:tabs>
        <w:ind w:left="720" w:hanging="360"/>
      </w:pPr>
      <w:rPr>
        <w:rFonts w:ascii="Symbol" w:hAnsi="Symbol" w:hint="default"/>
        <w:b/>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B327E3"/>
    <w:multiLevelType w:val="hybridMultilevel"/>
    <w:tmpl w:val="12AED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DE2D15"/>
    <w:multiLevelType w:val="hybridMultilevel"/>
    <w:tmpl w:val="BC685594"/>
    <w:lvl w:ilvl="0" w:tplc="FB987DEE">
      <w:start w:val="1"/>
      <w:numFmt w:val="bullet"/>
      <w:lvlText w:val=""/>
      <w:lvlJc w:val="left"/>
      <w:pPr>
        <w:tabs>
          <w:tab w:val="num" w:pos="720"/>
        </w:tabs>
        <w:ind w:left="720" w:hanging="360"/>
      </w:pPr>
      <w:rPr>
        <w:rFonts w:ascii="Symbol" w:hAnsi="Symbol" w:hint="default"/>
        <w:b/>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13A0B95"/>
    <w:multiLevelType w:val="hybridMultilevel"/>
    <w:tmpl w:val="06CE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1"/>
  </w:num>
  <w:num w:numId="5">
    <w:abstractNumId w:val="4"/>
  </w:num>
  <w:num w:numId="6">
    <w:abstractNumId w:val="0"/>
  </w:num>
  <w:num w:numId="7">
    <w:abstractNumId w:val="6"/>
  </w:num>
  <w:num w:numId="8">
    <w:abstractNumId w:val="8"/>
  </w:num>
  <w:num w:numId="9">
    <w:abstractNumId w:val="2"/>
  </w:num>
  <w:num w:numId="10">
    <w:abstractNumId w:val="7"/>
  </w:num>
  <w:num w:numId="11">
    <w:abstractNumId w:val="10"/>
  </w:num>
  <w:num w:numId="12">
    <w:abstractNumId w:val="12"/>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0"/>
    <w:rsid w:val="00003F08"/>
    <w:rsid w:val="000078F3"/>
    <w:rsid w:val="00012255"/>
    <w:rsid w:val="0001331A"/>
    <w:rsid w:val="00015E14"/>
    <w:rsid w:val="00020F05"/>
    <w:rsid w:val="00063CB5"/>
    <w:rsid w:val="00094443"/>
    <w:rsid w:val="000A150D"/>
    <w:rsid w:val="000B068B"/>
    <w:rsid w:val="000D3D6D"/>
    <w:rsid w:val="000E04CD"/>
    <w:rsid w:val="000E08D6"/>
    <w:rsid w:val="000F4783"/>
    <w:rsid w:val="000F6676"/>
    <w:rsid w:val="00101EC0"/>
    <w:rsid w:val="001205C2"/>
    <w:rsid w:val="00122B73"/>
    <w:rsid w:val="00125E6A"/>
    <w:rsid w:val="00130AEE"/>
    <w:rsid w:val="00132ECE"/>
    <w:rsid w:val="0014460F"/>
    <w:rsid w:val="001600DF"/>
    <w:rsid w:val="00162045"/>
    <w:rsid w:val="001665B6"/>
    <w:rsid w:val="001921A7"/>
    <w:rsid w:val="001A0CDA"/>
    <w:rsid w:val="001A77BB"/>
    <w:rsid w:val="001C1EA5"/>
    <w:rsid w:val="001D4AB2"/>
    <w:rsid w:val="001F19F4"/>
    <w:rsid w:val="001F2AC4"/>
    <w:rsid w:val="002202CA"/>
    <w:rsid w:val="002225FE"/>
    <w:rsid w:val="0023799F"/>
    <w:rsid w:val="00244197"/>
    <w:rsid w:val="002456AA"/>
    <w:rsid w:val="00250146"/>
    <w:rsid w:val="00263DA6"/>
    <w:rsid w:val="00271B57"/>
    <w:rsid w:val="00272495"/>
    <w:rsid w:val="0027484F"/>
    <w:rsid w:val="00296AEC"/>
    <w:rsid w:val="002A4A98"/>
    <w:rsid w:val="002A593A"/>
    <w:rsid w:val="002B1C33"/>
    <w:rsid w:val="002C0F0D"/>
    <w:rsid w:val="002C4F8B"/>
    <w:rsid w:val="002D2D91"/>
    <w:rsid w:val="002E46A0"/>
    <w:rsid w:val="002F6A3B"/>
    <w:rsid w:val="003163F1"/>
    <w:rsid w:val="00320587"/>
    <w:rsid w:val="0032359D"/>
    <w:rsid w:val="003249C6"/>
    <w:rsid w:val="00334302"/>
    <w:rsid w:val="00334DF7"/>
    <w:rsid w:val="0033753F"/>
    <w:rsid w:val="00363416"/>
    <w:rsid w:val="003653F8"/>
    <w:rsid w:val="00367AFE"/>
    <w:rsid w:val="00382817"/>
    <w:rsid w:val="003840DA"/>
    <w:rsid w:val="003A0C28"/>
    <w:rsid w:val="003A3117"/>
    <w:rsid w:val="003C243D"/>
    <w:rsid w:val="003C337C"/>
    <w:rsid w:val="003D714B"/>
    <w:rsid w:val="003E028B"/>
    <w:rsid w:val="003F3CDD"/>
    <w:rsid w:val="004025CB"/>
    <w:rsid w:val="00404D1E"/>
    <w:rsid w:val="00405BC2"/>
    <w:rsid w:val="00407146"/>
    <w:rsid w:val="00412565"/>
    <w:rsid w:val="00422865"/>
    <w:rsid w:val="004255CE"/>
    <w:rsid w:val="004337D8"/>
    <w:rsid w:val="00460610"/>
    <w:rsid w:val="004777EE"/>
    <w:rsid w:val="00482046"/>
    <w:rsid w:val="00485648"/>
    <w:rsid w:val="00492CE1"/>
    <w:rsid w:val="00494967"/>
    <w:rsid w:val="004A2D6D"/>
    <w:rsid w:val="004A2F56"/>
    <w:rsid w:val="004A4B6C"/>
    <w:rsid w:val="004B32B4"/>
    <w:rsid w:val="004B7AE5"/>
    <w:rsid w:val="004D1519"/>
    <w:rsid w:val="004E27D5"/>
    <w:rsid w:val="004E3D2B"/>
    <w:rsid w:val="004F3B80"/>
    <w:rsid w:val="004F75DC"/>
    <w:rsid w:val="00502B0D"/>
    <w:rsid w:val="0050366A"/>
    <w:rsid w:val="00504CBA"/>
    <w:rsid w:val="00512C70"/>
    <w:rsid w:val="00513429"/>
    <w:rsid w:val="00521029"/>
    <w:rsid w:val="00525095"/>
    <w:rsid w:val="00530131"/>
    <w:rsid w:val="005308D1"/>
    <w:rsid w:val="00543F08"/>
    <w:rsid w:val="00550AD3"/>
    <w:rsid w:val="00561D05"/>
    <w:rsid w:val="00562E50"/>
    <w:rsid w:val="00563546"/>
    <w:rsid w:val="00573C43"/>
    <w:rsid w:val="00574CEF"/>
    <w:rsid w:val="00584002"/>
    <w:rsid w:val="005A4610"/>
    <w:rsid w:val="005B33DD"/>
    <w:rsid w:val="005C6DEE"/>
    <w:rsid w:val="005E027F"/>
    <w:rsid w:val="005E23ED"/>
    <w:rsid w:val="005F15E0"/>
    <w:rsid w:val="005F38B2"/>
    <w:rsid w:val="005F4317"/>
    <w:rsid w:val="005F5F2E"/>
    <w:rsid w:val="0060314D"/>
    <w:rsid w:val="00603419"/>
    <w:rsid w:val="00632F6C"/>
    <w:rsid w:val="00636A40"/>
    <w:rsid w:val="00636DD8"/>
    <w:rsid w:val="00644125"/>
    <w:rsid w:val="00647D0D"/>
    <w:rsid w:val="00654DE6"/>
    <w:rsid w:val="006571D5"/>
    <w:rsid w:val="00657CE4"/>
    <w:rsid w:val="006620DD"/>
    <w:rsid w:val="00662263"/>
    <w:rsid w:val="00683D6A"/>
    <w:rsid w:val="0068431C"/>
    <w:rsid w:val="006874DD"/>
    <w:rsid w:val="006B0BC7"/>
    <w:rsid w:val="006B6A8A"/>
    <w:rsid w:val="006C5400"/>
    <w:rsid w:val="006D2281"/>
    <w:rsid w:val="006E26C1"/>
    <w:rsid w:val="006F5BB7"/>
    <w:rsid w:val="0071246E"/>
    <w:rsid w:val="00714137"/>
    <w:rsid w:val="00714B7C"/>
    <w:rsid w:val="00714E44"/>
    <w:rsid w:val="00722472"/>
    <w:rsid w:val="007236D7"/>
    <w:rsid w:val="00725C9E"/>
    <w:rsid w:val="0073200D"/>
    <w:rsid w:val="007321D7"/>
    <w:rsid w:val="00732B46"/>
    <w:rsid w:val="00734241"/>
    <w:rsid w:val="00736DB4"/>
    <w:rsid w:val="00740EF1"/>
    <w:rsid w:val="00740FFD"/>
    <w:rsid w:val="00763FBB"/>
    <w:rsid w:val="007712FC"/>
    <w:rsid w:val="00771896"/>
    <w:rsid w:val="00771FA5"/>
    <w:rsid w:val="00774302"/>
    <w:rsid w:val="007755AB"/>
    <w:rsid w:val="00777F06"/>
    <w:rsid w:val="00791EA3"/>
    <w:rsid w:val="00792872"/>
    <w:rsid w:val="00795244"/>
    <w:rsid w:val="007C1A84"/>
    <w:rsid w:val="007C70C8"/>
    <w:rsid w:val="007D72E4"/>
    <w:rsid w:val="007E49E8"/>
    <w:rsid w:val="007E699E"/>
    <w:rsid w:val="00812244"/>
    <w:rsid w:val="00821FD1"/>
    <w:rsid w:val="008231A4"/>
    <w:rsid w:val="00826546"/>
    <w:rsid w:val="00826C97"/>
    <w:rsid w:val="00832923"/>
    <w:rsid w:val="00832E6D"/>
    <w:rsid w:val="00833C83"/>
    <w:rsid w:val="00836CE5"/>
    <w:rsid w:val="00843DC1"/>
    <w:rsid w:val="00845FDA"/>
    <w:rsid w:val="0085087C"/>
    <w:rsid w:val="00874208"/>
    <w:rsid w:val="00881038"/>
    <w:rsid w:val="00882806"/>
    <w:rsid w:val="00885393"/>
    <w:rsid w:val="00897C6E"/>
    <w:rsid w:val="008A25D3"/>
    <w:rsid w:val="008B0586"/>
    <w:rsid w:val="008B0692"/>
    <w:rsid w:val="008B080F"/>
    <w:rsid w:val="008B2BFD"/>
    <w:rsid w:val="008B35D6"/>
    <w:rsid w:val="008B7D88"/>
    <w:rsid w:val="008C0740"/>
    <w:rsid w:val="008C1ED2"/>
    <w:rsid w:val="008D3870"/>
    <w:rsid w:val="008E0B8E"/>
    <w:rsid w:val="008E672B"/>
    <w:rsid w:val="00900190"/>
    <w:rsid w:val="00914833"/>
    <w:rsid w:val="00925ECF"/>
    <w:rsid w:val="009317F3"/>
    <w:rsid w:val="00931F8A"/>
    <w:rsid w:val="009445AE"/>
    <w:rsid w:val="00947AFA"/>
    <w:rsid w:val="00956869"/>
    <w:rsid w:val="00957C18"/>
    <w:rsid w:val="009675BD"/>
    <w:rsid w:val="009703F8"/>
    <w:rsid w:val="00970F2D"/>
    <w:rsid w:val="00974FF1"/>
    <w:rsid w:val="00977387"/>
    <w:rsid w:val="00986BAC"/>
    <w:rsid w:val="009908DD"/>
    <w:rsid w:val="00994127"/>
    <w:rsid w:val="009A0B1F"/>
    <w:rsid w:val="009A4DD0"/>
    <w:rsid w:val="009C15A1"/>
    <w:rsid w:val="009C3B85"/>
    <w:rsid w:val="009E259A"/>
    <w:rsid w:val="009E399C"/>
    <w:rsid w:val="00A048F6"/>
    <w:rsid w:val="00A15B0C"/>
    <w:rsid w:val="00A24297"/>
    <w:rsid w:val="00A33CFB"/>
    <w:rsid w:val="00A34119"/>
    <w:rsid w:val="00A403A4"/>
    <w:rsid w:val="00A4688A"/>
    <w:rsid w:val="00A47C77"/>
    <w:rsid w:val="00A52219"/>
    <w:rsid w:val="00A5594A"/>
    <w:rsid w:val="00A635FA"/>
    <w:rsid w:val="00A7551B"/>
    <w:rsid w:val="00A77F61"/>
    <w:rsid w:val="00A924E7"/>
    <w:rsid w:val="00AA27CE"/>
    <w:rsid w:val="00AB63C9"/>
    <w:rsid w:val="00AC20A4"/>
    <w:rsid w:val="00AD5607"/>
    <w:rsid w:val="00AF2E19"/>
    <w:rsid w:val="00B03A82"/>
    <w:rsid w:val="00B27B20"/>
    <w:rsid w:val="00B46187"/>
    <w:rsid w:val="00B464C2"/>
    <w:rsid w:val="00B72CBA"/>
    <w:rsid w:val="00B7371C"/>
    <w:rsid w:val="00B817CF"/>
    <w:rsid w:val="00B82F90"/>
    <w:rsid w:val="00BA022B"/>
    <w:rsid w:val="00BA7396"/>
    <w:rsid w:val="00BA7C6A"/>
    <w:rsid w:val="00BB03F2"/>
    <w:rsid w:val="00BB2F91"/>
    <w:rsid w:val="00BB6A4E"/>
    <w:rsid w:val="00BC07C6"/>
    <w:rsid w:val="00BC1293"/>
    <w:rsid w:val="00C00922"/>
    <w:rsid w:val="00C073BE"/>
    <w:rsid w:val="00C13D6E"/>
    <w:rsid w:val="00C17D10"/>
    <w:rsid w:val="00C310F1"/>
    <w:rsid w:val="00C355AC"/>
    <w:rsid w:val="00C35946"/>
    <w:rsid w:val="00C369C1"/>
    <w:rsid w:val="00C434EB"/>
    <w:rsid w:val="00C469CF"/>
    <w:rsid w:val="00C51CD6"/>
    <w:rsid w:val="00C55386"/>
    <w:rsid w:val="00C66E83"/>
    <w:rsid w:val="00C73D51"/>
    <w:rsid w:val="00C97065"/>
    <w:rsid w:val="00C97335"/>
    <w:rsid w:val="00C97DD2"/>
    <w:rsid w:val="00CA0C91"/>
    <w:rsid w:val="00CA4781"/>
    <w:rsid w:val="00CE3665"/>
    <w:rsid w:val="00CE7EC3"/>
    <w:rsid w:val="00CF30DE"/>
    <w:rsid w:val="00CF33A5"/>
    <w:rsid w:val="00CF7541"/>
    <w:rsid w:val="00D1479C"/>
    <w:rsid w:val="00D15951"/>
    <w:rsid w:val="00D16787"/>
    <w:rsid w:val="00D25BD7"/>
    <w:rsid w:val="00D27DBB"/>
    <w:rsid w:val="00D27ECC"/>
    <w:rsid w:val="00D35388"/>
    <w:rsid w:val="00D3705C"/>
    <w:rsid w:val="00D42EF1"/>
    <w:rsid w:val="00D43287"/>
    <w:rsid w:val="00D50ABE"/>
    <w:rsid w:val="00D510E8"/>
    <w:rsid w:val="00D60711"/>
    <w:rsid w:val="00D8612E"/>
    <w:rsid w:val="00DA0DEF"/>
    <w:rsid w:val="00DA414C"/>
    <w:rsid w:val="00DA6E4B"/>
    <w:rsid w:val="00DB2C89"/>
    <w:rsid w:val="00DB4B8E"/>
    <w:rsid w:val="00DB5A81"/>
    <w:rsid w:val="00DC59E6"/>
    <w:rsid w:val="00DD112F"/>
    <w:rsid w:val="00E01155"/>
    <w:rsid w:val="00E051BA"/>
    <w:rsid w:val="00E0663F"/>
    <w:rsid w:val="00E07B69"/>
    <w:rsid w:val="00E520F2"/>
    <w:rsid w:val="00E521A5"/>
    <w:rsid w:val="00E524AA"/>
    <w:rsid w:val="00E52EEE"/>
    <w:rsid w:val="00E63F00"/>
    <w:rsid w:val="00E73463"/>
    <w:rsid w:val="00E843D4"/>
    <w:rsid w:val="00E86AAE"/>
    <w:rsid w:val="00E872E8"/>
    <w:rsid w:val="00E91992"/>
    <w:rsid w:val="00E963FF"/>
    <w:rsid w:val="00E97485"/>
    <w:rsid w:val="00EA117A"/>
    <w:rsid w:val="00EB665D"/>
    <w:rsid w:val="00EC2058"/>
    <w:rsid w:val="00EC23B0"/>
    <w:rsid w:val="00ED32C6"/>
    <w:rsid w:val="00EE07D2"/>
    <w:rsid w:val="00EE3DD4"/>
    <w:rsid w:val="00EF7EB6"/>
    <w:rsid w:val="00F02DCB"/>
    <w:rsid w:val="00F12658"/>
    <w:rsid w:val="00F12B23"/>
    <w:rsid w:val="00F37863"/>
    <w:rsid w:val="00F40940"/>
    <w:rsid w:val="00F5015C"/>
    <w:rsid w:val="00F53042"/>
    <w:rsid w:val="00F54DD3"/>
    <w:rsid w:val="00F55944"/>
    <w:rsid w:val="00F60CAF"/>
    <w:rsid w:val="00F60D57"/>
    <w:rsid w:val="00F84EFD"/>
    <w:rsid w:val="00FA0574"/>
    <w:rsid w:val="00FA081A"/>
    <w:rsid w:val="00FA2395"/>
    <w:rsid w:val="00FB2C23"/>
    <w:rsid w:val="00FB47FD"/>
    <w:rsid w:val="00FD16E8"/>
    <w:rsid w:val="00FD7588"/>
    <w:rsid w:val="00FE3F7D"/>
    <w:rsid w:val="00FE486B"/>
    <w:rsid w:val="00FF7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93"/>
    <w:pPr>
      <w:spacing w:after="0" w:line="240" w:lineRule="auto"/>
    </w:pPr>
    <w:rPr>
      <w:rFonts w:ascii="Calibri" w:eastAsia="Times New Roman" w:hAnsi="Calibri" w:cs="Times New Roman"/>
      <w:sz w:val="24"/>
      <w:szCs w:val="24"/>
      <w:lang w:eastAsia="en-AU"/>
    </w:rPr>
  </w:style>
  <w:style w:type="paragraph" w:styleId="Heading1">
    <w:name w:val="heading 1"/>
    <w:basedOn w:val="Normal"/>
    <w:next w:val="Normal"/>
    <w:link w:val="Heading1Char"/>
    <w:qFormat/>
    <w:rsid w:val="00C66E83"/>
    <w:pPr>
      <w:jc w:val="center"/>
      <w:outlineLvl w:val="0"/>
    </w:pPr>
    <w:rPr>
      <w:rFonts w:cs="Arial"/>
      <w:b/>
      <w:iCs/>
      <w:sz w:val="52"/>
      <w:szCs w:val="26"/>
    </w:rPr>
  </w:style>
  <w:style w:type="paragraph" w:styleId="Heading2">
    <w:name w:val="heading 2"/>
    <w:basedOn w:val="Normal"/>
    <w:next w:val="Normal"/>
    <w:link w:val="Heading2Char"/>
    <w:qFormat/>
    <w:rsid w:val="00885393"/>
    <w:pPr>
      <w:outlineLvl w:val="1"/>
    </w:pPr>
    <w:rPr>
      <w:rFonts w:cs="Arial"/>
      <w:b/>
      <w:color w:val="000000"/>
      <w:sz w:val="36"/>
      <w:szCs w:val="22"/>
    </w:rPr>
  </w:style>
  <w:style w:type="paragraph" w:styleId="Heading3">
    <w:name w:val="heading 3"/>
    <w:basedOn w:val="Normal"/>
    <w:next w:val="Normal"/>
    <w:link w:val="Heading3Char"/>
    <w:uiPriority w:val="9"/>
    <w:unhideWhenUsed/>
    <w:qFormat/>
    <w:rsid w:val="00722472"/>
    <w:pPr>
      <w:keepNext/>
      <w:keepLines/>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E83"/>
    <w:rPr>
      <w:rFonts w:ascii="Calibri" w:eastAsia="Times New Roman" w:hAnsi="Calibri" w:cs="Arial"/>
      <w:b/>
      <w:iCs/>
      <w:sz w:val="52"/>
      <w:szCs w:val="26"/>
      <w:lang w:eastAsia="en-AU"/>
    </w:rPr>
  </w:style>
  <w:style w:type="character" w:customStyle="1" w:styleId="Heading2Char">
    <w:name w:val="Heading 2 Char"/>
    <w:basedOn w:val="DefaultParagraphFont"/>
    <w:link w:val="Heading2"/>
    <w:rsid w:val="00885393"/>
    <w:rPr>
      <w:rFonts w:ascii="Calibri" w:eastAsia="Times New Roman" w:hAnsi="Calibri" w:cs="Arial"/>
      <w:b/>
      <w:color w:val="000000"/>
      <w:sz w:val="36"/>
      <w:lang w:eastAsia="en-AU"/>
    </w:rPr>
  </w:style>
  <w:style w:type="paragraph" w:customStyle="1" w:styleId="TableText9pt">
    <w:name w:val="Table Text (9 pt)"/>
    <w:basedOn w:val="Normal"/>
    <w:rsid w:val="00EC23B0"/>
    <w:pPr>
      <w:spacing w:before="60" w:after="60" w:line="221" w:lineRule="atLeast"/>
    </w:pPr>
    <w:rPr>
      <w:sz w:val="18"/>
      <w:szCs w:val="20"/>
      <w:lang w:val="en-US" w:eastAsia="en-US"/>
    </w:rPr>
  </w:style>
  <w:style w:type="paragraph" w:styleId="CommentText">
    <w:name w:val="annotation text"/>
    <w:basedOn w:val="Normal"/>
    <w:link w:val="CommentTextChar"/>
    <w:semiHidden/>
    <w:rsid w:val="00EC23B0"/>
    <w:rPr>
      <w:sz w:val="20"/>
      <w:szCs w:val="20"/>
    </w:rPr>
  </w:style>
  <w:style w:type="character" w:customStyle="1" w:styleId="CommentTextChar">
    <w:name w:val="Comment Text Char"/>
    <w:basedOn w:val="DefaultParagraphFont"/>
    <w:link w:val="CommentText"/>
    <w:semiHidden/>
    <w:rsid w:val="00EC23B0"/>
    <w:rPr>
      <w:rFonts w:ascii="Calibri" w:eastAsia="Times New Roman" w:hAnsi="Calibri" w:cs="Times New Roman"/>
      <w:sz w:val="20"/>
      <w:szCs w:val="20"/>
      <w:lang w:eastAsia="en-AU"/>
    </w:rPr>
  </w:style>
  <w:style w:type="character" w:styleId="Hyperlink">
    <w:name w:val="Hyperlink"/>
    <w:basedOn w:val="DefaultParagraphFont"/>
    <w:uiPriority w:val="99"/>
    <w:rsid w:val="00EC23B0"/>
    <w:rPr>
      <w:color w:val="0000FF"/>
      <w:u w:val="single"/>
    </w:rPr>
  </w:style>
  <w:style w:type="paragraph" w:customStyle="1" w:styleId="Default">
    <w:name w:val="Default"/>
    <w:rsid w:val="00EC23B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TOC2">
    <w:name w:val="toc 2"/>
    <w:basedOn w:val="Normal"/>
    <w:next w:val="Normal"/>
    <w:autoRedefine/>
    <w:uiPriority w:val="39"/>
    <w:qFormat/>
    <w:rsid w:val="00EC23B0"/>
    <w:pPr>
      <w:spacing w:before="120"/>
      <w:ind w:left="24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EC23B0"/>
    <w:rPr>
      <w:sz w:val="16"/>
      <w:szCs w:val="1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EC23B0"/>
    <w:pPr>
      <w:ind w:left="720"/>
      <w:contextualSpacing/>
    </w:pPr>
  </w:style>
  <w:style w:type="paragraph" w:styleId="Title">
    <w:name w:val="Title"/>
    <w:basedOn w:val="Normal"/>
    <w:next w:val="Normal"/>
    <w:link w:val="TitleChar"/>
    <w:uiPriority w:val="10"/>
    <w:qFormat/>
    <w:rsid w:val="00EC23B0"/>
    <w:pPr>
      <w:outlineLvl w:val="0"/>
    </w:pPr>
    <w:rPr>
      <w:rFonts w:cs="Arial"/>
      <w:b/>
      <w:iCs/>
      <w:color w:val="39B54A"/>
      <w:sz w:val="32"/>
      <w:szCs w:val="36"/>
    </w:rPr>
  </w:style>
  <w:style w:type="character" w:customStyle="1" w:styleId="TitleChar">
    <w:name w:val="Title Char"/>
    <w:basedOn w:val="DefaultParagraphFont"/>
    <w:link w:val="Title"/>
    <w:uiPriority w:val="10"/>
    <w:rsid w:val="00EC23B0"/>
    <w:rPr>
      <w:rFonts w:ascii="Calibri" w:eastAsia="Times New Roman" w:hAnsi="Calibri" w:cs="Arial"/>
      <w:b/>
      <w:iCs/>
      <w:color w:val="39B54A"/>
      <w:sz w:val="32"/>
      <w:szCs w:val="36"/>
      <w:lang w:eastAsia="en-AU"/>
    </w:rPr>
  </w:style>
  <w:style w:type="paragraph" w:styleId="TOCHeading">
    <w:name w:val="TOC Heading"/>
    <w:basedOn w:val="Heading1"/>
    <w:next w:val="Normal"/>
    <w:uiPriority w:val="39"/>
    <w:unhideWhenUsed/>
    <w:qFormat/>
    <w:rsid w:val="00EC23B0"/>
    <w:pPr>
      <w:keepNext/>
      <w:keepLines/>
      <w:spacing w:before="480" w:line="276" w:lineRule="auto"/>
      <w:outlineLvl w:val="9"/>
    </w:pPr>
    <w:rPr>
      <w:rFonts w:asciiTheme="majorHAnsi" w:eastAsiaTheme="majorEastAsia" w:hAnsiTheme="majorHAnsi" w:cstheme="majorBidi"/>
      <w:bCs/>
      <w:iCs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47AFA"/>
    <w:pPr>
      <w:tabs>
        <w:tab w:val="right" w:pos="9912"/>
      </w:tabs>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EC23B0"/>
    <w:pPr>
      <w:ind w:left="4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C23B0"/>
    <w:rPr>
      <w:rFonts w:ascii="Tahoma" w:hAnsi="Tahoma" w:cs="Tahoma"/>
      <w:sz w:val="16"/>
      <w:szCs w:val="16"/>
    </w:rPr>
  </w:style>
  <w:style w:type="character" w:customStyle="1" w:styleId="BalloonTextChar">
    <w:name w:val="Balloon Text Char"/>
    <w:basedOn w:val="DefaultParagraphFont"/>
    <w:link w:val="BalloonText"/>
    <w:uiPriority w:val="99"/>
    <w:semiHidden/>
    <w:rsid w:val="00EC23B0"/>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977387"/>
    <w:rPr>
      <w:color w:val="800080" w:themeColor="followedHyperlink"/>
      <w:u w:val="single"/>
    </w:rPr>
  </w:style>
  <w:style w:type="table" w:styleId="TableGrid">
    <w:name w:val="Table Grid"/>
    <w:basedOn w:val="TableNormal"/>
    <w:uiPriority w:val="59"/>
    <w:rsid w:val="003A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93A"/>
    <w:pPr>
      <w:tabs>
        <w:tab w:val="center" w:pos="4513"/>
        <w:tab w:val="right" w:pos="9026"/>
      </w:tabs>
    </w:pPr>
  </w:style>
  <w:style w:type="character" w:customStyle="1" w:styleId="HeaderChar">
    <w:name w:val="Header Char"/>
    <w:basedOn w:val="DefaultParagraphFont"/>
    <w:link w:val="Header"/>
    <w:uiPriority w:val="99"/>
    <w:rsid w:val="002A593A"/>
    <w:rPr>
      <w:rFonts w:ascii="Calibri" w:eastAsia="Times New Roman" w:hAnsi="Calibri" w:cs="Times New Roman"/>
      <w:szCs w:val="24"/>
      <w:lang w:eastAsia="en-AU"/>
    </w:rPr>
  </w:style>
  <w:style w:type="paragraph" w:styleId="Footer">
    <w:name w:val="footer"/>
    <w:basedOn w:val="Normal"/>
    <w:link w:val="FooterChar"/>
    <w:uiPriority w:val="99"/>
    <w:unhideWhenUsed/>
    <w:rsid w:val="002A593A"/>
    <w:pPr>
      <w:tabs>
        <w:tab w:val="center" w:pos="4513"/>
        <w:tab w:val="right" w:pos="9026"/>
      </w:tabs>
    </w:pPr>
  </w:style>
  <w:style w:type="character" w:customStyle="1" w:styleId="FooterChar">
    <w:name w:val="Footer Char"/>
    <w:basedOn w:val="DefaultParagraphFont"/>
    <w:link w:val="Footer"/>
    <w:uiPriority w:val="99"/>
    <w:rsid w:val="002A593A"/>
    <w:rPr>
      <w:rFonts w:ascii="Calibri" w:eastAsia="Times New Roman" w:hAnsi="Calibri" w:cs="Times New Roman"/>
      <w:szCs w:val="24"/>
      <w:lang w:eastAsia="en-AU"/>
    </w:rPr>
  </w:style>
  <w:style w:type="paragraph" w:styleId="TOC4">
    <w:name w:val="toc 4"/>
    <w:basedOn w:val="Normal"/>
    <w:next w:val="Normal"/>
    <w:autoRedefine/>
    <w:uiPriority w:val="39"/>
    <w:unhideWhenUsed/>
    <w:rsid w:val="00A2429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2429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2429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2429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2429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24297"/>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2E46A0"/>
    <w:rPr>
      <w:b/>
      <w:bCs/>
    </w:rPr>
  </w:style>
  <w:style w:type="character" w:customStyle="1" w:styleId="CommentSubjectChar">
    <w:name w:val="Comment Subject Char"/>
    <w:basedOn w:val="CommentTextChar"/>
    <w:link w:val="CommentSubject"/>
    <w:uiPriority w:val="99"/>
    <w:semiHidden/>
    <w:rsid w:val="002E46A0"/>
    <w:rPr>
      <w:rFonts w:ascii="Calibri" w:eastAsia="Times New Roman" w:hAnsi="Calibri" w:cs="Times New Roman"/>
      <w:b/>
      <w:bCs/>
      <w:sz w:val="20"/>
      <w:szCs w:val="20"/>
      <w:lang w:eastAsia="en-AU"/>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D50ABE"/>
    <w:rPr>
      <w:rFonts w:ascii="Calibri" w:eastAsia="Times New Roman" w:hAnsi="Calibri" w:cs="Times New Roman"/>
      <w:szCs w:val="24"/>
      <w:lang w:eastAsia="en-AU"/>
    </w:rPr>
  </w:style>
  <w:style w:type="character" w:customStyle="1" w:styleId="GDV2">
    <w:name w:val="GDV 2"/>
    <w:basedOn w:val="DefaultParagraphFont"/>
    <w:uiPriority w:val="1"/>
    <w:qFormat/>
    <w:rsid w:val="00D50ABE"/>
    <w:rPr>
      <w:rFonts w:ascii="Calibri" w:hAnsi="Calibri" w:cs="Calibri"/>
      <w:color w:val="7030A0"/>
      <w:sz w:val="22"/>
      <w:szCs w:val="22"/>
    </w:rPr>
  </w:style>
  <w:style w:type="character" w:customStyle="1" w:styleId="Heading3Char">
    <w:name w:val="Heading 3 Char"/>
    <w:basedOn w:val="DefaultParagraphFont"/>
    <w:link w:val="Heading3"/>
    <w:uiPriority w:val="9"/>
    <w:rsid w:val="00722472"/>
    <w:rPr>
      <w:rFonts w:ascii="Calibri" w:eastAsiaTheme="majorEastAsia" w:hAnsi="Calibri" w:cstheme="majorBidi"/>
      <w:b/>
      <w:bCs/>
      <w:sz w:val="24"/>
      <w:szCs w:val="24"/>
      <w:lang w:eastAsia="en-AU"/>
    </w:rPr>
  </w:style>
  <w:style w:type="paragraph" w:customStyle="1" w:styleId="Disclaimer">
    <w:name w:val="Disclaimer"/>
    <w:basedOn w:val="Normal"/>
    <w:link w:val="DisclaimerChar"/>
    <w:rsid w:val="000B068B"/>
    <w:pPr>
      <w:spacing w:before="5280"/>
    </w:pPr>
    <w:rPr>
      <w:sz w:val="20"/>
      <w:szCs w:val="20"/>
    </w:rPr>
  </w:style>
  <w:style w:type="character" w:customStyle="1" w:styleId="DisclaimerChar">
    <w:name w:val="Disclaimer Char"/>
    <w:basedOn w:val="DefaultParagraphFont"/>
    <w:link w:val="Disclaimer"/>
    <w:rsid w:val="000B068B"/>
    <w:rPr>
      <w:rFonts w:ascii="Calibri" w:eastAsia="Times New Roman" w:hAnsi="Calibri"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93"/>
    <w:pPr>
      <w:spacing w:after="0" w:line="240" w:lineRule="auto"/>
    </w:pPr>
    <w:rPr>
      <w:rFonts w:ascii="Calibri" w:eastAsia="Times New Roman" w:hAnsi="Calibri" w:cs="Times New Roman"/>
      <w:sz w:val="24"/>
      <w:szCs w:val="24"/>
      <w:lang w:eastAsia="en-AU"/>
    </w:rPr>
  </w:style>
  <w:style w:type="paragraph" w:styleId="Heading1">
    <w:name w:val="heading 1"/>
    <w:basedOn w:val="Normal"/>
    <w:next w:val="Normal"/>
    <w:link w:val="Heading1Char"/>
    <w:qFormat/>
    <w:rsid w:val="00C66E83"/>
    <w:pPr>
      <w:jc w:val="center"/>
      <w:outlineLvl w:val="0"/>
    </w:pPr>
    <w:rPr>
      <w:rFonts w:cs="Arial"/>
      <w:b/>
      <w:iCs/>
      <w:sz w:val="52"/>
      <w:szCs w:val="26"/>
    </w:rPr>
  </w:style>
  <w:style w:type="paragraph" w:styleId="Heading2">
    <w:name w:val="heading 2"/>
    <w:basedOn w:val="Normal"/>
    <w:next w:val="Normal"/>
    <w:link w:val="Heading2Char"/>
    <w:qFormat/>
    <w:rsid w:val="00885393"/>
    <w:pPr>
      <w:outlineLvl w:val="1"/>
    </w:pPr>
    <w:rPr>
      <w:rFonts w:cs="Arial"/>
      <w:b/>
      <w:color w:val="000000"/>
      <w:sz w:val="36"/>
      <w:szCs w:val="22"/>
    </w:rPr>
  </w:style>
  <w:style w:type="paragraph" w:styleId="Heading3">
    <w:name w:val="heading 3"/>
    <w:basedOn w:val="Normal"/>
    <w:next w:val="Normal"/>
    <w:link w:val="Heading3Char"/>
    <w:uiPriority w:val="9"/>
    <w:unhideWhenUsed/>
    <w:qFormat/>
    <w:rsid w:val="00722472"/>
    <w:pPr>
      <w:keepNext/>
      <w:keepLines/>
      <w:spacing w:before="24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E83"/>
    <w:rPr>
      <w:rFonts w:ascii="Calibri" w:eastAsia="Times New Roman" w:hAnsi="Calibri" w:cs="Arial"/>
      <w:b/>
      <w:iCs/>
      <w:sz w:val="52"/>
      <w:szCs w:val="26"/>
      <w:lang w:eastAsia="en-AU"/>
    </w:rPr>
  </w:style>
  <w:style w:type="character" w:customStyle="1" w:styleId="Heading2Char">
    <w:name w:val="Heading 2 Char"/>
    <w:basedOn w:val="DefaultParagraphFont"/>
    <w:link w:val="Heading2"/>
    <w:rsid w:val="00885393"/>
    <w:rPr>
      <w:rFonts w:ascii="Calibri" w:eastAsia="Times New Roman" w:hAnsi="Calibri" w:cs="Arial"/>
      <w:b/>
      <w:color w:val="000000"/>
      <w:sz w:val="36"/>
      <w:lang w:eastAsia="en-AU"/>
    </w:rPr>
  </w:style>
  <w:style w:type="paragraph" w:customStyle="1" w:styleId="TableText9pt">
    <w:name w:val="Table Text (9 pt)"/>
    <w:basedOn w:val="Normal"/>
    <w:rsid w:val="00EC23B0"/>
    <w:pPr>
      <w:spacing w:before="60" w:after="60" w:line="221" w:lineRule="atLeast"/>
    </w:pPr>
    <w:rPr>
      <w:sz w:val="18"/>
      <w:szCs w:val="20"/>
      <w:lang w:val="en-US" w:eastAsia="en-US"/>
    </w:rPr>
  </w:style>
  <w:style w:type="paragraph" w:styleId="CommentText">
    <w:name w:val="annotation text"/>
    <w:basedOn w:val="Normal"/>
    <w:link w:val="CommentTextChar"/>
    <w:semiHidden/>
    <w:rsid w:val="00EC23B0"/>
    <w:rPr>
      <w:sz w:val="20"/>
      <w:szCs w:val="20"/>
    </w:rPr>
  </w:style>
  <w:style w:type="character" w:customStyle="1" w:styleId="CommentTextChar">
    <w:name w:val="Comment Text Char"/>
    <w:basedOn w:val="DefaultParagraphFont"/>
    <w:link w:val="CommentText"/>
    <w:semiHidden/>
    <w:rsid w:val="00EC23B0"/>
    <w:rPr>
      <w:rFonts w:ascii="Calibri" w:eastAsia="Times New Roman" w:hAnsi="Calibri" w:cs="Times New Roman"/>
      <w:sz w:val="20"/>
      <w:szCs w:val="20"/>
      <w:lang w:eastAsia="en-AU"/>
    </w:rPr>
  </w:style>
  <w:style w:type="character" w:styleId="Hyperlink">
    <w:name w:val="Hyperlink"/>
    <w:basedOn w:val="DefaultParagraphFont"/>
    <w:uiPriority w:val="99"/>
    <w:rsid w:val="00EC23B0"/>
    <w:rPr>
      <w:color w:val="0000FF"/>
      <w:u w:val="single"/>
    </w:rPr>
  </w:style>
  <w:style w:type="paragraph" w:customStyle="1" w:styleId="Default">
    <w:name w:val="Default"/>
    <w:rsid w:val="00EC23B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TOC2">
    <w:name w:val="toc 2"/>
    <w:basedOn w:val="Normal"/>
    <w:next w:val="Normal"/>
    <w:autoRedefine/>
    <w:uiPriority w:val="39"/>
    <w:qFormat/>
    <w:rsid w:val="00EC23B0"/>
    <w:pPr>
      <w:spacing w:before="120"/>
      <w:ind w:left="240"/>
    </w:pPr>
    <w:rPr>
      <w:rFonts w:asciiTheme="minorHAnsi" w:hAnsiTheme="minorHAnsi" w:cstheme="minorHAnsi"/>
      <w:i/>
      <w:iCs/>
      <w:sz w:val="20"/>
      <w:szCs w:val="20"/>
    </w:rPr>
  </w:style>
  <w:style w:type="character" w:styleId="CommentReference">
    <w:name w:val="annotation reference"/>
    <w:basedOn w:val="DefaultParagraphFont"/>
    <w:uiPriority w:val="99"/>
    <w:semiHidden/>
    <w:unhideWhenUsed/>
    <w:rsid w:val="00EC23B0"/>
    <w:rPr>
      <w:sz w:val="16"/>
      <w:szCs w:val="1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EC23B0"/>
    <w:pPr>
      <w:ind w:left="720"/>
      <w:contextualSpacing/>
    </w:pPr>
  </w:style>
  <w:style w:type="paragraph" w:styleId="Title">
    <w:name w:val="Title"/>
    <w:basedOn w:val="Normal"/>
    <w:next w:val="Normal"/>
    <w:link w:val="TitleChar"/>
    <w:uiPriority w:val="10"/>
    <w:qFormat/>
    <w:rsid w:val="00EC23B0"/>
    <w:pPr>
      <w:outlineLvl w:val="0"/>
    </w:pPr>
    <w:rPr>
      <w:rFonts w:cs="Arial"/>
      <w:b/>
      <w:iCs/>
      <w:color w:val="39B54A"/>
      <w:sz w:val="32"/>
      <w:szCs w:val="36"/>
    </w:rPr>
  </w:style>
  <w:style w:type="character" w:customStyle="1" w:styleId="TitleChar">
    <w:name w:val="Title Char"/>
    <w:basedOn w:val="DefaultParagraphFont"/>
    <w:link w:val="Title"/>
    <w:uiPriority w:val="10"/>
    <w:rsid w:val="00EC23B0"/>
    <w:rPr>
      <w:rFonts w:ascii="Calibri" w:eastAsia="Times New Roman" w:hAnsi="Calibri" w:cs="Arial"/>
      <w:b/>
      <w:iCs/>
      <w:color w:val="39B54A"/>
      <w:sz w:val="32"/>
      <w:szCs w:val="36"/>
      <w:lang w:eastAsia="en-AU"/>
    </w:rPr>
  </w:style>
  <w:style w:type="paragraph" w:styleId="TOCHeading">
    <w:name w:val="TOC Heading"/>
    <w:basedOn w:val="Heading1"/>
    <w:next w:val="Normal"/>
    <w:uiPriority w:val="39"/>
    <w:unhideWhenUsed/>
    <w:qFormat/>
    <w:rsid w:val="00EC23B0"/>
    <w:pPr>
      <w:keepNext/>
      <w:keepLines/>
      <w:spacing w:before="480" w:line="276" w:lineRule="auto"/>
      <w:outlineLvl w:val="9"/>
    </w:pPr>
    <w:rPr>
      <w:rFonts w:asciiTheme="majorHAnsi" w:eastAsiaTheme="majorEastAsia" w:hAnsiTheme="majorHAnsi" w:cstheme="majorBidi"/>
      <w:bCs/>
      <w:iCs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947AFA"/>
    <w:pPr>
      <w:tabs>
        <w:tab w:val="right" w:pos="9912"/>
      </w:tabs>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EC23B0"/>
    <w:pPr>
      <w:ind w:left="4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C23B0"/>
    <w:rPr>
      <w:rFonts w:ascii="Tahoma" w:hAnsi="Tahoma" w:cs="Tahoma"/>
      <w:sz w:val="16"/>
      <w:szCs w:val="16"/>
    </w:rPr>
  </w:style>
  <w:style w:type="character" w:customStyle="1" w:styleId="BalloonTextChar">
    <w:name w:val="Balloon Text Char"/>
    <w:basedOn w:val="DefaultParagraphFont"/>
    <w:link w:val="BalloonText"/>
    <w:uiPriority w:val="99"/>
    <w:semiHidden/>
    <w:rsid w:val="00EC23B0"/>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977387"/>
    <w:rPr>
      <w:color w:val="800080" w:themeColor="followedHyperlink"/>
      <w:u w:val="single"/>
    </w:rPr>
  </w:style>
  <w:style w:type="table" w:styleId="TableGrid">
    <w:name w:val="Table Grid"/>
    <w:basedOn w:val="TableNormal"/>
    <w:uiPriority w:val="59"/>
    <w:rsid w:val="003A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93A"/>
    <w:pPr>
      <w:tabs>
        <w:tab w:val="center" w:pos="4513"/>
        <w:tab w:val="right" w:pos="9026"/>
      </w:tabs>
    </w:pPr>
  </w:style>
  <w:style w:type="character" w:customStyle="1" w:styleId="HeaderChar">
    <w:name w:val="Header Char"/>
    <w:basedOn w:val="DefaultParagraphFont"/>
    <w:link w:val="Header"/>
    <w:uiPriority w:val="99"/>
    <w:rsid w:val="002A593A"/>
    <w:rPr>
      <w:rFonts w:ascii="Calibri" w:eastAsia="Times New Roman" w:hAnsi="Calibri" w:cs="Times New Roman"/>
      <w:szCs w:val="24"/>
      <w:lang w:eastAsia="en-AU"/>
    </w:rPr>
  </w:style>
  <w:style w:type="paragraph" w:styleId="Footer">
    <w:name w:val="footer"/>
    <w:basedOn w:val="Normal"/>
    <w:link w:val="FooterChar"/>
    <w:uiPriority w:val="99"/>
    <w:unhideWhenUsed/>
    <w:rsid w:val="002A593A"/>
    <w:pPr>
      <w:tabs>
        <w:tab w:val="center" w:pos="4513"/>
        <w:tab w:val="right" w:pos="9026"/>
      </w:tabs>
    </w:pPr>
  </w:style>
  <w:style w:type="character" w:customStyle="1" w:styleId="FooterChar">
    <w:name w:val="Footer Char"/>
    <w:basedOn w:val="DefaultParagraphFont"/>
    <w:link w:val="Footer"/>
    <w:uiPriority w:val="99"/>
    <w:rsid w:val="002A593A"/>
    <w:rPr>
      <w:rFonts w:ascii="Calibri" w:eastAsia="Times New Roman" w:hAnsi="Calibri" w:cs="Times New Roman"/>
      <w:szCs w:val="24"/>
      <w:lang w:eastAsia="en-AU"/>
    </w:rPr>
  </w:style>
  <w:style w:type="paragraph" w:styleId="TOC4">
    <w:name w:val="toc 4"/>
    <w:basedOn w:val="Normal"/>
    <w:next w:val="Normal"/>
    <w:autoRedefine/>
    <w:uiPriority w:val="39"/>
    <w:unhideWhenUsed/>
    <w:rsid w:val="00A2429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2429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2429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2429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2429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24297"/>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2E46A0"/>
    <w:rPr>
      <w:b/>
      <w:bCs/>
    </w:rPr>
  </w:style>
  <w:style w:type="character" w:customStyle="1" w:styleId="CommentSubjectChar">
    <w:name w:val="Comment Subject Char"/>
    <w:basedOn w:val="CommentTextChar"/>
    <w:link w:val="CommentSubject"/>
    <w:uiPriority w:val="99"/>
    <w:semiHidden/>
    <w:rsid w:val="002E46A0"/>
    <w:rPr>
      <w:rFonts w:ascii="Calibri" w:eastAsia="Times New Roman" w:hAnsi="Calibri" w:cs="Times New Roman"/>
      <w:b/>
      <w:bCs/>
      <w:sz w:val="20"/>
      <w:szCs w:val="20"/>
      <w:lang w:eastAsia="en-AU"/>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D50ABE"/>
    <w:rPr>
      <w:rFonts w:ascii="Calibri" w:eastAsia="Times New Roman" w:hAnsi="Calibri" w:cs="Times New Roman"/>
      <w:szCs w:val="24"/>
      <w:lang w:eastAsia="en-AU"/>
    </w:rPr>
  </w:style>
  <w:style w:type="character" w:customStyle="1" w:styleId="GDV2">
    <w:name w:val="GDV 2"/>
    <w:basedOn w:val="DefaultParagraphFont"/>
    <w:uiPriority w:val="1"/>
    <w:qFormat/>
    <w:rsid w:val="00D50ABE"/>
    <w:rPr>
      <w:rFonts w:ascii="Calibri" w:hAnsi="Calibri" w:cs="Calibri"/>
      <w:color w:val="7030A0"/>
      <w:sz w:val="22"/>
      <w:szCs w:val="22"/>
    </w:rPr>
  </w:style>
  <w:style w:type="character" w:customStyle="1" w:styleId="Heading3Char">
    <w:name w:val="Heading 3 Char"/>
    <w:basedOn w:val="DefaultParagraphFont"/>
    <w:link w:val="Heading3"/>
    <w:uiPriority w:val="9"/>
    <w:rsid w:val="00722472"/>
    <w:rPr>
      <w:rFonts w:ascii="Calibri" w:eastAsiaTheme="majorEastAsia" w:hAnsi="Calibri" w:cstheme="majorBidi"/>
      <w:b/>
      <w:bCs/>
      <w:sz w:val="24"/>
      <w:szCs w:val="24"/>
      <w:lang w:eastAsia="en-AU"/>
    </w:rPr>
  </w:style>
  <w:style w:type="paragraph" w:customStyle="1" w:styleId="Disclaimer">
    <w:name w:val="Disclaimer"/>
    <w:basedOn w:val="Normal"/>
    <w:link w:val="DisclaimerChar"/>
    <w:rsid w:val="000B068B"/>
    <w:pPr>
      <w:spacing w:before="5280"/>
    </w:pPr>
    <w:rPr>
      <w:sz w:val="20"/>
      <w:szCs w:val="20"/>
    </w:rPr>
  </w:style>
  <w:style w:type="character" w:customStyle="1" w:styleId="DisclaimerChar">
    <w:name w:val="Disclaimer Char"/>
    <w:basedOn w:val="DefaultParagraphFont"/>
    <w:link w:val="Disclaimer"/>
    <w:rsid w:val="000B068B"/>
    <w:rPr>
      <w:rFonts w:ascii="Calibri" w:eastAsia="Times New Roman" w:hAnsi="Calibri"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fs.gov.au/nch/pubs/sheets/rs13/rs13.html" TargetMode="External"/><Relationship Id="rId18" Type="http://schemas.openxmlformats.org/officeDocument/2006/relationships/hyperlink" Target="http://www.police.nsw.gov.au/" TargetMode="External"/><Relationship Id="rId26" Type="http://schemas.openxmlformats.org/officeDocument/2006/relationships/hyperlink" Target="http://www.pfes.nt.gov.au/" TargetMode="External"/><Relationship Id="rId3" Type="http://schemas.openxmlformats.org/officeDocument/2006/relationships/customXml" Target="../customXml/item3.xml"/><Relationship Id="rId21" Type="http://schemas.openxmlformats.org/officeDocument/2006/relationships/hyperlink" Target="http://www.police.vic.gov.a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kidsguardian.nsw.gov.au/" TargetMode="External"/><Relationship Id="rId25" Type="http://schemas.openxmlformats.org/officeDocument/2006/relationships/hyperlink" Target="http://www.dcsi.sa.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rs.act.gov.au/" TargetMode="External"/><Relationship Id="rId20" Type="http://schemas.openxmlformats.org/officeDocument/2006/relationships/hyperlink" Target="http://www.workingwithchildren.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olice.sa.gov.au/"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fp.gov.au/" TargetMode="External"/><Relationship Id="rId23" Type="http://schemas.openxmlformats.org/officeDocument/2006/relationships/hyperlink" Target="http://www.police.tas.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bluecard.qld.gov.au/"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rimtrac.gov.au/" TargetMode="External"/><Relationship Id="rId22" Type="http://schemas.openxmlformats.org/officeDocument/2006/relationships/hyperlink" Target="http://www.justice.tas.gov.a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1541;#LAMONT, Michael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 xsi:nil="true"/>
    <ESCSSEffectiveStartDate xmlns="http://schemas.microsoft.com/sharepoint/v3" xsi:nil="true"/>
    <ESCSSContentApprover xmlns="http://schemas.microsoft.com/sharepoint/v3">50;#BARKER,Fatima</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mm2732@idcprod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DSS - Participants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Criminal Records Checks Guidelines</Comments>
    <ESCSSWebSiteGroup xmlns="http://schemas.microsoft.com/sharepoint/v3">;#DES;#</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5CC1-78AD-4E55-9915-857131DE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0E461-2FAA-476E-87CE-10745964E6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0FF900-BFF7-4018-9107-4DE67AB6A5D7}">
  <ds:schemaRefs>
    <ds:schemaRef ds:uri="http://schemas.microsoft.com/sharepoint/v3/contenttype/forms"/>
  </ds:schemaRefs>
</ds:datastoreItem>
</file>

<file path=customXml/itemProps4.xml><?xml version="1.0" encoding="utf-8"?>
<ds:datastoreItem xmlns:ds="http://schemas.openxmlformats.org/officeDocument/2006/customXml" ds:itemID="{4D73F19B-181E-4E40-A6DA-04E7D2EB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AE027F2B</Template>
  <TotalTime>0</TotalTime>
  <Pages>10</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Criminal Records Checks Guidelines</vt:lpstr>
    </vt:vector>
  </TitlesOfParts>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Records Checks Guidelines</dc:title>
  <dc:creator/>
  <cp:lastModifiedBy/>
  <cp:revision>1</cp:revision>
  <dcterms:created xsi:type="dcterms:W3CDTF">2018-01-10T05:05:00Z</dcterms:created>
  <dcterms:modified xsi:type="dcterms:W3CDTF">2018-04-10T03:42:00Z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