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1305B3">
      <w:pPr>
        <w:spacing w:before="0" w:after="240"/>
        <w:jc w:val="right"/>
      </w:pPr>
      <w:r>
        <w:rPr>
          <w:noProof/>
        </w:rPr>
        <w:drawing>
          <wp:inline distT="0" distB="0" distL="0" distR="0" wp14:anchorId="454FDC76" wp14:editId="23C970F6">
            <wp:extent cx="6624000" cy="922047"/>
            <wp:effectExtent l="0" t="0" r="5715" b="0"/>
            <wp:docPr id="2" name="Picture 2" descr="Header Image using illustrations of families, children, buildings and nature"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r w:rsidR="001305B3" w:rsidRPr="001305B3">
        <w:rPr>
          <w:color w:val="FF0000"/>
        </w:rPr>
        <w:t xml:space="preserve"> </w:t>
      </w:r>
      <w:r w:rsidR="001305B3" w:rsidRPr="001305B3">
        <w:rPr>
          <w:sz w:val="16"/>
          <w:szCs w:val="16"/>
        </w:rPr>
        <w:t>DSS1597.05.15</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PSP Fact Sheet 4"/>
      </w:tblPr>
      <w:tblGrid>
        <w:gridCol w:w="6379"/>
        <w:gridCol w:w="2630"/>
      </w:tblGrid>
      <w:tr w:rsidR="00A12F91" w:rsidRPr="003A4E4F" w:rsidTr="006A4EC6">
        <w:trPr>
          <w:tblHeader/>
        </w:trPr>
        <w:tc>
          <w:tcPr>
            <w:tcW w:w="6379" w:type="dxa"/>
          </w:tcPr>
          <w:p w:rsidR="00A12F91" w:rsidRDefault="00A12F91" w:rsidP="00A12F91">
            <w:pPr>
              <w:pStyle w:val="Title"/>
            </w:pPr>
            <w:bookmarkStart w:id="0" w:name="_GoBack"/>
            <w:r>
              <w:t>IPSP Fact Sheet 6:</w:t>
            </w:r>
          </w:p>
          <w:p w:rsidR="00930B0F" w:rsidRPr="00930B0F" w:rsidRDefault="00A12F91" w:rsidP="00930B0F">
            <w:pPr>
              <w:pStyle w:val="Subtitle"/>
              <w:rPr>
                <w:rFonts w:ascii="Georgia" w:eastAsia="Times New Roman" w:hAnsi="Georgia" w:cs="Arial"/>
                <w:bCs/>
                <w:iCs w:val="0"/>
                <w:color w:val="005A70"/>
                <w:spacing w:val="-4"/>
                <w:kern w:val="28"/>
                <w:sz w:val="66"/>
                <w:szCs w:val="32"/>
              </w:rPr>
            </w:pPr>
            <w:r w:rsidRPr="005563B6">
              <w:rPr>
                <w:rFonts w:ascii="Georgia" w:eastAsia="Times New Roman" w:hAnsi="Georgia" w:cs="Arial"/>
                <w:bCs/>
                <w:iCs w:val="0"/>
                <w:color w:val="005A70"/>
                <w:spacing w:val="-4"/>
                <w:kern w:val="28"/>
                <w:sz w:val="66"/>
                <w:szCs w:val="32"/>
              </w:rPr>
              <w:t xml:space="preserve">Change of Service Ownership and Inclusion Support </w:t>
            </w:r>
            <w:bookmarkEnd w:id="0"/>
          </w:p>
        </w:tc>
        <w:tc>
          <w:tcPr>
            <w:tcW w:w="2630" w:type="dxa"/>
          </w:tcPr>
          <w:p w:rsidR="00A12F91" w:rsidRPr="003A4E4F" w:rsidRDefault="00A12F91" w:rsidP="006A4EC6">
            <w:pPr>
              <w:pStyle w:val="Title"/>
              <w:jc w:val="right"/>
              <w:rPr>
                <w:szCs w:val="66"/>
              </w:rPr>
            </w:pPr>
            <w:r w:rsidRPr="003A4E4F">
              <w:rPr>
                <w:noProof/>
                <w:szCs w:val="66"/>
              </w:rPr>
              <w:drawing>
                <wp:inline distT="0" distB="0" distL="0" distR="0" wp14:anchorId="57FD74D3" wp14:editId="3177B5F8">
                  <wp:extent cx="1466850" cy="1010121"/>
                  <wp:effectExtent l="0" t="0" r="0" b="0"/>
                  <wp:docPr id="1" name="Picture 1" descr="Inclusion and Professional Support Program logo" title="IP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017" cy="1014368"/>
                          </a:xfrm>
                          <a:prstGeom prst="rect">
                            <a:avLst/>
                          </a:prstGeom>
                        </pic:spPr>
                      </pic:pic>
                    </a:graphicData>
                  </a:graphic>
                </wp:inline>
              </w:drawing>
            </w:r>
          </w:p>
        </w:tc>
      </w:tr>
    </w:tbl>
    <w:p w:rsidR="005563B6" w:rsidRPr="00714E04" w:rsidRDefault="005563B6" w:rsidP="00D84E62">
      <w:r w:rsidRPr="00714E04">
        <w:t>Note: This fact sheet contains information for child care and early learning services if they are going through</w:t>
      </w:r>
      <w:r w:rsidR="00743A02" w:rsidRPr="00714E04">
        <w:t xml:space="preserve"> a</w:t>
      </w:r>
      <w:r w:rsidRPr="00714E04">
        <w:t xml:space="preserve"> </w:t>
      </w:r>
      <w:r w:rsidR="00743A02" w:rsidRPr="00714E04">
        <w:t xml:space="preserve">‘change of ownership’ </w:t>
      </w:r>
      <w:r w:rsidR="001D7699" w:rsidRPr="00714E04">
        <w:t xml:space="preserve">or change of CCB Approval ID </w:t>
      </w:r>
      <w:r w:rsidR="00743A02" w:rsidRPr="00714E04">
        <w:t>and wish</w:t>
      </w:r>
      <w:r w:rsidRPr="00714E04">
        <w:t xml:space="preserve"> to access assistance through the Inclusion and Professional Support Program (IPSP)</w:t>
      </w:r>
      <w:r w:rsidR="00743A02" w:rsidRPr="00714E04">
        <w:t>,</w:t>
      </w:r>
      <w:r w:rsidRPr="00714E04">
        <w:t xml:space="preserve"> to build their capacity to include a child or children with ongoing high support needs, including assistance to apply for the Inclusion Support Subsidy (ISS). This fact sheet should be read in conjunction with the IPSP Guidelines for 2013–2016, which provides information on eligibility, purposes for which the subsidy can be used and other conditions and requirements for funding.</w:t>
      </w:r>
    </w:p>
    <w:p w:rsidR="005563B6" w:rsidRPr="005563B6" w:rsidRDefault="005563B6" w:rsidP="005563B6">
      <w:pPr>
        <w:pStyle w:val="Heading1Numbered"/>
        <w:numPr>
          <w:ilvl w:val="0"/>
          <w:numId w:val="17"/>
        </w:numPr>
        <w:spacing w:after="120"/>
        <w:ind w:left="357" w:hanging="357"/>
        <w:textAlignment w:val="center"/>
        <w:rPr>
          <w:rFonts w:ascii="Georgia" w:eastAsia="Times New Roman" w:hAnsi="Georgia" w:cs="Arial"/>
          <w:b w:val="0"/>
          <w:iCs w:val="0"/>
          <w:color w:val="005A70"/>
          <w:kern w:val="32"/>
          <w:sz w:val="32"/>
          <w:szCs w:val="32"/>
        </w:rPr>
      </w:pPr>
      <w:r w:rsidRPr="005563B6">
        <w:rPr>
          <w:rFonts w:ascii="Georgia" w:eastAsia="Times New Roman" w:hAnsi="Georgia" w:cs="Arial"/>
          <w:b w:val="0"/>
          <w:iCs w:val="0"/>
          <w:color w:val="005A70"/>
          <w:kern w:val="32"/>
          <w:sz w:val="32"/>
          <w:szCs w:val="32"/>
        </w:rPr>
        <w:t>Introduction</w:t>
      </w:r>
    </w:p>
    <w:p w:rsidR="005563B6" w:rsidRDefault="005563B6" w:rsidP="00743A02">
      <w:pPr>
        <w:spacing w:before="0" w:after="0"/>
        <w:rPr>
          <w:rFonts w:cstheme="minorHAnsi"/>
        </w:rPr>
      </w:pPr>
      <w:r w:rsidRPr="00FE32AE">
        <w:rPr>
          <w:rFonts w:cstheme="minorHAnsi"/>
        </w:rPr>
        <w:t xml:space="preserve">When a </w:t>
      </w:r>
      <w:r>
        <w:rPr>
          <w:rFonts w:cstheme="minorHAnsi"/>
        </w:rPr>
        <w:t xml:space="preserve">child care and early learning service </w:t>
      </w:r>
      <w:r w:rsidR="00743A02">
        <w:rPr>
          <w:rFonts w:cstheme="minorHAnsi"/>
        </w:rPr>
        <w:t xml:space="preserve">(the Service) </w:t>
      </w:r>
      <w:r>
        <w:rPr>
          <w:rFonts w:cstheme="minorHAnsi"/>
        </w:rPr>
        <w:t>changes ownership</w:t>
      </w:r>
      <w:r w:rsidR="003E1BA6">
        <w:rPr>
          <w:rFonts w:cstheme="minorHAnsi"/>
        </w:rPr>
        <w:t>,</w:t>
      </w:r>
      <w:r w:rsidR="00980119">
        <w:rPr>
          <w:rFonts w:cstheme="minorHAnsi"/>
        </w:rPr>
        <w:t xml:space="preserve"> or is issued with a new CCB Approval ID,</w:t>
      </w:r>
      <w:r>
        <w:rPr>
          <w:rFonts w:cstheme="minorHAnsi"/>
        </w:rPr>
        <w:t xml:space="preserve"> and</w:t>
      </w:r>
      <w:r w:rsidRPr="00FE32AE">
        <w:rPr>
          <w:rFonts w:cstheme="minorHAnsi"/>
        </w:rPr>
        <w:t xml:space="preserve"> </w:t>
      </w:r>
      <w:r>
        <w:rPr>
          <w:rFonts w:cstheme="minorHAnsi"/>
        </w:rPr>
        <w:t>the new service recognises a</w:t>
      </w:r>
      <w:r w:rsidRPr="00FE32AE">
        <w:rPr>
          <w:rFonts w:cstheme="minorHAnsi"/>
        </w:rPr>
        <w:t xml:space="preserve"> need for inclusion support</w:t>
      </w:r>
      <w:r>
        <w:rPr>
          <w:rFonts w:cstheme="minorHAnsi"/>
        </w:rPr>
        <w:t>, the service must</w:t>
      </w:r>
      <w:r w:rsidRPr="004408A7">
        <w:rPr>
          <w:rFonts w:cstheme="minorHAnsi"/>
        </w:rPr>
        <w:t xml:space="preserve"> </w:t>
      </w:r>
      <w:r>
        <w:rPr>
          <w:rFonts w:cstheme="minorHAnsi"/>
        </w:rPr>
        <w:t>contact its</w:t>
      </w:r>
      <w:r w:rsidRPr="004408A7">
        <w:rPr>
          <w:rFonts w:cstheme="minorHAnsi"/>
        </w:rPr>
        <w:t xml:space="preserve"> local Inclusion Support Agency (ISA) for assistance.</w:t>
      </w:r>
      <w:r>
        <w:rPr>
          <w:rFonts w:cstheme="minorHAnsi"/>
        </w:rPr>
        <w:t xml:space="preserve"> A full list of ISAs is available on the Department’s website. </w:t>
      </w:r>
      <w:r w:rsidRPr="004408A7">
        <w:rPr>
          <w:rFonts w:cstheme="minorHAnsi"/>
        </w:rPr>
        <w:t xml:space="preserve">The ISA will appoint an Inclusion Support Facilitator (ISF) to work with the </w:t>
      </w:r>
      <w:r>
        <w:rPr>
          <w:rFonts w:cstheme="minorHAnsi"/>
        </w:rPr>
        <w:t xml:space="preserve">new </w:t>
      </w:r>
      <w:r w:rsidRPr="004408A7">
        <w:rPr>
          <w:rFonts w:cstheme="minorHAnsi"/>
        </w:rPr>
        <w:t>child care service.</w:t>
      </w:r>
      <w:r w:rsidR="00743A02">
        <w:rPr>
          <w:rFonts w:cstheme="minorHAnsi"/>
        </w:rPr>
        <w:t xml:space="preserve"> </w:t>
      </w:r>
      <w:r>
        <w:rPr>
          <w:rFonts w:cstheme="minorHAnsi"/>
        </w:rPr>
        <w:t xml:space="preserve">The varying circumstances which surround a change of ownership of a service requires different steps to be taken to ensure the continued inclusion of children with ongoing high support needs. These circumstances and steps are outlined in </w:t>
      </w:r>
      <w:r>
        <w:rPr>
          <w:rFonts w:cstheme="minorHAnsi"/>
          <w:i/>
        </w:rPr>
        <w:t xml:space="preserve">2. A service closing and new service opening </w:t>
      </w:r>
      <w:r>
        <w:rPr>
          <w:rFonts w:cstheme="minorHAnsi"/>
        </w:rPr>
        <w:t xml:space="preserve">and </w:t>
      </w:r>
      <w:r>
        <w:rPr>
          <w:rFonts w:cstheme="minorHAnsi"/>
          <w:i/>
        </w:rPr>
        <w:t>3. New services without a Child Care Benefit (CCB) ID</w:t>
      </w:r>
      <w:r>
        <w:rPr>
          <w:rFonts w:cstheme="minorHAnsi"/>
        </w:rPr>
        <w:t xml:space="preserve">. </w:t>
      </w:r>
    </w:p>
    <w:p w:rsidR="005563B6" w:rsidRPr="006D7434" w:rsidRDefault="005563B6" w:rsidP="005563B6">
      <w:pPr>
        <w:spacing w:before="0" w:after="0" w:line="240" w:lineRule="auto"/>
        <w:rPr>
          <w:rFonts w:cstheme="minorHAnsi"/>
        </w:rPr>
      </w:pPr>
    </w:p>
    <w:p w:rsidR="005563B6" w:rsidRDefault="005563B6" w:rsidP="005563B6">
      <w:pPr>
        <w:spacing w:before="0" w:after="0"/>
        <w:rPr>
          <w:rFonts w:cstheme="minorHAnsi"/>
        </w:rPr>
      </w:pPr>
      <w:r>
        <w:rPr>
          <w:rFonts w:cstheme="minorHAnsi"/>
        </w:rPr>
        <w:t>N</w:t>
      </w:r>
      <w:r w:rsidRPr="00F76413">
        <w:rPr>
          <w:rFonts w:cstheme="minorHAnsi"/>
        </w:rPr>
        <w:t>ote an</w:t>
      </w:r>
      <w:r w:rsidR="00743A02">
        <w:rPr>
          <w:rFonts w:cstheme="minorHAnsi"/>
        </w:rPr>
        <w:t xml:space="preserve"> ISS approval </w:t>
      </w:r>
      <w:r w:rsidR="003C031C">
        <w:rPr>
          <w:rFonts w:cstheme="minorHAnsi"/>
        </w:rPr>
        <w:t xml:space="preserve">for </w:t>
      </w:r>
      <w:r w:rsidR="00743A02">
        <w:rPr>
          <w:rFonts w:cstheme="minorHAnsi"/>
        </w:rPr>
        <w:t>the closing S</w:t>
      </w:r>
      <w:r w:rsidRPr="00F76413">
        <w:rPr>
          <w:rFonts w:cstheme="minorHAnsi"/>
        </w:rPr>
        <w:t>ervice</w:t>
      </w:r>
      <w:r w:rsidR="00980119">
        <w:rPr>
          <w:rFonts w:cstheme="minorHAnsi"/>
        </w:rPr>
        <w:t>, or ending CCB Approval,</w:t>
      </w:r>
      <w:r w:rsidRPr="00F76413">
        <w:rPr>
          <w:rFonts w:cstheme="minorHAnsi"/>
        </w:rPr>
        <w:t xml:space="preserve"> is not automatic</w:t>
      </w:r>
      <w:r w:rsidR="00743A02">
        <w:rPr>
          <w:rFonts w:cstheme="minorHAnsi"/>
        </w:rPr>
        <w:t>ally carried across to the new S</w:t>
      </w:r>
      <w:r w:rsidRPr="00F76413">
        <w:rPr>
          <w:rFonts w:cstheme="minorHAnsi"/>
        </w:rPr>
        <w:t xml:space="preserve">ervice. </w:t>
      </w:r>
      <w:r>
        <w:rPr>
          <w:rFonts w:cstheme="minorHAnsi"/>
        </w:rPr>
        <w:t xml:space="preserve"> The new service must apply for ISS. Eligibility for ISS is based on meeting eligibility requirements in relation to the inclusion support needs of the new care environment.</w:t>
      </w:r>
      <w:r w:rsidR="005632B3">
        <w:rPr>
          <w:rFonts w:cstheme="minorHAnsi"/>
        </w:rPr>
        <w:t xml:space="preserve"> Please note </w:t>
      </w:r>
      <w:r w:rsidR="003C031C">
        <w:rPr>
          <w:rFonts w:cstheme="minorHAnsi"/>
        </w:rPr>
        <w:t xml:space="preserve">if an application for ISS is submitted it must meet all the requirements for a new application, including </w:t>
      </w:r>
      <w:r w:rsidR="005632B3">
        <w:rPr>
          <w:rFonts w:cstheme="minorHAnsi"/>
        </w:rPr>
        <w:t xml:space="preserve">provision of the </w:t>
      </w:r>
      <w:r w:rsidR="003C031C">
        <w:rPr>
          <w:rFonts w:cstheme="minorHAnsi"/>
        </w:rPr>
        <w:t>Permission to Share Personal Information Form in relation to the new service.</w:t>
      </w:r>
    </w:p>
    <w:p w:rsidR="005632B3" w:rsidRDefault="005632B3" w:rsidP="005563B6">
      <w:pPr>
        <w:spacing w:before="0" w:after="0"/>
        <w:rPr>
          <w:rFonts w:cstheme="minorHAnsi"/>
        </w:rPr>
      </w:pPr>
    </w:p>
    <w:p w:rsidR="005563B6" w:rsidRPr="005563B6" w:rsidRDefault="005563B6" w:rsidP="005563B6">
      <w:pPr>
        <w:pStyle w:val="Heading1Numbered"/>
        <w:numPr>
          <w:ilvl w:val="0"/>
          <w:numId w:val="17"/>
        </w:numPr>
        <w:spacing w:after="120"/>
        <w:ind w:left="357" w:hanging="357"/>
        <w:textAlignment w:val="center"/>
        <w:rPr>
          <w:rFonts w:ascii="Georgia" w:eastAsia="Times New Roman" w:hAnsi="Georgia" w:cs="Arial"/>
          <w:b w:val="0"/>
          <w:iCs w:val="0"/>
          <w:color w:val="005A70"/>
          <w:kern w:val="32"/>
          <w:sz w:val="32"/>
          <w:szCs w:val="32"/>
        </w:rPr>
      </w:pPr>
      <w:r w:rsidRPr="005563B6">
        <w:rPr>
          <w:rFonts w:ascii="Georgia" w:eastAsia="Times New Roman" w:hAnsi="Georgia" w:cs="Arial"/>
          <w:b w:val="0"/>
          <w:iCs w:val="0"/>
          <w:color w:val="005A70"/>
          <w:kern w:val="32"/>
          <w:sz w:val="32"/>
          <w:szCs w:val="32"/>
        </w:rPr>
        <w:t>A service closing and new service opening</w:t>
      </w:r>
    </w:p>
    <w:p w:rsidR="005563B6" w:rsidRPr="002963DA" w:rsidRDefault="005563B6" w:rsidP="005563B6">
      <w:pPr>
        <w:spacing w:after="0" w:line="240" w:lineRule="auto"/>
        <w:rPr>
          <w:rFonts w:cstheme="minorHAnsi"/>
          <w:b/>
          <w:szCs w:val="20"/>
        </w:rPr>
      </w:pPr>
      <w:r w:rsidRPr="002963DA">
        <w:rPr>
          <w:rFonts w:cstheme="minorHAnsi"/>
          <w:b/>
          <w:szCs w:val="20"/>
        </w:rPr>
        <w:t>If the closing service has an existing ISS approval in place for the particular care environment, and the new service requires inclusion support</w:t>
      </w:r>
      <w:r w:rsidR="003C031C">
        <w:rPr>
          <w:rFonts w:cstheme="minorHAnsi"/>
          <w:b/>
          <w:szCs w:val="20"/>
        </w:rPr>
        <w:t xml:space="preserve"> in relation to the same children</w:t>
      </w:r>
      <w:r w:rsidRPr="002963DA">
        <w:rPr>
          <w:rFonts w:cstheme="minorHAnsi"/>
          <w:b/>
          <w:szCs w:val="20"/>
        </w:rPr>
        <w:t>, the following is recommended:</w:t>
      </w:r>
    </w:p>
    <w:p w:rsidR="005563B6" w:rsidRPr="002963DA" w:rsidRDefault="005563B6" w:rsidP="005563B6">
      <w:pPr>
        <w:pStyle w:val="ListParagraph"/>
        <w:rPr>
          <w:rFonts w:cstheme="minorHAnsi"/>
          <w:sz w:val="20"/>
          <w:szCs w:val="20"/>
        </w:rPr>
      </w:pPr>
    </w:p>
    <w:p w:rsidR="005563B6" w:rsidRPr="002963DA" w:rsidRDefault="005563B6" w:rsidP="005563B6">
      <w:pPr>
        <w:pStyle w:val="ListParagraph"/>
        <w:spacing w:after="0" w:line="240" w:lineRule="auto"/>
        <w:jc w:val="both"/>
        <w:rPr>
          <w:rFonts w:cstheme="minorHAnsi"/>
          <w:b/>
          <w:sz w:val="20"/>
          <w:szCs w:val="20"/>
        </w:rPr>
      </w:pPr>
      <w:r w:rsidRPr="002963DA">
        <w:rPr>
          <w:rFonts w:cstheme="minorHAnsi"/>
          <w:b/>
          <w:sz w:val="20"/>
          <w:szCs w:val="20"/>
        </w:rPr>
        <w:t>Step 1</w:t>
      </w:r>
      <w:r w:rsidRPr="002963DA">
        <w:rPr>
          <w:rFonts w:cstheme="minorHAnsi"/>
          <w:b/>
          <w:sz w:val="20"/>
          <w:szCs w:val="20"/>
        </w:rPr>
        <w:tab/>
      </w:r>
      <w:r w:rsidRPr="002963DA">
        <w:rPr>
          <w:rFonts w:cstheme="minorHAnsi"/>
          <w:sz w:val="20"/>
          <w:szCs w:val="20"/>
        </w:rPr>
        <w:t>The new service must contact its local ISA to review the inclusion support needs in the new care environment, develop an Inclusion Improvement Plan (IIP) and commence an ISS application where the ISA and service identify this is required.</w:t>
      </w:r>
    </w:p>
    <w:p w:rsidR="005563B6" w:rsidRPr="002963DA" w:rsidRDefault="005563B6" w:rsidP="005563B6">
      <w:pPr>
        <w:pStyle w:val="ListParagraph"/>
        <w:jc w:val="both"/>
        <w:rPr>
          <w:rFonts w:cstheme="minorHAnsi"/>
          <w:sz w:val="20"/>
          <w:szCs w:val="20"/>
        </w:rPr>
      </w:pPr>
    </w:p>
    <w:p w:rsidR="005563B6" w:rsidRPr="002963DA" w:rsidRDefault="005563B6" w:rsidP="005563B6">
      <w:pPr>
        <w:pStyle w:val="ListParagraph"/>
        <w:spacing w:after="0" w:line="240" w:lineRule="auto"/>
        <w:jc w:val="both"/>
        <w:rPr>
          <w:rFonts w:cstheme="minorHAnsi"/>
          <w:sz w:val="20"/>
          <w:szCs w:val="20"/>
        </w:rPr>
      </w:pPr>
      <w:r w:rsidRPr="002963DA">
        <w:rPr>
          <w:rFonts w:cstheme="minorHAnsi"/>
          <w:b/>
          <w:sz w:val="20"/>
          <w:szCs w:val="20"/>
        </w:rPr>
        <w:t>Step 2</w:t>
      </w:r>
      <w:r w:rsidRPr="002963DA">
        <w:rPr>
          <w:rFonts w:cstheme="minorHAnsi"/>
          <w:sz w:val="20"/>
          <w:szCs w:val="20"/>
        </w:rPr>
        <w:tab/>
        <w:t xml:space="preserve">An ISS application cannot be started in the IS Portal until the new service has a CCB Approval ID.  However, the IIP can be developed and the child profile and setting profile can be completed outside the system (in a word document) and copied into the IS </w:t>
      </w:r>
      <w:r w:rsidRPr="002963DA">
        <w:rPr>
          <w:rFonts w:cstheme="minorHAnsi"/>
          <w:sz w:val="20"/>
          <w:szCs w:val="20"/>
        </w:rPr>
        <w:lastRenderedPageBreak/>
        <w:t xml:space="preserve">Case once the CCB approval has been granted. Please see </w:t>
      </w:r>
      <w:r w:rsidRPr="002963DA">
        <w:rPr>
          <w:rFonts w:cstheme="minorHAnsi"/>
          <w:i/>
          <w:sz w:val="20"/>
          <w:szCs w:val="20"/>
        </w:rPr>
        <w:t xml:space="preserve">3. New services without a CCB ID </w:t>
      </w:r>
      <w:r w:rsidRPr="002963DA">
        <w:rPr>
          <w:rFonts w:cstheme="minorHAnsi"/>
          <w:sz w:val="20"/>
          <w:szCs w:val="20"/>
        </w:rPr>
        <w:t>for more information.</w:t>
      </w:r>
    </w:p>
    <w:p w:rsidR="005563B6" w:rsidRPr="002963DA" w:rsidRDefault="005563B6" w:rsidP="005563B6">
      <w:pPr>
        <w:spacing w:after="0" w:line="240" w:lineRule="auto"/>
        <w:jc w:val="both"/>
        <w:rPr>
          <w:rFonts w:cstheme="minorHAnsi"/>
          <w:szCs w:val="20"/>
        </w:rPr>
      </w:pPr>
    </w:p>
    <w:p w:rsidR="005563B6" w:rsidRPr="002963DA" w:rsidRDefault="005563B6" w:rsidP="005563B6">
      <w:pPr>
        <w:pStyle w:val="ListParagraph"/>
        <w:spacing w:after="0" w:line="240" w:lineRule="auto"/>
        <w:jc w:val="both"/>
        <w:rPr>
          <w:rFonts w:cstheme="minorHAnsi"/>
          <w:sz w:val="20"/>
          <w:szCs w:val="20"/>
        </w:rPr>
      </w:pPr>
      <w:r w:rsidRPr="002963DA">
        <w:rPr>
          <w:rFonts w:cstheme="minorHAnsi"/>
          <w:b/>
          <w:sz w:val="20"/>
          <w:szCs w:val="20"/>
        </w:rPr>
        <w:t>Step 3</w:t>
      </w:r>
      <w:r w:rsidRPr="002963DA">
        <w:rPr>
          <w:rFonts w:cstheme="minorHAnsi"/>
          <w:sz w:val="20"/>
          <w:szCs w:val="20"/>
        </w:rPr>
        <w:tab/>
        <w:t>When submitting the IS Case the Inclusion Support Facilitator should email the NISSP with the IS Case ID and service name to request the case is prioritised as it is a change of ownership application.</w:t>
      </w:r>
    </w:p>
    <w:p w:rsidR="005563B6" w:rsidRPr="002963DA" w:rsidRDefault="005563B6" w:rsidP="005563B6">
      <w:pPr>
        <w:spacing w:after="0" w:line="240" w:lineRule="auto"/>
        <w:jc w:val="both"/>
        <w:rPr>
          <w:rFonts w:cstheme="minorHAnsi"/>
          <w:szCs w:val="20"/>
        </w:rPr>
      </w:pPr>
    </w:p>
    <w:p w:rsidR="005563B6" w:rsidRPr="002963DA" w:rsidRDefault="005563B6" w:rsidP="005563B6">
      <w:pPr>
        <w:pStyle w:val="ListParagraph"/>
        <w:spacing w:after="0" w:line="240" w:lineRule="auto"/>
        <w:jc w:val="both"/>
        <w:rPr>
          <w:rFonts w:cstheme="minorHAnsi"/>
          <w:sz w:val="20"/>
          <w:szCs w:val="20"/>
        </w:rPr>
      </w:pPr>
      <w:r w:rsidRPr="002963DA">
        <w:rPr>
          <w:rFonts w:cstheme="minorHAnsi"/>
          <w:b/>
          <w:sz w:val="20"/>
          <w:szCs w:val="20"/>
        </w:rPr>
        <w:t>Step 4</w:t>
      </w:r>
      <w:r w:rsidRPr="002963DA">
        <w:rPr>
          <w:rFonts w:cstheme="minorHAnsi"/>
          <w:sz w:val="20"/>
          <w:szCs w:val="20"/>
        </w:rPr>
        <w:tab/>
        <w:t>Where an ISS application is submitted within three months of a change in ownership, and the service and ISA agree ISS is required</w:t>
      </w:r>
      <w:r w:rsidR="00F8228C">
        <w:rPr>
          <w:rFonts w:cstheme="minorHAnsi"/>
          <w:sz w:val="20"/>
          <w:szCs w:val="20"/>
        </w:rPr>
        <w:t xml:space="preserve"> and an additional educator has been employed</w:t>
      </w:r>
      <w:r w:rsidRPr="002963DA">
        <w:rPr>
          <w:rFonts w:cstheme="minorHAnsi"/>
          <w:sz w:val="20"/>
          <w:szCs w:val="20"/>
        </w:rPr>
        <w:t xml:space="preserve">, a request may be made to the NISSP for the start date to commence from the date </w:t>
      </w:r>
      <w:r w:rsidR="00713601">
        <w:rPr>
          <w:rFonts w:cstheme="minorHAnsi"/>
          <w:sz w:val="20"/>
          <w:szCs w:val="20"/>
        </w:rPr>
        <w:t xml:space="preserve">when </w:t>
      </w:r>
      <w:r w:rsidRPr="002963DA">
        <w:rPr>
          <w:rFonts w:cstheme="minorHAnsi"/>
          <w:sz w:val="20"/>
          <w:szCs w:val="20"/>
        </w:rPr>
        <w:t>the new service’s CCB approval was granted.</w:t>
      </w:r>
    </w:p>
    <w:p w:rsidR="005563B6" w:rsidRPr="002963DA" w:rsidRDefault="005563B6" w:rsidP="005563B6">
      <w:pPr>
        <w:pStyle w:val="ListParagraph"/>
        <w:ind w:left="1440"/>
        <w:rPr>
          <w:rFonts w:cstheme="minorHAnsi"/>
          <w:sz w:val="20"/>
          <w:szCs w:val="20"/>
        </w:rPr>
      </w:pPr>
    </w:p>
    <w:p w:rsidR="005563B6" w:rsidRPr="002963DA" w:rsidRDefault="005563B6" w:rsidP="005446D4">
      <w:pPr>
        <w:spacing w:before="0" w:after="0" w:line="240" w:lineRule="auto"/>
        <w:rPr>
          <w:rFonts w:cstheme="minorHAnsi"/>
          <w:b/>
          <w:szCs w:val="20"/>
        </w:rPr>
      </w:pPr>
      <w:r w:rsidRPr="002963DA">
        <w:rPr>
          <w:rFonts w:cstheme="minorHAnsi"/>
          <w:b/>
          <w:szCs w:val="20"/>
        </w:rPr>
        <w:t>If the closing service does not have an ISS approval, but the new service identifies the need for inclusion support. In this case, the following is recommended:</w:t>
      </w:r>
    </w:p>
    <w:p w:rsidR="005563B6" w:rsidRPr="002963DA" w:rsidRDefault="005563B6" w:rsidP="005446D4">
      <w:pPr>
        <w:pStyle w:val="ListParagraph"/>
        <w:spacing w:after="0"/>
        <w:rPr>
          <w:rFonts w:cstheme="minorHAnsi"/>
          <w:sz w:val="20"/>
          <w:szCs w:val="20"/>
        </w:rPr>
      </w:pPr>
    </w:p>
    <w:p w:rsidR="005563B6" w:rsidRPr="002963DA" w:rsidRDefault="005563B6" w:rsidP="005446D4">
      <w:pPr>
        <w:pStyle w:val="ListParagraph"/>
        <w:spacing w:after="0" w:line="240" w:lineRule="auto"/>
        <w:contextualSpacing w:val="0"/>
        <w:jc w:val="both"/>
        <w:rPr>
          <w:rFonts w:cstheme="minorHAnsi"/>
          <w:sz w:val="20"/>
          <w:szCs w:val="20"/>
        </w:rPr>
      </w:pPr>
      <w:r w:rsidRPr="002963DA">
        <w:rPr>
          <w:rFonts w:cstheme="minorHAnsi"/>
          <w:b/>
          <w:sz w:val="20"/>
          <w:szCs w:val="20"/>
        </w:rPr>
        <w:t>Step 1</w:t>
      </w:r>
      <w:r w:rsidRPr="002963DA">
        <w:rPr>
          <w:rFonts w:cstheme="minorHAnsi"/>
          <w:sz w:val="20"/>
          <w:szCs w:val="20"/>
        </w:rPr>
        <w:tab/>
        <w:t>The new service must contact its local ISA to review the inclusion support needs in the new service, develop an Inclusion Improvement Plan (IIP) and commence an ISS application where the ISA and service identify this is required.</w:t>
      </w:r>
    </w:p>
    <w:p w:rsidR="005563B6" w:rsidRPr="002963DA" w:rsidRDefault="005563B6" w:rsidP="00F673E6">
      <w:pPr>
        <w:pStyle w:val="ListParagraph"/>
        <w:spacing w:after="0"/>
        <w:jc w:val="both"/>
        <w:rPr>
          <w:rFonts w:cstheme="minorHAnsi"/>
          <w:sz w:val="20"/>
          <w:szCs w:val="20"/>
        </w:rPr>
      </w:pPr>
    </w:p>
    <w:p w:rsidR="005563B6" w:rsidRPr="002963DA" w:rsidRDefault="005563B6" w:rsidP="00F673E6">
      <w:pPr>
        <w:pStyle w:val="ListParagraph"/>
        <w:spacing w:after="0" w:line="240" w:lineRule="auto"/>
        <w:contextualSpacing w:val="0"/>
        <w:jc w:val="both"/>
        <w:rPr>
          <w:rFonts w:cstheme="minorHAnsi"/>
          <w:sz w:val="20"/>
          <w:szCs w:val="20"/>
        </w:rPr>
      </w:pPr>
      <w:r w:rsidRPr="002963DA">
        <w:rPr>
          <w:rFonts w:cstheme="minorHAnsi"/>
          <w:b/>
          <w:sz w:val="20"/>
          <w:szCs w:val="20"/>
        </w:rPr>
        <w:t>Step 2</w:t>
      </w:r>
      <w:r w:rsidRPr="002963DA">
        <w:rPr>
          <w:rFonts w:cstheme="minorHAnsi"/>
          <w:sz w:val="20"/>
          <w:szCs w:val="20"/>
        </w:rPr>
        <w:tab/>
        <w:t xml:space="preserve">An ISS application cannot be started in the IS Portal until the new service has a CCB Approval ID. However, the IIP can be developed and the child profile and setting profile can be completed outside the system (for example, in a Microsoft Word document) and copied into the IS Case once the CCB approval has been granted. </w:t>
      </w:r>
    </w:p>
    <w:p w:rsidR="005563B6" w:rsidRPr="002963DA" w:rsidRDefault="005563B6" w:rsidP="00F673E6">
      <w:pPr>
        <w:pStyle w:val="ListParagraph"/>
        <w:spacing w:after="0"/>
        <w:jc w:val="both"/>
        <w:rPr>
          <w:rFonts w:cstheme="minorHAnsi"/>
          <w:sz w:val="20"/>
          <w:szCs w:val="20"/>
        </w:rPr>
      </w:pPr>
    </w:p>
    <w:p w:rsidR="005563B6" w:rsidRPr="002963DA" w:rsidRDefault="005563B6" w:rsidP="00F673E6">
      <w:pPr>
        <w:pStyle w:val="ListParagraph"/>
        <w:spacing w:after="0" w:line="240" w:lineRule="auto"/>
        <w:contextualSpacing w:val="0"/>
        <w:jc w:val="both"/>
        <w:rPr>
          <w:rFonts w:cstheme="minorHAnsi"/>
          <w:sz w:val="20"/>
          <w:szCs w:val="20"/>
        </w:rPr>
      </w:pPr>
      <w:r w:rsidRPr="002963DA">
        <w:rPr>
          <w:rFonts w:cstheme="minorHAnsi"/>
          <w:b/>
          <w:sz w:val="20"/>
          <w:szCs w:val="20"/>
        </w:rPr>
        <w:t>Step 3</w:t>
      </w:r>
      <w:r w:rsidRPr="002963DA">
        <w:rPr>
          <w:rFonts w:cstheme="minorHAnsi"/>
          <w:sz w:val="20"/>
          <w:szCs w:val="20"/>
        </w:rPr>
        <w:tab/>
        <w:t>When submitting the IS Case the ISF should email the NISSP with the IS Case ID and service name to request the case is prioritised as it is a change of ownership application.</w:t>
      </w:r>
    </w:p>
    <w:p w:rsidR="005563B6" w:rsidRPr="002963DA" w:rsidRDefault="005563B6" w:rsidP="005563B6">
      <w:pPr>
        <w:pStyle w:val="ListParagraph"/>
        <w:ind w:left="360"/>
        <w:jc w:val="both"/>
        <w:rPr>
          <w:rFonts w:cstheme="minorHAnsi"/>
          <w:sz w:val="20"/>
          <w:szCs w:val="20"/>
        </w:rPr>
      </w:pPr>
    </w:p>
    <w:p w:rsidR="005563B6" w:rsidRPr="002963DA" w:rsidRDefault="005563B6" w:rsidP="005563B6">
      <w:pPr>
        <w:pStyle w:val="ListParagraph"/>
        <w:spacing w:after="0" w:line="240" w:lineRule="auto"/>
        <w:contextualSpacing w:val="0"/>
        <w:jc w:val="both"/>
        <w:rPr>
          <w:rFonts w:cstheme="minorHAnsi"/>
          <w:sz w:val="20"/>
          <w:szCs w:val="20"/>
        </w:rPr>
      </w:pPr>
      <w:r w:rsidRPr="002963DA">
        <w:rPr>
          <w:rFonts w:cstheme="minorHAnsi"/>
          <w:b/>
          <w:sz w:val="20"/>
          <w:szCs w:val="20"/>
        </w:rPr>
        <w:t>Step 4</w:t>
      </w:r>
      <w:r w:rsidRPr="002963DA">
        <w:rPr>
          <w:rFonts w:cstheme="minorHAnsi"/>
          <w:sz w:val="20"/>
          <w:szCs w:val="20"/>
        </w:rPr>
        <w:tab/>
        <w:t xml:space="preserve">Where the service and ISA agree ISS is required, the application should be commenced and submitted in the IS Portal as soon as possible. ISS funding will commence from the date the ISS application is approved by the NISSP. ISS funding cannot be </w:t>
      </w:r>
      <w:r w:rsidR="00F8228C">
        <w:rPr>
          <w:rFonts w:cstheme="minorHAnsi"/>
          <w:sz w:val="20"/>
          <w:szCs w:val="20"/>
        </w:rPr>
        <w:t xml:space="preserve">given an earlier start date </w:t>
      </w:r>
      <w:r w:rsidRPr="002963DA">
        <w:rPr>
          <w:rFonts w:cstheme="minorHAnsi"/>
          <w:sz w:val="20"/>
          <w:szCs w:val="20"/>
        </w:rPr>
        <w:t xml:space="preserve">in these circumstances. </w:t>
      </w:r>
    </w:p>
    <w:p w:rsidR="005563B6" w:rsidRPr="002963DA" w:rsidRDefault="005563B6" w:rsidP="005563B6">
      <w:pPr>
        <w:pStyle w:val="ListParagraph"/>
        <w:spacing w:after="0" w:line="240" w:lineRule="auto"/>
        <w:contextualSpacing w:val="0"/>
        <w:jc w:val="both"/>
        <w:rPr>
          <w:rFonts w:cstheme="minorHAnsi"/>
          <w:sz w:val="20"/>
          <w:szCs w:val="20"/>
        </w:rPr>
      </w:pPr>
    </w:p>
    <w:p w:rsidR="005563B6" w:rsidRDefault="005563B6" w:rsidP="005446D4">
      <w:pPr>
        <w:spacing w:before="0" w:after="0" w:line="240" w:lineRule="auto"/>
        <w:rPr>
          <w:rFonts w:cstheme="minorHAnsi"/>
          <w:b/>
          <w:szCs w:val="20"/>
        </w:rPr>
      </w:pPr>
      <w:r w:rsidRPr="002963DA">
        <w:rPr>
          <w:rFonts w:cstheme="minorHAnsi"/>
          <w:b/>
          <w:szCs w:val="20"/>
        </w:rPr>
        <w:t>If the closing service requires inclusion support now and the change of ownership is in the future or the date of effect is unknown, the following is recommended:</w:t>
      </w:r>
    </w:p>
    <w:p w:rsidR="005446D4" w:rsidRPr="002963DA" w:rsidRDefault="005446D4" w:rsidP="005446D4">
      <w:pPr>
        <w:spacing w:before="0" w:after="0" w:line="240" w:lineRule="auto"/>
        <w:rPr>
          <w:rFonts w:cstheme="minorHAnsi"/>
          <w:b/>
          <w:szCs w:val="20"/>
        </w:rPr>
      </w:pPr>
    </w:p>
    <w:p w:rsidR="005563B6" w:rsidRPr="002963DA" w:rsidRDefault="005563B6" w:rsidP="005446D4">
      <w:pPr>
        <w:spacing w:before="0" w:after="0" w:line="240" w:lineRule="auto"/>
        <w:ind w:left="720"/>
        <w:jc w:val="both"/>
        <w:rPr>
          <w:rFonts w:cstheme="minorHAnsi"/>
          <w:szCs w:val="20"/>
        </w:rPr>
      </w:pPr>
      <w:r w:rsidRPr="002963DA">
        <w:rPr>
          <w:rFonts w:cstheme="minorHAnsi"/>
          <w:b/>
          <w:szCs w:val="20"/>
        </w:rPr>
        <w:t>Step 1</w:t>
      </w:r>
      <w:r w:rsidRPr="002963DA">
        <w:rPr>
          <w:rFonts w:cstheme="minorHAnsi"/>
          <w:b/>
          <w:szCs w:val="20"/>
        </w:rPr>
        <w:tab/>
      </w:r>
      <w:r w:rsidRPr="002963DA">
        <w:rPr>
          <w:rFonts w:cstheme="minorHAnsi"/>
          <w:szCs w:val="20"/>
        </w:rPr>
        <w:t xml:space="preserve">The closing service must contact its local ISA to determine inclusion support needs until the change in ownership takes effect. </w:t>
      </w:r>
    </w:p>
    <w:p w:rsidR="005563B6" w:rsidRPr="002963DA" w:rsidRDefault="005563B6" w:rsidP="005563B6">
      <w:pPr>
        <w:spacing w:after="0" w:line="240" w:lineRule="auto"/>
        <w:ind w:left="1440"/>
        <w:jc w:val="right"/>
        <w:rPr>
          <w:rFonts w:cstheme="minorHAnsi"/>
          <w:szCs w:val="20"/>
        </w:rPr>
      </w:pPr>
    </w:p>
    <w:p w:rsidR="005563B6" w:rsidRDefault="005563B6" w:rsidP="00F673E6">
      <w:pPr>
        <w:spacing w:before="0" w:after="0" w:line="240" w:lineRule="auto"/>
        <w:ind w:left="720"/>
        <w:rPr>
          <w:rFonts w:cstheme="minorHAnsi"/>
          <w:b/>
          <w:szCs w:val="20"/>
        </w:rPr>
      </w:pPr>
      <w:r w:rsidRPr="002963DA">
        <w:rPr>
          <w:rFonts w:cstheme="minorHAnsi"/>
          <w:b/>
          <w:szCs w:val="20"/>
        </w:rPr>
        <w:t>Options available are:</w:t>
      </w:r>
    </w:p>
    <w:p w:rsidR="00597790" w:rsidRPr="00F673E6" w:rsidRDefault="00597790" w:rsidP="00F673E6">
      <w:pPr>
        <w:spacing w:before="0" w:after="0" w:line="240" w:lineRule="auto"/>
        <w:ind w:left="720"/>
        <w:rPr>
          <w:rFonts w:cstheme="minorHAnsi"/>
          <w:b/>
          <w:szCs w:val="20"/>
        </w:rPr>
      </w:pPr>
    </w:p>
    <w:p w:rsidR="005563B6" w:rsidRPr="002963DA" w:rsidRDefault="005563B6" w:rsidP="00F673E6">
      <w:pPr>
        <w:pStyle w:val="ListParagraph"/>
        <w:numPr>
          <w:ilvl w:val="0"/>
          <w:numId w:val="18"/>
        </w:numPr>
        <w:spacing w:after="0" w:line="240" w:lineRule="auto"/>
        <w:contextualSpacing w:val="0"/>
        <w:jc w:val="both"/>
        <w:rPr>
          <w:rFonts w:cstheme="minorHAnsi"/>
          <w:sz w:val="20"/>
          <w:szCs w:val="20"/>
        </w:rPr>
      </w:pPr>
      <w:r w:rsidRPr="002963DA">
        <w:rPr>
          <w:rFonts w:cstheme="minorHAnsi"/>
          <w:sz w:val="20"/>
          <w:szCs w:val="20"/>
        </w:rPr>
        <w:t xml:space="preserve">Apply for ISS in relation to the closing service. If the closing service has an existing ISS approval in place but funding will end in less than three months, the service may still apply for a renewal of ISS. If approved, the end date of the approval period will reflect the end date of the CCB approval of the current service </w:t>
      </w:r>
      <w:r w:rsidR="0039062E">
        <w:rPr>
          <w:rFonts w:cstheme="minorHAnsi"/>
          <w:sz w:val="20"/>
          <w:szCs w:val="20"/>
        </w:rPr>
        <w:t>o</w:t>
      </w:r>
      <w:r w:rsidRPr="002963DA">
        <w:rPr>
          <w:rFonts w:cstheme="minorHAnsi"/>
          <w:sz w:val="20"/>
          <w:szCs w:val="20"/>
        </w:rPr>
        <w:t>r</w:t>
      </w:r>
    </w:p>
    <w:p w:rsidR="005563B6" w:rsidRPr="002963DA" w:rsidRDefault="005563B6" w:rsidP="005553F2">
      <w:pPr>
        <w:pStyle w:val="ListParagraph"/>
        <w:numPr>
          <w:ilvl w:val="0"/>
          <w:numId w:val="18"/>
        </w:numPr>
        <w:spacing w:after="0" w:line="240" w:lineRule="auto"/>
        <w:ind w:left="1797" w:hanging="357"/>
        <w:contextualSpacing w:val="0"/>
        <w:rPr>
          <w:rFonts w:cstheme="minorHAnsi"/>
          <w:sz w:val="20"/>
          <w:szCs w:val="20"/>
        </w:rPr>
      </w:pPr>
      <w:r w:rsidRPr="002963DA">
        <w:rPr>
          <w:rFonts w:cstheme="minorHAnsi"/>
          <w:sz w:val="20"/>
          <w:szCs w:val="20"/>
        </w:rPr>
        <w:t>Flexible Support Funding (FSF) could be considered for the closing service for a short period given it is not clear what the new service’s inclusion needs will be in the longer term.  This might be appropriate if changes to children’s attendance or to educator to child ratios or to care environment structure are expected. For more information on FSF, please refer to Section F2 in the IPSP Guidelines 2013-2016.</w:t>
      </w:r>
    </w:p>
    <w:p w:rsidR="005563B6" w:rsidRPr="002963DA" w:rsidRDefault="005563B6" w:rsidP="005563B6">
      <w:pPr>
        <w:rPr>
          <w:rFonts w:cstheme="minorHAnsi"/>
          <w:szCs w:val="20"/>
        </w:rPr>
      </w:pPr>
    </w:p>
    <w:p w:rsidR="005563B6" w:rsidRDefault="005563B6" w:rsidP="005563B6">
      <w:pPr>
        <w:rPr>
          <w:rFonts w:cstheme="minorHAnsi"/>
          <w:szCs w:val="20"/>
        </w:rPr>
      </w:pPr>
      <w:r w:rsidRPr="002963DA">
        <w:rPr>
          <w:rFonts w:cstheme="minorHAnsi"/>
          <w:b/>
          <w:szCs w:val="20"/>
        </w:rPr>
        <w:t>Note:</w:t>
      </w:r>
      <w:r w:rsidRPr="002963DA">
        <w:rPr>
          <w:rFonts w:cstheme="minorHAnsi"/>
          <w:szCs w:val="20"/>
        </w:rPr>
        <w:t xml:space="preserve"> It is important that new services are aware that it is their business decision to employ or continue to employ an additional educator prior to notification of the outcome of their application for ISS.  </w:t>
      </w:r>
    </w:p>
    <w:p w:rsidR="005563B6" w:rsidRPr="00B82910" w:rsidRDefault="005563B6" w:rsidP="005563B6">
      <w:pPr>
        <w:pStyle w:val="Heading1Numbered"/>
        <w:numPr>
          <w:ilvl w:val="0"/>
          <w:numId w:val="17"/>
        </w:numPr>
        <w:spacing w:after="120"/>
        <w:ind w:left="357" w:hanging="357"/>
        <w:textAlignment w:val="center"/>
        <w:rPr>
          <w:rFonts w:ascii="Georgia" w:eastAsia="Times New Roman" w:hAnsi="Georgia" w:cs="Arial"/>
          <w:b w:val="0"/>
          <w:iCs w:val="0"/>
          <w:color w:val="005A70"/>
          <w:kern w:val="32"/>
          <w:sz w:val="32"/>
          <w:szCs w:val="32"/>
        </w:rPr>
      </w:pPr>
      <w:r w:rsidRPr="005563B6">
        <w:rPr>
          <w:rFonts w:ascii="Georgia" w:eastAsia="Times New Roman" w:hAnsi="Georgia" w:cs="Arial"/>
          <w:b w:val="0"/>
          <w:iCs w:val="0"/>
          <w:color w:val="005A70"/>
          <w:kern w:val="32"/>
          <w:sz w:val="32"/>
          <w:szCs w:val="32"/>
        </w:rPr>
        <w:lastRenderedPageBreak/>
        <w:t>A new service without a CCB ID</w:t>
      </w:r>
    </w:p>
    <w:p w:rsidR="005563B6" w:rsidRPr="00F673E6" w:rsidRDefault="005563B6" w:rsidP="005563B6">
      <w:pPr>
        <w:spacing w:after="0" w:line="240" w:lineRule="auto"/>
        <w:rPr>
          <w:rFonts w:cstheme="minorHAnsi"/>
          <w:b/>
          <w:szCs w:val="20"/>
        </w:rPr>
      </w:pPr>
      <w:r w:rsidRPr="00F673E6">
        <w:rPr>
          <w:rFonts w:cstheme="minorHAnsi"/>
          <w:b/>
          <w:szCs w:val="20"/>
        </w:rPr>
        <w:t>If a new service is opening and does not have a CCB ID</w:t>
      </w:r>
    </w:p>
    <w:p w:rsidR="005563B6" w:rsidRPr="00F673E6" w:rsidRDefault="005563B6" w:rsidP="00F673E6">
      <w:pPr>
        <w:spacing w:before="0" w:after="0" w:line="240" w:lineRule="auto"/>
        <w:rPr>
          <w:rFonts w:cstheme="minorHAnsi"/>
          <w:szCs w:val="20"/>
        </w:rPr>
      </w:pPr>
      <w:r w:rsidRPr="00F673E6">
        <w:rPr>
          <w:rFonts w:cstheme="minorHAnsi"/>
          <w:szCs w:val="20"/>
        </w:rPr>
        <w:t xml:space="preserve">When a new service, with the support of the ISA, identifies the need for inclusion support an ISS application cannot begin in the IS Portal until the new service has a CCB approval ID. As outlined in the IPSP Guidelines for 2013-16, </w:t>
      </w:r>
      <w:r w:rsidR="0083306A" w:rsidRPr="00F673E6">
        <w:rPr>
          <w:rFonts w:cstheme="minorHAnsi"/>
          <w:szCs w:val="20"/>
        </w:rPr>
        <w:t>fundamental requirements for services eligibility for IPSP support is that they are CCB approved or are</w:t>
      </w:r>
      <w:r w:rsidRPr="00F673E6">
        <w:rPr>
          <w:rFonts w:cstheme="minorHAnsi"/>
          <w:szCs w:val="20"/>
        </w:rPr>
        <w:t xml:space="preserve"> funded under the Budget Based Funded programme. A new service will need its own CCB approval ID which will be different to the service that is closing.</w:t>
      </w:r>
    </w:p>
    <w:p w:rsidR="00F673E6" w:rsidRDefault="00F673E6" w:rsidP="00F673E6">
      <w:pPr>
        <w:spacing w:before="0" w:after="0"/>
        <w:rPr>
          <w:rFonts w:cstheme="minorHAnsi"/>
          <w:szCs w:val="20"/>
        </w:rPr>
      </w:pPr>
    </w:p>
    <w:p w:rsidR="00380E6C" w:rsidRDefault="005563B6" w:rsidP="00AC7642">
      <w:pPr>
        <w:spacing w:before="0" w:after="0"/>
      </w:pPr>
      <w:r w:rsidRPr="00F673E6">
        <w:rPr>
          <w:rFonts w:cstheme="minorHAnsi"/>
          <w:szCs w:val="20"/>
        </w:rPr>
        <w:t xml:space="preserve">Information on how to get CCB approval can be found </w:t>
      </w:r>
      <w:r w:rsidR="00C75FDF">
        <w:rPr>
          <w:rFonts w:cstheme="minorHAnsi"/>
          <w:szCs w:val="20"/>
        </w:rPr>
        <w:t xml:space="preserve">on the </w:t>
      </w:r>
      <w:hyperlink r:id="rId11" w:history="1">
        <w:r w:rsidR="00C75FDF" w:rsidRPr="000E05F3">
          <w:rPr>
            <w:rStyle w:val="Hyperlink"/>
            <w:rFonts w:cstheme="minorHAnsi"/>
            <w:color w:val="3333FF"/>
            <w:szCs w:val="20"/>
            <w:u w:val="single"/>
          </w:rPr>
          <w:t>Department’s website</w:t>
        </w:r>
      </w:hyperlink>
      <w:r w:rsidR="00405937">
        <w:rPr>
          <w:rStyle w:val="Hyperlink"/>
          <w:rFonts w:cstheme="minorHAnsi"/>
          <w:b w:val="0"/>
          <w:szCs w:val="20"/>
        </w:rPr>
        <w:t xml:space="preserve"> (</w:t>
      </w:r>
      <w:r w:rsidR="00405937" w:rsidRPr="00405937">
        <w:rPr>
          <w:rStyle w:val="Hyperlink"/>
          <w:rFonts w:cstheme="minorHAnsi"/>
          <w:b w:val="0"/>
          <w:szCs w:val="20"/>
        </w:rPr>
        <w:t>https://www.dss.gov.au/our-responsibilities/families-and-children/programmes-services/early-childhood-child-care/information-on-becoming-an-approved-child-care-service</w:t>
      </w:r>
      <w:r w:rsidR="00405937">
        <w:rPr>
          <w:rStyle w:val="Hyperlink"/>
          <w:rFonts w:cstheme="minorHAnsi"/>
          <w:b w:val="0"/>
          <w:szCs w:val="20"/>
        </w:rPr>
        <w:t>)</w:t>
      </w:r>
      <w:r w:rsidR="000E05F3">
        <w:rPr>
          <w:rFonts w:cstheme="minorHAnsi"/>
          <w:szCs w:val="20"/>
        </w:rPr>
        <w:t>.</w:t>
      </w:r>
    </w:p>
    <w:sectPr w:rsidR="00380E6C" w:rsidSect="002963DA">
      <w:headerReference w:type="default" r:id="rId12"/>
      <w:footerReference w:type="default" r:id="rId13"/>
      <w:footerReference w:type="first" r:id="rId14"/>
      <w:pgSz w:w="11906" w:h="16838" w:code="9"/>
      <w:pgMar w:top="737" w:right="2268" w:bottom="709"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1C" w:rsidRDefault="003C031C">
      <w:r>
        <w:separator/>
      </w:r>
    </w:p>
  </w:endnote>
  <w:endnote w:type="continuationSeparator" w:id="0">
    <w:p w:rsidR="003C031C" w:rsidRDefault="003C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1C" w:rsidRPr="00846C1D" w:rsidRDefault="003C031C" w:rsidP="00846C1D">
    <w:pPr>
      <w:pStyle w:val="Footer"/>
    </w:pPr>
    <w:r>
      <w:tab/>
    </w:r>
    <w:r w:rsidR="00F41B0E">
      <w:fldChar w:fldCharType="begin"/>
    </w:r>
    <w:r w:rsidR="00F41B0E">
      <w:instrText xml:space="preserve"> PAGE   \* MERGEFORMAT </w:instrText>
    </w:r>
    <w:r w:rsidR="00F41B0E">
      <w:fldChar w:fldCharType="separate"/>
    </w:r>
    <w:r w:rsidR="002F61D7">
      <w:rPr>
        <w:noProof/>
      </w:rPr>
      <w:t>2</w:t>
    </w:r>
    <w:r w:rsidR="00F41B0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1C" w:rsidRDefault="003C031C">
    <w:pPr>
      <w:pStyle w:val="Footer"/>
    </w:pPr>
    <w:r>
      <w:t>Released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1C" w:rsidRDefault="003C031C">
      <w:r>
        <w:separator/>
      </w:r>
    </w:p>
  </w:footnote>
  <w:footnote w:type="continuationSeparator" w:id="0">
    <w:p w:rsidR="003C031C" w:rsidRDefault="003C0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1C" w:rsidRDefault="003C031C" w:rsidP="00B9463B">
    <w:pPr>
      <w:pStyle w:val="Header"/>
      <w:pBdr>
        <w:bottom w:val="single" w:sz="4" w:space="1" w:color="auto"/>
      </w:pBdr>
      <w:spacing w:line="480" w:lineRule="auto"/>
      <w:rPr>
        <w:noProof/>
      </w:rPr>
    </w:pPr>
    <w:r>
      <w:rPr>
        <w:noProof/>
      </w:rPr>
      <w:t>IPSP Fact Sheet 6: Change of Service Ownership and Inclusion Support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1B845DF5"/>
    <w:multiLevelType w:val="hybridMultilevel"/>
    <w:tmpl w:val="9A066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B073BE"/>
    <w:multiLevelType w:val="hybridMultilevel"/>
    <w:tmpl w:val="3D3ED434"/>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3AD35DDF"/>
    <w:multiLevelType w:val="hybridMultilevel"/>
    <w:tmpl w:val="B09A8746"/>
    <w:lvl w:ilvl="0" w:tplc="0A0840C4">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nsid w:val="42341223"/>
    <w:multiLevelType w:val="hybridMultilevel"/>
    <w:tmpl w:val="0D90A590"/>
    <w:lvl w:ilvl="0" w:tplc="597C7826">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618A2B0A"/>
    <w:multiLevelType w:val="multilevel"/>
    <w:tmpl w:val="9AC2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F4356"/>
    <w:multiLevelType w:val="hybridMultilevel"/>
    <w:tmpl w:val="B6183062"/>
    <w:lvl w:ilvl="0" w:tplc="AD6EE98E">
      <w:start w:val="1"/>
      <w:numFmt w:val="decimal"/>
      <w:lvlText w:val="%1."/>
      <w:lvlJc w:val="left"/>
      <w:pPr>
        <w:ind w:left="360" w:hanging="360"/>
      </w:pPr>
      <w:rPr>
        <w:rFonts w:ascii="Calibri" w:hAnsi="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679042D"/>
    <w:multiLevelType w:val="hybridMultilevel"/>
    <w:tmpl w:val="1DC20330"/>
    <w:lvl w:ilvl="0" w:tplc="AF969ED2">
      <w:start w:val="1"/>
      <w:numFmt w:val="bullet"/>
      <w:pStyle w:val="StepsLvl2"/>
      <w:lvlText w:val=""/>
      <w:lvlJc w:val="left"/>
      <w:pPr>
        <w:ind w:left="604" w:hanging="360"/>
      </w:pPr>
      <w:rPr>
        <w:rFonts w:ascii="Symbol" w:hAnsi="Symbol" w:hint="default"/>
        <w:b/>
        <w:i w:val="0"/>
        <w:color w:val="4F6228"/>
      </w:rPr>
    </w:lvl>
    <w:lvl w:ilvl="1" w:tplc="0C090001">
      <w:start w:val="1"/>
      <w:numFmt w:val="bullet"/>
      <w:lvlText w:val=""/>
      <w:lvlJc w:val="left"/>
      <w:pPr>
        <w:ind w:left="1684" w:hanging="360"/>
      </w:pPr>
      <w:rPr>
        <w:rFonts w:ascii="Symbol" w:hAnsi="Symbol" w:hint="default"/>
      </w:rPr>
    </w:lvl>
    <w:lvl w:ilvl="2" w:tplc="0C09001B">
      <w:start w:val="1"/>
      <w:numFmt w:val="lowerRoman"/>
      <w:lvlText w:val="%3."/>
      <w:lvlJc w:val="right"/>
      <w:pPr>
        <w:ind w:left="2404" w:hanging="180"/>
      </w:pPr>
    </w:lvl>
    <w:lvl w:ilvl="3" w:tplc="0C09000F">
      <w:start w:val="1"/>
      <w:numFmt w:val="decimal"/>
      <w:lvlText w:val="%4."/>
      <w:lvlJc w:val="left"/>
      <w:pPr>
        <w:ind w:left="3124" w:hanging="360"/>
      </w:pPr>
    </w:lvl>
    <w:lvl w:ilvl="4" w:tplc="0C090019">
      <w:start w:val="1"/>
      <w:numFmt w:val="lowerLetter"/>
      <w:lvlText w:val="%5."/>
      <w:lvlJc w:val="left"/>
      <w:pPr>
        <w:ind w:left="3844" w:hanging="360"/>
      </w:pPr>
    </w:lvl>
    <w:lvl w:ilvl="5" w:tplc="0C09001B">
      <w:start w:val="1"/>
      <w:numFmt w:val="lowerRoman"/>
      <w:lvlText w:val="%6."/>
      <w:lvlJc w:val="right"/>
      <w:pPr>
        <w:ind w:left="4564" w:hanging="180"/>
      </w:pPr>
    </w:lvl>
    <w:lvl w:ilvl="6" w:tplc="0C09000F">
      <w:start w:val="1"/>
      <w:numFmt w:val="decimal"/>
      <w:lvlText w:val="%7."/>
      <w:lvlJc w:val="left"/>
      <w:pPr>
        <w:ind w:left="5284" w:hanging="360"/>
      </w:pPr>
    </w:lvl>
    <w:lvl w:ilvl="7" w:tplc="0C090019">
      <w:start w:val="1"/>
      <w:numFmt w:val="lowerLetter"/>
      <w:lvlText w:val="%8."/>
      <w:lvlJc w:val="left"/>
      <w:pPr>
        <w:ind w:left="6004" w:hanging="360"/>
      </w:pPr>
    </w:lvl>
    <w:lvl w:ilvl="8" w:tplc="0C09001B">
      <w:start w:val="1"/>
      <w:numFmt w:val="lowerRoman"/>
      <w:lvlText w:val="%9."/>
      <w:lvlJc w:val="right"/>
      <w:pPr>
        <w:ind w:left="6724" w:hanging="180"/>
      </w:pPr>
    </w:lvl>
  </w:abstractNum>
  <w:abstractNum w:abstractNumId="11">
    <w:nsid w:val="71F231EC"/>
    <w:multiLevelType w:val="hybridMultilevel"/>
    <w:tmpl w:val="B3FAF8C0"/>
    <w:lvl w:ilvl="0" w:tplc="FEFE16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
  <w:rsids>
    <w:rsidRoot w:val="00C77BD5"/>
    <w:rsid w:val="00002C18"/>
    <w:rsid w:val="00010549"/>
    <w:rsid w:val="00012F84"/>
    <w:rsid w:val="00024290"/>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73E6"/>
    <w:rsid w:val="00067CD0"/>
    <w:rsid w:val="00075B92"/>
    <w:rsid w:val="00080F2E"/>
    <w:rsid w:val="00081CEB"/>
    <w:rsid w:val="00083791"/>
    <w:rsid w:val="00086E3C"/>
    <w:rsid w:val="00087B2C"/>
    <w:rsid w:val="00087DBD"/>
    <w:rsid w:val="00090570"/>
    <w:rsid w:val="00090753"/>
    <w:rsid w:val="00097BFF"/>
    <w:rsid w:val="000A3EC3"/>
    <w:rsid w:val="000A669D"/>
    <w:rsid w:val="000A66A8"/>
    <w:rsid w:val="000C014D"/>
    <w:rsid w:val="000D4703"/>
    <w:rsid w:val="000D55DF"/>
    <w:rsid w:val="000D693C"/>
    <w:rsid w:val="000E05F3"/>
    <w:rsid w:val="000E12D4"/>
    <w:rsid w:val="00104669"/>
    <w:rsid w:val="00110028"/>
    <w:rsid w:val="00116EDF"/>
    <w:rsid w:val="00124B26"/>
    <w:rsid w:val="001305B3"/>
    <w:rsid w:val="00130C4E"/>
    <w:rsid w:val="00131B54"/>
    <w:rsid w:val="001354B7"/>
    <w:rsid w:val="001404FA"/>
    <w:rsid w:val="001413C5"/>
    <w:rsid w:val="00142956"/>
    <w:rsid w:val="00143502"/>
    <w:rsid w:val="00144494"/>
    <w:rsid w:val="00144868"/>
    <w:rsid w:val="00157709"/>
    <w:rsid w:val="00167330"/>
    <w:rsid w:val="00167CF4"/>
    <w:rsid w:val="00185F6A"/>
    <w:rsid w:val="001873F8"/>
    <w:rsid w:val="001943DD"/>
    <w:rsid w:val="00195374"/>
    <w:rsid w:val="001A127F"/>
    <w:rsid w:val="001A3CA4"/>
    <w:rsid w:val="001A3EA4"/>
    <w:rsid w:val="001B3AEC"/>
    <w:rsid w:val="001B5000"/>
    <w:rsid w:val="001B6F28"/>
    <w:rsid w:val="001D4585"/>
    <w:rsid w:val="001D5D54"/>
    <w:rsid w:val="001D7699"/>
    <w:rsid w:val="001E41C8"/>
    <w:rsid w:val="001E5F85"/>
    <w:rsid w:val="001F3AD7"/>
    <w:rsid w:val="00207630"/>
    <w:rsid w:val="00213082"/>
    <w:rsid w:val="0021714E"/>
    <w:rsid w:val="00222187"/>
    <w:rsid w:val="00222C8D"/>
    <w:rsid w:val="00222E33"/>
    <w:rsid w:val="00227B95"/>
    <w:rsid w:val="00234965"/>
    <w:rsid w:val="0023523A"/>
    <w:rsid w:val="002353DF"/>
    <w:rsid w:val="00235F71"/>
    <w:rsid w:val="0025272A"/>
    <w:rsid w:val="002572EA"/>
    <w:rsid w:val="00271922"/>
    <w:rsid w:val="0027204E"/>
    <w:rsid w:val="00273412"/>
    <w:rsid w:val="00274ACF"/>
    <w:rsid w:val="00285F1B"/>
    <w:rsid w:val="00295831"/>
    <w:rsid w:val="002963DA"/>
    <w:rsid w:val="00296F1B"/>
    <w:rsid w:val="002A6DF5"/>
    <w:rsid w:val="002B10B1"/>
    <w:rsid w:val="002D00B0"/>
    <w:rsid w:val="002D2510"/>
    <w:rsid w:val="002D2E16"/>
    <w:rsid w:val="002E1F9F"/>
    <w:rsid w:val="002F03B3"/>
    <w:rsid w:val="002F19EF"/>
    <w:rsid w:val="002F61D7"/>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21B"/>
    <w:rsid w:val="00363DF3"/>
    <w:rsid w:val="003656B1"/>
    <w:rsid w:val="0037056B"/>
    <w:rsid w:val="00377173"/>
    <w:rsid w:val="003774DA"/>
    <w:rsid w:val="00380E6C"/>
    <w:rsid w:val="0039062E"/>
    <w:rsid w:val="003921C6"/>
    <w:rsid w:val="00392557"/>
    <w:rsid w:val="003945C0"/>
    <w:rsid w:val="003A06C2"/>
    <w:rsid w:val="003A087C"/>
    <w:rsid w:val="003B4E1E"/>
    <w:rsid w:val="003B6D2E"/>
    <w:rsid w:val="003C031C"/>
    <w:rsid w:val="003C39C0"/>
    <w:rsid w:val="003C430D"/>
    <w:rsid w:val="003C7404"/>
    <w:rsid w:val="003D3C5A"/>
    <w:rsid w:val="003D404A"/>
    <w:rsid w:val="003E1BA6"/>
    <w:rsid w:val="003E6FDA"/>
    <w:rsid w:val="003F3072"/>
    <w:rsid w:val="003F6EA6"/>
    <w:rsid w:val="00401A2A"/>
    <w:rsid w:val="00405937"/>
    <w:rsid w:val="004103D7"/>
    <w:rsid w:val="004125BE"/>
    <w:rsid w:val="0041307C"/>
    <w:rsid w:val="004167B4"/>
    <w:rsid w:val="00430D7E"/>
    <w:rsid w:val="00433B04"/>
    <w:rsid w:val="00440BD3"/>
    <w:rsid w:val="00446F93"/>
    <w:rsid w:val="00452FDD"/>
    <w:rsid w:val="004649E2"/>
    <w:rsid w:val="00464E8C"/>
    <w:rsid w:val="00466D36"/>
    <w:rsid w:val="00467185"/>
    <w:rsid w:val="0047050C"/>
    <w:rsid w:val="00475504"/>
    <w:rsid w:val="00480F21"/>
    <w:rsid w:val="00484FED"/>
    <w:rsid w:val="00495AF1"/>
    <w:rsid w:val="004B2CC4"/>
    <w:rsid w:val="004C2C35"/>
    <w:rsid w:val="004F775C"/>
    <w:rsid w:val="005015E4"/>
    <w:rsid w:val="0050291D"/>
    <w:rsid w:val="0050697E"/>
    <w:rsid w:val="00515D52"/>
    <w:rsid w:val="00524B3C"/>
    <w:rsid w:val="005315A9"/>
    <w:rsid w:val="00532B56"/>
    <w:rsid w:val="00540AD0"/>
    <w:rsid w:val="0054322A"/>
    <w:rsid w:val="00543923"/>
    <w:rsid w:val="005446D4"/>
    <w:rsid w:val="005519C9"/>
    <w:rsid w:val="005523D1"/>
    <w:rsid w:val="00554A9C"/>
    <w:rsid w:val="005553F2"/>
    <w:rsid w:val="005563B6"/>
    <w:rsid w:val="00557624"/>
    <w:rsid w:val="0056023E"/>
    <w:rsid w:val="005632B3"/>
    <w:rsid w:val="005639B7"/>
    <w:rsid w:val="005658EF"/>
    <w:rsid w:val="005822A3"/>
    <w:rsid w:val="0059070B"/>
    <w:rsid w:val="00594445"/>
    <w:rsid w:val="005956BB"/>
    <w:rsid w:val="005956DF"/>
    <w:rsid w:val="00597790"/>
    <w:rsid w:val="005B1225"/>
    <w:rsid w:val="005C09F4"/>
    <w:rsid w:val="005C561A"/>
    <w:rsid w:val="005C5B93"/>
    <w:rsid w:val="005C66FF"/>
    <w:rsid w:val="005C785A"/>
    <w:rsid w:val="005D03CA"/>
    <w:rsid w:val="005D45AB"/>
    <w:rsid w:val="005E4662"/>
    <w:rsid w:val="005F214A"/>
    <w:rsid w:val="005F6BD6"/>
    <w:rsid w:val="00601C99"/>
    <w:rsid w:val="00607597"/>
    <w:rsid w:val="006255E4"/>
    <w:rsid w:val="00632766"/>
    <w:rsid w:val="00636E5B"/>
    <w:rsid w:val="00641020"/>
    <w:rsid w:val="006410C1"/>
    <w:rsid w:val="00647F05"/>
    <w:rsid w:val="006530EF"/>
    <w:rsid w:val="00654D06"/>
    <w:rsid w:val="00661536"/>
    <w:rsid w:val="0067127B"/>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8D5"/>
    <w:rsid w:val="006C395C"/>
    <w:rsid w:val="006C45D4"/>
    <w:rsid w:val="006E1F3C"/>
    <w:rsid w:val="006E6073"/>
    <w:rsid w:val="006F7300"/>
    <w:rsid w:val="00703C09"/>
    <w:rsid w:val="00706216"/>
    <w:rsid w:val="00707140"/>
    <w:rsid w:val="00712300"/>
    <w:rsid w:val="00713601"/>
    <w:rsid w:val="00714E04"/>
    <w:rsid w:val="00720739"/>
    <w:rsid w:val="00721695"/>
    <w:rsid w:val="007242B4"/>
    <w:rsid w:val="00725FB2"/>
    <w:rsid w:val="00730C64"/>
    <w:rsid w:val="007322AF"/>
    <w:rsid w:val="00735477"/>
    <w:rsid w:val="00736DCA"/>
    <w:rsid w:val="00742399"/>
    <w:rsid w:val="00743A02"/>
    <w:rsid w:val="0074640C"/>
    <w:rsid w:val="0075003D"/>
    <w:rsid w:val="00751B37"/>
    <w:rsid w:val="00753964"/>
    <w:rsid w:val="00754D44"/>
    <w:rsid w:val="00767B7E"/>
    <w:rsid w:val="007746A9"/>
    <w:rsid w:val="00785465"/>
    <w:rsid w:val="00787656"/>
    <w:rsid w:val="007A67EA"/>
    <w:rsid w:val="007B15AF"/>
    <w:rsid w:val="007B4B32"/>
    <w:rsid w:val="007B7E83"/>
    <w:rsid w:val="007C1631"/>
    <w:rsid w:val="007C4ED8"/>
    <w:rsid w:val="007C636F"/>
    <w:rsid w:val="007C7570"/>
    <w:rsid w:val="007D0EF8"/>
    <w:rsid w:val="007D39EB"/>
    <w:rsid w:val="007E4D86"/>
    <w:rsid w:val="007F4E0E"/>
    <w:rsid w:val="00807305"/>
    <w:rsid w:val="00811B9A"/>
    <w:rsid w:val="008131E7"/>
    <w:rsid w:val="00813711"/>
    <w:rsid w:val="00814279"/>
    <w:rsid w:val="008263C2"/>
    <w:rsid w:val="0083306A"/>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97A1C"/>
    <w:rsid w:val="008A3738"/>
    <w:rsid w:val="008B53E2"/>
    <w:rsid w:val="008B645B"/>
    <w:rsid w:val="008B67B8"/>
    <w:rsid w:val="008B774D"/>
    <w:rsid w:val="008C123E"/>
    <w:rsid w:val="008C3ED0"/>
    <w:rsid w:val="008C5585"/>
    <w:rsid w:val="008C5950"/>
    <w:rsid w:val="008C5E94"/>
    <w:rsid w:val="008E04D3"/>
    <w:rsid w:val="008E6E9D"/>
    <w:rsid w:val="008F68F7"/>
    <w:rsid w:val="008F7480"/>
    <w:rsid w:val="009037B6"/>
    <w:rsid w:val="00906CBE"/>
    <w:rsid w:val="00906FFA"/>
    <w:rsid w:val="00910384"/>
    <w:rsid w:val="009139C0"/>
    <w:rsid w:val="009161C8"/>
    <w:rsid w:val="009164AD"/>
    <w:rsid w:val="00922289"/>
    <w:rsid w:val="00930B0F"/>
    <w:rsid w:val="00936F46"/>
    <w:rsid w:val="0094271E"/>
    <w:rsid w:val="00943142"/>
    <w:rsid w:val="00943A29"/>
    <w:rsid w:val="0095197E"/>
    <w:rsid w:val="00952AB2"/>
    <w:rsid w:val="009551E0"/>
    <w:rsid w:val="00955801"/>
    <w:rsid w:val="0095654E"/>
    <w:rsid w:val="00956F3C"/>
    <w:rsid w:val="0095779B"/>
    <w:rsid w:val="00980119"/>
    <w:rsid w:val="009900F0"/>
    <w:rsid w:val="00991769"/>
    <w:rsid w:val="00994E9F"/>
    <w:rsid w:val="00996931"/>
    <w:rsid w:val="009A4CD8"/>
    <w:rsid w:val="009B3ED1"/>
    <w:rsid w:val="009C10D4"/>
    <w:rsid w:val="009C433C"/>
    <w:rsid w:val="009C7D3A"/>
    <w:rsid w:val="009D28B7"/>
    <w:rsid w:val="009D7E1A"/>
    <w:rsid w:val="009E2162"/>
    <w:rsid w:val="00A006EB"/>
    <w:rsid w:val="00A03709"/>
    <w:rsid w:val="00A06C77"/>
    <w:rsid w:val="00A10147"/>
    <w:rsid w:val="00A12F91"/>
    <w:rsid w:val="00A13D26"/>
    <w:rsid w:val="00A146A5"/>
    <w:rsid w:val="00A17411"/>
    <w:rsid w:val="00A2223D"/>
    <w:rsid w:val="00A34A74"/>
    <w:rsid w:val="00A35351"/>
    <w:rsid w:val="00A42ADE"/>
    <w:rsid w:val="00A60693"/>
    <w:rsid w:val="00A67728"/>
    <w:rsid w:val="00A81A4F"/>
    <w:rsid w:val="00A82E14"/>
    <w:rsid w:val="00A901E9"/>
    <w:rsid w:val="00A9762C"/>
    <w:rsid w:val="00AA4067"/>
    <w:rsid w:val="00AB1A5B"/>
    <w:rsid w:val="00AB1E72"/>
    <w:rsid w:val="00AB617F"/>
    <w:rsid w:val="00AC0A54"/>
    <w:rsid w:val="00AC125E"/>
    <w:rsid w:val="00AC45DF"/>
    <w:rsid w:val="00AC474D"/>
    <w:rsid w:val="00AC4DFD"/>
    <w:rsid w:val="00AC58FD"/>
    <w:rsid w:val="00AC60CD"/>
    <w:rsid w:val="00AC7642"/>
    <w:rsid w:val="00AD60E6"/>
    <w:rsid w:val="00AD793A"/>
    <w:rsid w:val="00AE5956"/>
    <w:rsid w:val="00AE619F"/>
    <w:rsid w:val="00AF373A"/>
    <w:rsid w:val="00AF4836"/>
    <w:rsid w:val="00AF594B"/>
    <w:rsid w:val="00AF7EFE"/>
    <w:rsid w:val="00B03BEE"/>
    <w:rsid w:val="00B049AA"/>
    <w:rsid w:val="00B0517E"/>
    <w:rsid w:val="00B056E2"/>
    <w:rsid w:val="00B11314"/>
    <w:rsid w:val="00B1192C"/>
    <w:rsid w:val="00B138E3"/>
    <w:rsid w:val="00B23267"/>
    <w:rsid w:val="00B25891"/>
    <w:rsid w:val="00B27149"/>
    <w:rsid w:val="00B30265"/>
    <w:rsid w:val="00B40D26"/>
    <w:rsid w:val="00B4451B"/>
    <w:rsid w:val="00B5273A"/>
    <w:rsid w:val="00B52BDE"/>
    <w:rsid w:val="00B72D62"/>
    <w:rsid w:val="00B7777F"/>
    <w:rsid w:val="00B82910"/>
    <w:rsid w:val="00B843C8"/>
    <w:rsid w:val="00B9463B"/>
    <w:rsid w:val="00B951E2"/>
    <w:rsid w:val="00B96F37"/>
    <w:rsid w:val="00BA607C"/>
    <w:rsid w:val="00BB3E2A"/>
    <w:rsid w:val="00BC16F5"/>
    <w:rsid w:val="00BC287D"/>
    <w:rsid w:val="00BC4A76"/>
    <w:rsid w:val="00BD0585"/>
    <w:rsid w:val="00BD32E5"/>
    <w:rsid w:val="00BD7ADD"/>
    <w:rsid w:val="00BE41C3"/>
    <w:rsid w:val="00BE6767"/>
    <w:rsid w:val="00BE68D7"/>
    <w:rsid w:val="00BF7763"/>
    <w:rsid w:val="00C04D5E"/>
    <w:rsid w:val="00C24EA2"/>
    <w:rsid w:val="00C24F70"/>
    <w:rsid w:val="00C33479"/>
    <w:rsid w:val="00C34B4A"/>
    <w:rsid w:val="00C46EEB"/>
    <w:rsid w:val="00C47532"/>
    <w:rsid w:val="00C47BA2"/>
    <w:rsid w:val="00C612DC"/>
    <w:rsid w:val="00C622CB"/>
    <w:rsid w:val="00C64D15"/>
    <w:rsid w:val="00C74F74"/>
    <w:rsid w:val="00C7554B"/>
    <w:rsid w:val="00C75FDF"/>
    <w:rsid w:val="00C76554"/>
    <w:rsid w:val="00C77BD5"/>
    <w:rsid w:val="00C83E31"/>
    <w:rsid w:val="00C86A88"/>
    <w:rsid w:val="00C916A4"/>
    <w:rsid w:val="00C967EC"/>
    <w:rsid w:val="00CA2A52"/>
    <w:rsid w:val="00CA2B15"/>
    <w:rsid w:val="00CA6490"/>
    <w:rsid w:val="00CB5744"/>
    <w:rsid w:val="00CB7022"/>
    <w:rsid w:val="00CD1937"/>
    <w:rsid w:val="00CE214C"/>
    <w:rsid w:val="00CE6858"/>
    <w:rsid w:val="00CF50BE"/>
    <w:rsid w:val="00CF6A52"/>
    <w:rsid w:val="00D03583"/>
    <w:rsid w:val="00D038A1"/>
    <w:rsid w:val="00D04A87"/>
    <w:rsid w:val="00D117B4"/>
    <w:rsid w:val="00D15151"/>
    <w:rsid w:val="00D169F7"/>
    <w:rsid w:val="00D26D01"/>
    <w:rsid w:val="00D33DA3"/>
    <w:rsid w:val="00D4723B"/>
    <w:rsid w:val="00D54153"/>
    <w:rsid w:val="00D55EE8"/>
    <w:rsid w:val="00D5785A"/>
    <w:rsid w:val="00D64C48"/>
    <w:rsid w:val="00D731C4"/>
    <w:rsid w:val="00D81BAA"/>
    <w:rsid w:val="00D84E62"/>
    <w:rsid w:val="00D85BE0"/>
    <w:rsid w:val="00D87C1A"/>
    <w:rsid w:val="00D87FD7"/>
    <w:rsid w:val="00D92167"/>
    <w:rsid w:val="00D93FF1"/>
    <w:rsid w:val="00D9502B"/>
    <w:rsid w:val="00D97047"/>
    <w:rsid w:val="00D97108"/>
    <w:rsid w:val="00DC5665"/>
    <w:rsid w:val="00DD4F44"/>
    <w:rsid w:val="00DD5D8B"/>
    <w:rsid w:val="00DE0F9E"/>
    <w:rsid w:val="00DE5D76"/>
    <w:rsid w:val="00DF081B"/>
    <w:rsid w:val="00E04C8D"/>
    <w:rsid w:val="00E128D8"/>
    <w:rsid w:val="00E24040"/>
    <w:rsid w:val="00E242A5"/>
    <w:rsid w:val="00E30D45"/>
    <w:rsid w:val="00E42FE4"/>
    <w:rsid w:val="00E46FAA"/>
    <w:rsid w:val="00E5750B"/>
    <w:rsid w:val="00E60E2E"/>
    <w:rsid w:val="00E63A24"/>
    <w:rsid w:val="00E71A2D"/>
    <w:rsid w:val="00E8698A"/>
    <w:rsid w:val="00E923F2"/>
    <w:rsid w:val="00E95C55"/>
    <w:rsid w:val="00EA31CC"/>
    <w:rsid w:val="00EB14DF"/>
    <w:rsid w:val="00EB2B64"/>
    <w:rsid w:val="00EB3A07"/>
    <w:rsid w:val="00EB4143"/>
    <w:rsid w:val="00EB4728"/>
    <w:rsid w:val="00EC207A"/>
    <w:rsid w:val="00EC3F31"/>
    <w:rsid w:val="00ED3C91"/>
    <w:rsid w:val="00ED4112"/>
    <w:rsid w:val="00EE5727"/>
    <w:rsid w:val="00EF1347"/>
    <w:rsid w:val="00EF2BEB"/>
    <w:rsid w:val="00F01129"/>
    <w:rsid w:val="00F03D93"/>
    <w:rsid w:val="00F03D9E"/>
    <w:rsid w:val="00F227BF"/>
    <w:rsid w:val="00F374B2"/>
    <w:rsid w:val="00F40AFC"/>
    <w:rsid w:val="00F41B0E"/>
    <w:rsid w:val="00F4730E"/>
    <w:rsid w:val="00F50A92"/>
    <w:rsid w:val="00F53F24"/>
    <w:rsid w:val="00F63341"/>
    <w:rsid w:val="00F673E6"/>
    <w:rsid w:val="00F7536E"/>
    <w:rsid w:val="00F81F93"/>
    <w:rsid w:val="00F821FF"/>
    <w:rsid w:val="00F8228C"/>
    <w:rsid w:val="00F86F1B"/>
    <w:rsid w:val="00F92A21"/>
    <w:rsid w:val="00F92E9B"/>
    <w:rsid w:val="00F95814"/>
    <w:rsid w:val="00FA01D9"/>
    <w:rsid w:val="00FA031C"/>
    <w:rsid w:val="00FB13C1"/>
    <w:rsid w:val="00FB420B"/>
    <w:rsid w:val="00FC1C5F"/>
    <w:rsid w:val="00FC5C0C"/>
    <w:rsid w:val="00FC64EF"/>
    <w:rsid w:val="00FD2673"/>
    <w:rsid w:val="00FD53CB"/>
    <w:rsid w:val="00FD5A60"/>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semiHidden="1" w:unhideWhenUsed="1" w:qFormat="1"/>
    <w:lsdException w:name="footnote reference" w:uiPriority="99"/>
    <w:lsdException w:name="List Bullet" w:qFormat="1"/>
    <w:lsdException w:name="Title" w:uiPriority="10" w:qFormat="1"/>
    <w:lsdException w:name="Subtitle" w:uiPriority="11"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9"/>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aliases w:val="IPSP2"/>
    <w:basedOn w:val="Normal"/>
    <w:next w:val="Normal"/>
    <w:link w:val="Heading2Char"/>
    <w:uiPriority w:val="99"/>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10"/>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aliases w:val="IPSP2 Char"/>
    <w:basedOn w:val="DefaultParagraphFont"/>
    <w:link w:val="Heading2"/>
    <w:uiPriority w:val="99"/>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9"/>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10"/>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11"/>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11"/>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B7777F"/>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B7777F"/>
    <w:rPr>
      <w:rFonts w:asciiTheme="minorHAnsi" w:eastAsiaTheme="minorEastAsia" w:hAnsiTheme="minorHAnsi" w:cstheme="minorBidi"/>
      <w:sz w:val="22"/>
      <w:szCs w:val="22"/>
      <w:lang w:eastAsia="en-US"/>
    </w:rPr>
  </w:style>
  <w:style w:type="paragraph" w:customStyle="1" w:styleId="Default">
    <w:name w:val="Default"/>
    <w:uiPriority w:val="99"/>
    <w:rsid w:val="00B7777F"/>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qFormat/>
    <w:rsid w:val="008B53E2"/>
    <w:rPr>
      <w:b/>
      <w:bCs/>
      <w:i/>
      <w:iCs/>
      <w:spacing w:val="10"/>
      <w:bdr w:val="none" w:sz="0" w:space="0" w:color="auto"/>
      <w:shd w:val="clear" w:color="auto" w:fill="auto"/>
    </w:rPr>
  </w:style>
  <w:style w:type="character" w:customStyle="1" w:styleId="NoteChar">
    <w:name w:val="Note Char"/>
    <w:basedOn w:val="DefaultParagraphFont"/>
    <w:link w:val="Note"/>
    <w:locked/>
    <w:rsid w:val="008B53E2"/>
    <w:rPr>
      <w:rFonts w:cstheme="minorHAnsi"/>
      <w:shd w:val="clear" w:color="auto" w:fill="EAF1DD"/>
    </w:rPr>
  </w:style>
  <w:style w:type="paragraph" w:customStyle="1" w:styleId="Note">
    <w:name w:val="Note"/>
    <w:basedOn w:val="Normal"/>
    <w:link w:val="NoteChar"/>
    <w:qFormat/>
    <w:rsid w:val="008B53E2"/>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imes New Roman" w:hAnsi="Times New Roman" w:cstheme="minorHAnsi"/>
      <w:szCs w:val="20"/>
    </w:rPr>
  </w:style>
  <w:style w:type="character" w:customStyle="1" w:styleId="Heading1NumberedChar">
    <w:name w:val="Heading 1 Numbered Char"/>
    <w:basedOn w:val="DefaultParagraphFont"/>
    <w:link w:val="Heading1Numbered"/>
    <w:locked/>
    <w:rsid w:val="008B53E2"/>
    <w:rPr>
      <w:rFonts w:ascii="Calibri" w:eastAsiaTheme="majorEastAsia" w:hAnsi="Calibri" w:cs="Calibri"/>
      <w:b/>
      <w:bCs/>
      <w:iCs/>
      <w:color w:val="4F6228"/>
      <w:sz w:val="30"/>
      <w:szCs w:val="30"/>
    </w:rPr>
  </w:style>
  <w:style w:type="paragraph" w:customStyle="1" w:styleId="Heading1Numbered">
    <w:name w:val="Heading 1 Numbered"/>
    <w:basedOn w:val="Heading1"/>
    <w:link w:val="Heading1NumberedChar"/>
    <w:qFormat/>
    <w:rsid w:val="008B53E2"/>
    <w:pPr>
      <w:keepLines w:val="0"/>
      <w:widowControl w:val="0"/>
      <w:suppressAutoHyphens/>
      <w:autoSpaceDE w:val="0"/>
      <w:autoSpaceDN w:val="0"/>
      <w:adjustRightInd w:val="0"/>
      <w:spacing w:after="240" w:line="250" w:lineRule="atLeast"/>
      <w:contextualSpacing w:val="0"/>
    </w:pPr>
    <w:rPr>
      <w:rFonts w:ascii="Calibri" w:eastAsiaTheme="majorEastAsia" w:hAnsi="Calibri" w:cs="Calibri"/>
      <w:b/>
      <w:iCs/>
      <w:color w:val="4F6228"/>
      <w:kern w:val="0"/>
      <w:sz w:val="30"/>
      <w:szCs w:val="30"/>
    </w:rPr>
  </w:style>
  <w:style w:type="character" w:customStyle="1" w:styleId="StepsLvl2Char">
    <w:name w:val="Steps Lvl 2 Char"/>
    <w:basedOn w:val="DefaultParagraphFont"/>
    <w:link w:val="StepsLvl2"/>
    <w:locked/>
    <w:rsid w:val="008B53E2"/>
    <w:rPr>
      <w:rFonts w:cstheme="minorHAnsi"/>
    </w:rPr>
  </w:style>
  <w:style w:type="paragraph" w:customStyle="1" w:styleId="StepsLvl2">
    <w:name w:val="Steps Lvl 2"/>
    <w:basedOn w:val="Normal"/>
    <w:link w:val="StepsLvl2Char"/>
    <w:qFormat/>
    <w:rsid w:val="008B53E2"/>
    <w:pPr>
      <w:numPr>
        <w:numId w:val="4"/>
      </w:numPr>
      <w:spacing w:before="220" w:after="220" w:line="240" w:lineRule="auto"/>
      <w:jc w:val="both"/>
    </w:pPr>
    <w:rPr>
      <w:rFonts w:ascii="Times New Roman" w:hAnsi="Times New Roman" w:cstheme="minorHAnsi"/>
      <w:szCs w:val="20"/>
    </w:rPr>
  </w:style>
  <w:style w:type="paragraph" w:styleId="NormalIndent">
    <w:name w:val="Normal Indent"/>
    <w:basedOn w:val="Normal"/>
    <w:uiPriority w:val="99"/>
    <w:unhideWhenUsed/>
    <w:rsid w:val="008B53E2"/>
    <w:pPr>
      <w:keepLines/>
      <w:spacing w:before="0" w:after="0" w:line="240" w:lineRule="auto"/>
      <w:ind w:left="720"/>
    </w:pPr>
    <w:rPr>
      <w:sz w:val="22"/>
      <w:szCs w:val="20"/>
    </w:rPr>
  </w:style>
  <w:style w:type="paragraph" w:customStyle="1" w:styleId="numberedpara">
    <w:name w:val="numbered para"/>
    <w:basedOn w:val="Normal"/>
    <w:rsid w:val="008B53E2"/>
    <w:pPr>
      <w:numPr>
        <w:numId w:val="7"/>
      </w:numPr>
      <w:spacing w:before="0" w:after="0" w:line="240" w:lineRule="auto"/>
    </w:pPr>
    <w:rPr>
      <w:rFonts w:ascii="Calibri" w:eastAsiaTheme="minorHAnsi" w:hAnsi="Calibri" w:cs="Calibri"/>
      <w:sz w:val="22"/>
      <w:szCs w:val="22"/>
    </w:rPr>
  </w:style>
  <w:style w:type="character" w:styleId="CommentReference">
    <w:name w:val="annotation reference"/>
    <w:basedOn w:val="DefaultParagraphFont"/>
    <w:rsid w:val="007E4D86"/>
    <w:rPr>
      <w:sz w:val="16"/>
      <w:szCs w:val="16"/>
    </w:rPr>
  </w:style>
  <w:style w:type="paragraph" w:styleId="CommentText">
    <w:name w:val="annotation text"/>
    <w:basedOn w:val="Normal"/>
    <w:link w:val="CommentTextChar"/>
    <w:rsid w:val="007E4D86"/>
    <w:pPr>
      <w:spacing w:line="240" w:lineRule="auto"/>
    </w:pPr>
    <w:rPr>
      <w:szCs w:val="20"/>
    </w:rPr>
  </w:style>
  <w:style w:type="character" w:customStyle="1" w:styleId="CommentTextChar">
    <w:name w:val="Comment Text Char"/>
    <w:basedOn w:val="DefaultParagraphFont"/>
    <w:link w:val="CommentText"/>
    <w:rsid w:val="007E4D86"/>
    <w:rPr>
      <w:rFonts w:ascii="Arial" w:hAnsi="Arial"/>
    </w:rPr>
  </w:style>
  <w:style w:type="paragraph" w:styleId="CommentSubject">
    <w:name w:val="annotation subject"/>
    <w:basedOn w:val="CommentText"/>
    <w:next w:val="CommentText"/>
    <w:link w:val="CommentSubjectChar"/>
    <w:rsid w:val="007E4D86"/>
    <w:rPr>
      <w:b/>
      <w:bCs/>
    </w:rPr>
  </w:style>
  <w:style w:type="character" w:customStyle="1" w:styleId="CommentSubjectChar">
    <w:name w:val="Comment Subject Char"/>
    <w:basedOn w:val="CommentTextChar"/>
    <w:link w:val="CommentSubject"/>
    <w:rsid w:val="007E4D8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semiHidden="1" w:unhideWhenUsed="1" w:qFormat="1"/>
    <w:lsdException w:name="footnote reference" w:uiPriority="99"/>
    <w:lsdException w:name="List Bullet" w:qFormat="1"/>
    <w:lsdException w:name="Title" w:uiPriority="10" w:qFormat="1"/>
    <w:lsdException w:name="Subtitle" w:uiPriority="11"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9"/>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aliases w:val="IPSP2"/>
    <w:basedOn w:val="Normal"/>
    <w:next w:val="Normal"/>
    <w:link w:val="Heading2Char"/>
    <w:uiPriority w:val="99"/>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10"/>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aliases w:val="IPSP2 Char"/>
    <w:basedOn w:val="DefaultParagraphFont"/>
    <w:link w:val="Heading2"/>
    <w:uiPriority w:val="99"/>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9"/>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10"/>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11"/>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11"/>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B7777F"/>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B7777F"/>
    <w:rPr>
      <w:rFonts w:asciiTheme="minorHAnsi" w:eastAsiaTheme="minorEastAsia" w:hAnsiTheme="minorHAnsi" w:cstheme="minorBidi"/>
      <w:sz w:val="22"/>
      <w:szCs w:val="22"/>
      <w:lang w:eastAsia="en-US"/>
    </w:rPr>
  </w:style>
  <w:style w:type="paragraph" w:customStyle="1" w:styleId="Default">
    <w:name w:val="Default"/>
    <w:uiPriority w:val="99"/>
    <w:rsid w:val="00B7777F"/>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qFormat/>
    <w:rsid w:val="008B53E2"/>
    <w:rPr>
      <w:b/>
      <w:bCs/>
      <w:i/>
      <w:iCs/>
      <w:spacing w:val="10"/>
      <w:bdr w:val="none" w:sz="0" w:space="0" w:color="auto"/>
      <w:shd w:val="clear" w:color="auto" w:fill="auto"/>
    </w:rPr>
  </w:style>
  <w:style w:type="character" w:customStyle="1" w:styleId="NoteChar">
    <w:name w:val="Note Char"/>
    <w:basedOn w:val="DefaultParagraphFont"/>
    <w:link w:val="Note"/>
    <w:locked/>
    <w:rsid w:val="008B53E2"/>
    <w:rPr>
      <w:rFonts w:cstheme="minorHAnsi"/>
      <w:shd w:val="clear" w:color="auto" w:fill="EAF1DD"/>
    </w:rPr>
  </w:style>
  <w:style w:type="paragraph" w:customStyle="1" w:styleId="Note">
    <w:name w:val="Note"/>
    <w:basedOn w:val="Normal"/>
    <w:link w:val="NoteChar"/>
    <w:qFormat/>
    <w:rsid w:val="008B53E2"/>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imes New Roman" w:hAnsi="Times New Roman" w:cstheme="minorHAnsi"/>
      <w:szCs w:val="20"/>
    </w:rPr>
  </w:style>
  <w:style w:type="character" w:customStyle="1" w:styleId="Heading1NumberedChar">
    <w:name w:val="Heading 1 Numbered Char"/>
    <w:basedOn w:val="DefaultParagraphFont"/>
    <w:link w:val="Heading1Numbered"/>
    <w:locked/>
    <w:rsid w:val="008B53E2"/>
    <w:rPr>
      <w:rFonts w:ascii="Calibri" w:eastAsiaTheme="majorEastAsia" w:hAnsi="Calibri" w:cs="Calibri"/>
      <w:b/>
      <w:bCs/>
      <w:iCs/>
      <w:color w:val="4F6228"/>
      <w:sz w:val="30"/>
      <w:szCs w:val="30"/>
    </w:rPr>
  </w:style>
  <w:style w:type="paragraph" w:customStyle="1" w:styleId="Heading1Numbered">
    <w:name w:val="Heading 1 Numbered"/>
    <w:basedOn w:val="Heading1"/>
    <w:link w:val="Heading1NumberedChar"/>
    <w:qFormat/>
    <w:rsid w:val="008B53E2"/>
    <w:pPr>
      <w:keepLines w:val="0"/>
      <w:widowControl w:val="0"/>
      <w:suppressAutoHyphens/>
      <w:autoSpaceDE w:val="0"/>
      <w:autoSpaceDN w:val="0"/>
      <w:adjustRightInd w:val="0"/>
      <w:spacing w:after="240" w:line="250" w:lineRule="atLeast"/>
      <w:contextualSpacing w:val="0"/>
    </w:pPr>
    <w:rPr>
      <w:rFonts w:ascii="Calibri" w:eastAsiaTheme="majorEastAsia" w:hAnsi="Calibri" w:cs="Calibri"/>
      <w:b/>
      <w:iCs/>
      <w:color w:val="4F6228"/>
      <w:kern w:val="0"/>
      <w:sz w:val="30"/>
      <w:szCs w:val="30"/>
    </w:rPr>
  </w:style>
  <w:style w:type="character" w:customStyle="1" w:styleId="StepsLvl2Char">
    <w:name w:val="Steps Lvl 2 Char"/>
    <w:basedOn w:val="DefaultParagraphFont"/>
    <w:link w:val="StepsLvl2"/>
    <w:locked/>
    <w:rsid w:val="008B53E2"/>
    <w:rPr>
      <w:rFonts w:cstheme="minorHAnsi"/>
    </w:rPr>
  </w:style>
  <w:style w:type="paragraph" w:customStyle="1" w:styleId="StepsLvl2">
    <w:name w:val="Steps Lvl 2"/>
    <w:basedOn w:val="Normal"/>
    <w:link w:val="StepsLvl2Char"/>
    <w:qFormat/>
    <w:rsid w:val="008B53E2"/>
    <w:pPr>
      <w:numPr>
        <w:numId w:val="4"/>
      </w:numPr>
      <w:spacing w:before="220" w:after="220" w:line="240" w:lineRule="auto"/>
      <w:jc w:val="both"/>
    </w:pPr>
    <w:rPr>
      <w:rFonts w:ascii="Times New Roman" w:hAnsi="Times New Roman" w:cstheme="minorHAnsi"/>
      <w:szCs w:val="20"/>
    </w:rPr>
  </w:style>
  <w:style w:type="paragraph" w:styleId="NormalIndent">
    <w:name w:val="Normal Indent"/>
    <w:basedOn w:val="Normal"/>
    <w:uiPriority w:val="99"/>
    <w:unhideWhenUsed/>
    <w:rsid w:val="008B53E2"/>
    <w:pPr>
      <w:keepLines/>
      <w:spacing w:before="0" w:after="0" w:line="240" w:lineRule="auto"/>
      <w:ind w:left="720"/>
    </w:pPr>
    <w:rPr>
      <w:sz w:val="22"/>
      <w:szCs w:val="20"/>
    </w:rPr>
  </w:style>
  <w:style w:type="paragraph" w:customStyle="1" w:styleId="numberedpara">
    <w:name w:val="numbered para"/>
    <w:basedOn w:val="Normal"/>
    <w:rsid w:val="008B53E2"/>
    <w:pPr>
      <w:numPr>
        <w:numId w:val="7"/>
      </w:numPr>
      <w:spacing w:before="0" w:after="0" w:line="240" w:lineRule="auto"/>
    </w:pPr>
    <w:rPr>
      <w:rFonts w:ascii="Calibri" w:eastAsiaTheme="minorHAnsi" w:hAnsi="Calibri" w:cs="Calibri"/>
      <w:sz w:val="22"/>
      <w:szCs w:val="22"/>
    </w:rPr>
  </w:style>
  <w:style w:type="character" w:styleId="CommentReference">
    <w:name w:val="annotation reference"/>
    <w:basedOn w:val="DefaultParagraphFont"/>
    <w:rsid w:val="007E4D86"/>
    <w:rPr>
      <w:sz w:val="16"/>
      <w:szCs w:val="16"/>
    </w:rPr>
  </w:style>
  <w:style w:type="paragraph" w:styleId="CommentText">
    <w:name w:val="annotation text"/>
    <w:basedOn w:val="Normal"/>
    <w:link w:val="CommentTextChar"/>
    <w:rsid w:val="007E4D86"/>
    <w:pPr>
      <w:spacing w:line="240" w:lineRule="auto"/>
    </w:pPr>
    <w:rPr>
      <w:szCs w:val="20"/>
    </w:rPr>
  </w:style>
  <w:style w:type="character" w:customStyle="1" w:styleId="CommentTextChar">
    <w:name w:val="Comment Text Char"/>
    <w:basedOn w:val="DefaultParagraphFont"/>
    <w:link w:val="CommentText"/>
    <w:rsid w:val="007E4D86"/>
    <w:rPr>
      <w:rFonts w:ascii="Arial" w:hAnsi="Arial"/>
    </w:rPr>
  </w:style>
  <w:style w:type="paragraph" w:styleId="CommentSubject">
    <w:name w:val="annotation subject"/>
    <w:basedOn w:val="CommentText"/>
    <w:next w:val="CommentText"/>
    <w:link w:val="CommentSubjectChar"/>
    <w:rsid w:val="007E4D86"/>
    <w:rPr>
      <w:b/>
      <w:bCs/>
    </w:rPr>
  </w:style>
  <w:style w:type="character" w:customStyle="1" w:styleId="CommentSubjectChar">
    <w:name w:val="Comment Subject Char"/>
    <w:basedOn w:val="CommentTextChar"/>
    <w:link w:val="CommentSubject"/>
    <w:rsid w:val="007E4D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our-responsibilities/families-and-children/programmes-services/early-childhood-child-care/information-on-becoming-an-approved-child-care-serv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ED2A-2410-42EE-8184-D7F956C1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IPSP Fact Sheet 6: Change of Service Ownership and Inclusion Support</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IPSP Fact Sheet 6: Change of Service Ownership and Inclusion Support</dc:title>
  <dc:creator/>
  <cp:lastModifiedBy/>
  <cp:revision>1</cp:revision>
  <dcterms:created xsi:type="dcterms:W3CDTF">2015-05-25T05:43:00Z</dcterms:created>
  <dcterms:modified xsi:type="dcterms:W3CDTF">2015-06-09T01:25:00Z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