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Pr="00EE105A" w:rsidRDefault="008C5950" w:rsidP="00EE105A">
      <w:pPr>
        <w:spacing w:before="0" w:after="240"/>
        <w:jc w:val="right"/>
        <w:rPr>
          <w:sz w:val="16"/>
          <w:szCs w:val="16"/>
        </w:rPr>
      </w:pPr>
      <w:r>
        <w:rPr>
          <w:noProof/>
        </w:rPr>
        <w:drawing>
          <wp:inline distT="0" distB="0" distL="0" distR="0" wp14:anchorId="4A6B7DF8" wp14:editId="18CC5F86">
            <wp:extent cx="6624000" cy="922047"/>
            <wp:effectExtent l="0" t="0" r="5715" b="0"/>
            <wp:docPr id="2" name="Picture 2" descr="Header Image using illustrations of families, children, buildings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r w:rsidR="00EE105A" w:rsidRPr="00EE105A">
        <w:rPr>
          <w:color w:val="FF0000"/>
        </w:rPr>
        <w:t xml:space="preserve"> </w:t>
      </w:r>
      <w:r w:rsidR="00EE105A" w:rsidRPr="00EE105A">
        <w:rPr>
          <w:sz w:val="16"/>
          <w:szCs w:val="16"/>
        </w:rPr>
        <w:t>DSS1594.05.15</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lexible Support Funding Limits"/>
      </w:tblPr>
      <w:tblGrid>
        <w:gridCol w:w="6379"/>
        <w:gridCol w:w="2630"/>
      </w:tblGrid>
      <w:tr w:rsidR="002D06D7" w:rsidRPr="003A4E4F" w:rsidTr="006A4EC6">
        <w:trPr>
          <w:tblHeader/>
        </w:trPr>
        <w:tc>
          <w:tcPr>
            <w:tcW w:w="6379" w:type="dxa"/>
          </w:tcPr>
          <w:p w:rsidR="002D06D7" w:rsidRPr="002D06D7" w:rsidRDefault="002D06D7" w:rsidP="002D06D7">
            <w:pPr>
              <w:pStyle w:val="Title"/>
              <w:rPr>
                <w:sz w:val="60"/>
                <w:szCs w:val="60"/>
              </w:rPr>
            </w:pPr>
            <w:r w:rsidRPr="002D06D7">
              <w:rPr>
                <w:bCs w:val="0"/>
                <w:sz w:val="60"/>
                <w:szCs w:val="60"/>
              </w:rPr>
              <w:t>IPSP Fact Sheet 3:</w:t>
            </w:r>
          </w:p>
          <w:p w:rsidR="002D06D7" w:rsidRPr="002D06D7" w:rsidRDefault="002D06D7" w:rsidP="006A4EC6">
            <w:pPr>
              <w:pStyle w:val="Title"/>
            </w:pPr>
            <w:bookmarkStart w:id="0" w:name="_GoBack"/>
            <w:r w:rsidRPr="002D06D7">
              <w:rPr>
                <w:sz w:val="60"/>
                <w:szCs w:val="60"/>
              </w:rPr>
              <w:t xml:space="preserve">Documentary evidence </w:t>
            </w:r>
            <w:r w:rsidRPr="002D06D7">
              <w:rPr>
                <w:bCs w:val="0"/>
                <w:iCs/>
                <w:sz w:val="60"/>
                <w:szCs w:val="60"/>
              </w:rPr>
              <w:t>for Inclusion Support Subsidy</w:t>
            </w:r>
            <w:bookmarkEnd w:id="0"/>
          </w:p>
        </w:tc>
        <w:tc>
          <w:tcPr>
            <w:tcW w:w="2630" w:type="dxa"/>
          </w:tcPr>
          <w:p w:rsidR="002D06D7" w:rsidRPr="003A4E4F" w:rsidRDefault="002D06D7" w:rsidP="006A4EC6">
            <w:pPr>
              <w:pStyle w:val="Title"/>
              <w:jc w:val="right"/>
              <w:rPr>
                <w:szCs w:val="66"/>
              </w:rPr>
            </w:pPr>
            <w:r w:rsidRPr="003A4E4F">
              <w:rPr>
                <w:noProof/>
                <w:szCs w:val="66"/>
              </w:rPr>
              <w:drawing>
                <wp:inline distT="0" distB="0" distL="0" distR="0" wp14:anchorId="6EAAB7C4" wp14:editId="2658DED4">
                  <wp:extent cx="1466850" cy="1010121"/>
                  <wp:effectExtent l="0" t="0" r="0" b="0"/>
                  <wp:docPr id="1" name="Picture 1" descr="Inclusion and Professional Support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017" cy="1014368"/>
                          </a:xfrm>
                          <a:prstGeom prst="rect">
                            <a:avLst/>
                          </a:prstGeom>
                        </pic:spPr>
                      </pic:pic>
                    </a:graphicData>
                  </a:graphic>
                </wp:inline>
              </w:drawing>
            </w:r>
          </w:p>
        </w:tc>
      </w:tr>
    </w:tbl>
    <w:p w:rsidR="00EF380A" w:rsidRDefault="00EF380A" w:rsidP="00EF380A">
      <w:pPr>
        <w:rPr>
          <w:rFonts w:eastAsiaTheme="minorEastAsia"/>
          <w:lang w:eastAsia="en-US"/>
        </w:rPr>
      </w:pPr>
    </w:p>
    <w:p w:rsidR="008B53E2" w:rsidRDefault="00EF380A" w:rsidP="00EF380A">
      <w:pPr>
        <w:rPr>
          <w:rFonts w:ascii="Calibri" w:hAnsi="Calibri" w:cs="Calibri"/>
        </w:rPr>
      </w:pPr>
      <w:r>
        <w:rPr>
          <w:rFonts w:eastAsiaTheme="minorEastAsia"/>
          <w:lang w:eastAsia="en-US"/>
        </w:rPr>
        <w:t xml:space="preserve">Note: </w:t>
      </w:r>
      <w:r w:rsidR="008B53E2" w:rsidRPr="008B53E2">
        <w:rPr>
          <w:rFonts w:eastAsiaTheme="minorEastAsia"/>
          <w:lang w:eastAsia="en-US"/>
        </w:rPr>
        <w:t>This fact sheet contains information about the documentation required to be submitted as evidence when applying for Inclusion Support Subsidy (ISS). It should be read in conjunction with the IPSP Guidelines for 2013–2016, which provides info</w:t>
      </w:r>
      <w:r w:rsidR="00281F73">
        <w:rPr>
          <w:rFonts w:eastAsiaTheme="minorEastAsia"/>
          <w:lang w:eastAsia="en-US"/>
        </w:rPr>
        <w:t>rmation on eligibility, purpose</w:t>
      </w:r>
      <w:r w:rsidR="008B53E2" w:rsidRPr="008B53E2">
        <w:rPr>
          <w:rFonts w:eastAsiaTheme="minorEastAsia"/>
          <w:lang w:eastAsia="en-US"/>
        </w:rPr>
        <w:t xml:space="preserve"> for which the subsidy can be used and other conditions and requirements for funding.</w:t>
      </w:r>
      <w:r w:rsidR="008B53E2">
        <w:rPr>
          <w:rFonts w:ascii="Calibri" w:hAnsi="Calibri" w:cs="Calibri"/>
        </w:rPr>
        <w:t xml:space="preserve">  </w:t>
      </w:r>
    </w:p>
    <w:p w:rsidR="008B53E2" w:rsidRPr="00897A1C" w:rsidRDefault="008B53E2" w:rsidP="008B53E2">
      <w:pPr>
        <w:pStyle w:val="Heading1Numbered"/>
        <w:numPr>
          <w:ilvl w:val="0"/>
          <w:numId w:val="3"/>
        </w:numPr>
        <w:spacing w:after="120"/>
        <w:ind w:left="357" w:hanging="357"/>
        <w:textAlignment w:val="center"/>
        <w:rPr>
          <w:rFonts w:ascii="Georgia" w:eastAsia="Times New Roman" w:hAnsi="Georgia" w:cs="Arial"/>
          <w:b w:val="0"/>
          <w:iCs w:val="0"/>
          <w:color w:val="005A70"/>
          <w:kern w:val="32"/>
          <w:sz w:val="32"/>
          <w:szCs w:val="32"/>
        </w:rPr>
      </w:pPr>
      <w:r w:rsidRPr="00897A1C">
        <w:rPr>
          <w:rFonts w:ascii="Georgia" w:eastAsia="Times New Roman" w:hAnsi="Georgia" w:cs="Arial"/>
          <w:b w:val="0"/>
          <w:iCs w:val="0"/>
          <w:color w:val="005A70"/>
          <w:kern w:val="32"/>
          <w:sz w:val="32"/>
          <w:szCs w:val="32"/>
        </w:rPr>
        <w:t>Introduction</w:t>
      </w:r>
    </w:p>
    <w:p w:rsidR="008B53E2" w:rsidRPr="0067127B" w:rsidRDefault="008B53E2" w:rsidP="0067127B">
      <w:pPr>
        <w:spacing w:after="0" w:line="240" w:lineRule="auto"/>
        <w:ind w:right="-1"/>
        <w:rPr>
          <w:rFonts w:cstheme="minorHAnsi"/>
        </w:rPr>
      </w:pPr>
      <w:r w:rsidRPr="0067127B">
        <w:rPr>
          <w:rFonts w:cstheme="minorHAnsi"/>
        </w:rPr>
        <w:t xml:space="preserve">When applying for Inclusion Support Subsidy (ISS), a child care and early learning service </w:t>
      </w:r>
      <w:r w:rsidR="00281F73">
        <w:rPr>
          <w:rFonts w:cstheme="minorHAnsi"/>
        </w:rPr>
        <w:t xml:space="preserve">(the Service) </w:t>
      </w:r>
      <w:r w:rsidRPr="0067127B">
        <w:rPr>
          <w:rFonts w:cstheme="minorHAnsi"/>
        </w:rPr>
        <w:t>must provide documentation that details the ongoing high support needs of a child or children to be included in the application for ISS. The ISS application must include documentary evidence of the child’s assessed/diagnosed disability, continuing assessment of disability, or refugee status.</w:t>
      </w:r>
    </w:p>
    <w:p w:rsidR="008B53E2" w:rsidRPr="00897A1C" w:rsidRDefault="008B53E2" w:rsidP="008B53E2">
      <w:pPr>
        <w:pStyle w:val="Heading1Numbered"/>
        <w:numPr>
          <w:ilvl w:val="0"/>
          <w:numId w:val="3"/>
        </w:numPr>
        <w:spacing w:after="120"/>
        <w:ind w:left="357" w:hanging="357"/>
        <w:textAlignment w:val="center"/>
        <w:rPr>
          <w:rFonts w:ascii="Georgia" w:eastAsia="Times New Roman" w:hAnsi="Georgia" w:cs="Arial"/>
          <w:b w:val="0"/>
          <w:iCs w:val="0"/>
          <w:color w:val="005A70"/>
          <w:kern w:val="32"/>
          <w:sz w:val="32"/>
          <w:szCs w:val="32"/>
        </w:rPr>
      </w:pPr>
      <w:r w:rsidRPr="00897A1C">
        <w:rPr>
          <w:rFonts w:ascii="Georgia" w:eastAsia="Times New Roman" w:hAnsi="Georgia" w:cs="Arial"/>
          <w:b w:val="0"/>
          <w:iCs w:val="0"/>
          <w:color w:val="005A70"/>
          <w:kern w:val="32"/>
          <w:sz w:val="32"/>
          <w:szCs w:val="32"/>
        </w:rPr>
        <w:t xml:space="preserve">Documentary evidence </w:t>
      </w:r>
    </w:p>
    <w:p w:rsidR="008B53E2" w:rsidRPr="0067127B" w:rsidRDefault="008B53E2" w:rsidP="008B53E2">
      <w:pPr>
        <w:rPr>
          <w:rFonts w:cstheme="minorHAnsi"/>
        </w:rPr>
      </w:pPr>
      <w:r w:rsidRPr="0067127B">
        <w:rPr>
          <w:rFonts w:cstheme="minorHAnsi"/>
        </w:rPr>
        <w:t>The documentation must be signed or validated and have sufficient information that confirms:</w:t>
      </w:r>
    </w:p>
    <w:p w:rsidR="008B53E2" w:rsidRPr="0067127B" w:rsidRDefault="00963978" w:rsidP="0067127B">
      <w:pPr>
        <w:pStyle w:val="NormalIndent"/>
        <w:numPr>
          <w:ilvl w:val="0"/>
          <w:numId w:val="5"/>
        </w:numPr>
        <w:ind w:left="357" w:hanging="357"/>
        <w:rPr>
          <w:rFonts w:asciiTheme="minorHAnsi" w:eastAsiaTheme="minorEastAsia" w:hAnsiTheme="minorHAnsi" w:cstheme="minorHAnsi"/>
          <w:sz w:val="20"/>
        </w:rPr>
      </w:pPr>
      <w:r>
        <w:rPr>
          <w:rFonts w:asciiTheme="minorHAnsi" w:eastAsiaTheme="minorEastAsia" w:hAnsiTheme="minorHAnsi" w:cstheme="minorHAnsi"/>
          <w:sz w:val="20"/>
        </w:rPr>
        <w:t>a</w:t>
      </w:r>
      <w:r w:rsidR="008B53E2" w:rsidRPr="0067127B">
        <w:rPr>
          <w:rFonts w:asciiTheme="minorHAnsi" w:eastAsiaTheme="minorEastAsia" w:hAnsiTheme="minorHAnsi" w:cstheme="minorHAnsi"/>
          <w:sz w:val="20"/>
        </w:rPr>
        <w:t xml:space="preserve"> diagnosed disability </w:t>
      </w:r>
      <w:r w:rsidR="00071DAC">
        <w:rPr>
          <w:rFonts w:asciiTheme="minorHAnsi" w:eastAsiaTheme="minorEastAsia" w:hAnsiTheme="minorHAnsi" w:cstheme="minorHAnsi"/>
          <w:sz w:val="20"/>
        </w:rPr>
        <w:t xml:space="preserve">or </w:t>
      </w:r>
      <w:r w:rsidR="00071DAC" w:rsidRPr="0067127B">
        <w:rPr>
          <w:rFonts w:asciiTheme="minorHAnsi" w:eastAsiaTheme="minorEastAsia" w:hAnsiTheme="minorHAnsi" w:cstheme="minorHAnsi"/>
          <w:sz w:val="20"/>
        </w:rPr>
        <w:t>a diagnosed</w:t>
      </w:r>
      <w:r w:rsidR="00B45678">
        <w:rPr>
          <w:rFonts w:asciiTheme="minorHAnsi" w:eastAsiaTheme="minorEastAsia" w:hAnsiTheme="minorHAnsi" w:cstheme="minorHAnsi"/>
          <w:sz w:val="20"/>
        </w:rPr>
        <w:t xml:space="preserve"> </w:t>
      </w:r>
      <w:r w:rsidR="00071DAC" w:rsidRPr="0067127B">
        <w:rPr>
          <w:rFonts w:asciiTheme="minorHAnsi" w:eastAsiaTheme="minorEastAsia" w:hAnsiTheme="minorHAnsi" w:cstheme="minorHAnsi"/>
          <w:sz w:val="20"/>
        </w:rPr>
        <w:t xml:space="preserve">medical condition </w:t>
      </w:r>
      <w:r w:rsidR="008B53E2" w:rsidRPr="0067127B">
        <w:rPr>
          <w:rFonts w:asciiTheme="minorHAnsi" w:eastAsiaTheme="minorEastAsia" w:hAnsiTheme="minorHAnsi" w:cstheme="minorHAnsi"/>
          <w:sz w:val="20"/>
        </w:rPr>
        <w:t>(refer to Attachment B: Determining if a disability is considered permanent)</w:t>
      </w:r>
    </w:p>
    <w:p w:rsidR="008B53E2" w:rsidRPr="0067127B" w:rsidRDefault="008B53E2" w:rsidP="0067127B">
      <w:pPr>
        <w:pStyle w:val="NormalIndent"/>
        <w:numPr>
          <w:ilvl w:val="0"/>
          <w:numId w:val="5"/>
        </w:numPr>
        <w:ind w:left="357" w:hanging="357"/>
        <w:rPr>
          <w:rFonts w:asciiTheme="minorHAnsi" w:eastAsiaTheme="minorEastAsia" w:hAnsiTheme="minorHAnsi" w:cstheme="minorHAnsi"/>
          <w:sz w:val="20"/>
        </w:rPr>
      </w:pPr>
      <w:proofErr w:type="gramStart"/>
      <w:r w:rsidRPr="0067127B">
        <w:rPr>
          <w:rFonts w:asciiTheme="minorHAnsi" w:eastAsiaTheme="minorEastAsia" w:hAnsiTheme="minorHAnsi" w:cstheme="minorHAnsi"/>
          <w:sz w:val="20"/>
        </w:rPr>
        <w:t>a</w:t>
      </w:r>
      <w:proofErr w:type="gramEnd"/>
      <w:r w:rsidRPr="0067127B">
        <w:rPr>
          <w:rFonts w:asciiTheme="minorHAnsi" w:eastAsiaTheme="minorEastAsia" w:hAnsiTheme="minorHAnsi" w:cstheme="minorHAnsi"/>
          <w:sz w:val="20"/>
        </w:rPr>
        <w:t xml:space="preserve"> </w:t>
      </w:r>
      <w:r w:rsidR="00604FC2">
        <w:rPr>
          <w:rFonts w:asciiTheme="minorHAnsi" w:eastAsiaTheme="minorEastAsia" w:hAnsiTheme="minorHAnsi" w:cstheme="minorHAnsi"/>
          <w:sz w:val="20"/>
        </w:rPr>
        <w:t xml:space="preserve">disability </w:t>
      </w:r>
      <w:r w:rsidRPr="0067127B">
        <w:rPr>
          <w:rFonts w:asciiTheme="minorHAnsi" w:eastAsiaTheme="minorEastAsia" w:hAnsiTheme="minorHAnsi" w:cstheme="minorHAnsi"/>
          <w:sz w:val="20"/>
        </w:rPr>
        <w:t>diagnosis which may include, but is not limited to, developmental delay. Evidence must be dated within 12 months of the application being submitted</w:t>
      </w:r>
    </w:p>
    <w:p w:rsidR="008B53E2" w:rsidRPr="00190036" w:rsidRDefault="008B53E2" w:rsidP="0067127B">
      <w:pPr>
        <w:pStyle w:val="NormalIndent"/>
        <w:numPr>
          <w:ilvl w:val="0"/>
          <w:numId w:val="5"/>
        </w:numPr>
        <w:ind w:left="357" w:hanging="357"/>
        <w:rPr>
          <w:rFonts w:asciiTheme="minorHAnsi" w:eastAsiaTheme="minorEastAsia" w:hAnsiTheme="minorHAnsi" w:cstheme="minorHAnsi"/>
          <w:sz w:val="20"/>
        </w:rPr>
      </w:pPr>
      <w:r w:rsidRPr="007802FC">
        <w:rPr>
          <w:rFonts w:asciiTheme="minorHAnsi" w:eastAsiaTheme="minorEastAsia" w:hAnsiTheme="minorHAnsi" w:cstheme="minorHAnsi"/>
          <w:sz w:val="20"/>
        </w:rPr>
        <w:t xml:space="preserve">continuous assessment of disability. Documentary evidence must be dated within 12 months of the application being submitted. The National Inclusion Support Subsidy Provider (NISSP) </w:t>
      </w:r>
      <w:r w:rsidR="005A1E6C">
        <w:rPr>
          <w:rFonts w:asciiTheme="minorHAnsi" w:eastAsiaTheme="minorEastAsia" w:hAnsiTheme="minorHAnsi" w:cstheme="minorHAnsi"/>
          <w:sz w:val="20"/>
        </w:rPr>
        <w:t>can accept</w:t>
      </w:r>
      <w:r w:rsidR="007A695D">
        <w:rPr>
          <w:rFonts w:asciiTheme="minorHAnsi" w:eastAsiaTheme="minorEastAsia" w:hAnsiTheme="minorHAnsi" w:cstheme="minorHAnsi"/>
          <w:sz w:val="20"/>
        </w:rPr>
        <w:t xml:space="preserve"> further</w:t>
      </w:r>
      <w:r w:rsidR="007802FC">
        <w:rPr>
          <w:rFonts w:asciiTheme="minorHAnsi" w:eastAsiaTheme="minorEastAsia" w:hAnsiTheme="minorHAnsi" w:cstheme="minorHAnsi"/>
          <w:sz w:val="20"/>
        </w:rPr>
        <w:t xml:space="preserve"> documentary evidence</w:t>
      </w:r>
      <w:r w:rsidR="005A1E6C">
        <w:rPr>
          <w:rFonts w:asciiTheme="minorHAnsi" w:eastAsiaTheme="minorEastAsia" w:hAnsiTheme="minorHAnsi" w:cstheme="minorHAnsi"/>
          <w:sz w:val="20"/>
        </w:rPr>
        <w:t>,</w:t>
      </w:r>
      <w:r w:rsidR="007802FC">
        <w:rPr>
          <w:rFonts w:asciiTheme="minorHAnsi" w:eastAsiaTheme="minorEastAsia" w:hAnsiTheme="minorHAnsi" w:cstheme="minorHAnsi"/>
          <w:sz w:val="20"/>
        </w:rPr>
        <w:t xml:space="preserve"> demonstrating the child is still undergoing continuing assessment for disability</w:t>
      </w:r>
      <w:r w:rsidR="005A1E6C">
        <w:rPr>
          <w:rFonts w:asciiTheme="minorHAnsi" w:eastAsiaTheme="minorEastAsia" w:hAnsiTheme="minorHAnsi" w:cstheme="minorHAnsi"/>
          <w:sz w:val="20"/>
        </w:rPr>
        <w:t>, to support ISS applications for periods totalling no more than 18 months.</w:t>
      </w:r>
    </w:p>
    <w:p w:rsidR="008B53E2" w:rsidRPr="0067127B" w:rsidRDefault="008B53E2" w:rsidP="0067127B">
      <w:pPr>
        <w:pStyle w:val="NormalIndent"/>
        <w:numPr>
          <w:ilvl w:val="0"/>
          <w:numId w:val="5"/>
        </w:numPr>
        <w:ind w:left="357" w:hanging="357"/>
        <w:rPr>
          <w:rFonts w:asciiTheme="minorHAnsi" w:eastAsiaTheme="minorEastAsia" w:hAnsiTheme="minorHAnsi" w:cstheme="minorHAnsi"/>
          <w:sz w:val="20"/>
        </w:rPr>
      </w:pPr>
      <w:r w:rsidRPr="0067127B">
        <w:rPr>
          <w:rFonts w:asciiTheme="minorHAnsi" w:eastAsiaTheme="minorEastAsia" w:hAnsiTheme="minorHAnsi" w:cstheme="minorHAnsi"/>
          <w:sz w:val="20"/>
        </w:rPr>
        <w:t>refugee or humanitarian intervention status.</w:t>
      </w:r>
    </w:p>
    <w:p w:rsidR="008B53E2" w:rsidRPr="00694DA3" w:rsidRDefault="008B53E2" w:rsidP="008B53E2">
      <w:pPr>
        <w:rPr>
          <w:rFonts w:cstheme="minorHAnsi"/>
        </w:rPr>
      </w:pPr>
      <w:r>
        <w:rPr>
          <w:rFonts w:cstheme="minorHAnsi"/>
        </w:rPr>
        <w:t xml:space="preserve">All </w:t>
      </w:r>
      <w:r w:rsidRPr="00694DA3">
        <w:rPr>
          <w:rFonts w:cstheme="minorHAnsi"/>
        </w:rPr>
        <w:t xml:space="preserve">evidence will be </w:t>
      </w:r>
      <w:r>
        <w:rPr>
          <w:rFonts w:cstheme="minorHAnsi"/>
        </w:rPr>
        <w:t>considered</w:t>
      </w:r>
      <w:r w:rsidRPr="00694DA3">
        <w:rPr>
          <w:rFonts w:cstheme="minorHAnsi"/>
        </w:rPr>
        <w:t xml:space="preserve"> by the NISSP</w:t>
      </w:r>
      <w:r>
        <w:rPr>
          <w:rFonts w:cstheme="minorHAnsi"/>
        </w:rPr>
        <w:t xml:space="preserve"> during the assessment of ISS applications</w:t>
      </w:r>
      <w:r w:rsidRPr="00694DA3">
        <w:rPr>
          <w:rFonts w:cstheme="minorHAnsi"/>
        </w:rPr>
        <w:t>.</w:t>
      </w:r>
    </w:p>
    <w:p w:rsidR="008B53E2" w:rsidRPr="00897A1C" w:rsidRDefault="008B53E2" w:rsidP="008B53E2">
      <w:pPr>
        <w:pStyle w:val="Heading1Numbered"/>
        <w:numPr>
          <w:ilvl w:val="0"/>
          <w:numId w:val="3"/>
        </w:numPr>
        <w:spacing w:after="120"/>
        <w:ind w:left="357" w:hanging="357"/>
        <w:textAlignment w:val="center"/>
        <w:rPr>
          <w:rFonts w:ascii="Georgia" w:eastAsia="Times New Roman" w:hAnsi="Georgia" w:cs="Arial"/>
          <w:b w:val="0"/>
          <w:iCs w:val="0"/>
          <w:color w:val="005A70"/>
          <w:kern w:val="32"/>
          <w:sz w:val="32"/>
          <w:szCs w:val="32"/>
        </w:rPr>
      </w:pPr>
      <w:r w:rsidRPr="00897A1C">
        <w:rPr>
          <w:rFonts w:ascii="Georgia" w:eastAsia="Times New Roman" w:hAnsi="Georgia" w:cs="Arial"/>
          <w:b w:val="0"/>
          <w:iCs w:val="0"/>
          <w:color w:val="005A70"/>
          <w:kern w:val="32"/>
          <w:sz w:val="32"/>
          <w:szCs w:val="32"/>
        </w:rPr>
        <w:t xml:space="preserve">Certified documentary evidence </w:t>
      </w:r>
    </w:p>
    <w:p w:rsidR="008B53E2" w:rsidRPr="0067127B" w:rsidRDefault="008B53E2" w:rsidP="008B53E2">
      <w:pPr>
        <w:rPr>
          <w:rFonts w:cstheme="minorHAnsi"/>
        </w:rPr>
      </w:pPr>
      <w:r w:rsidRPr="0067127B">
        <w:rPr>
          <w:rFonts w:cstheme="minorHAnsi"/>
        </w:rPr>
        <w:t xml:space="preserve">Documentary evidence from medical practitioners, registered psychologists, registered nurses or nurse practitioners, or allied health practitioners will be accepted to support the application for ISS. Evidence provided from allied health professionals and registered nurses or nurse practitioners must provide more detailed information that confirms the diagnosis and detail the child’s needs. This will minimise follow up from the NISSP.  </w:t>
      </w:r>
    </w:p>
    <w:p w:rsidR="008B53E2" w:rsidRPr="0067127B" w:rsidRDefault="008B53E2" w:rsidP="008B53E2">
      <w:pPr>
        <w:rPr>
          <w:rFonts w:cstheme="minorHAnsi"/>
        </w:rPr>
      </w:pPr>
      <w:r w:rsidRPr="0067127B">
        <w:rPr>
          <w:rFonts w:cstheme="minorHAnsi"/>
        </w:rPr>
        <w:t xml:space="preserve">A list of allied health professionals whose documentary evidence can be accepted from is provided at </w:t>
      </w:r>
      <w:r w:rsidRPr="0067127B">
        <w:rPr>
          <w:rFonts w:cstheme="minorHAnsi"/>
          <w:b/>
        </w:rPr>
        <w:t>Attachment A.</w:t>
      </w:r>
    </w:p>
    <w:p w:rsidR="008B53E2" w:rsidRPr="006C38D5" w:rsidRDefault="008B53E2" w:rsidP="008B53E2">
      <w:pPr>
        <w:rPr>
          <w:rFonts w:cstheme="minorHAnsi"/>
        </w:rPr>
      </w:pPr>
      <w:r w:rsidRPr="006C38D5">
        <w:rPr>
          <w:rFonts w:cstheme="minorHAnsi"/>
        </w:rPr>
        <w:t xml:space="preserve">Documentary evidence for </w:t>
      </w:r>
      <w:r w:rsidRPr="006C38D5">
        <w:rPr>
          <w:rFonts w:cstheme="minorHAnsi"/>
          <w:b/>
        </w:rPr>
        <w:t>diagnosed disability</w:t>
      </w:r>
      <w:r w:rsidRPr="006C38D5">
        <w:rPr>
          <w:rFonts w:cstheme="minorHAnsi"/>
        </w:rPr>
        <w:t xml:space="preserve"> may include:</w:t>
      </w:r>
    </w:p>
    <w:p w:rsidR="008B53E2" w:rsidRPr="007C4ED8" w:rsidRDefault="008B53E2" w:rsidP="007C4ED8">
      <w:pPr>
        <w:pStyle w:val="StepsLvl2"/>
        <w:numPr>
          <w:ilvl w:val="0"/>
          <w:numId w:val="6"/>
        </w:numPr>
        <w:spacing w:before="0" w:after="0"/>
        <w:jc w:val="left"/>
        <w:rPr>
          <w:rFonts w:asciiTheme="minorHAnsi" w:hAnsiTheme="minorHAnsi"/>
        </w:rPr>
      </w:pPr>
      <w:r w:rsidRPr="007C4ED8">
        <w:rPr>
          <w:rFonts w:asciiTheme="minorHAnsi" w:hAnsiTheme="minorHAnsi"/>
        </w:rPr>
        <w:lastRenderedPageBreak/>
        <w:t>a qualified medical practitioner’s confirmation of a diagnosis</w:t>
      </w:r>
    </w:p>
    <w:p w:rsidR="008B53E2" w:rsidRPr="007C4ED8" w:rsidRDefault="008B53E2" w:rsidP="007C4ED8">
      <w:pPr>
        <w:pStyle w:val="StepsLvl2"/>
        <w:numPr>
          <w:ilvl w:val="0"/>
          <w:numId w:val="6"/>
        </w:numPr>
        <w:spacing w:before="0" w:after="0"/>
        <w:jc w:val="left"/>
        <w:rPr>
          <w:rFonts w:asciiTheme="minorHAnsi" w:hAnsiTheme="minorHAnsi"/>
        </w:rPr>
      </w:pPr>
      <w:r w:rsidRPr="007C4ED8">
        <w:rPr>
          <w:rFonts w:asciiTheme="minorHAnsi" w:hAnsiTheme="minorHAnsi"/>
        </w:rPr>
        <w:t>diagnosis by a registered psychologist</w:t>
      </w:r>
    </w:p>
    <w:p w:rsidR="008B53E2" w:rsidRPr="007C4ED8" w:rsidRDefault="008B53E2" w:rsidP="007C4ED8">
      <w:pPr>
        <w:pStyle w:val="StepsLvl2"/>
        <w:numPr>
          <w:ilvl w:val="0"/>
          <w:numId w:val="6"/>
        </w:numPr>
        <w:spacing w:before="0" w:after="0"/>
        <w:jc w:val="left"/>
        <w:rPr>
          <w:rFonts w:asciiTheme="minorHAnsi" w:hAnsiTheme="minorHAnsi"/>
        </w:rPr>
      </w:pPr>
      <w:r w:rsidRPr="007C4ED8">
        <w:rPr>
          <w:rFonts w:asciiTheme="minorHAnsi" w:hAnsiTheme="minorHAnsi"/>
        </w:rPr>
        <w:t>the child’s health care card stating the disability code</w:t>
      </w:r>
    </w:p>
    <w:p w:rsidR="008B53E2" w:rsidRPr="007C4ED8" w:rsidRDefault="008B53E2" w:rsidP="007C4ED8">
      <w:pPr>
        <w:pStyle w:val="StepsLvl2"/>
        <w:numPr>
          <w:ilvl w:val="0"/>
          <w:numId w:val="6"/>
        </w:numPr>
        <w:spacing w:before="0" w:after="0"/>
        <w:ind w:left="357" w:hanging="357"/>
        <w:jc w:val="left"/>
        <w:rPr>
          <w:rFonts w:asciiTheme="minorHAnsi" w:hAnsiTheme="minorHAnsi"/>
        </w:rPr>
      </w:pPr>
      <w:r w:rsidRPr="007C4ED8">
        <w:rPr>
          <w:rFonts w:asciiTheme="minorHAnsi" w:hAnsiTheme="minorHAnsi"/>
        </w:rPr>
        <w:t>documentation stating a child’s eligibility for Child Disability Allowance or parent’s/guardian’s eligibility for Carers Allowance with respect to the child</w:t>
      </w:r>
    </w:p>
    <w:p w:rsidR="008B53E2" w:rsidRPr="007C4ED8" w:rsidRDefault="008B53E2" w:rsidP="007C4ED8">
      <w:pPr>
        <w:pStyle w:val="StepsLvl2"/>
        <w:numPr>
          <w:ilvl w:val="0"/>
          <w:numId w:val="6"/>
        </w:numPr>
        <w:spacing w:before="0" w:after="0"/>
        <w:jc w:val="left"/>
        <w:rPr>
          <w:rFonts w:asciiTheme="minorHAnsi" w:hAnsiTheme="minorHAnsi"/>
        </w:rPr>
      </w:pPr>
      <w:r w:rsidRPr="007C4ED8">
        <w:rPr>
          <w:rFonts w:asciiTheme="minorHAnsi" w:hAnsiTheme="minorHAnsi"/>
        </w:rPr>
        <w:t>the child’s Disability Support Pension, if the child is over 16 years of age</w:t>
      </w:r>
    </w:p>
    <w:p w:rsidR="008B53E2" w:rsidRPr="007C4ED8" w:rsidRDefault="008B53E2" w:rsidP="007C4ED8">
      <w:pPr>
        <w:pStyle w:val="StepsLvl2"/>
        <w:numPr>
          <w:ilvl w:val="0"/>
          <w:numId w:val="6"/>
        </w:numPr>
        <w:spacing w:before="0" w:after="0"/>
        <w:jc w:val="left"/>
        <w:rPr>
          <w:rFonts w:asciiTheme="minorHAnsi" w:hAnsiTheme="minorHAnsi"/>
        </w:rPr>
      </w:pPr>
      <w:r w:rsidRPr="007C4ED8">
        <w:rPr>
          <w:rFonts w:asciiTheme="minorHAnsi" w:hAnsiTheme="minorHAnsi"/>
        </w:rPr>
        <w:t>detailed information that supports diagnosis provided by allied health professionals, registered nurses or nurse practitioners.</w:t>
      </w:r>
    </w:p>
    <w:p w:rsidR="008B53E2" w:rsidRPr="007C4ED8" w:rsidRDefault="008B53E2" w:rsidP="007C4ED8">
      <w:pPr>
        <w:pStyle w:val="StepsLvl2"/>
        <w:numPr>
          <w:ilvl w:val="0"/>
          <w:numId w:val="0"/>
        </w:numPr>
        <w:jc w:val="left"/>
        <w:rPr>
          <w:rFonts w:ascii="Arial" w:hAnsi="Arial"/>
          <w:szCs w:val="24"/>
        </w:rPr>
      </w:pPr>
      <w:r w:rsidRPr="007C4ED8">
        <w:rPr>
          <w:rFonts w:ascii="Arial" w:hAnsi="Arial"/>
          <w:szCs w:val="24"/>
        </w:rPr>
        <w:t xml:space="preserve">Documentary evidence for a child </w:t>
      </w:r>
      <w:r w:rsidRPr="007C4ED8">
        <w:rPr>
          <w:rFonts w:ascii="Arial" w:hAnsi="Arial"/>
          <w:b/>
          <w:szCs w:val="24"/>
        </w:rPr>
        <w:t>undergoing continuous assessment</w:t>
      </w:r>
      <w:r w:rsidRPr="007C4ED8">
        <w:rPr>
          <w:rFonts w:ascii="Arial" w:hAnsi="Arial"/>
          <w:szCs w:val="24"/>
        </w:rPr>
        <w:t xml:space="preserve"> for disability may include:</w:t>
      </w:r>
    </w:p>
    <w:p w:rsidR="008B53E2" w:rsidRPr="00264242" w:rsidRDefault="008B53E2" w:rsidP="00264242">
      <w:pPr>
        <w:pStyle w:val="StepsLvl2"/>
        <w:numPr>
          <w:ilvl w:val="0"/>
          <w:numId w:val="6"/>
        </w:numPr>
        <w:spacing w:before="0" w:after="0"/>
        <w:ind w:left="357" w:hanging="357"/>
        <w:jc w:val="left"/>
        <w:rPr>
          <w:rFonts w:asciiTheme="minorHAnsi" w:hAnsiTheme="minorHAnsi"/>
        </w:rPr>
      </w:pPr>
      <w:r w:rsidRPr="00264242">
        <w:rPr>
          <w:rFonts w:asciiTheme="minorHAnsi" w:hAnsiTheme="minorHAnsi"/>
        </w:rPr>
        <w:t>supporting documentation, such as a diagnostic report, signed by a qualified medical practitioner or registered psychologist</w:t>
      </w:r>
    </w:p>
    <w:p w:rsidR="008B53E2" w:rsidRPr="00264242" w:rsidRDefault="008B53E2" w:rsidP="00264242">
      <w:pPr>
        <w:pStyle w:val="StepsLvl2"/>
        <w:numPr>
          <w:ilvl w:val="0"/>
          <w:numId w:val="6"/>
        </w:numPr>
        <w:spacing w:before="0" w:after="0"/>
        <w:ind w:left="357" w:hanging="357"/>
        <w:jc w:val="left"/>
        <w:rPr>
          <w:rFonts w:asciiTheme="minorHAnsi" w:hAnsiTheme="minorHAnsi"/>
        </w:rPr>
      </w:pPr>
      <w:r w:rsidRPr="00264242">
        <w:rPr>
          <w:rFonts w:asciiTheme="minorHAnsi" w:hAnsiTheme="minorHAnsi"/>
        </w:rPr>
        <w:t>a report or supporting documentation signed by an allied health professional, registered nurse or nurse practitioner of the continuing assessment of a child for the purpose of diagnosing disability</w:t>
      </w:r>
    </w:p>
    <w:p w:rsidR="008B53E2" w:rsidRPr="007C4ED8" w:rsidRDefault="008B53E2" w:rsidP="007C4ED8">
      <w:pPr>
        <w:pStyle w:val="StepsLvl2"/>
        <w:numPr>
          <w:ilvl w:val="0"/>
          <w:numId w:val="6"/>
        </w:numPr>
        <w:spacing w:before="0" w:after="0"/>
        <w:ind w:left="357" w:hanging="357"/>
        <w:jc w:val="left"/>
        <w:rPr>
          <w:rFonts w:asciiTheme="minorHAnsi" w:hAnsiTheme="minorHAnsi"/>
        </w:rPr>
      </w:pPr>
      <w:r w:rsidRPr="007C4ED8">
        <w:rPr>
          <w:rFonts w:asciiTheme="minorHAnsi" w:hAnsiTheme="minorHAnsi"/>
        </w:rPr>
        <w:t xml:space="preserve">an appointment letter or referral for an assessment by a qualified medical practitioner or registered psychologist. This </w:t>
      </w:r>
      <w:r w:rsidR="001846D8" w:rsidRPr="00217AFA">
        <w:rPr>
          <w:rFonts w:asciiTheme="minorHAnsi" w:hAnsiTheme="minorHAnsi"/>
        </w:rPr>
        <w:t>can include outcomes of appointments or assessments conducted.</w:t>
      </w:r>
    </w:p>
    <w:p w:rsidR="008B53E2" w:rsidRPr="007C4ED8" w:rsidRDefault="008B53E2" w:rsidP="007C4ED8">
      <w:pPr>
        <w:pStyle w:val="StepsLvl2"/>
        <w:numPr>
          <w:ilvl w:val="0"/>
          <w:numId w:val="0"/>
        </w:numPr>
        <w:jc w:val="left"/>
        <w:rPr>
          <w:rFonts w:ascii="Arial" w:hAnsi="Arial"/>
          <w:szCs w:val="24"/>
        </w:rPr>
      </w:pPr>
      <w:r w:rsidRPr="007C4ED8">
        <w:rPr>
          <w:rFonts w:ascii="Arial" w:hAnsi="Arial"/>
          <w:szCs w:val="24"/>
        </w:rPr>
        <w:t xml:space="preserve">Evidence of a </w:t>
      </w:r>
      <w:r w:rsidRPr="007C4ED8">
        <w:rPr>
          <w:rFonts w:ascii="Arial" w:hAnsi="Arial"/>
          <w:b/>
          <w:szCs w:val="24"/>
        </w:rPr>
        <w:t>child’s refugee or humanitarian intervention</w:t>
      </w:r>
      <w:r w:rsidRPr="007C4ED8">
        <w:rPr>
          <w:rFonts w:ascii="Arial" w:hAnsi="Arial"/>
          <w:szCs w:val="24"/>
        </w:rPr>
        <w:t xml:space="preserve"> status may include:</w:t>
      </w:r>
    </w:p>
    <w:p w:rsidR="008B53E2" w:rsidRPr="007C4ED8" w:rsidRDefault="008B53E2" w:rsidP="007C4ED8">
      <w:pPr>
        <w:pStyle w:val="StepsLvl2"/>
        <w:numPr>
          <w:ilvl w:val="0"/>
          <w:numId w:val="6"/>
        </w:numPr>
        <w:spacing w:before="0" w:after="0"/>
        <w:ind w:left="357" w:hanging="357"/>
        <w:jc w:val="left"/>
        <w:rPr>
          <w:rFonts w:asciiTheme="minorHAnsi" w:hAnsiTheme="minorHAnsi"/>
        </w:rPr>
      </w:pPr>
      <w:r w:rsidRPr="007C4ED8">
        <w:rPr>
          <w:rFonts w:asciiTheme="minorHAnsi" w:hAnsiTheme="minorHAnsi"/>
        </w:rPr>
        <w:t>documentary evidence of the child’s refugee status. Please note, as visa codes are subject to change, ISAs and/or services must check with the Department of Immigration and Border Protection for the current humanitarian-related visa codes.</w:t>
      </w:r>
    </w:p>
    <w:p w:rsidR="008B53E2" w:rsidRPr="007C4ED8" w:rsidRDefault="008B53E2" w:rsidP="008B53E2">
      <w:pPr>
        <w:pStyle w:val="StepsLvl2"/>
        <w:numPr>
          <w:ilvl w:val="0"/>
          <w:numId w:val="0"/>
        </w:numPr>
        <w:jc w:val="left"/>
        <w:rPr>
          <w:rFonts w:ascii="Arial" w:hAnsi="Arial"/>
          <w:szCs w:val="24"/>
        </w:rPr>
      </w:pPr>
      <w:r w:rsidRPr="007C4ED8">
        <w:rPr>
          <w:rFonts w:ascii="Arial" w:hAnsi="Arial"/>
          <w:szCs w:val="24"/>
        </w:rPr>
        <w:t xml:space="preserve">The NISSP may request further documentary evidence to assist determining eligibility. </w:t>
      </w:r>
    </w:p>
    <w:p w:rsidR="008B53E2" w:rsidRPr="00897A1C" w:rsidRDefault="008B53E2" w:rsidP="008B53E2">
      <w:pPr>
        <w:pStyle w:val="Heading1Numbered"/>
        <w:numPr>
          <w:ilvl w:val="0"/>
          <w:numId w:val="3"/>
        </w:numPr>
        <w:spacing w:after="120"/>
        <w:ind w:left="357" w:hanging="357"/>
        <w:textAlignment w:val="center"/>
        <w:rPr>
          <w:rFonts w:ascii="Georgia" w:eastAsia="Times New Roman" w:hAnsi="Georgia" w:cs="Arial"/>
          <w:b w:val="0"/>
          <w:iCs w:val="0"/>
          <w:color w:val="005A70"/>
          <w:kern w:val="32"/>
          <w:sz w:val="32"/>
          <w:szCs w:val="32"/>
        </w:rPr>
      </w:pPr>
      <w:r w:rsidRPr="00897A1C">
        <w:rPr>
          <w:rFonts w:ascii="Georgia" w:eastAsia="Times New Roman" w:hAnsi="Georgia" w:cs="Arial"/>
          <w:b w:val="0"/>
          <w:iCs w:val="0"/>
          <w:color w:val="005A70"/>
          <w:kern w:val="32"/>
          <w:sz w:val="32"/>
          <w:szCs w:val="32"/>
        </w:rPr>
        <w:t>Evidence of a diagnosed permanent disability</w:t>
      </w:r>
    </w:p>
    <w:p w:rsidR="008B53E2" w:rsidRPr="00D15151" w:rsidRDefault="008B53E2" w:rsidP="008B53E2">
      <w:pPr>
        <w:rPr>
          <w:rFonts w:cstheme="minorHAnsi"/>
        </w:rPr>
      </w:pPr>
      <w:r w:rsidRPr="00D15151">
        <w:rPr>
          <w:rFonts w:cstheme="minorHAnsi"/>
        </w:rPr>
        <w:t xml:space="preserve">Documentary evidence </w:t>
      </w:r>
      <w:r>
        <w:rPr>
          <w:rFonts w:cstheme="minorHAnsi"/>
        </w:rPr>
        <w:t xml:space="preserve">that supports permanent disability </w:t>
      </w:r>
      <w:r w:rsidRPr="00D15151">
        <w:rPr>
          <w:rFonts w:cstheme="minorHAnsi"/>
        </w:rPr>
        <w:t>will not be required to be submitted with future applications while the</w:t>
      </w:r>
      <w:r w:rsidR="00281F73">
        <w:rPr>
          <w:rFonts w:cstheme="minorHAnsi"/>
        </w:rPr>
        <w:t xml:space="preserve"> child is enrolled at the same S</w:t>
      </w:r>
      <w:r w:rsidRPr="00D15151">
        <w:rPr>
          <w:rFonts w:cstheme="minorHAnsi"/>
        </w:rPr>
        <w:t>ervice. On approval of an application for ISS the NISSP will confirm on the I</w:t>
      </w:r>
      <w:r w:rsidR="00281F73">
        <w:rPr>
          <w:rFonts w:cstheme="minorHAnsi"/>
        </w:rPr>
        <w:t xml:space="preserve">nclusion </w:t>
      </w:r>
      <w:r w:rsidRPr="00D15151">
        <w:rPr>
          <w:rFonts w:cstheme="minorHAnsi"/>
        </w:rPr>
        <w:t>S</w:t>
      </w:r>
      <w:r w:rsidR="00281F73">
        <w:rPr>
          <w:rFonts w:cstheme="minorHAnsi"/>
        </w:rPr>
        <w:t>upport</w:t>
      </w:r>
      <w:r w:rsidRPr="00D15151">
        <w:rPr>
          <w:rFonts w:cstheme="minorHAnsi"/>
        </w:rPr>
        <w:t xml:space="preserve"> case that evidence of permanent disability has been submitted.</w:t>
      </w:r>
    </w:p>
    <w:p w:rsidR="008B53E2" w:rsidRPr="00D15151" w:rsidRDefault="008B53E2" w:rsidP="008B53E2">
      <w:pPr>
        <w:spacing w:after="0" w:line="240" w:lineRule="auto"/>
        <w:rPr>
          <w:rFonts w:cstheme="minorHAnsi"/>
          <w:b/>
        </w:rPr>
      </w:pPr>
      <w:r w:rsidRPr="00D15151">
        <w:rPr>
          <w:rFonts w:cstheme="minorHAnsi"/>
          <w:b/>
        </w:rPr>
        <w:t>Change of Circumstances Applications:</w:t>
      </w:r>
    </w:p>
    <w:p w:rsidR="008B53E2" w:rsidRPr="00D15151" w:rsidRDefault="008B53E2" w:rsidP="00D15151">
      <w:pPr>
        <w:pStyle w:val="StepsLvl2"/>
        <w:numPr>
          <w:ilvl w:val="0"/>
          <w:numId w:val="6"/>
        </w:numPr>
        <w:spacing w:before="0" w:after="0"/>
        <w:jc w:val="left"/>
        <w:rPr>
          <w:rFonts w:asciiTheme="minorHAnsi" w:hAnsiTheme="minorHAnsi"/>
        </w:rPr>
      </w:pPr>
      <w:r w:rsidRPr="00D15151">
        <w:rPr>
          <w:rFonts w:asciiTheme="minorHAnsi" w:hAnsiTheme="minorHAnsi"/>
        </w:rPr>
        <w:t>Documentary evidence is not required to be attached for existing children in a change of circumstance application, unless a child was undergoing continuing assessment for disability and now has confirmation of a diagnosed disability.</w:t>
      </w:r>
    </w:p>
    <w:p w:rsidR="008B53E2" w:rsidRPr="00D15151" w:rsidRDefault="008B53E2" w:rsidP="00D15151">
      <w:pPr>
        <w:pStyle w:val="StepsLvl2"/>
        <w:numPr>
          <w:ilvl w:val="0"/>
          <w:numId w:val="6"/>
        </w:numPr>
        <w:spacing w:before="0" w:after="0"/>
        <w:jc w:val="left"/>
        <w:rPr>
          <w:rFonts w:asciiTheme="minorHAnsi" w:hAnsiTheme="minorHAnsi"/>
        </w:rPr>
      </w:pPr>
      <w:r w:rsidRPr="00D15151">
        <w:rPr>
          <w:rFonts w:asciiTheme="minorHAnsi" w:hAnsiTheme="minorHAnsi"/>
        </w:rPr>
        <w:t xml:space="preserve">Documentary evidence is </w:t>
      </w:r>
      <w:r w:rsidR="00281F73">
        <w:rPr>
          <w:rFonts w:asciiTheme="minorHAnsi" w:hAnsiTheme="minorHAnsi"/>
        </w:rPr>
        <w:t xml:space="preserve">required and should be </w:t>
      </w:r>
      <w:r w:rsidRPr="00D15151">
        <w:rPr>
          <w:rFonts w:asciiTheme="minorHAnsi" w:hAnsiTheme="minorHAnsi"/>
        </w:rPr>
        <w:t>attached for a new child entering the care environment, unless notification has been provided by the NISSP that this child has permanent disability status while at this service.</w:t>
      </w:r>
    </w:p>
    <w:p w:rsidR="008B53E2" w:rsidRPr="00D15151" w:rsidRDefault="008B53E2" w:rsidP="008B53E2">
      <w:pPr>
        <w:spacing w:after="0" w:line="240" w:lineRule="auto"/>
        <w:rPr>
          <w:rFonts w:cstheme="minorHAnsi"/>
          <w:b/>
        </w:rPr>
      </w:pPr>
      <w:r w:rsidRPr="00D15151">
        <w:rPr>
          <w:rFonts w:cstheme="minorHAnsi"/>
          <w:b/>
        </w:rPr>
        <w:t>Renewal and New Applications:</w:t>
      </w:r>
    </w:p>
    <w:p w:rsidR="008B53E2" w:rsidRPr="00D15151" w:rsidRDefault="008B53E2" w:rsidP="008B53E2">
      <w:pPr>
        <w:pStyle w:val="ListParagraph"/>
        <w:numPr>
          <w:ilvl w:val="0"/>
          <w:numId w:val="6"/>
        </w:numPr>
        <w:spacing w:after="240"/>
        <w:ind w:left="357" w:hanging="357"/>
        <w:rPr>
          <w:rFonts w:ascii="Arial" w:eastAsia="Times New Roman" w:hAnsi="Arial" w:cstheme="minorHAnsi"/>
          <w:sz w:val="20"/>
          <w:szCs w:val="24"/>
          <w:lang w:eastAsia="en-AU"/>
        </w:rPr>
      </w:pPr>
      <w:r w:rsidRPr="00D15151">
        <w:rPr>
          <w:rFonts w:ascii="Arial" w:eastAsia="Times New Roman" w:hAnsi="Arial" w:cstheme="minorHAnsi"/>
          <w:sz w:val="20"/>
          <w:szCs w:val="24"/>
          <w:lang w:eastAsia="en-AU"/>
        </w:rPr>
        <w:t>Documentation is not required to be attached for those children where the NISSP has provided notification that the child has permanent disability status while at this service. Current documentary evidence is required for all other children included in the IS Case.</w:t>
      </w:r>
    </w:p>
    <w:p w:rsidR="008B53E2" w:rsidRPr="00C86A88" w:rsidRDefault="008B53E2" w:rsidP="008B53E2">
      <w:pPr>
        <w:rPr>
          <w:rFonts w:cstheme="minorHAnsi"/>
        </w:rPr>
      </w:pPr>
      <w:r w:rsidRPr="00C86A88">
        <w:rPr>
          <w:rFonts w:cstheme="minorHAnsi"/>
          <w:b/>
        </w:rPr>
        <w:t>Please note</w:t>
      </w:r>
      <w:r>
        <w:rPr>
          <w:rFonts w:cstheme="minorHAnsi"/>
        </w:rPr>
        <w:t xml:space="preserve"> although evidence of permanent disability </w:t>
      </w:r>
      <w:r w:rsidR="00281F73">
        <w:rPr>
          <w:rFonts w:cstheme="minorHAnsi"/>
        </w:rPr>
        <w:t xml:space="preserve">may have </w:t>
      </w:r>
      <w:r>
        <w:rPr>
          <w:rFonts w:cstheme="minorHAnsi"/>
        </w:rPr>
        <w:t>been accepted, future applications for ISS</w:t>
      </w:r>
      <w:r w:rsidR="00281F73">
        <w:rPr>
          <w:rFonts w:cstheme="minorHAnsi"/>
        </w:rPr>
        <w:t xml:space="preserve"> will </w:t>
      </w:r>
      <w:r>
        <w:rPr>
          <w:rFonts w:cstheme="minorHAnsi"/>
        </w:rPr>
        <w:t xml:space="preserve">require sufficient information to demonstrate the impact </w:t>
      </w:r>
      <w:r w:rsidR="00281F73">
        <w:rPr>
          <w:rFonts w:cstheme="minorHAnsi"/>
        </w:rPr>
        <w:t>that t</w:t>
      </w:r>
      <w:r>
        <w:rPr>
          <w:rFonts w:cstheme="minorHAnsi"/>
        </w:rPr>
        <w:t xml:space="preserve">he child’s current needs </w:t>
      </w:r>
      <w:r w:rsidR="00281F73">
        <w:rPr>
          <w:rFonts w:cstheme="minorHAnsi"/>
        </w:rPr>
        <w:t xml:space="preserve">have </w:t>
      </w:r>
      <w:r>
        <w:rPr>
          <w:rFonts w:cstheme="minorHAnsi"/>
        </w:rPr>
        <w:t xml:space="preserve">on the care environment and </w:t>
      </w:r>
      <w:r w:rsidR="00281F73">
        <w:rPr>
          <w:rFonts w:cstheme="minorHAnsi"/>
        </w:rPr>
        <w:t xml:space="preserve">whether </w:t>
      </w:r>
      <w:r>
        <w:rPr>
          <w:rFonts w:cstheme="minorHAnsi"/>
        </w:rPr>
        <w:t>the support</w:t>
      </w:r>
      <w:r w:rsidR="00281F73">
        <w:rPr>
          <w:rFonts w:cstheme="minorHAnsi"/>
        </w:rPr>
        <w:t xml:space="preserve"> is</w:t>
      </w:r>
      <w:r>
        <w:rPr>
          <w:rFonts w:cstheme="minorHAnsi"/>
        </w:rPr>
        <w:t xml:space="preserve"> required to include the child in the care environment.</w:t>
      </w:r>
      <w:r w:rsidRPr="00C86A88">
        <w:rPr>
          <w:rFonts w:cstheme="minorHAnsi"/>
        </w:rPr>
        <w:t xml:space="preserve"> </w:t>
      </w:r>
    </w:p>
    <w:p w:rsidR="00811B9A" w:rsidRDefault="008B53E2" w:rsidP="008B53E2">
      <w:pPr>
        <w:rPr>
          <w:rFonts w:cstheme="minorHAnsi"/>
        </w:rPr>
      </w:pPr>
      <w:r w:rsidRPr="00C86A88">
        <w:rPr>
          <w:rFonts w:cstheme="minorHAnsi"/>
        </w:rPr>
        <w:t xml:space="preserve">The list of permanent disabilities is at </w:t>
      </w:r>
      <w:r w:rsidRPr="00C86A88">
        <w:rPr>
          <w:rFonts w:cstheme="minorHAnsi"/>
          <w:b/>
        </w:rPr>
        <w:t>Attachment B</w:t>
      </w:r>
      <w:r w:rsidRPr="00C86A88">
        <w:rPr>
          <w:rFonts w:cstheme="minorHAnsi"/>
        </w:rPr>
        <w:t xml:space="preserve">. </w:t>
      </w:r>
    </w:p>
    <w:p w:rsidR="00811B9A" w:rsidRDefault="00811B9A">
      <w:pPr>
        <w:spacing w:before="0" w:after="0" w:line="240" w:lineRule="auto"/>
        <w:rPr>
          <w:rFonts w:cstheme="minorHAnsi"/>
        </w:rPr>
      </w:pPr>
      <w:r>
        <w:rPr>
          <w:rFonts w:cstheme="minorHAnsi"/>
        </w:rPr>
        <w:br w:type="page"/>
      </w:r>
    </w:p>
    <w:p w:rsidR="008B53E2" w:rsidRPr="00897A1C" w:rsidRDefault="008B53E2" w:rsidP="008B53E2">
      <w:pPr>
        <w:pStyle w:val="Heading1Numbered"/>
        <w:numPr>
          <w:ilvl w:val="0"/>
          <w:numId w:val="3"/>
        </w:numPr>
        <w:spacing w:after="120"/>
        <w:ind w:left="357" w:hanging="357"/>
        <w:textAlignment w:val="center"/>
        <w:rPr>
          <w:rFonts w:ascii="Georgia" w:eastAsia="Times New Roman" w:hAnsi="Georgia" w:cs="Arial"/>
          <w:b w:val="0"/>
          <w:iCs w:val="0"/>
          <w:color w:val="005A70"/>
          <w:kern w:val="32"/>
          <w:sz w:val="32"/>
          <w:szCs w:val="32"/>
        </w:rPr>
      </w:pPr>
      <w:r w:rsidRPr="00897A1C">
        <w:rPr>
          <w:rFonts w:ascii="Georgia" w:eastAsia="Times New Roman" w:hAnsi="Georgia" w:cs="Arial"/>
          <w:b w:val="0"/>
          <w:iCs w:val="0"/>
          <w:color w:val="005A70"/>
          <w:kern w:val="32"/>
          <w:sz w:val="32"/>
          <w:szCs w:val="32"/>
        </w:rPr>
        <w:lastRenderedPageBreak/>
        <w:t>Documentation and eligibility for ISS</w:t>
      </w:r>
    </w:p>
    <w:p w:rsidR="00F13497" w:rsidRPr="00EC3F8A" w:rsidRDefault="008B53E2" w:rsidP="00F13497">
      <w:pPr>
        <w:rPr>
          <w:rFonts w:asciiTheme="minorHAnsi" w:hAnsiTheme="minorHAnsi" w:cstheme="minorHAnsi"/>
          <w:szCs w:val="20"/>
        </w:rPr>
      </w:pPr>
      <w:r w:rsidRPr="004125BE">
        <w:rPr>
          <w:rFonts w:cstheme="minorHAnsi"/>
        </w:rPr>
        <w:t xml:space="preserve">Meeting documentary evidence requirements is only one component of eligibility for ISS. </w:t>
      </w:r>
      <w:r w:rsidR="00B45678">
        <w:rPr>
          <w:rFonts w:cstheme="minorHAnsi"/>
        </w:rPr>
        <w:t>Child care and early learning</w:t>
      </w:r>
      <w:r w:rsidR="00B45678" w:rsidRPr="004125BE">
        <w:rPr>
          <w:rFonts w:cstheme="minorHAnsi"/>
        </w:rPr>
        <w:t xml:space="preserve"> </w:t>
      </w:r>
      <w:r w:rsidRPr="004125BE">
        <w:rPr>
          <w:rFonts w:cstheme="minorHAnsi"/>
        </w:rPr>
        <w:t xml:space="preserve">services must demonstrate the need for an additional educator </w:t>
      </w:r>
      <w:r w:rsidR="001C020D">
        <w:rPr>
          <w:rFonts w:cstheme="minorHAnsi"/>
        </w:rPr>
        <w:t xml:space="preserve">and </w:t>
      </w:r>
      <w:r w:rsidRPr="00EC3F8A">
        <w:rPr>
          <w:rFonts w:asciiTheme="minorHAnsi" w:hAnsiTheme="minorHAnsi" w:cstheme="minorHAnsi"/>
          <w:szCs w:val="20"/>
        </w:rPr>
        <w:t>the impact of supporting the inclusion of a child with ongoing high support needs with their typically developing peers.</w:t>
      </w:r>
      <w:r w:rsidR="001C020D">
        <w:rPr>
          <w:rFonts w:asciiTheme="minorHAnsi" w:hAnsiTheme="minorHAnsi" w:cstheme="minorHAnsi"/>
          <w:szCs w:val="20"/>
        </w:rPr>
        <w:t xml:space="preserve"> In home care based services must demonstrate the impact on the educator by supporting a child/ren with ongoing high support needs.</w:t>
      </w:r>
      <w:r w:rsidRPr="00EC3F8A">
        <w:rPr>
          <w:rFonts w:asciiTheme="minorHAnsi" w:hAnsiTheme="minorHAnsi" w:cstheme="minorHAnsi"/>
          <w:szCs w:val="20"/>
        </w:rPr>
        <w:t xml:space="preserve"> </w:t>
      </w:r>
      <w:r w:rsidR="00F13497" w:rsidRPr="00EC3F8A">
        <w:rPr>
          <w:rFonts w:asciiTheme="minorHAnsi" w:hAnsiTheme="minorHAnsi" w:cstheme="minorHAnsi"/>
          <w:szCs w:val="20"/>
        </w:rPr>
        <w:t>The application must demonstrate that the service intends to use ISS for approved purposes only</w:t>
      </w:r>
      <w:r w:rsidR="001C020D">
        <w:rPr>
          <w:rFonts w:asciiTheme="minorHAnsi" w:hAnsiTheme="minorHAnsi" w:cstheme="minorHAnsi"/>
          <w:szCs w:val="20"/>
        </w:rPr>
        <w:t>, as outlined in the IPSP Guidelines 2013-2016</w:t>
      </w:r>
      <w:r w:rsidR="00F13497" w:rsidRPr="00EC3F8A">
        <w:rPr>
          <w:rFonts w:asciiTheme="minorHAnsi" w:hAnsiTheme="minorHAnsi" w:cstheme="minorHAnsi"/>
          <w:szCs w:val="20"/>
        </w:rPr>
        <w:t>.</w:t>
      </w:r>
    </w:p>
    <w:p w:rsidR="008B53E2" w:rsidRPr="004125BE" w:rsidRDefault="008B53E2" w:rsidP="008B53E2">
      <w:pPr>
        <w:pStyle w:val="StepsLvl2"/>
        <w:numPr>
          <w:ilvl w:val="0"/>
          <w:numId w:val="0"/>
        </w:numPr>
        <w:jc w:val="left"/>
        <w:rPr>
          <w:rFonts w:ascii="Arial" w:hAnsi="Arial"/>
          <w:szCs w:val="24"/>
        </w:rPr>
      </w:pPr>
      <w:r w:rsidRPr="004125BE">
        <w:rPr>
          <w:rFonts w:ascii="Arial" w:hAnsi="Arial"/>
          <w:szCs w:val="24"/>
        </w:rPr>
        <w:t xml:space="preserve">The NISSP may request further details for an ISS application to assist determining eligibility. </w:t>
      </w:r>
    </w:p>
    <w:p w:rsidR="008B53E2" w:rsidRPr="00897A1C" w:rsidRDefault="008B53E2" w:rsidP="008B53E2">
      <w:pPr>
        <w:pStyle w:val="Heading1Numbered"/>
        <w:numPr>
          <w:ilvl w:val="0"/>
          <w:numId w:val="3"/>
        </w:numPr>
        <w:spacing w:after="120"/>
        <w:ind w:left="357" w:hanging="357"/>
        <w:textAlignment w:val="center"/>
        <w:rPr>
          <w:rFonts w:ascii="Georgia" w:eastAsia="Times New Roman" w:hAnsi="Georgia" w:cs="Arial"/>
          <w:b w:val="0"/>
          <w:iCs w:val="0"/>
          <w:color w:val="005A70"/>
          <w:kern w:val="32"/>
          <w:sz w:val="32"/>
          <w:szCs w:val="32"/>
        </w:rPr>
      </w:pPr>
      <w:r w:rsidRPr="00897A1C">
        <w:rPr>
          <w:rFonts w:ascii="Georgia" w:eastAsia="Times New Roman" w:hAnsi="Georgia" w:cs="Arial"/>
          <w:b w:val="0"/>
          <w:iCs w:val="0"/>
          <w:color w:val="005A70"/>
          <w:kern w:val="32"/>
          <w:sz w:val="32"/>
          <w:szCs w:val="32"/>
        </w:rPr>
        <w:t>Attaching Documentary Evidence to an IS Portal Application</w:t>
      </w:r>
    </w:p>
    <w:p w:rsidR="008B53E2" w:rsidRPr="004125BE" w:rsidRDefault="008B53E2" w:rsidP="008B53E2">
      <w:pPr>
        <w:rPr>
          <w:rFonts w:cstheme="minorHAnsi"/>
        </w:rPr>
      </w:pPr>
      <w:r w:rsidRPr="004125BE">
        <w:rPr>
          <w:rFonts w:cstheme="minorHAnsi"/>
        </w:rPr>
        <w:t>For applications completed on the IS Portal, services must attach the required documentary evidence. Please refer to Inclusion Support Portal Task Card 3: Setting and Children Tab and Inclusion Support Portal Task Card 5: Attachments Tab for assistance.</w:t>
      </w:r>
    </w:p>
    <w:p w:rsidR="008B53E2" w:rsidRPr="00897A1C" w:rsidRDefault="008B53E2" w:rsidP="008B53E2">
      <w:pPr>
        <w:pStyle w:val="Heading1Numbered"/>
        <w:numPr>
          <w:ilvl w:val="0"/>
          <w:numId w:val="3"/>
        </w:numPr>
        <w:spacing w:after="120"/>
        <w:ind w:left="357" w:hanging="357"/>
        <w:textAlignment w:val="center"/>
        <w:rPr>
          <w:rFonts w:ascii="Georgia" w:eastAsia="Times New Roman" w:hAnsi="Georgia" w:cs="Arial"/>
          <w:b w:val="0"/>
          <w:iCs w:val="0"/>
          <w:color w:val="005A70"/>
          <w:kern w:val="32"/>
          <w:sz w:val="32"/>
          <w:szCs w:val="32"/>
        </w:rPr>
      </w:pPr>
      <w:r w:rsidRPr="00897A1C">
        <w:rPr>
          <w:rFonts w:ascii="Georgia" w:eastAsia="Times New Roman" w:hAnsi="Georgia" w:cs="Arial"/>
          <w:b w:val="0"/>
          <w:iCs w:val="0"/>
          <w:color w:val="005A70"/>
          <w:kern w:val="32"/>
          <w:sz w:val="32"/>
          <w:szCs w:val="32"/>
        </w:rPr>
        <w:t>Attaching Documentary Evidence to a Paper-based application</w:t>
      </w:r>
    </w:p>
    <w:p w:rsidR="008B53E2" w:rsidRDefault="008B53E2" w:rsidP="004125BE">
      <w:pPr>
        <w:rPr>
          <w:rFonts w:cstheme="minorHAnsi"/>
          <w:b/>
          <w:sz w:val="24"/>
        </w:rPr>
      </w:pPr>
      <w:r w:rsidRPr="004125BE">
        <w:rPr>
          <w:rFonts w:cstheme="minorHAnsi"/>
        </w:rPr>
        <w:t>Budget Based Funded (BBF) approved services apply for ISS by submitting paper-based applications. BBF services must attach the documentary evidence to their application when they provide it to the NISSP for assessment.</w:t>
      </w:r>
      <w:r w:rsidRPr="00116F16">
        <w:rPr>
          <w:rFonts w:ascii="Calibri" w:hAnsi="Calibri" w:cs="Calibri"/>
        </w:rPr>
        <w:t xml:space="preserve"> </w:t>
      </w:r>
      <w:r>
        <w:rPr>
          <w:rFonts w:cstheme="minorHAnsi"/>
          <w:b/>
          <w:sz w:val="24"/>
        </w:rPr>
        <w:br w:type="page"/>
      </w:r>
    </w:p>
    <w:p w:rsidR="008B53E2" w:rsidRPr="00897A1C" w:rsidRDefault="008B53E2" w:rsidP="00897A1C">
      <w:pPr>
        <w:pStyle w:val="Heading1Numbered"/>
        <w:spacing w:after="120"/>
        <w:textAlignment w:val="center"/>
        <w:rPr>
          <w:rFonts w:ascii="Georgia" w:eastAsia="Times New Roman" w:hAnsi="Georgia" w:cs="Arial"/>
          <w:b w:val="0"/>
          <w:iCs w:val="0"/>
          <w:color w:val="005A70"/>
          <w:kern w:val="32"/>
          <w:sz w:val="32"/>
          <w:szCs w:val="32"/>
        </w:rPr>
      </w:pPr>
      <w:r w:rsidRPr="00897A1C">
        <w:rPr>
          <w:rFonts w:ascii="Georgia" w:eastAsia="Times New Roman" w:hAnsi="Georgia" w:cs="Arial"/>
          <w:b w:val="0"/>
          <w:iCs w:val="0"/>
          <w:color w:val="005A70"/>
          <w:kern w:val="32"/>
          <w:sz w:val="32"/>
          <w:szCs w:val="32"/>
        </w:rPr>
        <w:lastRenderedPageBreak/>
        <w:t>Attachment A</w:t>
      </w:r>
    </w:p>
    <w:p w:rsidR="008B53E2" w:rsidRPr="00024290" w:rsidRDefault="008B53E2" w:rsidP="008B53E2">
      <w:pPr>
        <w:pStyle w:val="numberedpara"/>
        <w:numPr>
          <w:ilvl w:val="0"/>
          <w:numId w:val="0"/>
        </w:numPr>
        <w:tabs>
          <w:tab w:val="left" w:pos="720"/>
        </w:tabs>
        <w:rPr>
          <w:rFonts w:asciiTheme="minorHAnsi" w:hAnsiTheme="minorHAnsi" w:cstheme="minorHAnsi"/>
          <w:b/>
          <w:sz w:val="20"/>
          <w:szCs w:val="20"/>
        </w:rPr>
      </w:pPr>
      <w:r w:rsidRPr="00024290">
        <w:rPr>
          <w:rFonts w:asciiTheme="minorHAnsi" w:hAnsiTheme="minorHAnsi" w:cstheme="minorHAnsi"/>
          <w:b/>
          <w:sz w:val="20"/>
          <w:szCs w:val="20"/>
        </w:rPr>
        <w:t>Allied Health Professionals:</w:t>
      </w:r>
    </w:p>
    <w:p w:rsidR="008B53E2" w:rsidRPr="00116F16" w:rsidRDefault="008B53E2" w:rsidP="008B53E2">
      <w:pPr>
        <w:pStyle w:val="numberedpara"/>
        <w:numPr>
          <w:ilvl w:val="0"/>
          <w:numId w:val="0"/>
        </w:numPr>
        <w:tabs>
          <w:tab w:val="left" w:pos="720"/>
        </w:tabs>
      </w:pPr>
    </w:p>
    <w:p w:rsidR="008B53E2" w:rsidRPr="0036321B" w:rsidRDefault="008B53E2" w:rsidP="008B53E2">
      <w:pPr>
        <w:pStyle w:val="numberedpara"/>
        <w:numPr>
          <w:ilvl w:val="0"/>
          <w:numId w:val="0"/>
        </w:numPr>
        <w:tabs>
          <w:tab w:val="left" w:pos="720"/>
        </w:tabs>
        <w:rPr>
          <w:rFonts w:asciiTheme="minorHAnsi" w:hAnsiTheme="minorHAnsi" w:cstheme="minorHAnsi"/>
          <w:sz w:val="20"/>
          <w:szCs w:val="20"/>
        </w:rPr>
      </w:pPr>
      <w:r w:rsidRPr="0036321B">
        <w:rPr>
          <w:rFonts w:asciiTheme="minorHAnsi" w:hAnsiTheme="minorHAnsi" w:cstheme="minorHAnsi"/>
          <w:sz w:val="20"/>
          <w:szCs w:val="20"/>
        </w:rPr>
        <w:t>For the purposes of ISS, the range of Allied Health Professionals that could be accessed by parents and carers to provide documentary evidence may include, but is not limited to:</w:t>
      </w:r>
    </w:p>
    <w:p w:rsidR="008B53E2" w:rsidRPr="0036321B" w:rsidRDefault="008B53E2" w:rsidP="008B53E2">
      <w:pPr>
        <w:pStyle w:val="numberedpara"/>
        <w:numPr>
          <w:ilvl w:val="0"/>
          <w:numId w:val="0"/>
        </w:numPr>
        <w:tabs>
          <w:tab w:val="left" w:pos="720"/>
        </w:tabs>
        <w:rPr>
          <w:rFonts w:asciiTheme="minorHAnsi" w:hAnsiTheme="minorHAnsi" w:cstheme="minorHAnsi"/>
          <w:sz w:val="20"/>
          <w:szCs w:val="20"/>
        </w:rPr>
      </w:pPr>
    </w:p>
    <w:p w:rsidR="008B53E2" w:rsidRPr="0036321B" w:rsidRDefault="008B53E2" w:rsidP="008B53E2">
      <w:pPr>
        <w:pStyle w:val="numberedpara"/>
        <w:keepLines/>
        <w:numPr>
          <w:ilvl w:val="0"/>
          <w:numId w:val="8"/>
        </w:numPr>
        <w:tabs>
          <w:tab w:val="clear" w:pos="720"/>
          <w:tab w:val="num" w:pos="993"/>
        </w:tabs>
        <w:ind w:hanging="153"/>
        <w:rPr>
          <w:rFonts w:asciiTheme="minorHAnsi" w:hAnsiTheme="minorHAnsi" w:cstheme="minorHAnsi"/>
          <w:sz w:val="20"/>
          <w:szCs w:val="20"/>
        </w:rPr>
      </w:pPr>
      <w:r w:rsidRPr="0036321B">
        <w:rPr>
          <w:rFonts w:asciiTheme="minorHAnsi" w:hAnsiTheme="minorHAnsi" w:cstheme="minorHAnsi"/>
          <w:sz w:val="20"/>
          <w:szCs w:val="20"/>
        </w:rPr>
        <w:t xml:space="preserve">Aboriginal Health Workers </w:t>
      </w:r>
    </w:p>
    <w:p w:rsidR="008B53E2" w:rsidRPr="0036321B" w:rsidRDefault="008B53E2" w:rsidP="008B53E2">
      <w:pPr>
        <w:pStyle w:val="numberedpara"/>
        <w:keepLines/>
        <w:numPr>
          <w:ilvl w:val="0"/>
          <w:numId w:val="8"/>
        </w:numPr>
        <w:tabs>
          <w:tab w:val="clear" w:pos="720"/>
          <w:tab w:val="num" w:pos="993"/>
        </w:tabs>
        <w:ind w:hanging="153"/>
        <w:rPr>
          <w:rFonts w:asciiTheme="minorHAnsi" w:hAnsiTheme="minorHAnsi" w:cstheme="minorHAnsi"/>
          <w:sz w:val="20"/>
          <w:szCs w:val="20"/>
        </w:rPr>
      </w:pPr>
      <w:r w:rsidRPr="0036321B">
        <w:rPr>
          <w:rFonts w:asciiTheme="minorHAnsi" w:hAnsiTheme="minorHAnsi" w:cstheme="minorHAnsi"/>
          <w:sz w:val="20"/>
          <w:szCs w:val="20"/>
        </w:rPr>
        <w:t>Audiologists</w:t>
      </w:r>
    </w:p>
    <w:p w:rsidR="008B53E2" w:rsidRPr="0036321B" w:rsidRDefault="008B53E2" w:rsidP="008B53E2">
      <w:pPr>
        <w:pStyle w:val="numberedpara"/>
        <w:keepLines/>
        <w:numPr>
          <w:ilvl w:val="0"/>
          <w:numId w:val="8"/>
        </w:numPr>
        <w:tabs>
          <w:tab w:val="clear" w:pos="720"/>
          <w:tab w:val="num" w:pos="993"/>
        </w:tabs>
        <w:ind w:hanging="153"/>
        <w:rPr>
          <w:rFonts w:asciiTheme="minorHAnsi" w:hAnsiTheme="minorHAnsi" w:cstheme="minorHAnsi"/>
          <w:sz w:val="20"/>
          <w:szCs w:val="20"/>
        </w:rPr>
      </w:pPr>
      <w:r w:rsidRPr="0036321B">
        <w:rPr>
          <w:rFonts w:asciiTheme="minorHAnsi" w:hAnsiTheme="minorHAnsi" w:cstheme="minorHAnsi"/>
          <w:sz w:val="20"/>
          <w:szCs w:val="20"/>
        </w:rPr>
        <w:t xml:space="preserve">Occupational Therapists </w:t>
      </w:r>
    </w:p>
    <w:p w:rsidR="008B53E2" w:rsidRPr="0036321B" w:rsidRDefault="008B53E2" w:rsidP="008B53E2">
      <w:pPr>
        <w:pStyle w:val="numberedpara"/>
        <w:keepLines/>
        <w:numPr>
          <w:ilvl w:val="0"/>
          <w:numId w:val="8"/>
        </w:numPr>
        <w:tabs>
          <w:tab w:val="clear" w:pos="720"/>
          <w:tab w:val="num" w:pos="993"/>
        </w:tabs>
        <w:ind w:hanging="153"/>
        <w:rPr>
          <w:rFonts w:asciiTheme="minorHAnsi" w:hAnsiTheme="minorHAnsi" w:cstheme="minorHAnsi"/>
          <w:sz w:val="20"/>
          <w:szCs w:val="20"/>
        </w:rPr>
      </w:pPr>
      <w:r w:rsidRPr="0036321B">
        <w:rPr>
          <w:rFonts w:asciiTheme="minorHAnsi" w:hAnsiTheme="minorHAnsi" w:cstheme="minorHAnsi"/>
          <w:sz w:val="20"/>
          <w:szCs w:val="20"/>
        </w:rPr>
        <w:t xml:space="preserve">Physiotherapists </w:t>
      </w:r>
    </w:p>
    <w:p w:rsidR="008B53E2" w:rsidRPr="0036321B" w:rsidRDefault="008B53E2" w:rsidP="008B53E2">
      <w:pPr>
        <w:pStyle w:val="numberedpara"/>
        <w:keepLines/>
        <w:numPr>
          <w:ilvl w:val="0"/>
          <w:numId w:val="8"/>
        </w:numPr>
        <w:tabs>
          <w:tab w:val="clear" w:pos="720"/>
          <w:tab w:val="num" w:pos="993"/>
        </w:tabs>
        <w:ind w:hanging="153"/>
        <w:rPr>
          <w:rFonts w:asciiTheme="minorHAnsi" w:hAnsiTheme="minorHAnsi" w:cstheme="minorHAnsi"/>
          <w:sz w:val="20"/>
          <w:szCs w:val="20"/>
        </w:rPr>
      </w:pPr>
      <w:r w:rsidRPr="0036321B">
        <w:rPr>
          <w:rFonts w:asciiTheme="minorHAnsi" w:hAnsiTheme="minorHAnsi" w:cstheme="minorHAnsi"/>
          <w:sz w:val="20"/>
          <w:szCs w:val="20"/>
        </w:rPr>
        <w:t>Psychologists</w:t>
      </w:r>
    </w:p>
    <w:p w:rsidR="008B53E2" w:rsidRPr="0036321B" w:rsidRDefault="008B53E2" w:rsidP="008B53E2">
      <w:pPr>
        <w:pStyle w:val="numberedpara"/>
        <w:keepLines/>
        <w:numPr>
          <w:ilvl w:val="0"/>
          <w:numId w:val="8"/>
        </w:numPr>
        <w:tabs>
          <w:tab w:val="clear" w:pos="720"/>
          <w:tab w:val="num" w:pos="993"/>
        </w:tabs>
        <w:ind w:hanging="153"/>
        <w:rPr>
          <w:rFonts w:asciiTheme="minorHAnsi" w:hAnsiTheme="minorHAnsi" w:cstheme="minorHAnsi"/>
          <w:sz w:val="20"/>
          <w:szCs w:val="20"/>
        </w:rPr>
      </w:pPr>
      <w:r w:rsidRPr="0036321B">
        <w:rPr>
          <w:rFonts w:asciiTheme="minorHAnsi" w:hAnsiTheme="minorHAnsi" w:cstheme="minorHAnsi"/>
          <w:sz w:val="20"/>
          <w:szCs w:val="20"/>
        </w:rPr>
        <w:t>Social Worker</w:t>
      </w:r>
    </w:p>
    <w:p w:rsidR="008B53E2" w:rsidRPr="0036321B" w:rsidRDefault="008B53E2" w:rsidP="008B53E2">
      <w:pPr>
        <w:pStyle w:val="numberedpara"/>
        <w:keepLines/>
        <w:numPr>
          <w:ilvl w:val="0"/>
          <w:numId w:val="8"/>
        </w:numPr>
        <w:tabs>
          <w:tab w:val="clear" w:pos="720"/>
          <w:tab w:val="num" w:pos="993"/>
        </w:tabs>
        <w:ind w:hanging="153"/>
        <w:rPr>
          <w:rFonts w:asciiTheme="minorHAnsi" w:hAnsiTheme="minorHAnsi" w:cstheme="minorHAnsi"/>
          <w:sz w:val="20"/>
          <w:szCs w:val="20"/>
        </w:rPr>
      </w:pPr>
      <w:r w:rsidRPr="0036321B">
        <w:rPr>
          <w:rFonts w:asciiTheme="minorHAnsi" w:hAnsiTheme="minorHAnsi" w:cstheme="minorHAnsi"/>
          <w:sz w:val="20"/>
          <w:szCs w:val="20"/>
        </w:rPr>
        <w:t>Speech Pathologists</w:t>
      </w:r>
    </w:p>
    <w:p w:rsidR="008B53E2" w:rsidRPr="0036321B" w:rsidRDefault="008B53E2" w:rsidP="008B53E2">
      <w:pPr>
        <w:pStyle w:val="numberedpara"/>
        <w:numPr>
          <w:ilvl w:val="0"/>
          <w:numId w:val="0"/>
        </w:numPr>
        <w:tabs>
          <w:tab w:val="left" w:pos="720"/>
        </w:tabs>
        <w:rPr>
          <w:rFonts w:asciiTheme="minorHAnsi" w:hAnsiTheme="minorHAnsi" w:cstheme="minorHAnsi"/>
          <w:b/>
          <w:sz w:val="20"/>
          <w:szCs w:val="20"/>
        </w:rPr>
      </w:pPr>
    </w:p>
    <w:p w:rsidR="008B53E2" w:rsidRPr="0036321B" w:rsidRDefault="008B53E2" w:rsidP="008B53E2">
      <w:pPr>
        <w:pStyle w:val="numberedpara"/>
        <w:numPr>
          <w:ilvl w:val="0"/>
          <w:numId w:val="0"/>
        </w:numPr>
        <w:tabs>
          <w:tab w:val="left" w:pos="720"/>
        </w:tabs>
        <w:rPr>
          <w:rFonts w:asciiTheme="minorHAnsi" w:hAnsiTheme="minorHAnsi" w:cstheme="minorHAnsi"/>
          <w:sz w:val="20"/>
          <w:szCs w:val="20"/>
        </w:rPr>
      </w:pPr>
      <w:r w:rsidRPr="0036321B">
        <w:rPr>
          <w:rFonts w:asciiTheme="minorHAnsi" w:hAnsiTheme="minorHAnsi" w:cstheme="minorHAnsi"/>
          <w:sz w:val="20"/>
          <w:szCs w:val="20"/>
        </w:rPr>
        <w:t>Each of the professions described in the list above have minimum standards required to be able to claim for services under Medicare, and must meet specific eligibility requirements as detailed below.</w:t>
      </w:r>
    </w:p>
    <w:p w:rsidR="008B53E2" w:rsidRPr="0036321B" w:rsidRDefault="008B53E2" w:rsidP="008B53E2">
      <w:pPr>
        <w:pStyle w:val="numberedpara"/>
        <w:numPr>
          <w:ilvl w:val="0"/>
          <w:numId w:val="0"/>
        </w:numPr>
        <w:tabs>
          <w:tab w:val="left" w:pos="720"/>
        </w:tabs>
        <w:rPr>
          <w:rFonts w:asciiTheme="minorHAnsi" w:hAnsiTheme="minorHAnsi" w:cstheme="minorHAnsi"/>
          <w:sz w:val="20"/>
          <w:szCs w:val="20"/>
        </w:rPr>
      </w:pPr>
    </w:p>
    <w:p w:rsidR="008B53E2" w:rsidRPr="0036321B" w:rsidRDefault="008B53E2" w:rsidP="008B53E2">
      <w:pPr>
        <w:pStyle w:val="numberedpara"/>
        <w:numPr>
          <w:ilvl w:val="0"/>
          <w:numId w:val="0"/>
        </w:numPr>
        <w:tabs>
          <w:tab w:val="left" w:pos="720"/>
        </w:tabs>
        <w:rPr>
          <w:rFonts w:asciiTheme="minorHAnsi" w:eastAsiaTheme="minorEastAsia" w:hAnsiTheme="minorHAnsi" w:cstheme="minorHAnsi"/>
          <w:sz w:val="20"/>
          <w:szCs w:val="20"/>
          <w:lang w:eastAsia="en-US"/>
        </w:rPr>
      </w:pPr>
      <w:r w:rsidRPr="0036321B">
        <w:rPr>
          <w:rFonts w:asciiTheme="minorHAnsi" w:eastAsiaTheme="minorEastAsia" w:hAnsiTheme="minorHAnsi" w:cstheme="minorHAnsi"/>
          <w:b/>
          <w:sz w:val="20"/>
          <w:szCs w:val="20"/>
          <w:lang w:eastAsia="en-US"/>
        </w:rPr>
        <w:t xml:space="preserve">Aboriginal Health Workers </w:t>
      </w:r>
      <w:r w:rsidRPr="0036321B">
        <w:rPr>
          <w:rFonts w:asciiTheme="minorHAnsi" w:eastAsiaTheme="minorEastAsia" w:hAnsiTheme="minorHAnsi" w:cstheme="minorHAnsi"/>
          <w:sz w:val="20"/>
          <w:szCs w:val="20"/>
          <w:lang w:eastAsia="en-US"/>
        </w:rPr>
        <w:t>(consistent with Medicare requirements) that provide services practising in the Northern Territory (NT) must be registered with the Aboriginal Health Workers Board of the NT; in other States and the Australian Capital Territory they must have been awarded a Certificate Level III (or higher) in Aboriginal and Torres Strait Islander Health from a Registered Training Organisation that meets training standards set by the Australian National Training Authority’s Australian Quality Training Framework.</w:t>
      </w:r>
    </w:p>
    <w:p w:rsidR="008B53E2" w:rsidRPr="0036321B" w:rsidRDefault="008B53E2" w:rsidP="008B53E2">
      <w:pPr>
        <w:autoSpaceDE w:val="0"/>
        <w:autoSpaceDN w:val="0"/>
        <w:adjustRightInd w:val="0"/>
        <w:rPr>
          <w:rFonts w:asciiTheme="minorHAnsi" w:hAnsiTheme="minorHAnsi" w:cstheme="minorHAnsi"/>
          <w:szCs w:val="20"/>
        </w:rPr>
      </w:pPr>
      <w:r w:rsidRPr="0036321B">
        <w:rPr>
          <w:rFonts w:asciiTheme="minorHAnsi" w:hAnsiTheme="minorHAnsi" w:cstheme="minorHAnsi"/>
          <w:b/>
          <w:bCs/>
          <w:szCs w:val="20"/>
        </w:rPr>
        <w:t xml:space="preserve">Audiologists </w:t>
      </w:r>
      <w:r w:rsidRPr="0036321B">
        <w:rPr>
          <w:rFonts w:asciiTheme="minorHAnsi" w:hAnsiTheme="minorHAnsi" w:cstheme="minorHAnsi"/>
          <w:szCs w:val="20"/>
        </w:rPr>
        <w:t>must be either a ‘Full Member’ of the Audiological Society of Australia Inc (ASA), who holds a ‘Certificate of Clinical Practice’ issued by the ASA; or an ‘Ordinary Member – Audiologist’ or ‘Fellow Audiologist’ of the Australian College of Audiology (ACAud).</w:t>
      </w:r>
    </w:p>
    <w:p w:rsidR="008B53E2" w:rsidRPr="0036321B" w:rsidRDefault="008B53E2" w:rsidP="008B53E2">
      <w:pPr>
        <w:autoSpaceDE w:val="0"/>
        <w:autoSpaceDN w:val="0"/>
        <w:adjustRightInd w:val="0"/>
        <w:rPr>
          <w:rFonts w:asciiTheme="minorHAnsi" w:hAnsiTheme="minorHAnsi" w:cstheme="minorHAnsi"/>
          <w:szCs w:val="20"/>
        </w:rPr>
      </w:pPr>
      <w:r w:rsidRPr="0036321B">
        <w:rPr>
          <w:rFonts w:asciiTheme="minorHAnsi" w:hAnsiTheme="minorHAnsi" w:cstheme="minorHAnsi"/>
          <w:b/>
          <w:bCs/>
          <w:szCs w:val="20"/>
        </w:rPr>
        <w:t xml:space="preserve">Occupational Therapists </w:t>
      </w:r>
      <w:r w:rsidRPr="0036321B">
        <w:rPr>
          <w:rFonts w:asciiTheme="minorHAnsi" w:hAnsiTheme="minorHAnsi" w:cstheme="minorHAnsi"/>
          <w:szCs w:val="20"/>
        </w:rPr>
        <w:t>in Queensland, Western Australia, South Australia and the Northern Territory must be registered with the Occupational Therapists Board in the State or Territory in which they are practising; in other States and the Australian Capital Territory, they must be a ‘Full-time Member’ or ‘Part-time Member’ of OT AUSTRALIA, the national body of the Australian Association of Occupational Therapists.</w:t>
      </w:r>
    </w:p>
    <w:p w:rsidR="008B53E2" w:rsidRPr="0036321B" w:rsidRDefault="008B53E2" w:rsidP="008B53E2">
      <w:pPr>
        <w:autoSpaceDE w:val="0"/>
        <w:autoSpaceDN w:val="0"/>
        <w:adjustRightInd w:val="0"/>
        <w:rPr>
          <w:rFonts w:asciiTheme="minorHAnsi" w:hAnsiTheme="minorHAnsi" w:cstheme="minorHAnsi"/>
          <w:szCs w:val="20"/>
        </w:rPr>
      </w:pPr>
      <w:r w:rsidRPr="0036321B">
        <w:rPr>
          <w:rFonts w:asciiTheme="minorHAnsi" w:hAnsiTheme="minorHAnsi" w:cstheme="minorHAnsi"/>
          <w:b/>
          <w:bCs/>
          <w:szCs w:val="20"/>
        </w:rPr>
        <w:t xml:space="preserve">Physiotherapists </w:t>
      </w:r>
      <w:r w:rsidRPr="0036321B">
        <w:rPr>
          <w:rFonts w:asciiTheme="minorHAnsi" w:hAnsiTheme="minorHAnsi" w:cstheme="minorHAnsi"/>
          <w:szCs w:val="20"/>
        </w:rPr>
        <w:t>must be registered with the Physiotherapists Registration Board in the State or Territory in which they are practising.</w:t>
      </w:r>
    </w:p>
    <w:p w:rsidR="008B53E2" w:rsidRPr="0036321B" w:rsidRDefault="008B53E2" w:rsidP="008B53E2">
      <w:pPr>
        <w:autoSpaceDE w:val="0"/>
        <w:autoSpaceDN w:val="0"/>
        <w:adjustRightInd w:val="0"/>
        <w:rPr>
          <w:rFonts w:asciiTheme="minorHAnsi" w:hAnsiTheme="minorHAnsi" w:cstheme="minorHAnsi"/>
          <w:szCs w:val="20"/>
        </w:rPr>
      </w:pPr>
      <w:r w:rsidRPr="0036321B">
        <w:rPr>
          <w:rFonts w:asciiTheme="minorHAnsi" w:hAnsiTheme="minorHAnsi" w:cstheme="minorHAnsi"/>
          <w:b/>
          <w:bCs/>
          <w:szCs w:val="20"/>
        </w:rPr>
        <w:t xml:space="preserve">Psychologists </w:t>
      </w:r>
      <w:r w:rsidRPr="0036321B">
        <w:rPr>
          <w:rFonts w:asciiTheme="minorHAnsi" w:hAnsiTheme="minorHAnsi" w:cstheme="minorHAnsi"/>
          <w:szCs w:val="20"/>
        </w:rPr>
        <w:t>must be registered, without limitation, with the Psychologists Registration Board in the State or Territory in which they are practising.</w:t>
      </w:r>
    </w:p>
    <w:p w:rsidR="008B53E2" w:rsidRPr="0036321B" w:rsidRDefault="008B53E2" w:rsidP="008B53E2">
      <w:pPr>
        <w:autoSpaceDE w:val="0"/>
        <w:autoSpaceDN w:val="0"/>
        <w:adjustRightInd w:val="0"/>
        <w:rPr>
          <w:rFonts w:asciiTheme="minorHAnsi" w:hAnsiTheme="minorHAnsi" w:cstheme="minorHAnsi"/>
          <w:szCs w:val="20"/>
        </w:rPr>
      </w:pPr>
      <w:r w:rsidRPr="0036321B">
        <w:rPr>
          <w:rFonts w:asciiTheme="minorHAnsi" w:hAnsiTheme="minorHAnsi" w:cstheme="minorHAnsi"/>
          <w:szCs w:val="20"/>
        </w:rPr>
        <w:t xml:space="preserve">A </w:t>
      </w:r>
      <w:r w:rsidRPr="0036321B">
        <w:rPr>
          <w:rFonts w:asciiTheme="minorHAnsi" w:hAnsiTheme="minorHAnsi" w:cstheme="minorHAnsi"/>
          <w:b/>
          <w:bCs/>
          <w:szCs w:val="20"/>
        </w:rPr>
        <w:t xml:space="preserve">Social Worker </w:t>
      </w:r>
      <w:r w:rsidRPr="0036321B">
        <w:rPr>
          <w:rFonts w:asciiTheme="minorHAnsi" w:hAnsiTheme="minorHAnsi" w:cstheme="minorHAnsi"/>
          <w:szCs w:val="20"/>
        </w:rPr>
        <w:t>must be a ‘Member’ of the Australian Association of Social Workers (AASW) and be certified by AASW as meeting the standards for mental health set out in AASW’s ‘Standards for Mental Health Social Workers 1999’.</w:t>
      </w:r>
    </w:p>
    <w:p w:rsidR="008B53E2" w:rsidRPr="0036321B" w:rsidRDefault="008B53E2" w:rsidP="008B53E2">
      <w:pPr>
        <w:autoSpaceDE w:val="0"/>
        <w:autoSpaceDN w:val="0"/>
        <w:adjustRightInd w:val="0"/>
        <w:rPr>
          <w:rFonts w:asciiTheme="minorHAnsi" w:hAnsiTheme="minorHAnsi" w:cstheme="minorHAnsi"/>
          <w:szCs w:val="20"/>
        </w:rPr>
      </w:pPr>
      <w:r w:rsidRPr="0036321B">
        <w:rPr>
          <w:rFonts w:asciiTheme="minorHAnsi" w:hAnsiTheme="minorHAnsi" w:cstheme="minorHAnsi"/>
          <w:b/>
          <w:bCs/>
          <w:szCs w:val="20"/>
        </w:rPr>
        <w:t xml:space="preserve">Speech Pathologists </w:t>
      </w:r>
      <w:r w:rsidR="00C3475D">
        <w:rPr>
          <w:rFonts w:asciiTheme="minorHAnsi" w:hAnsiTheme="minorHAnsi" w:cstheme="minorHAnsi"/>
          <w:szCs w:val="20"/>
        </w:rPr>
        <w:t>across Australia</w:t>
      </w:r>
      <w:r w:rsidRPr="0036321B">
        <w:rPr>
          <w:rFonts w:asciiTheme="minorHAnsi" w:hAnsiTheme="minorHAnsi" w:cstheme="minorHAnsi"/>
          <w:szCs w:val="20"/>
        </w:rPr>
        <w:t xml:space="preserve"> must be</w:t>
      </w:r>
      <w:r w:rsidR="00A81FB7">
        <w:rPr>
          <w:rFonts w:asciiTheme="minorHAnsi" w:hAnsiTheme="minorHAnsi" w:cstheme="minorHAnsi"/>
          <w:szCs w:val="20"/>
        </w:rPr>
        <w:t xml:space="preserve"> eligible for or </w:t>
      </w:r>
      <w:r w:rsidRPr="0036321B">
        <w:rPr>
          <w:rFonts w:asciiTheme="minorHAnsi" w:hAnsiTheme="minorHAnsi" w:cstheme="minorHAnsi"/>
          <w:szCs w:val="20"/>
        </w:rPr>
        <w:t>a ‘Practicing Member’ of Speech Pathology Australia.</w:t>
      </w:r>
    </w:p>
    <w:p w:rsidR="008B53E2" w:rsidRDefault="008B53E2" w:rsidP="008B53E2">
      <w:pPr>
        <w:rPr>
          <w:rFonts w:ascii="Calibri" w:hAnsi="Calibri" w:cs="TimesNewRoman"/>
          <w:lang w:eastAsia="en-US"/>
        </w:rPr>
      </w:pPr>
      <w:r>
        <w:rPr>
          <w:rFonts w:cs="TimesNewRoman"/>
          <w:lang w:eastAsia="en-US"/>
        </w:rPr>
        <w:br w:type="page"/>
      </w:r>
    </w:p>
    <w:p w:rsidR="008B53E2" w:rsidRPr="00897A1C" w:rsidRDefault="008B53E2" w:rsidP="00897A1C">
      <w:pPr>
        <w:pStyle w:val="Heading1Numbered"/>
        <w:spacing w:after="120"/>
        <w:textAlignment w:val="center"/>
        <w:rPr>
          <w:rFonts w:ascii="Georgia" w:eastAsia="Times New Roman" w:hAnsi="Georgia" w:cs="Arial"/>
          <w:b w:val="0"/>
          <w:iCs w:val="0"/>
          <w:color w:val="005A70"/>
          <w:kern w:val="32"/>
          <w:sz w:val="32"/>
          <w:szCs w:val="32"/>
        </w:rPr>
      </w:pPr>
      <w:r w:rsidRPr="00897A1C">
        <w:rPr>
          <w:rFonts w:ascii="Georgia" w:eastAsia="Times New Roman" w:hAnsi="Georgia" w:cs="Arial"/>
          <w:b w:val="0"/>
          <w:iCs w:val="0"/>
          <w:color w:val="005A70"/>
          <w:kern w:val="32"/>
          <w:sz w:val="32"/>
          <w:szCs w:val="32"/>
        </w:rPr>
        <w:t>Attachment B</w:t>
      </w:r>
    </w:p>
    <w:p w:rsidR="008B53E2" w:rsidRDefault="008B53E2" w:rsidP="008B53E2">
      <w:pPr>
        <w:jc w:val="center"/>
        <w:rPr>
          <w:rFonts w:ascii="Calibri" w:hAnsi="Calibri" w:cs="Calibri"/>
          <w:b/>
        </w:rPr>
      </w:pPr>
    </w:p>
    <w:p w:rsidR="008B53E2" w:rsidRPr="00D54153" w:rsidRDefault="008B53E2" w:rsidP="00D54153">
      <w:pPr>
        <w:rPr>
          <w:rFonts w:asciiTheme="minorHAnsi" w:eastAsiaTheme="minorHAnsi" w:hAnsiTheme="minorHAnsi" w:cstheme="minorHAnsi"/>
          <w:b/>
          <w:szCs w:val="20"/>
        </w:rPr>
      </w:pPr>
      <w:r w:rsidRPr="00D54153">
        <w:rPr>
          <w:rFonts w:asciiTheme="minorHAnsi" w:eastAsiaTheme="minorHAnsi" w:hAnsiTheme="minorHAnsi" w:cstheme="minorHAnsi"/>
          <w:b/>
          <w:szCs w:val="20"/>
        </w:rPr>
        <w:t>Documentary Evidence – Determining if a disability is considered permanent</w:t>
      </w:r>
    </w:p>
    <w:p w:rsidR="008B53E2" w:rsidRPr="00FD5A60" w:rsidRDefault="008B53E2" w:rsidP="008B53E2">
      <w:pPr>
        <w:rPr>
          <w:rFonts w:asciiTheme="minorHAnsi" w:hAnsiTheme="minorHAnsi" w:cstheme="minorHAnsi"/>
          <w:szCs w:val="20"/>
        </w:rPr>
      </w:pPr>
      <w:r w:rsidRPr="00FD5A60">
        <w:rPr>
          <w:rFonts w:asciiTheme="minorHAnsi" w:hAnsiTheme="minorHAnsi" w:cstheme="minorHAnsi"/>
          <w:szCs w:val="20"/>
        </w:rPr>
        <w:t xml:space="preserve">The lists below have been developed using the ‘Guide to Social Security Law, 1.1.R.90 Recognised disability CA (child)’ available </w:t>
      </w:r>
      <w:r w:rsidR="001D2A29">
        <w:rPr>
          <w:rFonts w:asciiTheme="minorHAnsi" w:hAnsiTheme="minorHAnsi" w:cstheme="minorHAnsi"/>
          <w:szCs w:val="20"/>
        </w:rPr>
        <w:t xml:space="preserve">on the </w:t>
      </w:r>
      <w:hyperlink r:id="rId11" w:history="1">
        <w:r w:rsidR="001D2A29" w:rsidRPr="001D2A29">
          <w:rPr>
            <w:rStyle w:val="Hyperlink"/>
            <w:rFonts w:asciiTheme="minorHAnsi" w:hAnsiTheme="minorHAnsi" w:cstheme="minorHAnsi"/>
            <w:b w:val="0"/>
            <w:color w:val="3333FF"/>
            <w:szCs w:val="20"/>
            <w:u w:val="single"/>
          </w:rPr>
          <w:t>Department’s website</w:t>
        </w:r>
      </w:hyperlink>
      <w:r w:rsidR="007572CA">
        <w:rPr>
          <w:rStyle w:val="Hyperlink"/>
          <w:rFonts w:asciiTheme="minorHAnsi" w:hAnsiTheme="minorHAnsi" w:cstheme="minorHAnsi"/>
          <w:b w:val="0"/>
          <w:szCs w:val="20"/>
        </w:rPr>
        <w:t xml:space="preserve"> (</w:t>
      </w:r>
      <w:r w:rsidR="007572CA" w:rsidRPr="007572CA">
        <w:rPr>
          <w:rStyle w:val="Hyperlink"/>
          <w:rFonts w:asciiTheme="minorHAnsi" w:hAnsiTheme="minorHAnsi" w:cstheme="minorHAnsi"/>
          <w:b w:val="0"/>
          <w:szCs w:val="20"/>
        </w:rPr>
        <w:t>http://guides.dss.gov.au/guide-social-security-law/1/1/r/90</w:t>
      </w:r>
      <w:r w:rsidR="007572CA">
        <w:rPr>
          <w:rStyle w:val="Hyperlink"/>
          <w:rFonts w:asciiTheme="minorHAnsi" w:hAnsiTheme="minorHAnsi" w:cstheme="minorHAnsi"/>
          <w:b w:val="0"/>
          <w:szCs w:val="20"/>
        </w:rPr>
        <w:t>)</w:t>
      </w:r>
      <w:r w:rsidR="001D2A29">
        <w:rPr>
          <w:rFonts w:asciiTheme="minorHAnsi" w:hAnsiTheme="minorHAnsi" w:cstheme="minorHAnsi"/>
          <w:szCs w:val="20"/>
        </w:rPr>
        <w:t xml:space="preserve">. </w:t>
      </w:r>
      <w:r w:rsidRPr="00FD5A60">
        <w:rPr>
          <w:rFonts w:asciiTheme="minorHAnsi" w:hAnsiTheme="minorHAnsi" w:cstheme="minorHAnsi"/>
          <w:szCs w:val="20"/>
        </w:rPr>
        <w:t>The lists are not exhaustive and may be amended from time to time. For the purposes of ISS, the Department refers to this guide for permanent disability.</w:t>
      </w:r>
    </w:p>
    <w:p w:rsidR="008B53E2" w:rsidRPr="00FD5A60" w:rsidRDefault="008B53E2" w:rsidP="008B53E2">
      <w:pPr>
        <w:rPr>
          <w:rFonts w:asciiTheme="minorHAnsi" w:hAnsiTheme="minorHAnsi" w:cstheme="minorHAnsi"/>
          <w:szCs w:val="20"/>
        </w:rPr>
      </w:pPr>
      <w:r w:rsidRPr="00FD5A60">
        <w:rPr>
          <w:rFonts w:asciiTheme="minorHAnsi" w:hAnsiTheme="minorHAnsi" w:cstheme="minorHAnsi"/>
          <w:b/>
          <w:szCs w:val="20"/>
        </w:rPr>
        <w:t>Please note,</w:t>
      </w:r>
      <w:r w:rsidRPr="00FD5A60">
        <w:rPr>
          <w:rFonts w:asciiTheme="minorHAnsi" w:hAnsiTheme="minorHAnsi" w:cstheme="minorHAnsi"/>
          <w:szCs w:val="20"/>
        </w:rPr>
        <w:t xml:space="preserve"> inclusion on these lists does not mean that a service including a child diagnosed with that disability or medical condition is eligible for ISS. The NISSP must assess all applications in accordance with the IPSP Guidelines. </w:t>
      </w:r>
    </w:p>
    <w:p w:rsidR="008B53E2" w:rsidRPr="00E03ECD" w:rsidRDefault="008B53E2" w:rsidP="00E03ECD">
      <w:pPr>
        <w:rPr>
          <w:rFonts w:eastAsiaTheme="minorHAnsi"/>
          <w:b/>
        </w:rPr>
      </w:pPr>
      <w:r w:rsidRPr="00E03ECD">
        <w:rPr>
          <w:rFonts w:eastAsiaTheme="minorHAnsi"/>
          <w:b/>
        </w:rPr>
        <w:t>The following disabilities do not have to be tested against the Disability Care Load Assessment (DCLA):</w:t>
      </w:r>
    </w:p>
    <w:p w:rsidR="008B53E2" w:rsidRPr="00E03ECD" w:rsidRDefault="008B53E2" w:rsidP="00E03ECD">
      <w:pPr>
        <w:pStyle w:val="ListParagraph"/>
        <w:numPr>
          <w:ilvl w:val="0"/>
          <w:numId w:val="9"/>
        </w:numPr>
        <w:rPr>
          <w:sz w:val="20"/>
          <w:szCs w:val="20"/>
        </w:rPr>
      </w:pPr>
      <w:r w:rsidRPr="00E03ECD">
        <w:rPr>
          <w:sz w:val="20"/>
          <w:szCs w:val="20"/>
        </w:rPr>
        <w:t>Moderate to severe multiple disability or moderate to severe physical disability (including neurological disability) where the child is, or is likely to be, dependent for mobility indoors and outdoors from 3 years of age onwards.</w:t>
      </w:r>
    </w:p>
    <w:p w:rsidR="008B53E2" w:rsidRPr="00E03ECD" w:rsidRDefault="008B53E2" w:rsidP="00E03ECD">
      <w:pPr>
        <w:pStyle w:val="ListParagraph"/>
        <w:numPr>
          <w:ilvl w:val="0"/>
          <w:numId w:val="9"/>
        </w:numPr>
        <w:rPr>
          <w:sz w:val="20"/>
          <w:szCs w:val="20"/>
        </w:rPr>
      </w:pPr>
      <w:r w:rsidRPr="00E03ECD">
        <w:rPr>
          <w:sz w:val="20"/>
          <w:szCs w:val="20"/>
        </w:rPr>
        <w:t>Severe multiple or physical disability (including uncontrolled seizures), requiring constant care and attention where the child is less than 6 months of age.</w:t>
      </w:r>
    </w:p>
    <w:p w:rsidR="008B53E2" w:rsidRPr="002B7FBA" w:rsidRDefault="008B53E2" w:rsidP="002B7FBA">
      <w:pPr>
        <w:pStyle w:val="ListParagraph"/>
        <w:numPr>
          <w:ilvl w:val="0"/>
          <w:numId w:val="9"/>
        </w:numPr>
        <w:rPr>
          <w:sz w:val="20"/>
          <w:szCs w:val="20"/>
        </w:rPr>
      </w:pPr>
      <w:r w:rsidRPr="002B7FBA">
        <w:rPr>
          <w:sz w:val="20"/>
          <w:szCs w:val="20"/>
        </w:rPr>
        <w:t>Moderate, severe or profound intellectual disability where IQ is less than 55. This includes a child with a known syndrome.</w:t>
      </w:r>
    </w:p>
    <w:p w:rsidR="008B53E2" w:rsidRPr="002B7FBA" w:rsidRDefault="008B53E2" w:rsidP="002B7FBA">
      <w:pPr>
        <w:pStyle w:val="ListParagraph"/>
        <w:numPr>
          <w:ilvl w:val="0"/>
          <w:numId w:val="9"/>
        </w:numPr>
        <w:rPr>
          <w:sz w:val="20"/>
          <w:szCs w:val="20"/>
        </w:rPr>
      </w:pPr>
      <w:r w:rsidRPr="002B7FBA">
        <w:rPr>
          <w:sz w:val="20"/>
          <w:szCs w:val="20"/>
        </w:rPr>
        <w:t>Autism Spectrum Disorder when diagnosed by a psychiatrist, developmental paediatrician, or a registered psychologist experienced in the assessment of Pervasive Developmental Disorders and using the fifth edition of the Diagnositic and Statistical Manual of</w:t>
      </w:r>
      <w:r w:rsidR="002B7FBA">
        <w:rPr>
          <w:sz w:val="20"/>
          <w:szCs w:val="20"/>
        </w:rPr>
        <w:t xml:space="preserve"> Mental Disorders (DSM-5).</w:t>
      </w:r>
    </w:p>
    <w:p w:rsidR="008B53E2" w:rsidRPr="002B7FBA" w:rsidRDefault="008B53E2" w:rsidP="002B7FBA">
      <w:pPr>
        <w:pStyle w:val="ListParagraph"/>
        <w:numPr>
          <w:ilvl w:val="0"/>
          <w:numId w:val="9"/>
        </w:numPr>
        <w:rPr>
          <w:sz w:val="20"/>
          <w:szCs w:val="20"/>
        </w:rPr>
      </w:pPr>
      <w:r w:rsidRPr="002B7FBA">
        <w:rPr>
          <w:sz w:val="20"/>
          <w:szCs w:val="20"/>
        </w:rPr>
        <w:t>Autistic Disorder or Asperger's Disorder (not including Pervasive Developmental Disorder not otherwise specified) when diagnosed by a psychiatrist, developmental paediatrician, or a registered psychologist experienced in the assessment of Pervasive Development Disorders and using the fourth edition of the Diagnostic and Statistical Manu</w:t>
      </w:r>
      <w:r w:rsidR="002B7FBA">
        <w:rPr>
          <w:sz w:val="20"/>
          <w:szCs w:val="20"/>
        </w:rPr>
        <w:t>al of Mental Disorders (DSM-IV).</w:t>
      </w:r>
    </w:p>
    <w:p w:rsidR="008B53E2" w:rsidRPr="002B7FBA" w:rsidRDefault="008B53E2" w:rsidP="002B7FBA">
      <w:pPr>
        <w:pStyle w:val="ListParagraph"/>
        <w:numPr>
          <w:ilvl w:val="0"/>
          <w:numId w:val="9"/>
        </w:numPr>
        <w:rPr>
          <w:sz w:val="20"/>
          <w:szCs w:val="20"/>
        </w:rPr>
      </w:pPr>
      <w:r w:rsidRPr="002B7FBA">
        <w:rPr>
          <w:sz w:val="20"/>
          <w:szCs w:val="20"/>
        </w:rPr>
        <w:t>Childhood Disintegrative Disorder diagnosed</w:t>
      </w:r>
      <w:r w:rsidR="002B7FBA">
        <w:rPr>
          <w:sz w:val="20"/>
          <w:szCs w:val="20"/>
        </w:rPr>
        <w:t xml:space="preserve"> by a psychiatrist using DSM-IV.</w:t>
      </w:r>
    </w:p>
    <w:p w:rsidR="008B53E2" w:rsidRPr="002B7FBA" w:rsidRDefault="008B53E2" w:rsidP="002B7FBA">
      <w:pPr>
        <w:pStyle w:val="ListParagraph"/>
        <w:numPr>
          <w:ilvl w:val="0"/>
          <w:numId w:val="9"/>
        </w:numPr>
        <w:rPr>
          <w:sz w:val="20"/>
          <w:szCs w:val="20"/>
        </w:rPr>
      </w:pPr>
      <w:r w:rsidRPr="002B7FBA">
        <w:rPr>
          <w:sz w:val="20"/>
          <w:szCs w:val="20"/>
        </w:rPr>
        <w:t>Major depression of childhood diagnosed by a psy</w:t>
      </w:r>
      <w:r w:rsidR="002B7FBA">
        <w:rPr>
          <w:sz w:val="20"/>
          <w:szCs w:val="20"/>
        </w:rPr>
        <w:t>chiatrist using DSM-IV or DSM-5.</w:t>
      </w:r>
    </w:p>
    <w:p w:rsidR="008B53E2" w:rsidRPr="002B7FBA" w:rsidRDefault="008B53E2" w:rsidP="002B7FBA">
      <w:pPr>
        <w:pStyle w:val="ListParagraph"/>
        <w:numPr>
          <w:ilvl w:val="0"/>
          <w:numId w:val="9"/>
        </w:numPr>
        <w:rPr>
          <w:sz w:val="20"/>
          <w:szCs w:val="20"/>
        </w:rPr>
      </w:pPr>
      <w:r w:rsidRPr="002B7FBA">
        <w:rPr>
          <w:sz w:val="20"/>
          <w:szCs w:val="20"/>
        </w:rPr>
        <w:t>Childhood schizophrenia diagnosed by a psychiatrist using DSM-IV or DSM-5.</w:t>
      </w:r>
    </w:p>
    <w:p w:rsidR="008B53E2" w:rsidRPr="002B7FBA" w:rsidRDefault="008B53E2" w:rsidP="002B7FBA">
      <w:pPr>
        <w:pStyle w:val="ListParagraph"/>
        <w:numPr>
          <w:ilvl w:val="0"/>
          <w:numId w:val="9"/>
        </w:numPr>
        <w:rPr>
          <w:sz w:val="20"/>
          <w:szCs w:val="20"/>
        </w:rPr>
      </w:pPr>
      <w:r w:rsidRPr="002B7FBA">
        <w:rPr>
          <w:sz w:val="20"/>
          <w:szCs w:val="20"/>
        </w:rPr>
        <w:t xml:space="preserve">Bilateral blindness where: </w:t>
      </w:r>
    </w:p>
    <w:p w:rsidR="008B53E2" w:rsidRPr="002B7FBA" w:rsidRDefault="008B53E2" w:rsidP="002B7FBA">
      <w:pPr>
        <w:pStyle w:val="ListParagraph"/>
        <w:numPr>
          <w:ilvl w:val="1"/>
          <w:numId w:val="9"/>
        </w:numPr>
        <w:rPr>
          <w:sz w:val="20"/>
          <w:szCs w:val="20"/>
        </w:rPr>
      </w:pPr>
      <w:r w:rsidRPr="002B7FBA">
        <w:rPr>
          <w:sz w:val="20"/>
          <w:szCs w:val="20"/>
        </w:rPr>
        <w:t>visual acuity is less than or equal to 6/60 with corrected vision, or</w:t>
      </w:r>
    </w:p>
    <w:p w:rsidR="008B53E2" w:rsidRPr="002B7FBA" w:rsidRDefault="008B53E2" w:rsidP="002B7FBA">
      <w:pPr>
        <w:pStyle w:val="ListParagraph"/>
        <w:numPr>
          <w:ilvl w:val="1"/>
          <w:numId w:val="9"/>
        </w:numPr>
        <w:rPr>
          <w:sz w:val="20"/>
          <w:szCs w:val="20"/>
        </w:rPr>
      </w:pPr>
      <w:proofErr w:type="gramStart"/>
      <w:r w:rsidRPr="002B7FBA">
        <w:rPr>
          <w:sz w:val="20"/>
          <w:szCs w:val="20"/>
        </w:rPr>
        <w:t>visual</w:t>
      </w:r>
      <w:proofErr w:type="gramEnd"/>
      <w:r w:rsidRPr="002B7FBA">
        <w:rPr>
          <w:sz w:val="20"/>
          <w:szCs w:val="20"/>
        </w:rPr>
        <w:t xml:space="preserve"> fields are reduced to a measured arc of less than 10 degrees.</w:t>
      </w:r>
    </w:p>
    <w:p w:rsidR="008B53E2" w:rsidRPr="002B7FBA" w:rsidRDefault="008B53E2" w:rsidP="002B7FBA">
      <w:pPr>
        <w:pStyle w:val="ListParagraph"/>
        <w:numPr>
          <w:ilvl w:val="0"/>
          <w:numId w:val="9"/>
        </w:numPr>
        <w:rPr>
          <w:sz w:val="20"/>
          <w:szCs w:val="20"/>
        </w:rPr>
      </w:pPr>
      <w:r w:rsidRPr="002B7FBA">
        <w:rPr>
          <w:sz w:val="20"/>
          <w:szCs w:val="20"/>
        </w:rPr>
        <w:t>A 45 decibels or more hearing loss in the better ear, based on a 4 frequency pure tone average (using 500, 1,000, 2,000 and 4,000Hz).</w:t>
      </w:r>
    </w:p>
    <w:p w:rsidR="008B53E2" w:rsidRPr="002B7FBA" w:rsidRDefault="008B53E2" w:rsidP="002B7FBA">
      <w:pPr>
        <w:pStyle w:val="ListParagraph"/>
        <w:numPr>
          <w:ilvl w:val="0"/>
          <w:numId w:val="9"/>
        </w:numPr>
        <w:rPr>
          <w:sz w:val="20"/>
          <w:szCs w:val="20"/>
        </w:rPr>
      </w:pPr>
      <w:r w:rsidRPr="002B7FBA">
        <w:rPr>
          <w:sz w:val="20"/>
          <w:szCs w:val="20"/>
        </w:rPr>
        <w:t>Deaf-blindness diagnosed by a specialist multidisciplinary team, including a professional audiological and ophthalmological evaluation.</w:t>
      </w:r>
    </w:p>
    <w:p w:rsidR="008B53E2" w:rsidRPr="002B7FBA" w:rsidRDefault="008B53E2" w:rsidP="002B7FBA">
      <w:pPr>
        <w:pStyle w:val="ListParagraph"/>
        <w:numPr>
          <w:ilvl w:val="0"/>
          <w:numId w:val="9"/>
        </w:numPr>
        <w:rPr>
          <w:sz w:val="20"/>
          <w:szCs w:val="20"/>
        </w:rPr>
      </w:pPr>
      <w:r w:rsidRPr="002B7FBA">
        <w:rPr>
          <w:sz w:val="20"/>
          <w:szCs w:val="20"/>
        </w:rPr>
        <w:t>Epilepsy (uncontrolled while on medication).</w:t>
      </w:r>
    </w:p>
    <w:p w:rsidR="008B53E2" w:rsidRPr="002B7FBA" w:rsidRDefault="008B53E2" w:rsidP="002B7FBA">
      <w:pPr>
        <w:pStyle w:val="ListParagraph"/>
        <w:numPr>
          <w:ilvl w:val="0"/>
          <w:numId w:val="9"/>
        </w:numPr>
        <w:rPr>
          <w:sz w:val="20"/>
          <w:szCs w:val="20"/>
        </w:rPr>
      </w:pPr>
      <w:r w:rsidRPr="002B7FBA">
        <w:rPr>
          <w:sz w:val="20"/>
          <w:szCs w:val="20"/>
        </w:rPr>
        <w:t>Cystic Fibrosis.</w:t>
      </w:r>
    </w:p>
    <w:p w:rsidR="008B53E2" w:rsidRPr="002B7FBA" w:rsidRDefault="008B53E2" w:rsidP="002B7FBA">
      <w:pPr>
        <w:pStyle w:val="ListParagraph"/>
        <w:numPr>
          <w:ilvl w:val="0"/>
          <w:numId w:val="9"/>
        </w:numPr>
        <w:rPr>
          <w:sz w:val="20"/>
          <w:szCs w:val="20"/>
        </w:rPr>
      </w:pPr>
      <w:r w:rsidRPr="002B7FBA">
        <w:rPr>
          <w:sz w:val="20"/>
          <w:szCs w:val="20"/>
        </w:rPr>
        <w:t>Down syndrome.</w:t>
      </w:r>
    </w:p>
    <w:p w:rsidR="008B53E2" w:rsidRPr="002B7FBA" w:rsidRDefault="008B53E2" w:rsidP="002B7FBA">
      <w:pPr>
        <w:pStyle w:val="ListParagraph"/>
        <w:numPr>
          <w:ilvl w:val="0"/>
          <w:numId w:val="9"/>
        </w:numPr>
        <w:rPr>
          <w:sz w:val="20"/>
          <w:szCs w:val="20"/>
        </w:rPr>
      </w:pPr>
      <w:r w:rsidRPr="002B7FBA">
        <w:rPr>
          <w:sz w:val="20"/>
          <w:szCs w:val="20"/>
        </w:rPr>
        <w:t>Fragile X syndrome.</w:t>
      </w:r>
    </w:p>
    <w:p w:rsidR="008B53E2" w:rsidRPr="002B7FBA" w:rsidRDefault="008B53E2" w:rsidP="002B7FBA">
      <w:pPr>
        <w:pStyle w:val="ListParagraph"/>
        <w:numPr>
          <w:ilvl w:val="0"/>
          <w:numId w:val="9"/>
        </w:numPr>
        <w:rPr>
          <w:sz w:val="20"/>
          <w:szCs w:val="20"/>
        </w:rPr>
      </w:pPr>
      <w:r w:rsidRPr="002B7FBA">
        <w:rPr>
          <w:sz w:val="20"/>
          <w:szCs w:val="20"/>
        </w:rPr>
        <w:t>Diabetes Mellitus Type 1.</w:t>
      </w:r>
    </w:p>
    <w:p w:rsidR="008B53E2" w:rsidRPr="002B7FBA" w:rsidRDefault="008B53E2" w:rsidP="002B7FBA">
      <w:pPr>
        <w:pStyle w:val="ListParagraph"/>
        <w:numPr>
          <w:ilvl w:val="0"/>
          <w:numId w:val="9"/>
        </w:numPr>
        <w:rPr>
          <w:sz w:val="20"/>
          <w:szCs w:val="20"/>
        </w:rPr>
      </w:pPr>
      <w:r w:rsidRPr="002B7FBA">
        <w:rPr>
          <w:sz w:val="20"/>
          <w:szCs w:val="20"/>
        </w:rPr>
        <w:t>Phenylketonuria (PKU).</w:t>
      </w:r>
    </w:p>
    <w:p w:rsidR="008B53E2" w:rsidRPr="002B7FBA" w:rsidRDefault="008B53E2" w:rsidP="002B7FBA">
      <w:pPr>
        <w:pStyle w:val="ListParagraph"/>
        <w:numPr>
          <w:ilvl w:val="0"/>
          <w:numId w:val="9"/>
        </w:numPr>
        <w:rPr>
          <w:sz w:val="20"/>
          <w:szCs w:val="20"/>
        </w:rPr>
      </w:pPr>
      <w:r w:rsidRPr="002B7FBA">
        <w:rPr>
          <w:sz w:val="20"/>
          <w:szCs w:val="20"/>
        </w:rPr>
        <w:t>Other inborn errors of metabolism (not specified elsewhere) that are treated by medically prescribed diet to prevent neurological disability and/or severe organ damage.</w:t>
      </w:r>
    </w:p>
    <w:p w:rsidR="008B53E2" w:rsidRPr="002B7FBA" w:rsidRDefault="008B53E2" w:rsidP="002B7FBA">
      <w:pPr>
        <w:pStyle w:val="ListParagraph"/>
        <w:numPr>
          <w:ilvl w:val="1"/>
          <w:numId w:val="9"/>
        </w:numPr>
        <w:rPr>
          <w:i/>
          <w:iCs/>
          <w:sz w:val="20"/>
          <w:szCs w:val="20"/>
        </w:rPr>
      </w:pPr>
      <w:r w:rsidRPr="002B7FBA">
        <w:rPr>
          <w:bCs/>
          <w:i/>
          <w:iCs/>
          <w:sz w:val="20"/>
          <w:szCs w:val="20"/>
        </w:rPr>
        <w:t xml:space="preserve">Example: </w:t>
      </w:r>
      <w:r w:rsidRPr="002B7FBA">
        <w:rPr>
          <w:i/>
          <w:iCs/>
          <w:sz w:val="20"/>
          <w:szCs w:val="20"/>
        </w:rPr>
        <w:t>Organic acidaemias, urea cycle defects, galactosaemia and some fatty acid or oxidation defects.</w:t>
      </w:r>
    </w:p>
    <w:p w:rsidR="008B53E2" w:rsidRPr="002B7FBA" w:rsidRDefault="008B53E2" w:rsidP="002B7FBA">
      <w:pPr>
        <w:pStyle w:val="ListParagraph"/>
        <w:numPr>
          <w:ilvl w:val="0"/>
          <w:numId w:val="9"/>
        </w:numPr>
        <w:rPr>
          <w:sz w:val="20"/>
          <w:szCs w:val="20"/>
        </w:rPr>
      </w:pPr>
      <w:r w:rsidRPr="002B7FBA">
        <w:rPr>
          <w:sz w:val="20"/>
          <w:szCs w:val="20"/>
        </w:rPr>
        <w:t>Moderate to severe Osteogenisis Imperfecta with 2 or more fractures per year and/or significant pain that significantly limits activities of daily living.</w:t>
      </w:r>
    </w:p>
    <w:p w:rsidR="008B53E2" w:rsidRPr="002B7FBA" w:rsidRDefault="008B53E2" w:rsidP="002B7FBA">
      <w:pPr>
        <w:pStyle w:val="ListParagraph"/>
        <w:numPr>
          <w:ilvl w:val="0"/>
          <w:numId w:val="9"/>
        </w:numPr>
        <w:rPr>
          <w:sz w:val="20"/>
          <w:szCs w:val="20"/>
        </w:rPr>
      </w:pPr>
      <w:r w:rsidRPr="002B7FBA">
        <w:rPr>
          <w:sz w:val="20"/>
          <w:szCs w:val="20"/>
        </w:rPr>
        <w:t>Chromosomal or syndromic conditions (not specified elsewhere) where there is moderate or severe intellectual disability and/or multiple, major and permanent physical abnormalities as diagnosed by a paediatrician, paediatric sub-specialist or clinical geneticist.</w:t>
      </w:r>
    </w:p>
    <w:p w:rsidR="008B53E2" w:rsidRPr="002B7FBA" w:rsidRDefault="008B53E2" w:rsidP="002B7FBA">
      <w:pPr>
        <w:pStyle w:val="ListParagraph"/>
        <w:numPr>
          <w:ilvl w:val="1"/>
          <w:numId w:val="9"/>
        </w:numPr>
        <w:rPr>
          <w:i/>
          <w:iCs/>
          <w:sz w:val="20"/>
          <w:szCs w:val="20"/>
        </w:rPr>
      </w:pPr>
      <w:r w:rsidRPr="002B7FBA">
        <w:rPr>
          <w:bCs/>
          <w:i/>
          <w:iCs/>
          <w:sz w:val="20"/>
          <w:szCs w:val="20"/>
        </w:rPr>
        <w:t>Example:</w:t>
      </w:r>
      <w:r w:rsidRPr="002B7FBA">
        <w:rPr>
          <w:i/>
          <w:iCs/>
          <w:sz w:val="20"/>
          <w:szCs w:val="20"/>
        </w:rPr>
        <w:t xml:space="preserve"> Children with a moderate or severe intellectual disability and/or multiple, major and permanent physical abnormalities who have been diagnosed with Cri du chat syndrome, Rett syndrome, Angelman syndrome, Prader-Willi syndrome, Edwards syndrome (Trisomy 18), Williams syndrome, Patau syndrome (Trisomy 13), Coffin-Lowry syndrome, Congenital rubella syndrome, Cornelia de Lange syndrome, Kabuki Make-up syndrome, Larsen syndrome, Opitz G syndrome, Pallister-Killian syndrome, Seckel syndrome, Smith-Magenis syndrome, CHARGE association.</w:t>
      </w:r>
    </w:p>
    <w:p w:rsidR="008B53E2" w:rsidRPr="005956BB" w:rsidRDefault="008B53E2" w:rsidP="002B7FBA">
      <w:pPr>
        <w:ind w:left="1440"/>
      </w:pPr>
      <w:r w:rsidRPr="005956BB">
        <w:rPr>
          <w:b/>
          <w:bCs/>
        </w:rPr>
        <w:t>Note:</w:t>
      </w:r>
      <w:r w:rsidRPr="005956BB">
        <w:t xml:space="preserve"> This category may apply to children diagnosed with other non-listed chromosomal or syndromic conditions who have a moderate or severe level of intellectual disability and/or multiple, major and permanent physical abnormalities.</w:t>
      </w:r>
    </w:p>
    <w:p w:rsidR="008B53E2" w:rsidRPr="005956BB" w:rsidRDefault="008B53E2" w:rsidP="00D02A17"/>
    <w:p w:rsidR="008B53E2" w:rsidRPr="009223C2" w:rsidRDefault="008B53E2" w:rsidP="009223C2">
      <w:pPr>
        <w:pStyle w:val="ListParagraph"/>
        <w:numPr>
          <w:ilvl w:val="0"/>
          <w:numId w:val="9"/>
        </w:numPr>
        <w:rPr>
          <w:sz w:val="20"/>
          <w:szCs w:val="20"/>
        </w:rPr>
      </w:pPr>
      <w:r w:rsidRPr="009223C2">
        <w:rPr>
          <w:sz w:val="20"/>
          <w:szCs w:val="20"/>
        </w:rPr>
        <w:t xml:space="preserve">Neurometabolic degenerative conditions where there is moderate or severe intellectual and/or moderate or severe physical disability as diagnosed by a paediatrician, paediatric sub-specialist or clinical geneticist: </w:t>
      </w:r>
    </w:p>
    <w:p w:rsidR="008B53E2" w:rsidRPr="009223C2" w:rsidRDefault="008B53E2" w:rsidP="009223C2">
      <w:pPr>
        <w:pStyle w:val="ListParagraph"/>
        <w:numPr>
          <w:ilvl w:val="0"/>
          <w:numId w:val="9"/>
        </w:numPr>
        <w:rPr>
          <w:sz w:val="20"/>
          <w:szCs w:val="20"/>
        </w:rPr>
      </w:pPr>
      <w:r w:rsidRPr="009223C2">
        <w:rPr>
          <w:sz w:val="20"/>
          <w:szCs w:val="20"/>
        </w:rPr>
        <w:t>Lysosomal storage disorders.</w:t>
      </w:r>
    </w:p>
    <w:p w:rsidR="008B53E2" w:rsidRPr="00BC1B78" w:rsidRDefault="008B53E2" w:rsidP="00BC1B78">
      <w:pPr>
        <w:pStyle w:val="ListParagraph"/>
        <w:numPr>
          <w:ilvl w:val="1"/>
          <w:numId w:val="9"/>
        </w:numPr>
        <w:rPr>
          <w:i/>
          <w:iCs/>
          <w:sz w:val="20"/>
          <w:szCs w:val="20"/>
        </w:rPr>
      </w:pPr>
      <w:r w:rsidRPr="009223C2">
        <w:rPr>
          <w:bCs/>
          <w:i/>
          <w:iCs/>
          <w:sz w:val="20"/>
          <w:szCs w:val="20"/>
        </w:rPr>
        <w:t>Example:</w:t>
      </w:r>
      <w:r w:rsidRPr="009223C2">
        <w:rPr>
          <w:i/>
          <w:iCs/>
          <w:sz w:val="20"/>
          <w:szCs w:val="20"/>
        </w:rPr>
        <w:t xml:space="preserve"> Children with a moderate or severe intellectual and/or physical disability who have been diagnosed with metachromatic Leukodystrophy, Tay Sachs disease, Krabbe disease, Pompe's disease, Mucopolysaccharidoses (Hurler syndrome ((MPS) 1), Hunter syndrome (MPS 2), San Filipo syndrome (MPS 3), Morquio syndrome (MPS IVA), Maroteaux-Lamy syndrome (MPS VI).</w:t>
      </w:r>
    </w:p>
    <w:p w:rsidR="008B53E2" w:rsidRPr="00BC1B78" w:rsidRDefault="008B53E2" w:rsidP="00BC1B78">
      <w:pPr>
        <w:pStyle w:val="ListParagraph"/>
        <w:numPr>
          <w:ilvl w:val="0"/>
          <w:numId w:val="9"/>
        </w:numPr>
        <w:rPr>
          <w:b/>
          <w:sz w:val="20"/>
          <w:szCs w:val="20"/>
        </w:rPr>
      </w:pPr>
      <w:r w:rsidRPr="00BC1B78">
        <w:rPr>
          <w:sz w:val="20"/>
          <w:szCs w:val="20"/>
        </w:rPr>
        <w:t>Neurometabolic conditions.</w:t>
      </w:r>
    </w:p>
    <w:p w:rsidR="00D56482" w:rsidRPr="00BC1B78" w:rsidRDefault="008B53E2" w:rsidP="00BC1B78">
      <w:pPr>
        <w:pStyle w:val="ListParagraph"/>
        <w:numPr>
          <w:ilvl w:val="1"/>
          <w:numId w:val="9"/>
        </w:numPr>
        <w:rPr>
          <w:i/>
          <w:iCs/>
          <w:sz w:val="20"/>
          <w:szCs w:val="20"/>
        </w:rPr>
      </w:pPr>
      <w:r w:rsidRPr="00BC1B78">
        <w:rPr>
          <w:bCs/>
          <w:i/>
          <w:iCs/>
          <w:sz w:val="20"/>
          <w:szCs w:val="20"/>
        </w:rPr>
        <w:t>Example:</w:t>
      </w:r>
      <w:r w:rsidRPr="00BC1B78">
        <w:rPr>
          <w:i/>
          <w:iCs/>
          <w:sz w:val="20"/>
          <w:szCs w:val="20"/>
        </w:rPr>
        <w:t xml:space="preserve"> Children with a moderate or severe intellectual and/or physical disability who have been diagnosed with Lesch Nyhan syndrome, Menkes disease, Zellweger syndrome and related peroxisomal disorders, some mitochondrial respiratory chain disorders.</w:t>
      </w:r>
    </w:p>
    <w:p w:rsidR="008B53E2" w:rsidRPr="00BC1B78" w:rsidRDefault="008B53E2" w:rsidP="00BC1B78">
      <w:pPr>
        <w:ind w:left="1440"/>
        <w:rPr>
          <w:szCs w:val="20"/>
        </w:rPr>
      </w:pPr>
      <w:r w:rsidRPr="00BC1B78">
        <w:rPr>
          <w:b/>
          <w:bCs/>
          <w:szCs w:val="20"/>
        </w:rPr>
        <w:t>Note:</w:t>
      </w:r>
      <w:r w:rsidRPr="00BC1B78">
        <w:rPr>
          <w:szCs w:val="20"/>
        </w:rPr>
        <w:t xml:space="preserve"> This category may apply to children diagnosed with other non-listed neurometabolic degenerative conditions who have a moderate or severe level of intellectual and/or physical disability.</w:t>
      </w:r>
    </w:p>
    <w:p w:rsidR="008B53E2" w:rsidRPr="005956BB" w:rsidRDefault="008B53E2" w:rsidP="008B53E2">
      <w:pPr>
        <w:rPr>
          <w:rFonts w:asciiTheme="minorHAnsi" w:hAnsiTheme="minorHAnsi" w:cstheme="minorHAnsi"/>
          <w:color w:val="111111"/>
          <w:szCs w:val="20"/>
        </w:rPr>
      </w:pPr>
      <w:r w:rsidRPr="005956BB">
        <w:rPr>
          <w:rFonts w:asciiTheme="minorHAnsi" w:hAnsiTheme="minorHAnsi" w:cstheme="minorHAnsi"/>
          <w:color w:val="111111"/>
          <w:szCs w:val="20"/>
        </w:rPr>
        <w:br w:type="page"/>
      </w:r>
    </w:p>
    <w:p w:rsidR="008B53E2" w:rsidRPr="0066704F" w:rsidRDefault="008B53E2" w:rsidP="0066704F">
      <w:pPr>
        <w:pStyle w:val="ListParagraph"/>
        <w:numPr>
          <w:ilvl w:val="0"/>
          <w:numId w:val="9"/>
        </w:numPr>
        <w:rPr>
          <w:sz w:val="20"/>
          <w:szCs w:val="20"/>
        </w:rPr>
      </w:pPr>
      <w:r w:rsidRPr="0066704F">
        <w:rPr>
          <w:sz w:val="20"/>
          <w:szCs w:val="20"/>
        </w:rPr>
        <w:t>Neurodegenerative disorders where there is moderate or severe intellectual and/or moderate or severe physical disability as diagnosed by a paediatrician, paediatric sub-specialist or clinical geneticist.</w:t>
      </w:r>
    </w:p>
    <w:p w:rsidR="003A1CEB" w:rsidRPr="0066704F" w:rsidRDefault="008B53E2" w:rsidP="0066704F">
      <w:pPr>
        <w:pStyle w:val="ListParagraph"/>
        <w:numPr>
          <w:ilvl w:val="1"/>
          <w:numId w:val="9"/>
        </w:numPr>
        <w:rPr>
          <w:i/>
          <w:iCs/>
          <w:sz w:val="20"/>
          <w:szCs w:val="20"/>
        </w:rPr>
      </w:pPr>
      <w:r w:rsidRPr="0066704F">
        <w:rPr>
          <w:bCs/>
          <w:i/>
          <w:iCs/>
          <w:sz w:val="20"/>
          <w:szCs w:val="20"/>
        </w:rPr>
        <w:t>Example:</w:t>
      </w:r>
      <w:r w:rsidRPr="0066704F">
        <w:rPr>
          <w:i/>
          <w:iCs/>
          <w:sz w:val="20"/>
          <w:szCs w:val="20"/>
        </w:rPr>
        <w:t xml:space="preserve"> Children with a moderate or severe intellectual and/or physical disability who have been diagnosed with Ataxia Telangiectasia, unclassified </w:t>
      </w:r>
      <w:proofErr w:type="spellStart"/>
      <w:r w:rsidRPr="0066704F">
        <w:rPr>
          <w:i/>
          <w:iCs/>
          <w:sz w:val="20"/>
          <w:szCs w:val="20"/>
        </w:rPr>
        <w:t>Leukodystrophies</w:t>
      </w:r>
      <w:proofErr w:type="spellEnd"/>
      <w:r w:rsidRPr="0066704F">
        <w:rPr>
          <w:i/>
          <w:iCs/>
          <w:sz w:val="20"/>
          <w:szCs w:val="20"/>
        </w:rPr>
        <w:t>.</w:t>
      </w:r>
    </w:p>
    <w:p w:rsidR="008B53E2" w:rsidRPr="0066704F" w:rsidRDefault="008B53E2" w:rsidP="0066704F">
      <w:pPr>
        <w:ind w:left="1080"/>
        <w:rPr>
          <w:szCs w:val="20"/>
        </w:rPr>
      </w:pPr>
      <w:r w:rsidRPr="0066704F">
        <w:rPr>
          <w:b/>
          <w:bCs/>
          <w:szCs w:val="20"/>
        </w:rPr>
        <w:t>Note:</w:t>
      </w:r>
      <w:r w:rsidRPr="0066704F">
        <w:rPr>
          <w:szCs w:val="20"/>
        </w:rPr>
        <w:t xml:space="preserve"> This category may apply to children diagnosed with other non-listed neurodegenerative conditions who have a moderate or severe level of intellectual and/or physical disability.</w:t>
      </w:r>
    </w:p>
    <w:p w:rsidR="008B53E2" w:rsidRPr="005956BB" w:rsidRDefault="008B53E2" w:rsidP="00D02A17"/>
    <w:p w:rsidR="008B53E2" w:rsidRPr="00907224" w:rsidRDefault="008B53E2" w:rsidP="00907224">
      <w:pPr>
        <w:ind w:left="360"/>
        <w:rPr>
          <w:b/>
          <w:szCs w:val="20"/>
        </w:rPr>
      </w:pPr>
      <w:r w:rsidRPr="00907224">
        <w:rPr>
          <w:b/>
          <w:szCs w:val="20"/>
        </w:rPr>
        <w:t xml:space="preserve">The following dermatological conditions: </w:t>
      </w:r>
    </w:p>
    <w:p w:rsidR="008B53E2" w:rsidRPr="00907224" w:rsidRDefault="008B53E2" w:rsidP="00907224">
      <w:pPr>
        <w:pStyle w:val="ListParagraph"/>
        <w:numPr>
          <w:ilvl w:val="0"/>
          <w:numId w:val="19"/>
        </w:numPr>
        <w:rPr>
          <w:sz w:val="20"/>
          <w:szCs w:val="20"/>
        </w:rPr>
      </w:pPr>
      <w:r w:rsidRPr="00907224">
        <w:rPr>
          <w:sz w:val="20"/>
          <w:szCs w:val="20"/>
        </w:rPr>
        <w:t>Epidermolysis Bullosa Dystrophica</w:t>
      </w:r>
    </w:p>
    <w:p w:rsidR="008B53E2" w:rsidRPr="00907224" w:rsidRDefault="008B53E2" w:rsidP="00907224">
      <w:pPr>
        <w:pStyle w:val="ListParagraph"/>
        <w:numPr>
          <w:ilvl w:val="0"/>
          <w:numId w:val="19"/>
        </w:numPr>
        <w:rPr>
          <w:sz w:val="20"/>
          <w:szCs w:val="20"/>
        </w:rPr>
      </w:pPr>
      <w:r w:rsidRPr="00907224">
        <w:rPr>
          <w:sz w:val="20"/>
          <w:szCs w:val="20"/>
        </w:rPr>
        <w:t>Hypohidrotic ectodermal dysplasia (synonym: anhidrotic ectodermal dysplasia),</w:t>
      </w:r>
    </w:p>
    <w:p w:rsidR="008B53E2" w:rsidRPr="00907224" w:rsidRDefault="008B53E2" w:rsidP="00907224">
      <w:pPr>
        <w:pStyle w:val="ListParagraph"/>
        <w:numPr>
          <w:ilvl w:val="0"/>
          <w:numId w:val="19"/>
        </w:numPr>
        <w:rPr>
          <w:sz w:val="20"/>
          <w:szCs w:val="20"/>
        </w:rPr>
      </w:pPr>
      <w:r w:rsidRPr="00907224">
        <w:rPr>
          <w:sz w:val="20"/>
          <w:szCs w:val="20"/>
        </w:rPr>
        <w:t>Hay Wells syndrome (synonym: ankylobepharon, ectodermal dysplasia and clefting (AEC) syndrome)</w:t>
      </w:r>
    </w:p>
    <w:p w:rsidR="008B53E2" w:rsidRPr="00907224" w:rsidRDefault="008B53E2" w:rsidP="00907224">
      <w:pPr>
        <w:pStyle w:val="ListParagraph"/>
        <w:numPr>
          <w:ilvl w:val="0"/>
          <w:numId w:val="19"/>
        </w:numPr>
        <w:rPr>
          <w:sz w:val="20"/>
          <w:szCs w:val="20"/>
        </w:rPr>
      </w:pPr>
      <w:r w:rsidRPr="00907224">
        <w:rPr>
          <w:sz w:val="20"/>
          <w:szCs w:val="20"/>
        </w:rPr>
        <w:t>Lamellar ichthyosis</w:t>
      </w:r>
    </w:p>
    <w:p w:rsidR="008B53E2" w:rsidRPr="00907224" w:rsidRDefault="008B53E2" w:rsidP="00907224">
      <w:pPr>
        <w:pStyle w:val="ListParagraph"/>
        <w:numPr>
          <w:ilvl w:val="0"/>
          <w:numId w:val="19"/>
        </w:numPr>
        <w:rPr>
          <w:sz w:val="20"/>
          <w:szCs w:val="20"/>
        </w:rPr>
      </w:pPr>
      <w:r w:rsidRPr="00907224">
        <w:rPr>
          <w:sz w:val="20"/>
          <w:szCs w:val="20"/>
        </w:rPr>
        <w:t>Harlequin ichthyosis</w:t>
      </w:r>
    </w:p>
    <w:p w:rsidR="008B53E2" w:rsidRPr="00907224" w:rsidRDefault="008B53E2" w:rsidP="00907224">
      <w:pPr>
        <w:pStyle w:val="ListParagraph"/>
        <w:numPr>
          <w:ilvl w:val="0"/>
          <w:numId w:val="19"/>
        </w:numPr>
        <w:rPr>
          <w:sz w:val="20"/>
          <w:szCs w:val="20"/>
        </w:rPr>
      </w:pPr>
      <w:r w:rsidRPr="00907224">
        <w:rPr>
          <w:sz w:val="20"/>
          <w:szCs w:val="20"/>
        </w:rPr>
        <w:t>Sjorgren Larsson syndrome</w:t>
      </w:r>
    </w:p>
    <w:p w:rsidR="008B53E2" w:rsidRPr="00907224" w:rsidRDefault="008B53E2" w:rsidP="00907224">
      <w:pPr>
        <w:pStyle w:val="ListParagraph"/>
        <w:numPr>
          <w:ilvl w:val="0"/>
          <w:numId w:val="19"/>
        </w:numPr>
        <w:rPr>
          <w:sz w:val="20"/>
          <w:szCs w:val="20"/>
        </w:rPr>
      </w:pPr>
      <w:r w:rsidRPr="00907224">
        <w:rPr>
          <w:sz w:val="20"/>
          <w:szCs w:val="20"/>
        </w:rPr>
        <w:t>Netherton syndrome</w:t>
      </w:r>
    </w:p>
    <w:p w:rsidR="008B53E2" w:rsidRPr="00907224" w:rsidRDefault="008B53E2" w:rsidP="00907224">
      <w:pPr>
        <w:pStyle w:val="ListParagraph"/>
        <w:numPr>
          <w:ilvl w:val="0"/>
          <w:numId w:val="19"/>
        </w:numPr>
        <w:rPr>
          <w:sz w:val="20"/>
          <w:szCs w:val="20"/>
        </w:rPr>
      </w:pPr>
      <w:r w:rsidRPr="00907224">
        <w:rPr>
          <w:sz w:val="20"/>
          <w:szCs w:val="20"/>
        </w:rPr>
        <w:t>Severe congenital ichthyosiform erythroderma</w:t>
      </w:r>
    </w:p>
    <w:p w:rsidR="008B53E2" w:rsidRPr="00907224" w:rsidRDefault="008B53E2" w:rsidP="00907224">
      <w:pPr>
        <w:pStyle w:val="ListParagraph"/>
        <w:numPr>
          <w:ilvl w:val="0"/>
          <w:numId w:val="19"/>
        </w:numPr>
        <w:rPr>
          <w:sz w:val="20"/>
          <w:szCs w:val="20"/>
        </w:rPr>
      </w:pPr>
      <w:r w:rsidRPr="00907224">
        <w:rPr>
          <w:sz w:val="20"/>
          <w:szCs w:val="20"/>
        </w:rPr>
        <w:t>Generalised bullous ichthyosis (synonym: bullous ichthyosiform erythroderma epidermolytic hyperkeratosis)</w:t>
      </w:r>
    </w:p>
    <w:p w:rsidR="008B53E2" w:rsidRPr="005956BB" w:rsidRDefault="008B53E2" w:rsidP="00D02A17"/>
    <w:p w:rsidR="008B53E2" w:rsidRPr="00907224" w:rsidRDefault="008B53E2" w:rsidP="00907224">
      <w:pPr>
        <w:ind w:left="360"/>
        <w:rPr>
          <w:b/>
          <w:szCs w:val="20"/>
        </w:rPr>
      </w:pPr>
      <w:r w:rsidRPr="00907224">
        <w:rPr>
          <w:b/>
          <w:szCs w:val="20"/>
        </w:rPr>
        <w:t xml:space="preserve">Any of the following neuromuscular conditions: </w:t>
      </w:r>
    </w:p>
    <w:p w:rsidR="008B53E2" w:rsidRPr="00907224" w:rsidRDefault="008B53E2" w:rsidP="00907224">
      <w:pPr>
        <w:pStyle w:val="ListParagraph"/>
        <w:numPr>
          <w:ilvl w:val="0"/>
          <w:numId w:val="19"/>
        </w:numPr>
        <w:rPr>
          <w:sz w:val="20"/>
          <w:szCs w:val="20"/>
        </w:rPr>
      </w:pPr>
      <w:r w:rsidRPr="00907224">
        <w:rPr>
          <w:sz w:val="20"/>
          <w:szCs w:val="20"/>
        </w:rPr>
        <w:t>Duchenne (or Becker) muscular dystrophy</w:t>
      </w:r>
    </w:p>
    <w:p w:rsidR="008B53E2" w:rsidRPr="00907224" w:rsidRDefault="008B53E2" w:rsidP="00907224">
      <w:pPr>
        <w:pStyle w:val="ListParagraph"/>
        <w:numPr>
          <w:ilvl w:val="0"/>
          <w:numId w:val="19"/>
        </w:numPr>
        <w:rPr>
          <w:sz w:val="20"/>
          <w:szCs w:val="20"/>
        </w:rPr>
      </w:pPr>
      <w:r w:rsidRPr="00907224">
        <w:rPr>
          <w:sz w:val="20"/>
          <w:szCs w:val="20"/>
        </w:rPr>
        <w:t>Autosomal recessive muscular dystrophy</w:t>
      </w:r>
    </w:p>
    <w:p w:rsidR="008B53E2" w:rsidRPr="00907224" w:rsidRDefault="008B53E2" w:rsidP="00907224">
      <w:pPr>
        <w:pStyle w:val="ListParagraph"/>
        <w:numPr>
          <w:ilvl w:val="0"/>
          <w:numId w:val="19"/>
        </w:numPr>
        <w:rPr>
          <w:sz w:val="20"/>
          <w:szCs w:val="20"/>
        </w:rPr>
      </w:pPr>
      <w:r w:rsidRPr="00907224">
        <w:rPr>
          <w:sz w:val="20"/>
          <w:szCs w:val="20"/>
        </w:rPr>
        <w:t>Spinal muscular atrophy conditions, for example Werdnig-Hoffman</w:t>
      </w:r>
    </w:p>
    <w:p w:rsidR="00380E6C" w:rsidRPr="00D02A17" w:rsidRDefault="00AB75CA" w:rsidP="00D02A17">
      <w:pPr>
        <w:pStyle w:val="ListParagraph"/>
        <w:numPr>
          <w:ilvl w:val="0"/>
          <w:numId w:val="19"/>
        </w:numPr>
        <w:rPr>
          <w:sz w:val="20"/>
          <w:szCs w:val="20"/>
        </w:rPr>
      </w:pPr>
      <w:r>
        <w:rPr>
          <w:sz w:val="20"/>
          <w:szCs w:val="20"/>
        </w:rPr>
        <w:t>Friedrich's Ataxia</w:t>
      </w:r>
    </w:p>
    <w:sectPr w:rsidR="00380E6C" w:rsidRPr="00D02A17" w:rsidSect="008C5950">
      <w:headerReference w:type="default" r:id="rId12"/>
      <w:footerReference w:type="default" r:id="rId13"/>
      <w:footerReference w:type="first" r:id="rId14"/>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F76" w:rsidRDefault="00D80F76">
      <w:r>
        <w:separator/>
      </w:r>
    </w:p>
  </w:endnote>
  <w:endnote w:type="continuationSeparator" w:id="0">
    <w:p w:rsidR="00D80F76" w:rsidRDefault="00D8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AC" w:rsidRPr="00846C1D" w:rsidRDefault="00071DAC" w:rsidP="00846C1D">
    <w:pPr>
      <w:pStyle w:val="Footer"/>
    </w:pPr>
    <w:r>
      <w:tab/>
    </w:r>
    <w:r w:rsidR="00966077">
      <w:fldChar w:fldCharType="begin"/>
    </w:r>
    <w:r w:rsidR="00966077">
      <w:instrText xml:space="preserve"> PAGE   \* MERGEFORMAT </w:instrText>
    </w:r>
    <w:r w:rsidR="00966077">
      <w:fldChar w:fldCharType="separate"/>
    </w:r>
    <w:r w:rsidR="009A3456">
      <w:rPr>
        <w:noProof/>
      </w:rPr>
      <w:t>2</w:t>
    </w:r>
    <w:r w:rsidR="0096607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AC" w:rsidRDefault="00071DAC">
    <w:pPr>
      <w:pStyle w:val="Footer"/>
    </w:pPr>
    <w:r>
      <w:t>Released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F76" w:rsidRDefault="00D80F76">
      <w:r>
        <w:separator/>
      </w:r>
    </w:p>
  </w:footnote>
  <w:footnote w:type="continuationSeparator" w:id="0">
    <w:p w:rsidR="00D80F76" w:rsidRDefault="00D80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DAC" w:rsidRDefault="00071DAC" w:rsidP="00EE105A">
    <w:pPr>
      <w:pStyle w:val="Header"/>
      <w:pBdr>
        <w:bottom w:val="single" w:sz="4" w:space="1" w:color="auto"/>
      </w:pBdr>
      <w:spacing w:line="480" w:lineRule="auto"/>
      <w:rPr>
        <w:noProof/>
      </w:rPr>
    </w:pPr>
    <w:r>
      <w:rPr>
        <w:noProof/>
      </w:rPr>
      <w:t>IPSP Fact Sheet 3: Documentary evidence for Inclusion Support Subsidy</w:t>
    </w:r>
  </w:p>
  <w:p w:rsidR="00071DAC" w:rsidRDefault="00071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1B845DF5"/>
    <w:multiLevelType w:val="hybridMultilevel"/>
    <w:tmpl w:val="9A066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8085C96"/>
    <w:multiLevelType w:val="multilevel"/>
    <w:tmpl w:val="9AC28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35DDF"/>
    <w:multiLevelType w:val="hybridMultilevel"/>
    <w:tmpl w:val="B09A8746"/>
    <w:lvl w:ilvl="0" w:tplc="0A0840C4">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
    <w:nsid w:val="42341223"/>
    <w:multiLevelType w:val="hybridMultilevel"/>
    <w:tmpl w:val="0D90A590"/>
    <w:lvl w:ilvl="0" w:tplc="597C7826">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8A2B0A"/>
    <w:multiLevelType w:val="multilevel"/>
    <w:tmpl w:val="9AC28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9042D"/>
    <w:multiLevelType w:val="hybridMultilevel"/>
    <w:tmpl w:val="1DC20330"/>
    <w:lvl w:ilvl="0" w:tplc="AF969ED2">
      <w:start w:val="1"/>
      <w:numFmt w:val="bullet"/>
      <w:pStyle w:val="StepsLvl2"/>
      <w:lvlText w:val=""/>
      <w:lvlJc w:val="left"/>
      <w:pPr>
        <w:ind w:left="604" w:hanging="360"/>
      </w:pPr>
      <w:rPr>
        <w:rFonts w:ascii="Symbol" w:hAnsi="Symbol" w:hint="default"/>
        <w:b/>
        <w:i w:val="0"/>
        <w:color w:val="4F6228"/>
      </w:rPr>
    </w:lvl>
    <w:lvl w:ilvl="1" w:tplc="0C090001">
      <w:start w:val="1"/>
      <w:numFmt w:val="bullet"/>
      <w:lvlText w:val=""/>
      <w:lvlJc w:val="left"/>
      <w:pPr>
        <w:ind w:left="1684" w:hanging="360"/>
      </w:pPr>
      <w:rPr>
        <w:rFonts w:ascii="Symbol" w:hAnsi="Symbol" w:hint="default"/>
      </w:rPr>
    </w:lvl>
    <w:lvl w:ilvl="2" w:tplc="0C09001B">
      <w:start w:val="1"/>
      <w:numFmt w:val="lowerRoman"/>
      <w:lvlText w:val="%3."/>
      <w:lvlJc w:val="right"/>
      <w:pPr>
        <w:ind w:left="2404" w:hanging="180"/>
      </w:pPr>
    </w:lvl>
    <w:lvl w:ilvl="3" w:tplc="0C09000F">
      <w:start w:val="1"/>
      <w:numFmt w:val="decimal"/>
      <w:lvlText w:val="%4."/>
      <w:lvlJc w:val="left"/>
      <w:pPr>
        <w:ind w:left="3124" w:hanging="360"/>
      </w:pPr>
    </w:lvl>
    <w:lvl w:ilvl="4" w:tplc="0C090019">
      <w:start w:val="1"/>
      <w:numFmt w:val="lowerLetter"/>
      <w:lvlText w:val="%5."/>
      <w:lvlJc w:val="left"/>
      <w:pPr>
        <w:ind w:left="3844" w:hanging="360"/>
      </w:pPr>
    </w:lvl>
    <w:lvl w:ilvl="5" w:tplc="0C09001B">
      <w:start w:val="1"/>
      <w:numFmt w:val="lowerRoman"/>
      <w:lvlText w:val="%6."/>
      <w:lvlJc w:val="right"/>
      <w:pPr>
        <w:ind w:left="4564" w:hanging="180"/>
      </w:pPr>
    </w:lvl>
    <w:lvl w:ilvl="6" w:tplc="0C09000F">
      <w:start w:val="1"/>
      <w:numFmt w:val="decimal"/>
      <w:lvlText w:val="%7."/>
      <w:lvlJc w:val="left"/>
      <w:pPr>
        <w:ind w:left="5284" w:hanging="360"/>
      </w:pPr>
    </w:lvl>
    <w:lvl w:ilvl="7" w:tplc="0C090019">
      <w:start w:val="1"/>
      <w:numFmt w:val="lowerLetter"/>
      <w:lvlText w:val="%8."/>
      <w:lvlJc w:val="left"/>
      <w:pPr>
        <w:ind w:left="6004" w:hanging="360"/>
      </w:pPr>
    </w:lvl>
    <w:lvl w:ilvl="8" w:tplc="0C09001B">
      <w:start w:val="1"/>
      <w:numFmt w:val="lowerRoman"/>
      <w:lvlText w:val="%9."/>
      <w:lvlJc w:val="right"/>
      <w:pPr>
        <w:ind w:left="6724" w:hanging="180"/>
      </w:pPr>
    </w:lvl>
  </w:abstractNum>
  <w:abstractNum w:abstractNumId="9">
    <w:nsid w:val="71F231EC"/>
    <w:multiLevelType w:val="hybridMultilevel"/>
    <w:tmpl w:val="B3FAF8C0"/>
    <w:lvl w:ilvl="0" w:tplc="FEFE16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31247E8"/>
    <w:multiLevelType w:val="hybridMultilevel"/>
    <w:tmpl w:val="8FFC4332"/>
    <w:lvl w:ilvl="0" w:tplc="FEFE1604">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
  <w:rsids>
    <w:rsidRoot w:val="00C77BD5"/>
    <w:rsid w:val="00002C18"/>
    <w:rsid w:val="00010549"/>
    <w:rsid w:val="00012F84"/>
    <w:rsid w:val="00024290"/>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73E6"/>
    <w:rsid w:val="00067CD0"/>
    <w:rsid w:val="00071DAC"/>
    <w:rsid w:val="00075B92"/>
    <w:rsid w:val="00080F2E"/>
    <w:rsid w:val="00081CEB"/>
    <w:rsid w:val="00083791"/>
    <w:rsid w:val="00086E3C"/>
    <w:rsid w:val="00087B2C"/>
    <w:rsid w:val="00087DBD"/>
    <w:rsid w:val="00090570"/>
    <w:rsid w:val="00090753"/>
    <w:rsid w:val="00090C41"/>
    <w:rsid w:val="00097BFF"/>
    <w:rsid w:val="000A3EC3"/>
    <w:rsid w:val="000A669D"/>
    <w:rsid w:val="000A66A8"/>
    <w:rsid w:val="000C014D"/>
    <w:rsid w:val="000D021B"/>
    <w:rsid w:val="000D4703"/>
    <w:rsid w:val="000D55DF"/>
    <w:rsid w:val="000D693C"/>
    <w:rsid w:val="000E12D4"/>
    <w:rsid w:val="000F7575"/>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46D8"/>
    <w:rsid w:val="00185F6A"/>
    <w:rsid w:val="001873F8"/>
    <w:rsid w:val="00190036"/>
    <w:rsid w:val="001943DD"/>
    <w:rsid w:val="00195374"/>
    <w:rsid w:val="001A127F"/>
    <w:rsid w:val="001A3CA4"/>
    <w:rsid w:val="001A3EA4"/>
    <w:rsid w:val="001B3AEC"/>
    <w:rsid w:val="001B5000"/>
    <w:rsid w:val="001B6F28"/>
    <w:rsid w:val="001C020D"/>
    <w:rsid w:val="001D2A29"/>
    <w:rsid w:val="001D4585"/>
    <w:rsid w:val="001D5D54"/>
    <w:rsid w:val="001E41C8"/>
    <w:rsid w:val="001E5F85"/>
    <w:rsid w:val="001F3AD7"/>
    <w:rsid w:val="00207630"/>
    <w:rsid w:val="00213082"/>
    <w:rsid w:val="0021714E"/>
    <w:rsid w:val="00217AFA"/>
    <w:rsid w:val="00222187"/>
    <w:rsid w:val="00222C8D"/>
    <w:rsid w:val="00222E33"/>
    <w:rsid w:val="00227B95"/>
    <w:rsid w:val="00234965"/>
    <w:rsid w:val="0023523A"/>
    <w:rsid w:val="002353DF"/>
    <w:rsid w:val="00235F71"/>
    <w:rsid w:val="0025272A"/>
    <w:rsid w:val="00264242"/>
    <w:rsid w:val="00271922"/>
    <w:rsid w:val="0027204E"/>
    <w:rsid w:val="00273412"/>
    <w:rsid w:val="00274ACF"/>
    <w:rsid w:val="00281F73"/>
    <w:rsid w:val="00285F1B"/>
    <w:rsid w:val="00295831"/>
    <w:rsid w:val="00296F1B"/>
    <w:rsid w:val="002A6DF5"/>
    <w:rsid w:val="002B10B1"/>
    <w:rsid w:val="002B7FBA"/>
    <w:rsid w:val="002D00B0"/>
    <w:rsid w:val="002D0454"/>
    <w:rsid w:val="002D06D7"/>
    <w:rsid w:val="002D2E16"/>
    <w:rsid w:val="002F19EF"/>
    <w:rsid w:val="002F5730"/>
    <w:rsid w:val="00302415"/>
    <w:rsid w:val="003102F6"/>
    <w:rsid w:val="00313304"/>
    <w:rsid w:val="00313C48"/>
    <w:rsid w:val="003162AD"/>
    <w:rsid w:val="00321148"/>
    <w:rsid w:val="00321798"/>
    <w:rsid w:val="00325F44"/>
    <w:rsid w:val="00326976"/>
    <w:rsid w:val="003311D7"/>
    <w:rsid w:val="00332B8B"/>
    <w:rsid w:val="003407F7"/>
    <w:rsid w:val="00344A66"/>
    <w:rsid w:val="00347104"/>
    <w:rsid w:val="0035213F"/>
    <w:rsid w:val="003555D2"/>
    <w:rsid w:val="0036321B"/>
    <w:rsid w:val="00363DF3"/>
    <w:rsid w:val="003656B1"/>
    <w:rsid w:val="0037056B"/>
    <w:rsid w:val="00377173"/>
    <w:rsid w:val="003774DA"/>
    <w:rsid w:val="00380E6C"/>
    <w:rsid w:val="00392557"/>
    <w:rsid w:val="003945C0"/>
    <w:rsid w:val="003A06C2"/>
    <w:rsid w:val="003A087C"/>
    <w:rsid w:val="003A1CEB"/>
    <w:rsid w:val="003B0F99"/>
    <w:rsid w:val="003B6D2E"/>
    <w:rsid w:val="003C39C0"/>
    <w:rsid w:val="003C430D"/>
    <w:rsid w:val="003C7404"/>
    <w:rsid w:val="003C7AB8"/>
    <w:rsid w:val="003D3C5A"/>
    <w:rsid w:val="003D404A"/>
    <w:rsid w:val="003E6FDA"/>
    <w:rsid w:val="003F3072"/>
    <w:rsid w:val="003F6EA6"/>
    <w:rsid w:val="00401A2A"/>
    <w:rsid w:val="004103D7"/>
    <w:rsid w:val="004125BE"/>
    <w:rsid w:val="0041307C"/>
    <w:rsid w:val="004167B4"/>
    <w:rsid w:val="00421D04"/>
    <w:rsid w:val="00430D7E"/>
    <w:rsid w:val="00433B04"/>
    <w:rsid w:val="00440BD3"/>
    <w:rsid w:val="00446F93"/>
    <w:rsid w:val="004649E2"/>
    <w:rsid w:val="00464E8C"/>
    <w:rsid w:val="00466D36"/>
    <w:rsid w:val="00467185"/>
    <w:rsid w:val="0047050C"/>
    <w:rsid w:val="00475504"/>
    <w:rsid w:val="00480F21"/>
    <w:rsid w:val="00484FED"/>
    <w:rsid w:val="00495AF1"/>
    <w:rsid w:val="004B2CC4"/>
    <w:rsid w:val="004C2C35"/>
    <w:rsid w:val="004F775C"/>
    <w:rsid w:val="005015E4"/>
    <w:rsid w:val="0050291D"/>
    <w:rsid w:val="0050697E"/>
    <w:rsid w:val="00515D52"/>
    <w:rsid w:val="00516802"/>
    <w:rsid w:val="00524B3C"/>
    <w:rsid w:val="005315A9"/>
    <w:rsid w:val="00532B56"/>
    <w:rsid w:val="00540AD0"/>
    <w:rsid w:val="0054322A"/>
    <w:rsid w:val="00543923"/>
    <w:rsid w:val="005519C9"/>
    <w:rsid w:val="005523D1"/>
    <w:rsid w:val="00554A9C"/>
    <w:rsid w:val="00557624"/>
    <w:rsid w:val="0056023E"/>
    <w:rsid w:val="005658EF"/>
    <w:rsid w:val="0057485C"/>
    <w:rsid w:val="005822A3"/>
    <w:rsid w:val="0059070B"/>
    <w:rsid w:val="00594445"/>
    <w:rsid w:val="005956BB"/>
    <w:rsid w:val="005956DF"/>
    <w:rsid w:val="005A1E6C"/>
    <w:rsid w:val="005B1225"/>
    <w:rsid w:val="005C09F4"/>
    <w:rsid w:val="005C54AC"/>
    <w:rsid w:val="005C561A"/>
    <w:rsid w:val="005C5B93"/>
    <w:rsid w:val="005C66FF"/>
    <w:rsid w:val="005C785A"/>
    <w:rsid w:val="005D03CA"/>
    <w:rsid w:val="005D45AB"/>
    <w:rsid w:val="005E4662"/>
    <w:rsid w:val="005F214A"/>
    <w:rsid w:val="005F6BD6"/>
    <w:rsid w:val="00601C99"/>
    <w:rsid w:val="00604FC2"/>
    <w:rsid w:val="00607597"/>
    <w:rsid w:val="006255E4"/>
    <w:rsid w:val="00625DB3"/>
    <w:rsid w:val="00636E5B"/>
    <w:rsid w:val="00641020"/>
    <w:rsid w:val="006410C1"/>
    <w:rsid w:val="00647F05"/>
    <w:rsid w:val="006530EF"/>
    <w:rsid w:val="00654D06"/>
    <w:rsid w:val="00661536"/>
    <w:rsid w:val="0066704F"/>
    <w:rsid w:val="0067127B"/>
    <w:rsid w:val="0067233D"/>
    <w:rsid w:val="006745AE"/>
    <w:rsid w:val="00675BEF"/>
    <w:rsid w:val="00676AF3"/>
    <w:rsid w:val="00676D10"/>
    <w:rsid w:val="00680F71"/>
    <w:rsid w:val="00682A53"/>
    <w:rsid w:val="0069174B"/>
    <w:rsid w:val="00693FA1"/>
    <w:rsid w:val="006A160A"/>
    <w:rsid w:val="006B05E3"/>
    <w:rsid w:val="006B09BC"/>
    <w:rsid w:val="006B42A0"/>
    <w:rsid w:val="006B4E59"/>
    <w:rsid w:val="006C3402"/>
    <w:rsid w:val="006C38D5"/>
    <w:rsid w:val="006C395C"/>
    <w:rsid w:val="006C45D4"/>
    <w:rsid w:val="006E1F3C"/>
    <w:rsid w:val="006E6073"/>
    <w:rsid w:val="006F7300"/>
    <w:rsid w:val="00703C09"/>
    <w:rsid w:val="00706216"/>
    <w:rsid w:val="00707140"/>
    <w:rsid w:val="00712300"/>
    <w:rsid w:val="00720739"/>
    <w:rsid w:val="00721695"/>
    <w:rsid w:val="007242B4"/>
    <w:rsid w:val="007255B2"/>
    <w:rsid w:val="00725FB2"/>
    <w:rsid w:val="00730C64"/>
    <w:rsid w:val="007322AF"/>
    <w:rsid w:val="00735477"/>
    <w:rsid w:val="00736DCA"/>
    <w:rsid w:val="00742399"/>
    <w:rsid w:val="0074640C"/>
    <w:rsid w:val="0075003D"/>
    <w:rsid w:val="00751B37"/>
    <w:rsid w:val="00753964"/>
    <w:rsid w:val="00754D44"/>
    <w:rsid w:val="007572CA"/>
    <w:rsid w:val="00767B7E"/>
    <w:rsid w:val="007746A9"/>
    <w:rsid w:val="007802FC"/>
    <w:rsid w:val="00785465"/>
    <w:rsid w:val="00787656"/>
    <w:rsid w:val="007A67EA"/>
    <w:rsid w:val="007A695D"/>
    <w:rsid w:val="007B15AF"/>
    <w:rsid w:val="007B4B32"/>
    <w:rsid w:val="007B7E83"/>
    <w:rsid w:val="007C1631"/>
    <w:rsid w:val="007C4ED8"/>
    <w:rsid w:val="007C636F"/>
    <w:rsid w:val="007C7570"/>
    <w:rsid w:val="007D0EF8"/>
    <w:rsid w:val="007D33BC"/>
    <w:rsid w:val="007D39EB"/>
    <w:rsid w:val="007F4E0E"/>
    <w:rsid w:val="0081049C"/>
    <w:rsid w:val="00811B9A"/>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FB3"/>
    <w:rsid w:val="00880877"/>
    <w:rsid w:val="00880BE3"/>
    <w:rsid w:val="00882588"/>
    <w:rsid w:val="008834D3"/>
    <w:rsid w:val="00895792"/>
    <w:rsid w:val="00897A1C"/>
    <w:rsid w:val="008A3738"/>
    <w:rsid w:val="008B53E2"/>
    <w:rsid w:val="008B645B"/>
    <w:rsid w:val="008B67B8"/>
    <w:rsid w:val="008B774D"/>
    <w:rsid w:val="008C123E"/>
    <w:rsid w:val="008C3ED0"/>
    <w:rsid w:val="008C5585"/>
    <w:rsid w:val="008C5950"/>
    <w:rsid w:val="008C5E94"/>
    <w:rsid w:val="008E04D3"/>
    <w:rsid w:val="008E6E9D"/>
    <w:rsid w:val="008E77A5"/>
    <w:rsid w:val="008F68F7"/>
    <w:rsid w:val="008F7480"/>
    <w:rsid w:val="009037B6"/>
    <w:rsid w:val="00906CBE"/>
    <w:rsid w:val="00906FFA"/>
    <w:rsid w:val="00907224"/>
    <w:rsid w:val="00910384"/>
    <w:rsid w:val="009139C0"/>
    <w:rsid w:val="009161C8"/>
    <w:rsid w:val="009164AD"/>
    <w:rsid w:val="00922289"/>
    <w:rsid w:val="009223C2"/>
    <w:rsid w:val="00936F46"/>
    <w:rsid w:val="0094271E"/>
    <w:rsid w:val="00943142"/>
    <w:rsid w:val="00943A29"/>
    <w:rsid w:val="0094567B"/>
    <w:rsid w:val="0095197E"/>
    <w:rsid w:val="00952AB2"/>
    <w:rsid w:val="009551E0"/>
    <w:rsid w:val="00955801"/>
    <w:rsid w:val="0095654E"/>
    <w:rsid w:val="00956F3C"/>
    <w:rsid w:val="0095779B"/>
    <w:rsid w:val="00961AE2"/>
    <w:rsid w:val="00963978"/>
    <w:rsid w:val="00966077"/>
    <w:rsid w:val="009900F0"/>
    <w:rsid w:val="00991769"/>
    <w:rsid w:val="00994E9F"/>
    <w:rsid w:val="00996931"/>
    <w:rsid w:val="009A3456"/>
    <w:rsid w:val="009A4CD8"/>
    <w:rsid w:val="009B3ED1"/>
    <w:rsid w:val="009C10D4"/>
    <w:rsid w:val="009C433C"/>
    <w:rsid w:val="009C7D3A"/>
    <w:rsid w:val="009D28B7"/>
    <w:rsid w:val="009D7E1A"/>
    <w:rsid w:val="009E2162"/>
    <w:rsid w:val="009F6F16"/>
    <w:rsid w:val="00A006EB"/>
    <w:rsid w:val="00A03709"/>
    <w:rsid w:val="00A06C77"/>
    <w:rsid w:val="00A10147"/>
    <w:rsid w:val="00A13D26"/>
    <w:rsid w:val="00A146A5"/>
    <w:rsid w:val="00A17411"/>
    <w:rsid w:val="00A2223D"/>
    <w:rsid w:val="00A34A74"/>
    <w:rsid w:val="00A35351"/>
    <w:rsid w:val="00A42ADE"/>
    <w:rsid w:val="00A437B9"/>
    <w:rsid w:val="00A60693"/>
    <w:rsid w:val="00A67728"/>
    <w:rsid w:val="00A81A4F"/>
    <w:rsid w:val="00A81FB7"/>
    <w:rsid w:val="00A82E14"/>
    <w:rsid w:val="00A901E9"/>
    <w:rsid w:val="00A958DD"/>
    <w:rsid w:val="00A9762C"/>
    <w:rsid w:val="00AA4067"/>
    <w:rsid w:val="00AB1A5B"/>
    <w:rsid w:val="00AB1E72"/>
    <w:rsid w:val="00AB617F"/>
    <w:rsid w:val="00AB75CA"/>
    <w:rsid w:val="00AC0A54"/>
    <w:rsid w:val="00AC125E"/>
    <w:rsid w:val="00AC45DF"/>
    <w:rsid w:val="00AC474D"/>
    <w:rsid w:val="00AC4DFD"/>
    <w:rsid w:val="00AC58FD"/>
    <w:rsid w:val="00AC60CD"/>
    <w:rsid w:val="00AD60E6"/>
    <w:rsid w:val="00AD793A"/>
    <w:rsid w:val="00AE5956"/>
    <w:rsid w:val="00AE619F"/>
    <w:rsid w:val="00AE7E5A"/>
    <w:rsid w:val="00AF373A"/>
    <w:rsid w:val="00AF4836"/>
    <w:rsid w:val="00AF594B"/>
    <w:rsid w:val="00AF7EFE"/>
    <w:rsid w:val="00B03BEE"/>
    <w:rsid w:val="00B049AA"/>
    <w:rsid w:val="00B0517E"/>
    <w:rsid w:val="00B056E2"/>
    <w:rsid w:val="00B11314"/>
    <w:rsid w:val="00B1192C"/>
    <w:rsid w:val="00B138E3"/>
    <w:rsid w:val="00B23267"/>
    <w:rsid w:val="00B25891"/>
    <w:rsid w:val="00B27149"/>
    <w:rsid w:val="00B30265"/>
    <w:rsid w:val="00B40D26"/>
    <w:rsid w:val="00B4451B"/>
    <w:rsid w:val="00B45678"/>
    <w:rsid w:val="00B52BDE"/>
    <w:rsid w:val="00B72D62"/>
    <w:rsid w:val="00B7777F"/>
    <w:rsid w:val="00B843C8"/>
    <w:rsid w:val="00B951E2"/>
    <w:rsid w:val="00B96F37"/>
    <w:rsid w:val="00BA607C"/>
    <w:rsid w:val="00BB3E2A"/>
    <w:rsid w:val="00BC16F5"/>
    <w:rsid w:val="00BC1B78"/>
    <w:rsid w:val="00BC287D"/>
    <w:rsid w:val="00BC4A76"/>
    <w:rsid w:val="00BD0585"/>
    <w:rsid w:val="00BD32E5"/>
    <w:rsid w:val="00BD7ADD"/>
    <w:rsid w:val="00BD7E25"/>
    <w:rsid w:val="00BE41C3"/>
    <w:rsid w:val="00BE6767"/>
    <w:rsid w:val="00BE68D7"/>
    <w:rsid w:val="00BF7763"/>
    <w:rsid w:val="00C0161F"/>
    <w:rsid w:val="00C04D5E"/>
    <w:rsid w:val="00C24EA2"/>
    <w:rsid w:val="00C24F70"/>
    <w:rsid w:val="00C33479"/>
    <w:rsid w:val="00C3475D"/>
    <w:rsid w:val="00C34B4A"/>
    <w:rsid w:val="00C46EEB"/>
    <w:rsid w:val="00C47BA2"/>
    <w:rsid w:val="00C612DC"/>
    <w:rsid w:val="00C622CB"/>
    <w:rsid w:val="00C64D15"/>
    <w:rsid w:val="00C74F74"/>
    <w:rsid w:val="00C7554B"/>
    <w:rsid w:val="00C77BD5"/>
    <w:rsid w:val="00C83E31"/>
    <w:rsid w:val="00C86A88"/>
    <w:rsid w:val="00C916A4"/>
    <w:rsid w:val="00CA2A52"/>
    <w:rsid w:val="00CA2B15"/>
    <w:rsid w:val="00CA6490"/>
    <w:rsid w:val="00CB5744"/>
    <w:rsid w:val="00CB7022"/>
    <w:rsid w:val="00CD1937"/>
    <w:rsid w:val="00CE214C"/>
    <w:rsid w:val="00CE6858"/>
    <w:rsid w:val="00CF50BE"/>
    <w:rsid w:val="00CF6A52"/>
    <w:rsid w:val="00D02A17"/>
    <w:rsid w:val="00D03583"/>
    <w:rsid w:val="00D038A1"/>
    <w:rsid w:val="00D04A87"/>
    <w:rsid w:val="00D10E7E"/>
    <w:rsid w:val="00D117B4"/>
    <w:rsid w:val="00D15151"/>
    <w:rsid w:val="00D169F7"/>
    <w:rsid w:val="00D26D01"/>
    <w:rsid w:val="00D33DA3"/>
    <w:rsid w:val="00D4723B"/>
    <w:rsid w:val="00D54153"/>
    <w:rsid w:val="00D55EE8"/>
    <w:rsid w:val="00D56482"/>
    <w:rsid w:val="00D5785A"/>
    <w:rsid w:val="00D6082B"/>
    <w:rsid w:val="00D64C48"/>
    <w:rsid w:val="00D65CE1"/>
    <w:rsid w:val="00D731C4"/>
    <w:rsid w:val="00D80F76"/>
    <w:rsid w:val="00D81BAA"/>
    <w:rsid w:val="00D85BE0"/>
    <w:rsid w:val="00D87C1A"/>
    <w:rsid w:val="00D87FD7"/>
    <w:rsid w:val="00D92167"/>
    <w:rsid w:val="00D921AF"/>
    <w:rsid w:val="00D93FF1"/>
    <w:rsid w:val="00D9502B"/>
    <w:rsid w:val="00D950CF"/>
    <w:rsid w:val="00D97047"/>
    <w:rsid w:val="00D97108"/>
    <w:rsid w:val="00DC5665"/>
    <w:rsid w:val="00DD4F44"/>
    <w:rsid w:val="00DD5D8B"/>
    <w:rsid w:val="00DE0F9E"/>
    <w:rsid w:val="00DE5D76"/>
    <w:rsid w:val="00E03ECD"/>
    <w:rsid w:val="00E04C8D"/>
    <w:rsid w:val="00E128D8"/>
    <w:rsid w:val="00E150F0"/>
    <w:rsid w:val="00E2029C"/>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C3F8A"/>
    <w:rsid w:val="00ED3C91"/>
    <w:rsid w:val="00ED4112"/>
    <w:rsid w:val="00EE105A"/>
    <w:rsid w:val="00EE5727"/>
    <w:rsid w:val="00EF1347"/>
    <w:rsid w:val="00EF2BEB"/>
    <w:rsid w:val="00EF380A"/>
    <w:rsid w:val="00F01129"/>
    <w:rsid w:val="00F03D93"/>
    <w:rsid w:val="00F03D9E"/>
    <w:rsid w:val="00F13497"/>
    <w:rsid w:val="00F227BF"/>
    <w:rsid w:val="00F374B2"/>
    <w:rsid w:val="00F40AFC"/>
    <w:rsid w:val="00F4730E"/>
    <w:rsid w:val="00F50A92"/>
    <w:rsid w:val="00F53F24"/>
    <w:rsid w:val="00F63341"/>
    <w:rsid w:val="00F7536E"/>
    <w:rsid w:val="00F81F93"/>
    <w:rsid w:val="00F821FF"/>
    <w:rsid w:val="00F86F1B"/>
    <w:rsid w:val="00F92A21"/>
    <w:rsid w:val="00F92E9B"/>
    <w:rsid w:val="00F95814"/>
    <w:rsid w:val="00FA01D9"/>
    <w:rsid w:val="00FA031C"/>
    <w:rsid w:val="00FB13C1"/>
    <w:rsid w:val="00FB420B"/>
    <w:rsid w:val="00FC1C5F"/>
    <w:rsid w:val="00FC5C0C"/>
    <w:rsid w:val="00FC64EF"/>
    <w:rsid w:val="00FD2673"/>
    <w:rsid w:val="00FD53CB"/>
    <w:rsid w:val="00FD5A60"/>
    <w:rsid w:val="00FE2A29"/>
    <w:rsid w:val="00FE6068"/>
    <w:rsid w:val="00FF3801"/>
    <w:rsid w:val="00FF4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semiHidden="1" w:unhideWhenUsed="1" w:qFormat="1"/>
    <w:lsdException w:name="footnote reference" w:uiPriority="99"/>
    <w:lsdException w:name="List Bullet" w:qFormat="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9"/>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aliases w:val="IPSP2"/>
    <w:basedOn w:val="Normal"/>
    <w:next w:val="Normal"/>
    <w:link w:val="Heading2Char"/>
    <w:uiPriority w:val="99"/>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aliases w:val="IPSP2 Char"/>
    <w:basedOn w:val="DefaultParagraphFont"/>
    <w:link w:val="Heading2"/>
    <w:uiPriority w:val="99"/>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9"/>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link w:val="ListParagraphChar"/>
    <w:uiPriority w:val="34"/>
    <w:qFormat/>
    <w:rsid w:val="00B7777F"/>
    <w:pPr>
      <w:spacing w:before="0"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B7777F"/>
    <w:rPr>
      <w:rFonts w:asciiTheme="minorHAnsi" w:eastAsiaTheme="minorEastAsia" w:hAnsiTheme="minorHAnsi" w:cstheme="minorBidi"/>
      <w:sz w:val="22"/>
      <w:szCs w:val="22"/>
      <w:lang w:eastAsia="en-US"/>
    </w:rPr>
  </w:style>
  <w:style w:type="paragraph" w:customStyle="1" w:styleId="Default">
    <w:name w:val="Default"/>
    <w:uiPriority w:val="99"/>
    <w:rsid w:val="00B7777F"/>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qFormat/>
    <w:rsid w:val="008B53E2"/>
    <w:rPr>
      <w:b/>
      <w:bCs/>
      <w:i/>
      <w:iCs/>
      <w:spacing w:val="10"/>
      <w:bdr w:val="none" w:sz="0" w:space="0" w:color="auto"/>
      <w:shd w:val="clear" w:color="auto" w:fill="auto"/>
    </w:rPr>
  </w:style>
  <w:style w:type="character" w:customStyle="1" w:styleId="NoteChar">
    <w:name w:val="Note Char"/>
    <w:basedOn w:val="DefaultParagraphFont"/>
    <w:link w:val="Note"/>
    <w:locked/>
    <w:rsid w:val="008B53E2"/>
    <w:rPr>
      <w:rFonts w:cstheme="minorHAnsi"/>
      <w:shd w:val="clear" w:color="auto" w:fill="EAF1DD"/>
    </w:rPr>
  </w:style>
  <w:style w:type="paragraph" w:customStyle="1" w:styleId="Note">
    <w:name w:val="Note"/>
    <w:basedOn w:val="Normal"/>
    <w:link w:val="NoteChar"/>
    <w:qFormat/>
    <w:rsid w:val="008B53E2"/>
    <w:pPr>
      <w:pBdr>
        <w:top w:val="single" w:sz="8" w:space="1" w:color="auto"/>
        <w:left w:val="single" w:sz="8" w:space="4" w:color="auto"/>
        <w:bottom w:val="single" w:sz="8" w:space="1" w:color="auto"/>
        <w:right w:val="single" w:sz="8" w:space="4" w:color="auto"/>
      </w:pBdr>
      <w:shd w:val="clear" w:color="auto" w:fill="EAF1DD"/>
      <w:spacing w:before="220" w:after="220" w:line="240" w:lineRule="auto"/>
      <w:jc w:val="both"/>
    </w:pPr>
    <w:rPr>
      <w:rFonts w:ascii="Times New Roman" w:hAnsi="Times New Roman" w:cstheme="minorHAnsi"/>
      <w:szCs w:val="20"/>
    </w:rPr>
  </w:style>
  <w:style w:type="character" w:customStyle="1" w:styleId="Heading1NumberedChar">
    <w:name w:val="Heading 1 Numbered Char"/>
    <w:basedOn w:val="DefaultParagraphFont"/>
    <w:link w:val="Heading1Numbered"/>
    <w:locked/>
    <w:rsid w:val="008B53E2"/>
    <w:rPr>
      <w:rFonts w:ascii="Calibri" w:eastAsiaTheme="majorEastAsia" w:hAnsi="Calibri" w:cs="Calibri"/>
      <w:b/>
      <w:bCs/>
      <w:iCs/>
      <w:color w:val="4F6228"/>
      <w:sz w:val="30"/>
      <w:szCs w:val="30"/>
    </w:rPr>
  </w:style>
  <w:style w:type="paragraph" w:customStyle="1" w:styleId="Heading1Numbered">
    <w:name w:val="Heading 1 Numbered"/>
    <w:basedOn w:val="Heading1"/>
    <w:link w:val="Heading1NumberedChar"/>
    <w:qFormat/>
    <w:rsid w:val="008B53E2"/>
    <w:pPr>
      <w:keepLines w:val="0"/>
      <w:widowControl w:val="0"/>
      <w:suppressAutoHyphens/>
      <w:autoSpaceDE w:val="0"/>
      <w:autoSpaceDN w:val="0"/>
      <w:adjustRightInd w:val="0"/>
      <w:spacing w:after="240" w:line="250" w:lineRule="atLeast"/>
      <w:contextualSpacing w:val="0"/>
    </w:pPr>
    <w:rPr>
      <w:rFonts w:ascii="Calibri" w:eastAsiaTheme="majorEastAsia" w:hAnsi="Calibri" w:cs="Calibri"/>
      <w:b/>
      <w:iCs/>
      <w:color w:val="4F6228"/>
      <w:kern w:val="0"/>
      <w:sz w:val="30"/>
      <w:szCs w:val="30"/>
    </w:rPr>
  </w:style>
  <w:style w:type="character" w:customStyle="1" w:styleId="StepsLvl2Char">
    <w:name w:val="Steps Lvl 2 Char"/>
    <w:basedOn w:val="DefaultParagraphFont"/>
    <w:link w:val="StepsLvl2"/>
    <w:locked/>
    <w:rsid w:val="008B53E2"/>
    <w:rPr>
      <w:rFonts w:cstheme="minorHAnsi"/>
    </w:rPr>
  </w:style>
  <w:style w:type="paragraph" w:customStyle="1" w:styleId="StepsLvl2">
    <w:name w:val="Steps Lvl 2"/>
    <w:basedOn w:val="Normal"/>
    <w:link w:val="StepsLvl2Char"/>
    <w:qFormat/>
    <w:rsid w:val="008B53E2"/>
    <w:pPr>
      <w:numPr>
        <w:numId w:val="4"/>
      </w:numPr>
      <w:spacing w:before="220" w:after="220" w:line="240" w:lineRule="auto"/>
      <w:jc w:val="both"/>
    </w:pPr>
    <w:rPr>
      <w:rFonts w:ascii="Times New Roman" w:hAnsi="Times New Roman" w:cstheme="minorHAnsi"/>
      <w:szCs w:val="20"/>
    </w:rPr>
  </w:style>
  <w:style w:type="paragraph" w:styleId="NormalIndent">
    <w:name w:val="Normal Indent"/>
    <w:basedOn w:val="Normal"/>
    <w:uiPriority w:val="99"/>
    <w:unhideWhenUsed/>
    <w:rsid w:val="008B53E2"/>
    <w:pPr>
      <w:keepLines/>
      <w:spacing w:before="0" w:after="0" w:line="240" w:lineRule="auto"/>
      <w:ind w:left="720"/>
    </w:pPr>
    <w:rPr>
      <w:sz w:val="22"/>
      <w:szCs w:val="20"/>
    </w:rPr>
  </w:style>
  <w:style w:type="paragraph" w:customStyle="1" w:styleId="numberedpara">
    <w:name w:val="numbered para"/>
    <w:basedOn w:val="Normal"/>
    <w:rsid w:val="008B53E2"/>
    <w:pPr>
      <w:numPr>
        <w:numId w:val="7"/>
      </w:numPr>
      <w:spacing w:before="0" w:after="0" w:line="240" w:lineRule="auto"/>
    </w:pPr>
    <w:rPr>
      <w:rFonts w:ascii="Calibri" w:eastAsiaTheme="minorHAnsi" w:hAnsi="Calibri" w:cs="Calibri"/>
      <w:sz w:val="22"/>
      <w:szCs w:val="22"/>
    </w:rPr>
  </w:style>
  <w:style w:type="character" w:styleId="CommentReference">
    <w:name w:val="annotation reference"/>
    <w:basedOn w:val="DefaultParagraphFont"/>
    <w:rsid w:val="003407F7"/>
    <w:rPr>
      <w:sz w:val="16"/>
      <w:szCs w:val="16"/>
    </w:rPr>
  </w:style>
  <w:style w:type="paragraph" w:styleId="CommentText">
    <w:name w:val="annotation text"/>
    <w:basedOn w:val="Normal"/>
    <w:link w:val="CommentTextChar"/>
    <w:rsid w:val="003407F7"/>
    <w:pPr>
      <w:spacing w:line="240" w:lineRule="auto"/>
    </w:pPr>
    <w:rPr>
      <w:szCs w:val="20"/>
    </w:rPr>
  </w:style>
  <w:style w:type="character" w:customStyle="1" w:styleId="CommentTextChar">
    <w:name w:val="Comment Text Char"/>
    <w:basedOn w:val="DefaultParagraphFont"/>
    <w:link w:val="CommentText"/>
    <w:rsid w:val="003407F7"/>
    <w:rPr>
      <w:rFonts w:ascii="Arial" w:hAnsi="Arial"/>
    </w:rPr>
  </w:style>
  <w:style w:type="paragraph" w:styleId="CommentSubject">
    <w:name w:val="annotation subject"/>
    <w:basedOn w:val="CommentText"/>
    <w:next w:val="CommentText"/>
    <w:link w:val="CommentSubjectChar"/>
    <w:rsid w:val="003407F7"/>
    <w:rPr>
      <w:b/>
      <w:bCs/>
    </w:rPr>
  </w:style>
  <w:style w:type="character" w:customStyle="1" w:styleId="CommentSubjectChar">
    <w:name w:val="Comment Subject Char"/>
    <w:basedOn w:val="CommentTextChar"/>
    <w:link w:val="CommentSubject"/>
    <w:rsid w:val="003407F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caption" w:semiHidden="1" w:unhideWhenUsed="1" w:qFormat="1"/>
    <w:lsdException w:name="footnote reference" w:uiPriority="99"/>
    <w:lsdException w:name="List Bullet" w:qFormat="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9"/>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aliases w:val="IPSP2"/>
    <w:basedOn w:val="Normal"/>
    <w:next w:val="Normal"/>
    <w:link w:val="Heading2Char"/>
    <w:uiPriority w:val="99"/>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aliases w:val="IPSP2 Char"/>
    <w:basedOn w:val="DefaultParagraphFont"/>
    <w:link w:val="Heading2"/>
    <w:uiPriority w:val="99"/>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9"/>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link w:val="ListParagraphChar"/>
    <w:uiPriority w:val="34"/>
    <w:qFormat/>
    <w:rsid w:val="00B7777F"/>
    <w:pPr>
      <w:spacing w:before="0"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B7777F"/>
    <w:rPr>
      <w:rFonts w:asciiTheme="minorHAnsi" w:eastAsiaTheme="minorEastAsia" w:hAnsiTheme="minorHAnsi" w:cstheme="minorBidi"/>
      <w:sz w:val="22"/>
      <w:szCs w:val="22"/>
      <w:lang w:eastAsia="en-US"/>
    </w:rPr>
  </w:style>
  <w:style w:type="paragraph" w:customStyle="1" w:styleId="Default">
    <w:name w:val="Default"/>
    <w:uiPriority w:val="99"/>
    <w:rsid w:val="00B7777F"/>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qFormat/>
    <w:rsid w:val="008B53E2"/>
    <w:rPr>
      <w:b/>
      <w:bCs/>
      <w:i/>
      <w:iCs/>
      <w:spacing w:val="10"/>
      <w:bdr w:val="none" w:sz="0" w:space="0" w:color="auto"/>
      <w:shd w:val="clear" w:color="auto" w:fill="auto"/>
    </w:rPr>
  </w:style>
  <w:style w:type="character" w:customStyle="1" w:styleId="NoteChar">
    <w:name w:val="Note Char"/>
    <w:basedOn w:val="DefaultParagraphFont"/>
    <w:link w:val="Note"/>
    <w:locked/>
    <w:rsid w:val="008B53E2"/>
    <w:rPr>
      <w:rFonts w:cstheme="minorHAnsi"/>
      <w:shd w:val="clear" w:color="auto" w:fill="EAF1DD"/>
    </w:rPr>
  </w:style>
  <w:style w:type="paragraph" w:customStyle="1" w:styleId="Note">
    <w:name w:val="Note"/>
    <w:basedOn w:val="Normal"/>
    <w:link w:val="NoteChar"/>
    <w:qFormat/>
    <w:rsid w:val="008B53E2"/>
    <w:pPr>
      <w:pBdr>
        <w:top w:val="single" w:sz="8" w:space="1" w:color="auto"/>
        <w:left w:val="single" w:sz="8" w:space="4" w:color="auto"/>
        <w:bottom w:val="single" w:sz="8" w:space="1" w:color="auto"/>
        <w:right w:val="single" w:sz="8" w:space="4" w:color="auto"/>
      </w:pBdr>
      <w:shd w:val="clear" w:color="auto" w:fill="EAF1DD"/>
      <w:spacing w:before="220" w:after="220" w:line="240" w:lineRule="auto"/>
      <w:jc w:val="both"/>
    </w:pPr>
    <w:rPr>
      <w:rFonts w:ascii="Times New Roman" w:hAnsi="Times New Roman" w:cstheme="minorHAnsi"/>
      <w:szCs w:val="20"/>
    </w:rPr>
  </w:style>
  <w:style w:type="character" w:customStyle="1" w:styleId="Heading1NumberedChar">
    <w:name w:val="Heading 1 Numbered Char"/>
    <w:basedOn w:val="DefaultParagraphFont"/>
    <w:link w:val="Heading1Numbered"/>
    <w:locked/>
    <w:rsid w:val="008B53E2"/>
    <w:rPr>
      <w:rFonts w:ascii="Calibri" w:eastAsiaTheme="majorEastAsia" w:hAnsi="Calibri" w:cs="Calibri"/>
      <w:b/>
      <w:bCs/>
      <w:iCs/>
      <w:color w:val="4F6228"/>
      <w:sz w:val="30"/>
      <w:szCs w:val="30"/>
    </w:rPr>
  </w:style>
  <w:style w:type="paragraph" w:customStyle="1" w:styleId="Heading1Numbered">
    <w:name w:val="Heading 1 Numbered"/>
    <w:basedOn w:val="Heading1"/>
    <w:link w:val="Heading1NumberedChar"/>
    <w:qFormat/>
    <w:rsid w:val="008B53E2"/>
    <w:pPr>
      <w:keepLines w:val="0"/>
      <w:widowControl w:val="0"/>
      <w:suppressAutoHyphens/>
      <w:autoSpaceDE w:val="0"/>
      <w:autoSpaceDN w:val="0"/>
      <w:adjustRightInd w:val="0"/>
      <w:spacing w:after="240" w:line="250" w:lineRule="atLeast"/>
      <w:contextualSpacing w:val="0"/>
    </w:pPr>
    <w:rPr>
      <w:rFonts w:ascii="Calibri" w:eastAsiaTheme="majorEastAsia" w:hAnsi="Calibri" w:cs="Calibri"/>
      <w:b/>
      <w:iCs/>
      <w:color w:val="4F6228"/>
      <w:kern w:val="0"/>
      <w:sz w:val="30"/>
      <w:szCs w:val="30"/>
    </w:rPr>
  </w:style>
  <w:style w:type="character" w:customStyle="1" w:styleId="StepsLvl2Char">
    <w:name w:val="Steps Lvl 2 Char"/>
    <w:basedOn w:val="DefaultParagraphFont"/>
    <w:link w:val="StepsLvl2"/>
    <w:locked/>
    <w:rsid w:val="008B53E2"/>
    <w:rPr>
      <w:rFonts w:cstheme="minorHAnsi"/>
    </w:rPr>
  </w:style>
  <w:style w:type="paragraph" w:customStyle="1" w:styleId="StepsLvl2">
    <w:name w:val="Steps Lvl 2"/>
    <w:basedOn w:val="Normal"/>
    <w:link w:val="StepsLvl2Char"/>
    <w:qFormat/>
    <w:rsid w:val="008B53E2"/>
    <w:pPr>
      <w:numPr>
        <w:numId w:val="4"/>
      </w:numPr>
      <w:spacing w:before="220" w:after="220" w:line="240" w:lineRule="auto"/>
      <w:jc w:val="both"/>
    </w:pPr>
    <w:rPr>
      <w:rFonts w:ascii="Times New Roman" w:hAnsi="Times New Roman" w:cstheme="minorHAnsi"/>
      <w:szCs w:val="20"/>
    </w:rPr>
  </w:style>
  <w:style w:type="paragraph" w:styleId="NormalIndent">
    <w:name w:val="Normal Indent"/>
    <w:basedOn w:val="Normal"/>
    <w:uiPriority w:val="99"/>
    <w:unhideWhenUsed/>
    <w:rsid w:val="008B53E2"/>
    <w:pPr>
      <w:keepLines/>
      <w:spacing w:before="0" w:after="0" w:line="240" w:lineRule="auto"/>
      <w:ind w:left="720"/>
    </w:pPr>
    <w:rPr>
      <w:sz w:val="22"/>
      <w:szCs w:val="20"/>
    </w:rPr>
  </w:style>
  <w:style w:type="paragraph" w:customStyle="1" w:styleId="numberedpara">
    <w:name w:val="numbered para"/>
    <w:basedOn w:val="Normal"/>
    <w:rsid w:val="008B53E2"/>
    <w:pPr>
      <w:numPr>
        <w:numId w:val="7"/>
      </w:numPr>
      <w:spacing w:before="0" w:after="0" w:line="240" w:lineRule="auto"/>
    </w:pPr>
    <w:rPr>
      <w:rFonts w:ascii="Calibri" w:eastAsiaTheme="minorHAnsi" w:hAnsi="Calibri" w:cs="Calibri"/>
      <w:sz w:val="22"/>
      <w:szCs w:val="22"/>
    </w:rPr>
  </w:style>
  <w:style w:type="character" w:styleId="CommentReference">
    <w:name w:val="annotation reference"/>
    <w:basedOn w:val="DefaultParagraphFont"/>
    <w:rsid w:val="003407F7"/>
    <w:rPr>
      <w:sz w:val="16"/>
      <w:szCs w:val="16"/>
    </w:rPr>
  </w:style>
  <w:style w:type="paragraph" w:styleId="CommentText">
    <w:name w:val="annotation text"/>
    <w:basedOn w:val="Normal"/>
    <w:link w:val="CommentTextChar"/>
    <w:rsid w:val="003407F7"/>
    <w:pPr>
      <w:spacing w:line="240" w:lineRule="auto"/>
    </w:pPr>
    <w:rPr>
      <w:szCs w:val="20"/>
    </w:rPr>
  </w:style>
  <w:style w:type="character" w:customStyle="1" w:styleId="CommentTextChar">
    <w:name w:val="Comment Text Char"/>
    <w:basedOn w:val="DefaultParagraphFont"/>
    <w:link w:val="CommentText"/>
    <w:rsid w:val="003407F7"/>
    <w:rPr>
      <w:rFonts w:ascii="Arial" w:hAnsi="Arial"/>
    </w:rPr>
  </w:style>
  <w:style w:type="paragraph" w:styleId="CommentSubject">
    <w:name w:val="annotation subject"/>
    <w:basedOn w:val="CommentText"/>
    <w:next w:val="CommentText"/>
    <w:link w:val="CommentSubjectChar"/>
    <w:rsid w:val="003407F7"/>
    <w:rPr>
      <w:b/>
      <w:bCs/>
    </w:rPr>
  </w:style>
  <w:style w:type="character" w:customStyle="1" w:styleId="CommentSubjectChar">
    <w:name w:val="Comment Subject Char"/>
    <w:basedOn w:val="CommentTextChar"/>
    <w:link w:val="CommentSubject"/>
    <w:rsid w:val="003407F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ides.dss.gov.au/guide-social-security-law/1/1/r/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73DB-3AB8-47D5-9045-63A4A77B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2195</Words>
  <Characters>13669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IPSP Fact Sheet 3: Documentary evidence for Inclusion Support Subsidy</vt:lpstr>
    </vt:vector>
  </TitlesOfParts>
  <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IPSP Fact Sheet 3: Documentary evidence for Inclusion Support Subsidy</dc:title>
  <dc:creator/>
  <cp:lastModifiedBy/>
  <cp:revision>1</cp:revision>
  <dcterms:created xsi:type="dcterms:W3CDTF">2015-05-25T04:39:00Z</dcterms:created>
  <dcterms:modified xsi:type="dcterms:W3CDTF">2015-06-09T01:19:00Z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