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50" w:rsidRDefault="008C5950" w:rsidP="00772F33">
      <w:pPr>
        <w:spacing w:before="0" w:after="240"/>
        <w:jc w:val="right"/>
      </w:pPr>
      <w:r>
        <w:rPr>
          <w:noProof/>
        </w:rPr>
        <w:drawing>
          <wp:inline distT="0" distB="0" distL="0" distR="0" wp14:anchorId="0ECD0D07" wp14:editId="6B798AD9">
            <wp:extent cx="6624000" cy="922047"/>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4000" cy="922047"/>
                    </a:xfrm>
                    <a:prstGeom prst="rect">
                      <a:avLst/>
                    </a:prstGeom>
                  </pic:spPr>
                </pic:pic>
              </a:graphicData>
            </a:graphic>
          </wp:inline>
        </w:drawing>
      </w:r>
      <w:r w:rsidR="00772F33" w:rsidRPr="00772F33">
        <w:rPr>
          <w:color w:val="FF0000"/>
        </w:rPr>
        <w:t xml:space="preserve"> </w:t>
      </w:r>
      <w:r w:rsidR="00772F33" w:rsidRPr="00772F33">
        <w:rPr>
          <w:sz w:val="16"/>
          <w:szCs w:val="16"/>
        </w:rPr>
        <w:t>DSS1591.05.15</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lexible Support Funding Limits"/>
      </w:tblPr>
      <w:tblGrid>
        <w:gridCol w:w="6379"/>
        <w:gridCol w:w="2630"/>
      </w:tblGrid>
      <w:tr w:rsidR="00EE6223" w:rsidRPr="000F2A63" w:rsidTr="006A4EC6">
        <w:trPr>
          <w:tblHeader/>
        </w:trPr>
        <w:tc>
          <w:tcPr>
            <w:tcW w:w="6379" w:type="dxa"/>
          </w:tcPr>
          <w:p w:rsidR="00EE6223" w:rsidRPr="000F2A63" w:rsidRDefault="00EE6223" w:rsidP="006A4EC6">
            <w:pPr>
              <w:pStyle w:val="Title"/>
              <w:rPr>
                <w:szCs w:val="66"/>
              </w:rPr>
            </w:pPr>
            <w:bookmarkStart w:id="0" w:name="_GoBack"/>
            <w:r w:rsidRPr="000F2A63">
              <w:rPr>
                <w:szCs w:val="66"/>
              </w:rPr>
              <w:t>Compliance Information Sheet</w:t>
            </w:r>
            <w:bookmarkEnd w:id="0"/>
          </w:p>
        </w:tc>
        <w:tc>
          <w:tcPr>
            <w:tcW w:w="2630" w:type="dxa"/>
          </w:tcPr>
          <w:p w:rsidR="00EE6223" w:rsidRPr="000F2A63" w:rsidRDefault="00EE6223" w:rsidP="006A4EC6">
            <w:pPr>
              <w:pStyle w:val="Title"/>
              <w:jc w:val="right"/>
              <w:rPr>
                <w:szCs w:val="66"/>
              </w:rPr>
            </w:pPr>
            <w:r w:rsidRPr="000F2A63">
              <w:rPr>
                <w:noProof/>
                <w:szCs w:val="66"/>
              </w:rPr>
              <w:drawing>
                <wp:inline distT="0" distB="0" distL="0" distR="0" wp14:anchorId="52D7CE75" wp14:editId="3C183CB0">
                  <wp:extent cx="1466850" cy="1010121"/>
                  <wp:effectExtent l="0" t="0" r="0" b="0"/>
                  <wp:docPr id="1" name="Picture 1" descr="Inclusion and Professional Support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3017" cy="1014368"/>
                          </a:xfrm>
                          <a:prstGeom prst="rect">
                            <a:avLst/>
                          </a:prstGeom>
                        </pic:spPr>
                      </pic:pic>
                    </a:graphicData>
                  </a:graphic>
                </wp:inline>
              </w:drawing>
            </w:r>
          </w:p>
        </w:tc>
      </w:tr>
    </w:tbl>
    <w:p w:rsidR="00C772C6" w:rsidRPr="00956ACA" w:rsidRDefault="001A594D" w:rsidP="00C772C6">
      <w:pPr>
        <w:pStyle w:val="Subtitle"/>
      </w:pPr>
      <w:r w:rsidRPr="00956ACA">
        <w:t>Inclusion Support Subsidy</w:t>
      </w:r>
      <w:bookmarkStart w:id="1" w:name="_Toc391890680"/>
    </w:p>
    <w:p w:rsidR="00C772C6" w:rsidRDefault="00C772C6" w:rsidP="00C772C6">
      <w:pPr>
        <w:pStyle w:val="Subtitle"/>
        <w:spacing w:before="120" w:after="120" w:line="240" w:lineRule="atLeast"/>
      </w:pPr>
    </w:p>
    <w:p w:rsidR="00C772C6" w:rsidRDefault="00C772C6" w:rsidP="00C772C6">
      <w:pPr>
        <w:pStyle w:val="Subtitle"/>
        <w:spacing w:before="120" w:after="120" w:line="240" w:lineRule="atLeast"/>
        <w:rPr>
          <w:rFonts w:ascii="Arial" w:eastAsia="Times New Roman" w:hAnsi="Arial" w:cstheme="minorHAnsi"/>
          <w:iCs w:val="0"/>
          <w:color w:val="auto"/>
          <w:sz w:val="20"/>
          <w:szCs w:val="20"/>
        </w:rPr>
      </w:pPr>
      <w:r w:rsidRPr="00C772C6">
        <w:rPr>
          <w:rFonts w:ascii="Arial" w:eastAsia="Times New Roman" w:hAnsi="Arial" w:cstheme="minorHAnsi"/>
          <w:iCs w:val="0"/>
          <w:color w:val="auto"/>
          <w:sz w:val="20"/>
          <w:szCs w:val="20"/>
        </w:rPr>
        <w:t xml:space="preserve">The Department of </w:t>
      </w:r>
      <w:r>
        <w:rPr>
          <w:rFonts w:ascii="Arial" w:eastAsia="Times New Roman" w:hAnsi="Arial" w:cstheme="minorHAnsi"/>
          <w:iCs w:val="0"/>
          <w:color w:val="auto"/>
          <w:sz w:val="20"/>
          <w:szCs w:val="20"/>
        </w:rPr>
        <w:t>Social Services</w:t>
      </w:r>
      <w:r w:rsidRPr="00C772C6">
        <w:rPr>
          <w:rFonts w:ascii="Arial" w:eastAsia="Times New Roman" w:hAnsi="Arial" w:cstheme="minorHAnsi"/>
          <w:iCs w:val="0"/>
          <w:color w:val="auto"/>
          <w:sz w:val="20"/>
          <w:szCs w:val="20"/>
        </w:rPr>
        <w:t xml:space="preserve"> conducts compliance activities across child care </w:t>
      </w:r>
      <w:r>
        <w:rPr>
          <w:rFonts w:ascii="Arial" w:eastAsia="Times New Roman" w:hAnsi="Arial" w:cstheme="minorHAnsi"/>
          <w:iCs w:val="0"/>
          <w:color w:val="auto"/>
          <w:sz w:val="20"/>
          <w:szCs w:val="20"/>
        </w:rPr>
        <w:t xml:space="preserve">services </w:t>
      </w:r>
      <w:r w:rsidRPr="00C772C6">
        <w:rPr>
          <w:rFonts w:ascii="Arial" w:eastAsia="Times New Roman" w:hAnsi="Arial" w:cstheme="minorHAnsi"/>
          <w:iCs w:val="0"/>
          <w:color w:val="auto"/>
          <w:sz w:val="20"/>
          <w:szCs w:val="20"/>
        </w:rPr>
        <w:t xml:space="preserve">receiving the Inclusion Support Subsidy (ISS) including Family Day Care and In Home Care providers. Compliance activities aim to assist services to use and correctly claim ISS and ensure they are operating in accordance with their ISS Approval, ISS Conditions of Funding and the Inclusion and Professional </w:t>
      </w:r>
      <w:r>
        <w:rPr>
          <w:rFonts w:ascii="Arial" w:eastAsia="Times New Roman" w:hAnsi="Arial" w:cstheme="minorHAnsi"/>
          <w:iCs w:val="0"/>
          <w:color w:val="auto"/>
          <w:sz w:val="20"/>
          <w:szCs w:val="20"/>
        </w:rPr>
        <w:t>Support Program</w:t>
      </w:r>
      <w:r w:rsidR="00917584">
        <w:rPr>
          <w:rFonts w:ascii="Arial" w:eastAsia="Times New Roman" w:hAnsi="Arial" w:cstheme="minorHAnsi"/>
          <w:iCs w:val="0"/>
          <w:color w:val="auto"/>
          <w:sz w:val="20"/>
          <w:szCs w:val="20"/>
        </w:rPr>
        <w:t xml:space="preserve"> (IPSP)</w:t>
      </w:r>
      <w:r>
        <w:rPr>
          <w:rFonts w:ascii="Arial" w:eastAsia="Times New Roman" w:hAnsi="Arial" w:cstheme="minorHAnsi"/>
          <w:iCs w:val="0"/>
          <w:color w:val="auto"/>
          <w:sz w:val="20"/>
          <w:szCs w:val="20"/>
        </w:rPr>
        <w:t xml:space="preserve"> Guidelines 2013</w:t>
      </w:r>
      <w:r w:rsidRPr="00C772C6">
        <w:rPr>
          <w:rFonts w:ascii="Arial" w:eastAsia="Times New Roman" w:hAnsi="Arial" w:cstheme="minorHAnsi"/>
          <w:iCs w:val="0"/>
          <w:color w:val="auto"/>
          <w:sz w:val="20"/>
          <w:szCs w:val="20"/>
        </w:rPr>
        <w:t>–2016.</w:t>
      </w:r>
    </w:p>
    <w:p w:rsidR="00C772C6" w:rsidRPr="00C772C6" w:rsidRDefault="00C772C6" w:rsidP="00C772C6">
      <w:pPr>
        <w:rPr>
          <w:rFonts w:cstheme="minorHAnsi"/>
          <w:iCs/>
          <w:szCs w:val="20"/>
        </w:rPr>
      </w:pPr>
      <w:r>
        <w:t>The Department’s compliance goals are:</w:t>
      </w:r>
    </w:p>
    <w:p w:rsidR="00C772C6" w:rsidRPr="00C772C6" w:rsidRDefault="00DE39A8" w:rsidP="00C772C6">
      <w:pPr>
        <w:pStyle w:val="ListParagraph"/>
        <w:numPr>
          <w:ilvl w:val="0"/>
          <w:numId w:val="61"/>
        </w:numPr>
        <w:spacing w:before="120" w:after="120" w:line="240" w:lineRule="atLeast"/>
        <w:rPr>
          <w:rFonts w:cstheme="minorHAnsi"/>
          <w:sz w:val="20"/>
          <w:szCs w:val="20"/>
          <w:lang w:eastAsia="en-AU"/>
        </w:rPr>
      </w:pPr>
      <w:r>
        <w:rPr>
          <w:rFonts w:cstheme="minorHAnsi"/>
          <w:sz w:val="20"/>
          <w:szCs w:val="20"/>
          <w:lang w:eastAsia="en-AU"/>
        </w:rPr>
        <w:t>t</w:t>
      </w:r>
      <w:r w:rsidR="00C772C6" w:rsidRPr="00C772C6">
        <w:rPr>
          <w:rFonts w:cstheme="minorHAnsi"/>
          <w:sz w:val="20"/>
          <w:szCs w:val="20"/>
          <w:lang w:eastAsia="en-AU"/>
        </w:rPr>
        <w:t>hat all funding recipients are provided with the information they require to voluntarily comply with all of their funding obligations</w:t>
      </w:r>
    </w:p>
    <w:p w:rsidR="00C772C6" w:rsidRPr="00C772C6" w:rsidRDefault="00DE39A8" w:rsidP="00C772C6">
      <w:pPr>
        <w:pStyle w:val="ListParagraph"/>
        <w:numPr>
          <w:ilvl w:val="0"/>
          <w:numId w:val="61"/>
        </w:numPr>
        <w:spacing w:before="120" w:after="120" w:line="240" w:lineRule="atLeast"/>
        <w:rPr>
          <w:rFonts w:cstheme="minorHAnsi"/>
          <w:sz w:val="20"/>
          <w:szCs w:val="20"/>
          <w:lang w:eastAsia="en-AU"/>
        </w:rPr>
      </w:pPr>
      <w:proofErr w:type="gramStart"/>
      <w:r>
        <w:rPr>
          <w:rFonts w:cstheme="minorHAnsi"/>
          <w:sz w:val="20"/>
          <w:szCs w:val="20"/>
          <w:lang w:eastAsia="en-AU"/>
        </w:rPr>
        <w:t>t</w:t>
      </w:r>
      <w:r w:rsidR="00C772C6" w:rsidRPr="00C772C6">
        <w:rPr>
          <w:rFonts w:cstheme="minorHAnsi"/>
          <w:sz w:val="20"/>
          <w:szCs w:val="20"/>
          <w:lang w:eastAsia="en-AU"/>
        </w:rPr>
        <w:t>o</w:t>
      </w:r>
      <w:proofErr w:type="gramEnd"/>
      <w:r w:rsidR="00C772C6" w:rsidRPr="00C772C6">
        <w:rPr>
          <w:rFonts w:cstheme="minorHAnsi"/>
          <w:sz w:val="20"/>
          <w:szCs w:val="20"/>
          <w:lang w:eastAsia="en-AU"/>
        </w:rPr>
        <w:t xml:space="preserve"> detect cases where this is not occurring and take appropriate corrective action. </w:t>
      </w:r>
    </w:p>
    <w:p w:rsidR="00C772C6" w:rsidRPr="00956ACA" w:rsidRDefault="00C772C6" w:rsidP="00956ACA">
      <w:pPr>
        <w:rPr>
          <w:b/>
          <w:sz w:val="24"/>
        </w:rPr>
      </w:pPr>
      <w:r w:rsidRPr="00956ACA">
        <w:rPr>
          <w:b/>
          <w:sz w:val="24"/>
        </w:rPr>
        <w:t>Compliance Model</w:t>
      </w:r>
    </w:p>
    <w:p w:rsidR="00C772C6" w:rsidRPr="00C772C6" w:rsidRDefault="00C772C6" w:rsidP="00C772C6">
      <w:pPr>
        <w:rPr>
          <w:rFonts w:cstheme="minorHAnsi"/>
          <w:szCs w:val="20"/>
        </w:rPr>
      </w:pPr>
      <w:r w:rsidRPr="00C772C6">
        <w:rPr>
          <w:rFonts w:cstheme="minorHAnsi"/>
          <w:szCs w:val="20"/>
        </w:rPr>
        <w:t xml:space="preserve">The Department’s compliance model consists of four strategies to ensure correct use and claiming of ISS funding. These strategies are prevention, deterrence, detection and correction. </w:t>
      </w:r>
    </w:p>
    <w:p w:rsidR="00C772C6" w:rsidRPr="00C772C6" w:rsidRDefault="00C772C6" w:rsidP="00C772C6">
      <w:pPr>
        <w:rPr>
          <w:rFonts w:cstheme="minorHAnsi"/>
          <w:b/>
          <w:szCs w:val="20"/>
          <w:u w:val="single"/>
        </w:rPr>
      </w:pPr>
      <w:r w:rsidRPr="00C772C6">
        <w:rPr>
          <w:rFonts w:cstheme="minorHAnsi"/>
          <w:b/>
          <w:szCs w:val="20"/>
          <w:u w:val="single"/>
        </w:rPr>
        <w:t>Prevention</w:t>
      </w:r>
    </w:p>
    <w:p w:rsidR="00C772C6" w:rsidRPr="00C772C6" w:rsidRDefault="00C772C6" w:rsidP="00C772C6">
      <w:pPr>
        <w:rPr>
          <w:rFonts w:cstheme="minorHAnsi"/>
          <w:szCs w:val="20"/>
        </w:rPr>
      </w:pPr>
      <w:r w:rsidRPr="00C772C6">
        <w:rPr>
          <w:rFonts w:cstheme="minorHAnsi"/>
          <w:szCs w:val="20"/>
        </w:rPr>
        <w:t xml:space="preserve">Prevention is the primary focus of the Department’s compliance approach. Most services strive to be compliant with ISS funding obligations and the Department is committed to supporting services to comply by ensuring </w:t>
      </w:r>
      <w:r w:rsidR="00DE39A8">
        <w:rPr>
          <w:rFonts w:cstheme="minorHAnsi"/>
          <w:szCs w:val="20"/>
        </w:rPr>
        <w:t xml:space="preserve">the </w:t>
      </w:r>
      <w:r w:rsidRPr="00C772C6">
        <w:rPr>
          <w:rFonts w:cstheme="minorHAnsi"/>
          <w:szCs w:val="20"/>
        </w:rPr>
        <w:t xml:space="preserve">Program Guidelines, Fact Sheets and communication materials are clear for services to understand their obligations. </w:t>
      </w:r>
    </w:p>
    <w:p w:rsidR="00C772C6" w:rsidRPr="00C772C6" w:rsidRDefault="00C772C6" w:rsidP="00C772C6">
      <w:pPr>
        <w:rPr>
          <w:rFonts w:cstheme="minorHAnsi"/>
          <w:b/>
          <w:szCs w:val="20"/>
          <w:u w:val="single"/>
        </w:rPr>
      </w:pPr>
      <w:r w:rsidRPr="00C772C6">
        <w:rPr>
          <w:rFonts w:cstheme="minorHAnsi"/>
          <w:b/>
          <w:szCs w:val="20"/>
          <w:u w:val="single"/>
        </w:rPr>
        <w:t>Deterrence</w:t>
      </w:r>
    </w:p>
    <w:p w:rsidR="00C772C6" w:rsidRPr="00C772C6" w:rsidRDefault="00C772C6" w:rsidP="00C772C6">
      <w:pPr>
        <w:rPr>
          <w:rFonts w:cstheme="minorHAnsi"/>
          <w:szCs w:val="20"/>
        </w:rPr>
      </w:pPr>
      <w:r w:rsidRPr="00C772C6">
        <w:rPr>
          <w:rFonts w:cstheme="minorHAnsi"/>
          <w:szCs w:val="20"/>
        </w:rPr>
        <w:t>Deterrence aims to increase the proportion of services that voluntarily comply with their obligations. Deterrence strategies include ensuring services understand their obligations, the Department’s compliance goals, monitoring mechanisms and the risks and penalties associated</w:t>
      </w:r>
      <w:r w:rsidR="00DE39A8">
        <w:rPr>
          <w:rFonts w:cstheme="minorHAnsi"/>
          <w:szCs w:val="20"/>
        </w:rPr>
        <w:t xml:space="preserve"> with non</w:t>
      </w:r>
      <w:r w:rsidR="00DE39A8">
        <w:rPr>
          <w:rFonts w:cstheme="minorHAnsi"/>
          <w:szCs w:val="20"/>
        </w:rPr>
        <w:noBreakHyphen/>
      </w:r>
      <w:r w:rsidRPr="00C772C6">
        <w:rPr>
          <w:rFonts w:cstheme="minorHAnsi"/>
          <w:szCs w:val="20"/>
        </w:rPr>
        <w:t xml:space="preserve">compliance. </w:t>
      </w:r>
    </w:p>
    <w:p w:rsidR="00C772C6" w:rsidRPr="00C772C6" w:rsidRDefault="00C772C6" w:rsidP="00C772C6">
      <w:pPr>
        <w:rPr>
          <w:rFonts w:cstheme="minorHAnsi"/>
          <w:b/>
          <w:szCs w:val="20"/>
          <w:u w:val="single"/>
        </w:rPr>
      </w:pPr>
      <w:r w:rsidRPr="00C772C6">
        <w:rPr>
          <w:rFonts w:cstheme="minorHAnsi"/>
          <w:b/>
          <w:szCs w:val="20"/>
          <w:u w:val="single"/>
        </w:rPr>
        <w:t>Detection</w:t>
      </w:r>
    </w:p>
    <w:p w:rsidR="00C772C6" w:rsidRPr="00C772C6" w:rsidRDefault="00C772C6" w:rsidP="00C772C6">
      <w:pPr>
        <w:rPr>
          <w:rFonts w:cstheme="minorHAnsi"/>
          <w:szCs w:val="20"/>
        </w:rPr>
      </w:pPr>
      <w:r w:rsidRPr="00C772C6">
        <w:rPr>
          <w:rFonts w:cstheme="minorHAnsi"/>
          <w:szCs w:val="20"/>
        </w:rPr>
        <w:t>Detection strategies are designed to identify potential non-compliance.  Non-compliance may be identified through the Department’s analysis of administrative data or complaints and feedback.  In relation to ISS, triggers which may alert the Department to non-compliance include:</w:t>
      </w:r>
    </w:p>
    <w:p w:rsidR="00C772C6" w:rsidRPr="00C772C6" w:rsidRDefault="00C772C6" w:rsidP="00C772C6">
      <w:pPr>
        <w:pStyle w:val="ListParagraph"/>
        <w:numPr>
          <w:ilvl w:val="0"/>
          <w:numId w:val="62"/>
        </w:numPr>
        <w:spacing w:before="120" w:after="120" w:line="240" w:lineRule="atLeast"/>
        <w:rPr>
          <w:rFonts w:cstheme="minorHAnsi"/>
          <w:sz w:val="20"/>
          <w:szCs w:val="20"/>
          <w:lang w:eastAsia="en-AU"/>
        </w:rPr>
      </w:pPr>
      <w:r w:rsidRPr="00C772C6">
        <w:rPr>
          <w:rFonts w:cstheme="minorHAnsi"/>
          <w:sz w:val="20"/>
          <w:szCs w:val="20"/>
          <w:lang w:eastAsia="en-AU"/>
        </w:rPr>
        <w:t>an amount or frequency of claims that vary from sector norms</w:t>
      </w:r>
    </w:p>
    <w:p w:rsidR="00C772C6" w:rsidRPr="00C772C6" w:rsidRDefault="00C772C6" w:rsidP="00C772C6">
      <w:pPr>
        <w:pStyle w:val="ListParagraph"/>
        <w:numPr>
          <w:ilvl w:val="0"/>
          <w:numId w:val="62"/>
        </w:numPr>
        <w:spacing w:before="120" w:after="120" w:line="240" w:lineRule="atLeast"/>
        <w:rPr>
          <w:rFonts w:cstheme="minorHAnsi"/>
          <w:sz w:val="20"/>
          <w:szCs w:val="20"/>
          <w:lang w:eastAsia="en-AU"/>
        </w:rPr>
      </w:pPr>
      <w:r w:rsidRPr="00C772C6">
        <w:rPr>
          <w:rFonts w:cstheme="minorHAnsi"/>
          <w:sz w:val="20"/>
          <w:szCs w:val="20"/>
          <w:lang w:eastAsia="en-AU"/>
        </w:rPr>
        <w:t>intelligence about suspected fraudulent behaviour received through IPSP providers or other sources</w:t>
      </w:r>
    </w:p>
    <w:p w:rsidR="00C772C6" w:rsidRPr="00C772C6" w:rsidRDefault="00C772C6" w:rsidP="00C772C6">
      <w:pPr>
        <w:pStyle w:val="ListParagraph"/>
        <w:numPr>
          <w:ilvl w:val="0"/>
          <w:numId w:val="62"/>
        </w:numPr>
        <w:spacing w:before="120" w:after="120" w:line="240" w:lineRule="atLeast"/>
        <w:rPr>
          <w:rFonts w:cstheme="minorHAnsi"/>
          <w:sz w:val="20"/>
          <w:szCs w:val="20"/>
          <w:lang w:eastAsia="en-AU"/>
        </w:rPr>
      </w:pPr>
      <w:proofErr w:type="gramStart"/>
      <w:r w:rsidRPr="00C772C6">
        <w:rPr>
          <w:rFonts w:cstheme="minorHAnsi"/>
          <w:sz w:val="20"/>
          <w:szCs w:val="20"/>
          <w:lang w:eastAsia="en-AU"/>
        </w:rPr>
        <w:t>a</w:t>
      </w:r>
      <w:proofErr w:type="gramEnd"/>
      <w:r w:rsidRPr="00C772C6">
        <w:rPr>
          <w:rFonts w:cstheme="minorHAnsi"/>
          <w:sz w:val="20"/>
          <w:szCs w:val="20"/>
          <w:lang w:eastAsia="en-AU"/>
        </w:rPr>
        <w:t xml:space="preserve"> past record of non-compliance and/or debt recovery activity</w:t>
      </w:r>
      <w:r w:rsidR="006476D2">
        <w:rPr>
          <w:rFonts w:cstheme="minorHAnsi"/>
          <w:sz w:val="20"/>
          <w:szCs w:val="20"/>
          <w:lang w:eastAsia="en-AU"/>
        </w:rPr>
        <w:t>.</w:t>
      </w:r>
    </w:p>
    <w:p w:rsidR="00C772C6" w:rsidRPr="00C772C6" w:rsidRDefault="00C772C6" w:rsidP="00C772C6">
      <w:pPr>
        <w:rPr>
          <w:rFonts w:cstheme="minorHAnsi"/>
          <w:b/>
          <w:szCs w:val="20"/>
          <w:u w:val="single"/>
        </w:rPr>
      </w:pPr>
      <w:r w:rsidRPr="00C772C6">
        <w:rPr>
          <w:rFonts w:cstheme="minorHAnsi"/>
          <w:b/>
          <w:szCs w:val="20"/>
          <w:u w:val="single"/>
        </w:rPr>
        <w:t>Correction</w:t>
      </w:r>
    </w:p>
    <w:p w:rsidR="00C772C6" w:rsidRPr="00C772C6" w:rsidRDefault="00C772C6" w:rsidP="00C772C6">
      <w:pPr>
        <w:rPr>
          <w:rFonts w:cstheme="minorHAnsi"/>
          <w:szCs w:val="20"/>
        </w:rPr>
      </w:pPr>
      <w:r w:rsidRPr="00C772C6">
        <w:rPr>
          <w:rFonts w:cstheme="minorHAnsi"/>
          <w:szCs w:val="20"/>
        </w:rPr>
        <w:t>If non-compliance has occurred the Department has a range of options available.  Correction strategies may include one or more of the following actions:</w:t>
      </w:r>
    </w:p>
    <w:p w:rsidR="00C772C6" w:rsidRPr="00C772C6" w:rsidRDefault="00C001E8" w:rsidP="00C772C6">
      <w:pPr>
        <w:pStyle w:val="ListParagraph"/>
        <w:numPr>
          <w:ilvl w:val="0"/>
          <w:numId w:val="63"/>
        </w:numPr>
        <w:spacing w:before="120" w:after="120" w:line="240" w:lineRule="atLeast"/>
        <w:rPr>
          <w:rFonts w:cstheme="minorHAnsi"/>
          <w:sz w:val="20"/>
          <w:szCs w:val="20"/>
          <w:lang w:eastAsia="en-AU"/>
        </w:rPr>
      </w:pPr>
      <w:r>
        <w:rPr>
          <w:rFonts w:cstheme="minorHAnsi"/>
          <w:sz w:val="20"/>
          <w:szCs w:val="20"/>
          <w:lang w:eastAsia="en-AU"/>
        </w:rPr>
        <w:lastRenderedPageBreak/>
        <w:t>R</w:t>
      </w:r>
      <w:r w:rsidR="00C772C6" w:rsidRPr="00C772C6">
        <w:rPr>
          <w:rFonts w:cstheme="minorHAnsi"/>
          <w:sz w:val="20"/>
          <w:szCs w:val="20"/>
          <w:lang w:eastAsia="en-AU"/>
        </w:rPr>
        <w:t>ecovering any payments that the service was not entitled to</w:t>
      </w:r>
      <w:r>
        <w:rPr>
          <w:rFonts w:cstheme="minorHAnsi"/>
          <w:sz w:val="20"/>
          <w:szCs w:val="20"/>
          <w:lang w:eastAsia="en-AU"/>
        </w:rPr>
        <w:t>.</w:t>
      </w:r>
    </w:p>
    <w:p w:rsidR="00C772C6" w:rsidRPr="00C772C6" w:rsidRDefault="00C001E8" w:rsidP="00C772C6">
      <w:pPr>
        <w:pStyle w:val="ListParagraph"/>
        <w:numPr>
          <w:ilvl w:val="0"/>
          <w:numId w:val="63"/>
        </w:numPr>
        <w:spacing w:before="120" w:after="120" w:line="240" w:lineRule="atLeast"/>
        <w:rPr>
          <w:rFonts w:cstheme="minorHAnsi"/>
          <w:sz w:val="20"/>
          <w:szCs w:val="20"/>
          <w:lang w:eastAsia="en-AU"/>
        </w:rPr>
      </w:pPr>
      <w:r>
        <w:rPr>
          <w:rFonts w:cstheme="minorHAnsi"/>
          <w:sz w:val="20"/>
          <w:szCs w:val="20"/>
          <w:lang w:eastAsia="en-AU"/>
        </w:rPr>
        <w:t>S</w:t>
      </w:r>
      <w:r w:rsidR="00C772C6" w:rsidRPr="00C772C6">
        <w:rPr>
          <w:rFonts w:cstheme="minorHAnsi"/>
          <w:sz w:val="20"/>
          <w:szCs w:val="20"/>
          <w:lang w:eastAsia="en-AU"/>
        </w:rPr>
        <w:t>uspending, withholding or deferring future payments</w:t>
      </w:r>
      <w:r>
        <w:rPr>
          <w:rFonts w:cstheme="minorHAnsi"/>
          <w:sz w:val="20"/>
          <w:szCs w:val="20"/>
          <w:lang w:eastAsia="en-AU"/>
        </w:rPr>
        <w:t>.</w:t>
      </w:r>
    </w:p>
    <w:p w:rsidR="00C772C6" w:rsidRPr="00C772C6" w:rsidRDefault="00C001E8" w:rsidP="00C772C6">
      <w:pPr>
        <w:pStyle w:val="ListParagraph"/>
        <w:numPr>
          <w:ilvl w:val="0"/>
          <w:numId w:val="63"/>
        </w:numPr>
        <w:spacing w:before="120" w:after="120" w:line="240" w:lineRule="atLeast"/>
        <w:ind w:left="1003" w:hanging="357"/>
        <w:rPr>
          <w:rFonts w:cstheme="minorHAnsi"/>
          <w:sz w:val="20"/>
          <w:szCs w:val="20"/>
          <w:lang w:eastAsia="en-AU"/>
        </w:rPr>
      </w:pPr>
      <w:r>
        <w:rPr>
          <w:rFonts w:cstheme="minorHAnsi"/>
          <w:sz w:val="20"/>
          <w:szCs w:val="20"/>
          <w:lang w:eastAsia="en-AU"/>
        </w:rPr>
        <w:t>I</w:t>
      </w:r>
      <w:r w:rsidR="00C772C6" w:rsidRPr="00C772C6">
        <w:rPr>
          <w:rFonts w:cstheme="minorHAnsi"/>
          <w:sz w:val="20"/>
          <w:szCs w:val="20"/>
          <w:lang w:eastAsia="en-AU"/>
        </w:rPr>
        <w:t>mposing additional conditions on the payment of funding</w:t>
      </w:r>
      <w:r>
        <w:rPr>
          <w:rFonts w:cstheme="minorHAnsi"/>
          <w:sz w:val="20"/>
          <w:szCs w:val="20"/>
          <w:lang w:eastAsia="en-AU"/>
        </w:rPr>
        <w:t>.</w:t>
      </w:r>
    </w:p>
    <w:p w:rsidR="00C772C6" w:rsidRPr="00C772C6" w:rsidRDefault="00C001E8" w:rsidP="00C772C6">
      <w:pPr>
        <w:pStyle w:val="ListParagraph"/>
        <w:numPr>
          <w:ilvl w:val="0"/>
          <w:numId w:val="63"/>
        </w:numPr>
        <w:spacing w:before="120" w:after="120" w:line="240" w:lineRule="atLeast"/>
        <w:ind w:left="1003" w:hanging="357"/>
        <w:rPr>
          <w:rFonts w:cstheme="minorHAnsi"/>
          <w:sz w:val="20"/>
          <w:szCs w:val="20"/>
          <w:lang w:eastAsia="en-AU"/>
        </w:rPr>
      </w:pPr>
      <w:r>
        <w:rPr>
          <w:rFonts w:cstheme="minorHAnsi"/>
          <w:sz w:val="20"/>
          <w:szCs w:val="20"/>
          <w:lang w:eastAsia="en-AU"/>
        </w:rPr>
        <w:t>R</w:t>
      </w:r>
      <w:r w:rsidR="00C772C6" w:rsidRPr="00C772C6">
        <w:rPr>
          <w:rFonts w:cstheme="minorHAnsi"/>
          <w:sz w:val="20"/>
          <w:szCs w:val="20"/>
          <w:lang w:eastAsia="en-AU"/>
        </w:rPr>
        <w:t>eferral to the Department’s Fraud Investigation Branch</w:t>
      </w:r>
      <w:r>
        <w:rPr>
          <w:rFonts w:cstheme="minorHAnsi"/>
          <w:sz w:val="20"/>
          <w:szCs w:val="20"/>
          <w:lang w:eastAsia="en-AU"/>
        </w:rPr>
        <w:t>.</w:t>
      </w:r>
    </w:p>
    <w:p w:rsidR="00C772C6" w:rsidRPr="00C772C6" w:rsidRDefault="00C001E8" w:rsidP="00C772C6">
      <w:pPr>
        <w:pStyle w:val="ListParagraph"/>
        <w:numPr>
          <w:ilvl w:val="0"/>
          <w:numId w:val="63"/>
        </w:numPr>
        <w:spacing w:before="120" w:after="120" w:line="240" w:lineRule="atLeast"/>
        <w:ind w:left="1003" w:hanging="357"/>
        <w:rPr>
          <w:rFonts w:cstheme="minorHAnsi"/>
          <w:sz w:val="20"/>
          <w:szCs w:val="20"/>
          <w:lang w:eastAsia="en-AU"/>
        </w:rPr>
      </w:pPr>
      <w:r>
        <w:rPr>
          <w:rFonts w:cstheme="minorHAnsi"/>
          <w:sz w:val="20"/>
          <w:szCs w:val="20"/>
          <w:lang w:eastAsia="en-AU"/>
        </w:rPr>
        <w:t>I</w:t>
      </w:r>
      <w:r w:rsidR="00C772C6" w:rsidRPr="00C772C6">
        <w:rPr>
          <w:rFonts w:cstheme="minorHAnsi"/>
          <w:sz w:val="20"/>
          <w:szCs w:val="20"/>
          <w:lang w:eastAsia="en-AU"/>
        </w:rPr>
        <w:t xml:space="preserve">n cases of suspected criminal behaviour, referral of the matter to the Australian Federal Police. </w:t>
      </w:r>
    </w:p>
    <w:p w:rsidR="00C772C6" w:rsidRPr="00C772C6" w:rsidRDefault="00C772C6" w:rsidP="00C772C6">
      <w:pPr>
        <w:rPr>
          <w:rFonts w:cstheme="minorHAnsi"/>
          <w:szCs w:val="20"/>
        </w:rPr>
      </w:pPr>
      <w:r w:rsidRPr="00C772C6">
        <w:rPr>
          <w:rFonts w:cstheme="minorHAnsi"/>
          <w:szCs w:val="20"/>
        </w:rPr>
        <w:t xml:space="preserve">The nature of any corrective action will be informed by the nature and level of non-compliance that is identified, the causes of the non-compliance and service’s level of cooperation with any investigation.  </w:t>
      </w:r>
    </w:p>
    <w:p w:rsidR="00C772C6" w:rsidRPr="00C772C6" w:rsidRDefault="00C772C6" w:rsidP="00C772C6">
      <w:pPr>
        <w:rPr>
          <w:rFonts w:cstheme="minorHAnsi"/>
          <w:szCs w:val="20"/>
        </w:rPr>
      </w:pPr>
      <w:r w:rsidRPr="00C772C6">
        <w:rPr>
          <w:rFonts w:cstheme="minorHAnsi"/>
          <w:szCs w:val="20"/>
        </w:rPr>
        <w:t xml:space="preserve">Except in cases of significant repeated non-compliance, no sanctions other than debt recovery will be applied where services self-identify non-compliance.  The more severe sanctions will apply where claims for ISS are wilfully manipulated. </w:t>
      </w:r>
    </w:p>
    <w:p w:rsidR="00C772C6" w:rsidRPr="00E04DFC" w:rsidRDefault="00C772C6" w:rsidP="00C772C6">
      <w:pPr>
        <w:rPr>
          <w:b/>
          <w:sz w:val="24"/>
        </w:rPr>
      </w:pPr>
      <w:r w:rsidRPr="00E04DFC">
        <w:rPr>
          <w:b/>
          <w:sz w:val="24"/>
        </w:rPr>
        <w:t xml:space="preserve">Compliance Activities </w:t>
      </w:r>
    </w:p>
    <w:p w:rsidR="00574CA0" w:rsidRDefault="00C772C6" w:rsidP="00C772C6">
      <w:pPr>
        <w:rPr>
          <w:rFonts w:cstheme="minorHAnsi"/>
          <w:szCs w:val="20"/>
        </w:rPr>
      </w:pPr>
      <w:r w:rsidRPr="00C772C6">
        <w:rPr>
          <w:rFonts w:cstheme="minorHAnsi"/>
          <w:szCs w:val="20"/>
        </w:rPr>
        <w:t>The Department undertakes regular and ongoing compliance activities in relation to ISS payments. The Department conducts both targeted and random compliance activities on child care services receiving ISS</w:t>
      </w:r>
      <w:r w:rsidR="00574CA0">
        <w:rPr>
          <w:rFonts w:cstheme="minorHAnsi"/>
          <w:szCs w:val="20"/>
        </w:rPr>
        <w:t>.</w:t>
      </w:r>
    </w:p>
    <w:p w:rsidR="00574CA0" w:rsidRDefault="00574CA0" w:rsidP="00574CA0">
      <w:pPr>
        <w:pStyle w:val="NormalWeb"/>
        <w:spacing w:before="0" w:beforeAutospacing="0" w:after="0" w:afterAutospacing="0"/>
        <w:rPr>
          <w:rFonts w:asciiTheme="minorHAnsi" w:hAnsiTheme="minorHAnsi" w:cstheme="minorHAnsi"/>
          <w:b/>
          <w:color w:val="auto"/>
          <w:sz w:val="20"/>
          <w:szCs w:val="20"/>
          <w:lang w:eastAsia="en-AU"/>
        </w:rPr>
      </w:pPr>
      <w:r>
        <w:rPr>
          <w:rFonts w:asciiTheme="minorHAnsi" w:hAnsiTheme="minorHAnsi" w:cstheme="minorHAnsi"/>
          <w:b/>
          <w:color w:val="auto"/>
          <w:sz w:val="20"/>
          <w:szCs w:val="20"/>
          <w:lang w:eastAsia="en-AU"/>
        </w:rPr>
        <w:t>Targeted Compliance activities</w:t>
      </w:r>
    </w:p>
    <w:p w:rsidR="00574CA0" w:rsidRDefault="00574CA0" w:rsidP="00574CA0">
      <w:pPr>
        <w:rPr>
          <w:rFonts w:cstheme="minorHAnsi"/>
          <w:szCs w:val="20"/>
        </w:rPr>
      </w:pPr>
      <w:r>
        <w:rPr>
          <w:rFonts w:cstheme="minorHAnsi"/>
          <w:szCs w:val="20"/>
        </w:rPr>
        <w:t>Targeted Compliance activities consist of:</w:t>
      </w:r>
    </w:p>
    <w:p w:rsidR="00574CA0" w:rsidRPr="00574CA0" w:rsidRDefault="00574CA0" w:rsidP="00334C0F">
      <w:pPr>
        <w:pStyle w:val="ListParagraph"/>
        <w:numPr>
          <w:ilvl w:val="0"/>
          <w:numId w:val="62"/>
        </w:numPr>
        <w:spacing w:before="120" w:after="120" w:line="240" w:lineRule="atLeast"/>
        <w:rPr>
          <w:rFonts w:cstheme="minorHAnsi"/>
          <w:sz w:val="20"/>
          <w:szCs w:val="20"/>
          <w:lang w:eastAsia="en-AU"/>
        </w:rPr>
      </w:pPr>
      <w:r w:rsidRPr="00574CA0">
        <w:rPr>
          <w:rFonts w:cstheme="minorHAnsi"/>
          <w:sz w:val="20"/>
          <w:szCs w:val="20"/>
          <w:lang w:eastAsia="en-AU"/>
        </w:rPr>
        <w:t>The Department will review the claims of all new ISS recipients, 8-12 weeks from the start date of the ISS approval to ensure that claims are being made in line with the number of hours approved.</w:t>
      </w:r>
    </w:p>
    <w:p w:rsidR="00574CA0" w:rsidRPr="00574CA0" w:rsidRDefault="00574CA0" w:rsidP="00334C0F">
      <w:pPr>
        <w:pStyle w:val="ListParagraph"/>
        <w:numPr>
          <w:ilvl w:val="0"/>
          <w:numId w:val="62"/>
        </w:numPr>
        <w:spacing w:before="120" w:after="120" w:line="240" w:lineRule="atLeast"/>
        <w:rPr>
          <w:rFonts w:cstheme="minorHAnsi"/>
          <w:sz w:val="20"/>
          <w:szCs w:val="20"/>
          <w:lang w:eastAsia="en-AU"/>
        </w:rPr>
      </w:pPr>
      <w:r w:rsidRPr="00574CA0">
        <w:rPr>
          <w:rFonts w:cstheme="minorHAnsi"/>
          <w:sz w:val="20"/>
          <w:szCs w:val="20"/>
          <w:lang w:eastAsia="en-AU"/>
        </w:rPr>
        <w:t>The Department will investigate all tip-offs suggesting a service may be non</w:t>
      </w:r>
      <w:r w:rsidRPr="00574CA0">
        <w:rPr>
          <w:rFonts w:cstheme="minorHAnsi"/>
          <w:sz w:val="20"/>
          <w:szCs w:val="20"/>
          <w:lang w:eastAsia="en-AU"/>
        </w:rPr>
        <w:noBreakHyphen/>
        <w:t>compliant.</w:t>
      </w:r>
    </w:p>
    <w:p w:rsidR="00574CA0" w:rsidRPr="00574CA0" w:rsidRDefault="00574CA0" w:rsidP="00334C0F">
      <w:pPr>
        <w:pStyle w:val="ListParagraph"/>
        <w:numPr>
          <w:ilvl w:val="0"/>
          <w:numId w:val="62"/>
        </w:numPr>
        <w:spacing w:before="120" w:after="120" w:line="240" w:lineRule="atLeast"/>
        <w:rPr>
          <w:rFonts w:cstheme="minorHAnsi"/>
          <w:sz w:val="20"/>
          <w:szCs w:val="20"/>
          <w:lang w:eastAsia="en-AU"/>
        </w:rPr>
      </w:pPr>
      <w:r w:rsidRPr="00574CA0">
        <w:rPr>
          <w:rFonts w:cstheme="minorHAnsi"/>
          <w:sz w:val="20"/>
          <w:szCs w:val="20"/>
          <w:lang w:eastAsia="en-AU"/>
        </w:rPr>
        <w:t xml:space="preserve">The Department will conduct an audit of a service’s claiming practices, for example where it identifies that the service will claim its full allocation of hours prior to the end of the approval period. </w:t>
      </w:r>
    </w:p>
    <w:p w:rsidR="00574CA0" w:rsidRPr="00574CA0" w:rsidRDefault="00574CA0" w:rsidP="00574CA0">
      <w:pPr>
        <w:rPr>
          <w:rFonts w:asciiTheme="minorHAnsi" w:hAnsiTheme="minorHAnsi" w:cstheme="minorHAnsi"/>
          <w:b/>
          <w:szCs w:val="20"/>
        </w:rPr>
      </w:pPr>
      <w:r w:rsidRPr="00574CA0">
        <w:rPr>
          <w:rFonts w:asciiTheme="minorHAnsi" w:hAnsiTheme="minorHAnsi" w:cstheme="minorHAnsi"/>
          <w:b/>
          <w:szCs w:val="20"/>
        </w:rPr>
        <w:t>Random Compliance Activities</w:t>
      </w:r>
    </w:p>
    <w:p w:rsidR="00C772C6" w:rsidRPr="00574CA0" w:rsidRDefault="00574CA0" w:rsidP="00574CA0">
      <w:pPr>
        <w:pStyle w:val="NormalWeb"/>
        <w:spacing w:before="0" w:beforeAutospacing="0" w:after="0" w:afterAutospacing="0"/>
        <w:rPr>
          <w:rFonts w:cstheme="minorHAnsi"/>
          <w:color w:val="auto"/>
          <w:sz w:val="20"/>
          <w:szCs w:val="20"/>
          <w:lang w:eastAsia="en-AU"/>
        </w:rPr>
      </w:pPr>
      <w:r w:rsidRPr="00574CA0">
        <w:rPr>
          <w:rFonts w:cstheme="minorHAnsi"/>
          <w:color w:val="auto"/>
          <w:sz w:val="20"/>
          <w:szCs w:val="20"/>
          <w:lang w:eastAsia="en-AU"/>
        </w:rPr>
        <w:t>The Department will randomly select a sample of all services receiving ISS. A proportion of all service types will be selected for a compliance review</w:t>
      </w:r>
      <w:r>
        <w:rPr>
          <w:rFonts w:cstheme="minorHAnsi"/>
          <w:color w:val="auto"/>
          <w:sz w:val="20"/>
          <w:szCs w:val="20"/>
          <w:lang w:eastAsia="en-AU"/>
        </w:rPr>
        <w:t>.</w:t>
      </w:r>
      <w:r w:rsidRPr="00574CA0">
        <w:rPr>
          <w:rFonts w:cstheme="minorHAnsi"/>
          <w:color w:val="auto"/>
          <w:sz w:val="20"/>
          <w:szCs w:val="20"/>
          <w:lang w:eastAsia="en-AU"/>
        </w:rPr>
        <w:t xml:space="preserve"> </w:t>
      </w:r>
    </w:p>
    <w:p w:rsidR="00C772C6" w:rsidRPr="00C772C6" w:rsidRDefault="00C772C6" w:rsidP="00C772C6">
      <w:pPr>
        <w:pStyle w:val="NormalWeb"/>
        <w:spacing w:before="120" w:beforeAutospacing="0" w:after="120" w:afterAutospacing="0" w:line="240" w:lineRule="atLeast"/>
        <w:rPr>
          <w:rFonts w:asciiTheme="minorHAnsi" w:eastAsiaTheme="majorEastAsia" w:hAnsiTheme="minorHAnsi" w:cstheme="minorHAnsi"/>
          <w:color w:val="auto"/>
          <w:sz w:val="20"/>
          <w:szCs w:val="20"/>
          <w:u w:val="single"/>
        </w:rPr>
      </w:pPr>
      <w:r w:rsidRPr="00C772C6">
        <w:rPr>
          <w:rFonts w:asciiTheme="minorHAnsi" w:hAnsiTheme="minorHAnsi" w:cstheme="minorHAnsi"/>
          <w:color w:val="auto"/>
          <w:sz w:val="20"/>
          <w:szCs w:val="20"/>
        </w:rPr>
        <w:t xml:space="preserve">If anyone becomes aware of suspected non-compliance relating to use of ISS, tip offs can be sent to </w:t>
      </w:r>
      <w:hyperlink r:id="rId11" w:history="1">
        <w:r w:rsidR="00572060" w:rsidRPr="00580F4D">
          <w:rPr>
            <w:rStyle w:val="Hyperlink"/>
            <w:rFonts w:asciiTheme="minorHAnsi" w:hAnsiTheme="minorHAnsi" w:cstheme="minorHAnsi"/>
            <w:sz w:val="20"/>
            <w:szCs w:val="20"/>
          </w:rPr>
          <w:t>IPSPCompliance@dss.gov.au</w:t>
        </w:r>
      </w:hyperlink>
      <w:r w:rsidRPr="00C772C6">
        <w:rPr>
          <w:rFonts w:asciiTheme="minorHAnsi" w:eastAsiaTheme="majorEastAsia" w:hAnsiTheme="minorHAnsi" w:cstheme="minorHAnsi"/>
          <w:color w:val="auto"/>
          <w:sz w:val="20"/>
          <w:szCs w:val="20"/>
        </w:rPr>
        <w:t xml:space="preserve"> </w:t>
      </w:r>
      <w:r w:rsidRPr="00C772C6">
        <w:rPr>
          <w:rFonts w:asciiTheme="minorHAnsi" w:hAnsiTheme="minorHAnsi" w:cstheme="minorHAnsi"/>
          <w:color w:val="auto"/>
          <w:sz w:val="20"/>
          <w:szCs w:val="20"/>
        </w:rPr>
        <w:t>with the following details included in an email:</w:t>
      </w:r>
    </w:p>
    <w:p w:rsidR="00C772C6" w:rsidRPr="00C772C6" w:rsidRDefault="00C772C6" w:rsidP="00C772C6">
      <w:pPr>
        <w:pStyle w:val="ListParagraph"/>
        <w:numPr>
          <w:ilvl w:val="0"/>
          <w:numId w:val="64"/>
        </w:numPr>
        <w:spacing w:before="120" w:after="120" w:line="240" w:lineRule="atLeast"/>
        <w:ind w:left="851"/>
        <w:contextualSpacing w:val="0"/>
        <w:rPr>
          <w:rFonts w:cstheme="minorHAnsi"/>
          <w:sz w:val="20"/>
          <w:szCs w:val="20"/>
        </w:rPr>
      </w:pPr>
      <w:r w:rsidRPr="00C772C6">
        <w:rPr>
          <w:rFonts w:cstheme="minorHAnsi"/>
          <w:sz w:val="20"/>
          <w:szCs w:val="20"/>
        </w:rPr>
        <w:t>Name of the suspected non-compliant service</w:t>
      </w:r>
      <w:r w:rsidR="00866A5C">
        <w:rPr>
          <w:rFonts w:cstheme="minorHAnsi"/>
          <w:sz w:val="20"/>
          <w:szCs w:val="20"/>
        </w:rPr>
        <w:t>.</w:t>
      </w:r>
    </w:p>
    <w:p w:rsidR="00C772C6" w:rsidRPr="00C772C6" w:rsidRDefault="00C772C6" w:rsidP="00C772C6">
      <w:pPr>
        <w:pStyle w:val="ListParagraph"/>
        <w:numPr>
          <w:ilvl w:val="0"/>
          <w:numId w:val="64"/>
        </w:numPr>
        <w:spacing w:before="120" w:after="120" w:line="240" w:lineRule="atLeast"/>
        <w:ind w:left="851"/>
        <w:contextualSpacing w:val="0"/>
        <w:rPr>
          <w:rFonts w:cstheme="minorHAnsi"/>
          <w:sz w:val="20"/>
          <w:szCs w:val="20"/>
        </w:rPr>
      </w:pPr>
      <w:r w:rsidRPr="00C772C6">
        <w:rPr>
          <w:rFonts w:cstheme="minorHAnsi"/>
          <w:sz w:val="20"/>
          <w:szCs w:val="20"/>
        </w:rPr>
        <w:t>A date period during which the suspected non-compliance occurred</w:t>
      </w:r>
      <w:r w:rsidR="00866A5C">
        <w:rPr>
          <w:rFonts w:cstheme="minorHAnsi"/>
          <w:sz w:val="20"/>
          <w:szCs w:val="20"/>
        </w:rPr>
        <w:t>.</w:t>
      </w:r>
    </w:p>
    <w:p w:rsidR="00C772C6" w:rsidRPr="00C772C6" w:rsidRDefault="00C772C6" w:rsidP="00C772C6">
      <w:pPr>
        <w:pStyle w:val="ListParagraph"/>
        <w:numPr>
          <w:ilvl w:val="0"/>
          <w:numId w:val="64"/>
        </w:numPr>
        <w:spacing w:before="120" w:after="120" w:line="240" w:lineRule="atLeast"/>
        <w:ind w:left="851"/>
        <w:contextualSpacing w:val="0"/>
        <w:rPr>
          <w:rFonts w:cstheme="minorHAnsi"/>
          <w:sz w:val="20"/>
          <w:szCs w:val="20"/>
        </w:rPr>
      </w:pPr>
      <w:r w:rsidRPr="00C772C6">
        <w:rPr>
          <w:rFonts w:cstheme="minorHAnsi"/>
          <w:sz w:val="20"/>
          <w:szCs w:val="20"/>
        </w:rPr>
        <w:t>A description of the suspected non-compliant behaviour</w:t>
      </w:r>
      <w:r w:rsidR="00866A5C">
        <w:rPr>
          <w:rFonts w:cstheme="minorHAnsi"/>
          <w:sz w:val="20"/>
          <w:szCs w:val="20"/>
        </w:rPr>
        <w:t>.</w:t>
      </w:r>
    </w:p>
    <w:p w:rsidR="00C772C6" w:rsidRPr="00C772C6" w:rsidRDefault="00C772C6" w:rsidP="00C772C6">
      <w:pPr>
        <w:rPr>
          <w:rFonts w:asciiTheme="minorHAnsi" w:hAnsiTheme="minorHAnsi" w:cstheme="minorHAnsi"/>
          <w:szCs w:val="20"/>
        </w:rPr>
      </w:pPr>
      <w:r w:rsidRPr="00C772C6">
        <w:rPr>
          <w:rFonts w:asciiTheme="minorHAnsi" w:hAnsiTheme="minorHAnsi" w:cstheme="minorHAnsi"/>
          <w:szCs w:val="20"/>
        </w:rPr>
        <w:t>Th</w:t>
      </w:r>
      <w:r w:rsidR="00572060">
        <w:rPr>
          <w:rFonts w:asciiTheme="minorHAnsi" w:hAnsiTheme="minorHAnsi" w:cstheme="minorHAnsi"/>
          <w:szCs w:val="20"/>
        </w:rPr>
        <w:t>e Department will follow up tip</w:t>
      </w:r>
      <w:r w:rsidRPr="00C772C6">
        <w:rPr>
          <w:rFonts w:asciiTheme="minorHAnsi" w:hAnsiTheme="minorHAnsi" w:cstheme="minorHAnsi"/>
          <w:szCs w:val="20"/>
        </w:rPr>
        <w:t xml:space="preserve"> off</w:t>
      </w:r>
      <w:r w:rsidR="00572060">
        <w:rPr>
          <w:rFonts w:asciiTheme="minorHAnsi" w:hAnsiTheme="minorHAnsi" w:cstheme="minorHAnsi"/>
          <w:szCs w:val="20"/>
        </w:rPr>
        <w:t>s</w:t>
      </w:r>
      <w:r w:rsidRPr="00C772C6">
        <w:rPr>
          <w:rFonts w:asciiTheme="minorHAnsi" w:hAnsiTheme="minorHAnsi" w:cstheme="minorHAnsi"/>
          <w:szCs w:val="20"/>
        </w:rPr>
        <w:t xml:space="preserve"> with the NISSP and the service in question and will ensure the anonymity of the individual that raised initial concerns over non-compliance.</w:t>
      </w:r>
    </w:p>
    <w:p w:rsidR="00C772C6" w:rsidRPr="00C772C6" w:rsidRDefault="00C772C6" w:rsidP="00C772C6">
      <w:pPr>
        <w:rPr>
          <w:rFonts w:asciiTheme="minorHAnsi" w:hAnsiTheme="minorHAnsi" w:cstheme="minorHAnsi"/>
          <w:b/>
          <w:szCs w:val="20"/>
        </w:rPr>
      </w:pPr>
      <w:r w:rsidRPr="00C772C6">
        <w:rPr>
          <w:rFonts w:asciiTheme="minorHAnsi" w:hAnsiTheme="minorHAnsi" w:cstheme="minorHAnsi"/>
          <w:b/>
          <w:szCs w:val="20"/>
        </w:rPr>
        <w:t>What happens when a service is compliance checked?</w:t>
      </w:r>
    </w:p>
    <w:p w:rsidR="00C772C6" w:rsidRPr="00C772C6" w:rsidRDefault="00C772C6" w:rsidP="00C772C6">
      <w:pPr>
        <w:rPr>
          <w:rFonts w:asciiTheme="minorHAnsi" w:hAnsiTheme="minorHAnsi" w:cstheme="minorHAnsi"/>
          <w:szCs w:val="20"/>
        </w:rPr>
      </w:pPr>
      <w:r w:rsidRPr="00C772C6">
        <w:rPr>
          <w:rFonts w:asciiTheme="minorHAnsi" w:hAnsiTheme="minorHAnsi" w:cstheme="minorHAnsi"/>
          <w:szCs w:val="20"/>
        </w:rPr>
        <w:t>Services will be notified in writing if they have been selected for a compliance review. Services may be asked to verify their eligibility for claims and provide documentary evidence (including child sign in/sign out records and Educator attendance records) to support their claims. Services that are found to be non</w:t>
      </w:r>
      <w:r w:rsidRPr="00C772C6">
        <w:rPr>
          <w:rFonts w:asciiTheme="minorHAnsi" w:hAnsiTheme="minorHAnsi" w:cstheme="minorHAnsi"/>
          <w:szCs w:val="20"/>
        </w:rPr>
        <w:noBreakHyphen/>
        <w:t xml:space="preserve">compliant will be notified in writing of the Department’s intended corrective action. </w:t>
      </w:r>
    </w:p>
    <w:p w:rsidR="00C772C6" w:rsidRPr="00C772C6" w:rsidRDefault="00C772C6" w:rsidP="00C772C6">
      <w:pPr>
        <w:pStyle w:val="Heading2"/>
        <w:spacing w:before="120" w:line="240" w:lineRule="atLeast"/>
      </w:pPr>
      <w:r w:rsidRPr="00C772C6">
        <w:t>Further Information</w:t>
      </w:r>
    </w:p>
    <w:p w:rsidR="00C772C6" w:rsidRPr="00562D00" w:rsidRDefault="00C772C6" w:rsidP="00C772C6">
      <w:pPr>
        <w:pStyle w:val="NormalWeb"/>
        <w:spacing w:before="120" w:beforeAutospacing="0" w:after="120" w:afterAutospacing="0" w:line="240" w:lineRule="atLeast"/>
      </w:pPr>
      <w:r w:rsidRPr="00E66037">
        <w:rPr>
          <w:rFonts w:asciiTheme="minorHAnsi" w:hAnsiTheme="minorHAnsi" w:cstheme="minorHAnsi"/>
          <w:color w:val="auto"/>
          <w:sz w:val="20"/>
          <w:szCs w:val="20"/>
        </w:rPr>
        <w:t xml:space="preserve">The IPSP Guidelines and ISS Fact Sheets can be accessed from the </w:t>
      </w:r>
      <w:hyperlink r:id="rId12" w:history="1">
        <w:r w:rsidRPr="002824F9">
          <w:rPr>
            <w:rStyle w:val="Hyperlink"/>
            <w:rFonts w:asciiTheme="minorHAnsi" w:hAnsiTheme="minorHAnsi" w:cstheme="minorHAnsi"/>
            <w:b w:val="0"/>
            <w:color w:val="3333FF"/>
            <w:sz w:val="20"/>
            <w:szCs w:val="20"/>
            <w:u w:val="single"/>
          </w:rPr>
          <w:t xml:space="preserve">Department of </w:t>
        </w:r>
        <w:r w:rsidR="00572060" w:rsidRPr="002824F9">
          <w:rPr>
            <w:rStyle w:val="Hyperlink"/>
            <w:rFonts w:asciiTheme="minorHAnsi" w:hAnsiTheme="minorHAnsi" w:cstheme="minorHAnsi"/>
            <w:b w:val="0"/>
            <w:color w:val="3333FF"/>
            <w:sz w:val="20"/>
            <w:szCs w:val="20"/>
            <w:u w:val="single"/>
          </w:rPr>
          <w:t xml:space="preserve">Social Services </w:t>
        </w:r>
        <w:r w:rsidRPr="002824F9">
          <w:rPr>
            <w:rStyle w:val="Hyperlink"/>
            <w:rFonts w:asciiTheme="minorHAnsi" w:hAnsiTheme="minorHAnsi" w:cstheme="minorHAnsi"/>
            <w:b w:val="0"/>
            <w:color w:val="3333FF"/>
            <w:sz w:val="20"/>
            <w:szCs w:val="20"/>
            <w:u w:val="single"/>
          </w:rPr>
          <w:t>website</w:t>
        </w:r>
      </w:hyperlink>
      <w:r w:rsidRPr="00E66037">
        <w:rPr>
          <w:rFonts w:asciiTheme="minorHAnsi" w:hAnsiTheme="minorHAnsi" w:cstheme="minorHAnsi"/>
          <w:color w:val="auto"/>
          <w:sz w:val="20"/>
          <w:szCs w:val="20"/>
        </w:rPr>
        <w:t>.</w:t>
      </w:r>
      <w:r w:rsidRPr="00C772C6">
        <w:rPr>
          <w:rFonts w:asciiTheme="minorHAnsi" w:hAnsiTheme="minorHAnsi" w:cstheme="minorHAnsi"/>
          <w:color w:val="auto"/>
          <w:sz w:val="20"/>
          <w:szCs w:val="20"/>
        </w:rPr>
        <w:t xml:space="preserve">  Services should contact their Inclusion Support Facilitator for clarification and advice on eligibility and claiming for ISS.</w:t>
      </w:r>
      <w:r>
        <w:rPr>
          <w:rFonts w:ascii="Calibri" w:hAnsi="Calibri" w:cs="Calibri"/>
          <w:color w:val="auto"/>
          <w:sz w:val="22"/>
          <w:szCs w:val="22"/>
        </w:rPr>
        <w:t xml:space="preserve"> </w:t>
      </w:r>
    </w:p>
    <w:bookmarkEnd w:id="1"/>
    <w:sectPr w:rsidR="00C772C6" w:rsidRPr="00562D00" w:rsidSect="008C5950">
      <w:headerReference w:type="even" r:id="rId13"/>
      <w:headerReference w:type="default" r:id="rId14"/>
      <w:footerReference w:type="even" r:id="rId15"/>
      <w:footerReference w:type="default" r:id="rId16"/>
      <w:headerReference w:type="first" r:id="rId17"/>
      <w:footerReference w:type="first" r:id="rId18"/>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D5" w:rsidRDefault="00C77BD5">
      <w:r>
        <w:separator/>
      </w:r>
    </w:p>
  </w:endnote>
  <w:endnote w:type="continuationSeparator" w:id="0">
    <w:p w:rsidR="00C77BD5" w:rsidRDefault="00C7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B2" w:rsidRDefault="00F43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46C1D" w:rsidRDefault="00321148" w:rsidP="00846C1D">
    <w:pPr>
      <w:pStyle w:val="Footer"/>
    </w:pPr>
    <w:r>
      <w:tab/>
    </w:r>
    <w:r>
      <w:fldChar w:fldCharType="begin"/>
    </w:r>
    <w:r>
      <w:instrText xml:space="preserve"> PAGE   \* MERGEFORMAT </w:instrText>
    </w:r>
    <w:r>
      <w:fldChar w:fldCharType="separate"/>
    </w:r>
    <w:r w:rsidR="003B1EA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B2" w:rsidRDefault="00F43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D5" w:rsidRDefault="00C77BD5">
      <w:r>
        <w:separator/>
      </w:r>
    </w:p>
  </w:footnote>
  <w:footnote w:type="continuationSeparator" w:id="0">
    <w:p w:rsidR="00C77BD5" w:rsidRDefault="00C77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B2" w:rsidRDefault="00F43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1A" w:rsidRDefault="00C772C6">
    <w:pPr>
      <w:pStyle w:val="Header"/>
      <w:rPr>
        <w:noProof/>
      </w:rPr>
    </w:pPr>
    <w:r>
      <w:rPr>
        <w:noProof/>
      </w:rPr>
      <w:t>Compliance Information Sheet – Inclusion Support Subsidy</w:t>
    </w:r>
  </w:p>
  <w:p w:rsidR="00B52BDE" w:rsidRDefault="00B52BDE">
    <w:pPr>
      <w:pStyle w:val="Header"/>
    </w:pPr>
    <w:r>
      <w:rPr>
        <w:noProof/>
      </w:rPr>
      <mc:AlternateContent>
        <mc:Choice Requires="wps">
          <w:drawing>
            <wp:inline distT="0" distB="0" distL="0" distR="0" wp14:anchorId="38191423" wp14:editId="35265C2E">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005A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" fillcolor="#005a70" stroked="f" strokeweight="2pt">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B2" w:rsidRDefault="00F439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8B1555"/>
    <w:multiLevelType w:val="hybridMultilevel"/>
    <w:tmpl w:val="3380075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EB5995"/>
    <w:multiLevelType w:val="hybridMultilevel"/>
    <w:tmpl w:val="09A8B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D04067D"/>
    <w:multiLevelType w:val="hybridMultilevel"/>
    <w:tmpl w:val="C8004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B6914B2"/>
    <w:multiLevelType w:val="hybridMultilevel"/>
    <w:tmpl w:val="2624755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97F7C4B"/>
    <w:multiLevelType w:val="hybridMultilevel"/>
    <w:tmpl w:val="26FE2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40"/>
  </w:num>
  <w:num w:numId="4">
    <w:abstractNumId w:val="12"/>
  </w:num>
  <w:num w:numId="5">
    <w:abstractNumId w:val="17"/>
  </w:num>
  <w:num w:numId="6">
    <w:abstractNumId w:val="61"/>
  </w:num>
  <w:num w:numId="7">
    <w:abstractNumId w:val="47"/>
  </w:num>
  <w:num w:numId="8">
    <w:abstractNumId w:val="53"/>
  </w:num>
  <w:num w:numId="9">
    <w:abstractNumId w:val="8"/>
  </w:num>
  <w:num w:numId="10">
    <w:abstractNumId w:val="60"/>
  </w:num>
  <w:num w:numId="11">
    <w:abstractNumId w:val="18"/>
  </w:num>
  <w:num w:numId="12">
    <w:abstractNumId w:val="44"/>
  </w:num>
  <w:num w:numId="13">
    <w:abstractNumId w:val="55"/>
  </w:num>
  <w:num w:numId="14">
    <w:abstractNumId w:val="36"/>
  </w:num>
  <w:num w:numId="15">
    <w:abstractNumId w:val="3"/>
  </w:num>
  <w:num w:numId="16">
    <w:abstractNumId w:val="13"/>
  </w:num>
  <w:num w:numId="17">
    <w:abstractNumId w:val="59"/>
  </w:num>
  <w:num w:numId="18">
    <w:abstractNumId w:val="52"/>
  </w:num>
  <w:num w:numId="19">
    <w:abstractNumId w:val="15"/>
  </w:num>
  <w:num w:numId="20">
    <w:abstractNumId w:val="2"/>
  </w:num>
  <w:num w:numId="21">
    <w:abstractNumId w:val="6"/>
  </w:num>
  <w:num w:numId="22">
    <w:abstractNumId w:val="22"/>
  </w:num>
  <w:num w:numId="23">
    <w:abstractNumId w:val="19"/>
  </w:num>
  <w:num w:numId="24">
    <w:abstractNumId w:val="63"/>
  </w:num>
  <w:num w:numId="25">
    <w:abstractNumId w:val="35"/>
  </w:num>
  <w:num w:numId="26">
    <w:abstractNumId w:val="41"/>
  </w:num>
  <w:num w:numId="27">
    <w:abstractNumId w:val="21"/>
  </w:num>
  <w:num w:numId="28">
    <w:abstractNumId w:val="62"/>
  </w:num>
  <w:num w:numId="29">
    <w:abstractNumId w:val="51"/>
  </w:num>
  <w:num w:numId="30">
    <w:abstractNumId w:val="28"/>
  </w:num>
  <w:num w:numId="31">
    <w:abstractNumId w:val="46"/>
  </w:num>
  <w:num w:numId="32">
    <w:abstractNumId w:val="56"/>
  </w:num>
  <w:num w:numId="33">
    <w:abstractNumId w:val="58"/>
  </w:num>
  <w:num w:numId="34">
    <w:abstractNumId w:val="4"/>
  </w:num>
  <w:num w:numId="35">
    <w:abstractNumId w:val="26"/>
  </w:num>
  <w:num w:numId="36">
    <w:abstractNumId w:val="49"/>
  </w:num>
  <w:num w:numId="37">
    <w:abstractNumId w:val="9"/>
  </w:num>
  <w:num w:numId="38">
    <w:abstractNumId w:val="31"/>
  </w:num>
  <w:num w:numId="39">
    <w:abstractNumId w:val="25"/>
  </w:num>
  <w:num w:numId="40">
    <w:abstractNumId w:val="34"/>
  </w:num>
  <w:num w:numId="41">
    <w:abstractNumId w:val="38"/>
  </w:num>
  <w:num w:numId="42">
    <w:abstractNumId w:val="24"/>
  </w:num>
  <w:num w:numId="43">
    <w:abstractNumId w:val="16"/>
  </w:num>
  <w:num w:numId="44">
    <w:abstractNumId w:val="43"/>
  </w:num>
  <w:num w:numId="45">
    <w:abstractNumId w:val="48"/>
  </w:num>
  <w:num w:numId="46">
    <w:abstractNumId w:val="33"/>
  </w:num>
  <w:num w:numId="47">
    <w:abstractNumId w:val="32"/>
  </w:num>
  <w:num w:numId="48">
    <w:abstractNumId w:val="1"/>
  </w:num>
  <w:num w:numId="49">
    <w:abstractNumId w:val="45"/>
  </w:num>
  <w:num w:numId="50">
    <w:abstractNumId w:val="57"/>
  </w:num>
  <w:num w:numId="51">
    <w:abstractNumId w:val="42"/>
  </w:num>
  <w:num w:numId="52">
    <w:abstractNumId w:val="10"/>
  </w:num>
  <w:num w:numId="53">
    <w:abstractNumId w:val="54"/>
  </w:num>
  <w:num w:numId="54">
    <w:abstractNumId w:val="27"/>
  </w:num>
  <w:num w:numId="55">
    <w:abstractNumId w:val="20"/>
  </w:num>
  <w:num w:numId="56">
    <w:abstractNumId w:val="30"/>
  </w:num>
  <w:num w:numId="57">
    <w:abstractNumId w:val="29"/>
  </w:num>
  <w:num w:numId="58">
    <w:abstractNumId w:val="11"/>
  </w:num>
  <w:num w:numId="59">
    <w:abstractNumId w:val="37"/>
  </w:num>
  <w:num w:numId="60">
    <w:abstractNumId w:val="7"/>
  </w:num>
  <w:num w:numId="61">
    <w:abstractNumId w:val="14"/>
  </w:num>
  <w:num w:numId="62">
    <w:abstractNumId w:val="39"/>
  </w:num>
  <w:num w:numId="63">
    <w:abstractNumId w:val="5"/>
  </w:num>
  <w:num w:numId="64">
    <w:abstractNumId w:val="50"/>
  </w:num>
  <w:num w:numId="65">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D5"/>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7BFF"/>
    <w:rsid w:val="000A3EC3"/>
    <w:rsid w:val="000A669D"/>
    <w:rsid w:val="000A66A8"/>
    <w:rsid w:val="000C014D"/>
    <w:rsid w:val="000D4703"/>
    <w:rsid w:val="000D693C"/>
    <w:rsid w:val="000E12D4"/>
    <w:rsid w:val="000F2A63"/>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70343"/>
    <w:rsid w:val="00173D5B"/>
    <w:rsid w:val="00185F6A"/>
    <w:rsid w:val="001943DD"/>
    <w:rsid w:val="00195374"/>
    <w:rsid w:val="001A127F"/>
    <w:rsid w:val="001A3CA4"/>
    <w:rsid w:val="001A3EA4"/>
    <w:rsid w:val="001A594D"/>
    <w:rsid w:val="001B3AEC"/>
    <w:rsid w:val="001B5000"/>
    <w:rsid w:val="001B6F28"/>
    <w:rsid w:val="001D4585"/>
    <w:rsid w:val="001D5D54"/>
    <w:rsid w:val="001E41C8"/>
    <w:rsid w:val="001F3AD7"/>
    <w:rsid w:val="001F3F9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24F9"/>
    <w:rsid w:val="00285F1B"/>
    <w:rsid w:val="00295831"/>
    <w:rsid w:val="00295DD7"/>
    <w:rsid w:val="00296F1B"/>
    <w:rsid w:val="002A6DF5"/>
    <w:rsid w:val="002D00B0"/>
    <w:rsid w:val="002D2E16"/>
    <w:rsid w:val="002F19EF"/>
    <w:rsid w:val="00302415"/>
    <w:rsid w:val="003102F6"/>
    <w:rsid w:val="00311044"/>
    <w:rsid w:val="00313304"/>
    <w:rsid w:val="00313C48"/>
    <w:rsid w:val="003162AD"/>
    <w:rsid w:val="00321148"/>
    <w:rsid w:val="00321798"/>
    <w:rsid w:val="00325F44"/>
    <w:rsid w:val="00326976"/>
    <w:rsid w:val="003311D7"/>
    <w:rsid w:val="00332B8B"/>
    <w:rsid w:val="00334C0F"/>
    <w:rsid w:val="003364B3"/>
    <w:rsid w:val="00347104"/>
    <w:rsid w:val="0035213F"/>
    <w:rsid w:val="003555D2"/>
    <w:rsid w:val="00362502"/>
    <w:rsid w:val="00363DF3"/>
    <w:rsid w:val="003656B1"/>
    <w:rsid w:val="0037056B"/>
    <w:rsid w:val="00377173"/>
    <w:rsid w:val="003774DA"/>
    <w:rsid w:val="00380E6C"/>
    <w:rsid w:val="00392557"/>
    <w:rsid w:val="003945C0"/>
    <w:rsid w:val="003A06C2"/>
    <w:rsid w:val="003A087C"/>
    <w:rsid w:val="003B1EAA"/>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C2C35"/>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58EF"/>
    <w:rsid w:val="00572060"/>
    <w:rsid w:val="00574CA0"/>
    <w:rsid w:val="005822A3"/>
    <w:rsid w:val="0059070B"/>
    <w:rsid w:val="00594445"/>
    <w:rsid w:val="005B1225"/>
    <w:rsid w:val="005C09F4"/>
    <w:rsid w:val="005C561A"/>
    <w:rsid w:val="005C5B93"/>
    <w:rsid w:val="005C66FF"/>
    <w:rsid w:val="005C785A"/>
    <w:rsid w:val="005D03CA"/>
    <w:rsid w:val="005D45AB"/>
    <w:rsid w:val="005D5ADE"/>
    <w:rsid w:val="005E4662"/>
    <w:rsid w:val="005F214A"/>
    <w:rsid w:val="005F6BD6"/>
    <w:rsid w:val="00601C99"/>
    <w:rsid w:val="00607597"/>
    <w:rsid w:val="006255E4"/>
    <w:rsid w:val="00641020"/>
    <w:rsid w:val="006410C1"/>
    <w:rsid w:val="006476D2"/>
    <w:rsid w:val="00647F05"/>
    <w:rsid w:val="006530EF"/>
    <w:rsid w:val="00654D06"/>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95C"/>
    <w:rsid w:val="006C45D4"/>
    <w:rsid w:val="006E1F3C"/>
    <w:rsid w:val="006E6073"/>
    <w:rsid w:val="006F7300"/>
    <w:rsid w:val="00703C09"/>
    <w:rsid w:val="00706216"/>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7B7E"/>
    <w:rsid w:val="00772F33"/>
    <w:rsid w:val="007746A9"/>
    <w:rsid w:val="00785465"/>
    <w:rsid w:val="00787656"/>
    <w:rsid w:val="007A67EA"/>
    <w:rsid w:val="007B15AF"/>
    <w:rsid w:val="007B7E83"/>
    <w:rsid w:val="007C1631"/>
    <w:rsid w:val="007C636F"/>
    <w:rsid w:val="007D0EF8"/>
    <w:rsid w:val="007D39EB"/>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66A5C"/>
    <w:rsid w:val="00871D4F"/>
    <w:rsid w:val="00874FB3"/>
    <w:rsid w:val="00880BE3"/>
    <w:rsid w:val="00882588"/>
    <w:rsid w:val="00895792"/>
    <w:rsid w:val="008A3738"/>
    <w:rsid w:val="008B645B"/>
    <w:rsid w:val="008B67B8"/>
    <w:rsid w:val="008B774D"/>
    <w:rsid w:val="008C123E"/>
    <w:rsid w:val="008C3ED0"/>
    <w:rsid w:val="008C5585"/>
    <w:rsid w:val="008C58B5"/>
    <w:rsid w:val="008C5950"/>
    <w:rsid w:val="008C5E94"/>
    <w:rsid w:val="008E6E9D"/>
    <w:rsid w:val="008F68F7"/>
    <w:rsid w:val="008F7480"/>
    <w:rsid w:val="009037B6"/>
    <w:rsid w:val="00906CBE"/>
    <w:rsid w:val="00906FFA"/>
    <w:rsid w:val="00910384"/>
    <w:rsid w:val="009139C0"/>
    <w:rsid w:val="009161C8"/>
    <w:rsid w:val="009164AD"/>
    <w:rsid w:val="00917584"/>
    <w:rsid w:val="00922289"/>
    <w:rsid w:val="00936F46"/>
    <w:rsid w:val="0094271E"/>
    <w:rsid w:val="00943142"/>
    <w:rsid w:val="00943A29"/>
    <w:rsid w:val="0095197E"/>
    <w:rsid w:val="00952AB2"/>
    <w:rsid w:val="009551E0"/>
    <w:rsid w:val="00955801"/>
    <w:rsid w:val="0095654E"/>
    <w:rsid w:val="00956ACA"/>
    <w:rsid w:val="00956F3C"/>
    <w:rsid w:val="0095779B"/>
    <w:rsid w:val="009900F0"/>
    <w:rsid w:val="00991769"/>
    <w:rsid w:val="00994E9F"/>
    <w:rsid w:val="00996931"/>
    <w:rsid w:val="009A4CD8"/>
    <w:rsid w:val="009B3ED1"/>
    <w:rsid w:val="009C433C"/>
    <w:rsid w:val="009C7D3A"/>
    <w:rsid w:val="009D28B7"/>
    <w:rsid w:val="009D38F9"/>
    <w:rsid w:val="009D7E1A"/>
    <w:rsid w:val="009E2162"/>
    <w:rsid w:val="00A006EB"/>
    <w:rsid w:val="00A03709"/>
    <w:rsid w:val="00A06C77"/>
    <w:rsid w:val="00A10147"/>
    <w:rsid w:val="00A13D26"/>
    <w:rsid w:val="00A146A5"/>
    <w:rsid w:val="00A17411"/>
    <w:rsid w:val="00A2223D"/>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62EC"/>
    <w:rsid w:val="00AD793A"/>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30265"/>
    <w:rsid w:val="00B40D26"/>
    <w:rsid w:val="00B4451B"/>
    <w:rsid w:val="00B52BDE"/>
    <w:rsid w:val="00B72D62"/>
    <w:rsid w:val="00B843C8"/>
    <w:rsid w:val="00B84654"/>
    <w:rsid w:val="00B951E2"/>
    <w:rsid w:val="00B96F37"/>
    <w:rsid w:val="00BA607C"/>
    <w:rsid w:val="00BB3E2A"/>
    <w:rsid w:val="00BC16F5"/>
    <w:rsid w:val="00BC287D"/>
    <w:rsid w:val="00BC4A76"/>
    <w:rsid w:val="00BD32E5"/>
    <w:rsid w:val="00BD7ADD"/>
    <w:rsid w:val="00BE41C3"/>
    <w:rsid w:val="00BE6767"/>
    <w:rsid w:val="00BE68D7"/>
    <w:rsid w:val="00BF7763"/>
    <w:rsid w:val="00C001E8"/>
    <w:rsid w:val="00C04D5E"/>
    <w:rsid w:val="00C24EA2"/>
    <w:rsid w:val="00C24F70"/>
    <w:rsid w:val="00C33479"/>
    <w:rsid w:val="00C34B4A"/>
    <w:rsid w:val="00C46EEB"/>
    <w:rsid w:val="00C47BA2"/>
    <w:rsid w:val="00C612DC"/>
    <w:rsid w:val="00C622CB"/>
    <w:rsid w:val="00C64D15"/>
    <w:rsid w:val="00C74F74"/>
    <w:rsid w:val="00C7554B"/>
    <w:rsid w:val="00C772C6"/>
    <w:rsid w:val="00C77BD5"/>
    <w:rsid w:val="00C83E31"/>
    <w:rsid w:val="00C916A4"/>
    <w:rsid w:val="00CA2A52"/>
    <w:rsid w:val="00CA2B15"/>
    <w:rsid w:val="00CA2DB9"/>
    <w:rsid w:val="00CA6490"/>
    <w:rsid w:val="00CB5744"/>
    <w:rsid w:val="00CB7022"/>
    <w:rsid w:val="00CD1937"/>
    <w:rsid w:val="00CE214C"/>
    <w:rsid w:val="00CE6858"/>
    <w:rsid w:val="00CF50BE"/>
    <w:rsid w:val="00CF6A52"/>
    <w:rsid w:val="00D03583"/>
    <w:rsid w:val="00D117B4"/>
    <w:rsid w:val="00D169F7"/>
    <w:rsid w:val="00D26D01"/>
    <w:rsid w:val="00D33DA3"/>
    <w:rsid w:val="00D4723B"/>
    <w:rsid w:val="00D55EE8"/>
    <w:rsid w:val="00D5785A"/>
    <w:rsid w:val="00D64C48"/>
    <w:rsid w:val="00D731C4"/>
    <w:rsid w:val="00D81BAA"/>
    <w:rsid w:val="00D85BE0"/>
    <w:rsid w:val="00D87C1A"/>
    <w:rsid w:val="00D87FD7"/>
    <w:rsid w:val="00D92167"/>
    <w:rsid w:val="00D9502B"/>
    <w:rsid w:val="00D97047"/>
    <w:rsid w:val="00D97108"/>
    <w:rsid w:val="00DC5665"/>
    <w:rsid w:val="00DD4F44"/>
    <w:rsid w:val="00DD5D8B"/>
    <w:rsid w:val="00DE0F9E"/>
    <w:rsid w:val="00DE39A8"/>
    <w:rsid w:val="00DE5D76"/>
    <w:rsid w:val="00E04C8D"/>
    <w:rsid w:val="00E04DFC"/>
    <w:rsid w:val="00E128D8"/>
    <w:rsid w:val="00E22F00"/>
    <w:rsid w:val="00E30D45"/>
    <w:rsid w:val="00E42FE4"/>
    <w:rsid w:val="00E46FAA"/>
    <w:rsid w:val="00E5750B"/>
    <w:rsid w:val="00E60E2E"/>
    <w:rsid w:val="00E63A24"/>
    <w:rsid w:val="00E66037"/>
    <w:rsid w:val="00E71A2D"/>
    <w:rsid w:val="00E8698A"/>
    <w:rsid w:val="00E92174"/>
    <w:rsid w:val="00E923F2"/>
    <w:rsid w:val="00EA31CC"/>
    <w:rsid w:val="00EB14DF"/>
    <w:rsid w:val="00EB2B64"/>
    <w:rsid w:val="00EB3A07"/>
    <w:rsid w:val="00EB4143"/>
    <w:rsid w:val="00EB4728"/>
    <w:rsid w:val="00EC207A"/>
    <w:rsid w:val="00EC3F31"/>
    <w:rsid w:val="00ED3C91"/>
    <w:rsid w:val="00ED4112"/>
    <w:rsid w:val="00EE5727"/>
    <w:rsid w:val="00EE6223"/>
    <w:rsid w:val="00EF1347"/>
    <w:rsid w:val="00EF2BEB"/>
    <w:rsid w:val="00F01129"/>
    <w:rsid w:val="00F03D93"/>
    <w:rsid w:val="00F03D9E"/>
    <w:rsid w:val="00F227BF"/>
    <w:rsid w:val="00F374B2"/>
    <w:rsid w:val="00F40AFC"/>
    <w:rsid w:val="00F439B2"/>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qFormat="1"/>
    <w:lsdException w:name="Hyperlink" w:uiPriority="99"/>
    <w:lsdException w:name="FollowedHyperlink"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link w:val="ListParagraphChar"/>
    <w:uiPriority w:val="34"/>
    <w:qFormat/>
    <w:rsid w:val="00C772C6"/>
    <w:pPr>
      <w:spacing w:before="0" w:after="200" w:line="276" w:lineRule="auto"/>
      <w:ind w:left="720"/>
      <w:contextualSpacing/>
    </w:pPr>
    <w:rPr>
      <w:rFonts w:asciiTheme="minorHAnsi" w:eastAsiaTheme="minorEastAsia" w:hAnsiTheme="minorHAnsi" w:cstheme="minorBidi"/>
      <w:sz w:val="22"/>
      <w:szCs w:val="22"/>
      <w:lang w:eastAsia="en-US"/>
    </w:rPr>
  </w:style>
  <w:style w:type="character" w:customStyle="1" w:styleId="ListParagraphChar">
    <w:name w:val="List Paragraph Char"/>
    <w:basedOn w:val="DefaultParagraphFont"/>
    <w:link w:val="ListParagraph"/>
    <w:uiPriority w:val="34"/>
    <w:rsid w:val="00C772C6"/>
    <w:rPr>
      <w:rFonts w:asciiTheme="minorHAnsi" w:eastAsiaTheme="minorEastAsia" w:hAnsiTheme="minorHAnsi" w:cstheme="minorBidi"/>
      <w:sz w:val="22"/>
      <w:szCs w:val="22"/>
      <w:lang w:eastAsia="en-US"/>
    </w:rPr>
  </w:style>
  <w:style w:type="paragraph" w:styleId="NormalWeb">
    <w:name w:val="Normal (Web)"/>
    <w:basedOn w:val="Normal"/>
    <w:uiPriority w:val="99"/>
    <w:rsid w:val="00C772C6"/>
    <w:pPr>
      <w:spacing w:before="100" w:beforeAutospacing="1" w:after="100" w:afterAutospacing="1" w:line="240" w:lineRule="auto"/>
    </w:pPr>
    <w:rPr>
      <w:rFonts w:cs="Arial"/>
      <w:color w:val="00000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qFormat="1"/>
    <w:lsdException w:name="Hyperlink" w:uiPriority="99"/>
    <w:lsdException w:name="FollowedHyperlink"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link w:val="ListParagraphChar"/>
    <w:uiPriority w:val="34"/>
    <w:qFormat/>
    <w:rsid w:val="00C772C6"/>
    <w:pPr>
      <w:spacing w:before="0" w:after="200" w:line="276" w:lineRule="auto"/>
      <w:ind w:left="720"/>
      <w:contextualSpacing/>
    </w:pPr>
    <w:rPr>
      <w:rFonts w:asciiTheme="minorHAnsi" w:eastAsiaTheme="minorEastAsia" w:hAnsiTheme="minorHAnsi" w:cstheme="minorBidi"/>
      <w:sz w:val="22"/>
      <w:szCs w:val="22"/>
      <w:lang w:eastAsia="en-US"/>
    </w:rPr>
  </w:style>
  <w:style w:type="character" w:customStyle="1" w:styleId="ListParagraphChar">
    <w:name w:val="List Paragraph Char"/>
    <w:basedOn w:val="DefaultParagraphFont"/>
    <w:link w:val="ListParagraph"/>
    <w:uiPriority w:val="34"/>
    <w:rsid w:val="00C772C6"/>
    <w:rPr>
      <w:rFonts w:asciiTheme="minorHAnsi" w:eastAsiaTheme="minorEastAsia" w:hAnsiTheme="minorHAnsi" w:cstheme="minorBidi"/>
      <w:sz w:val="22"/>
      <w:szCs w:val="22"/>
      <w:lang w:eastAsia="en-US"/>
    </w:rPr>
  </w:style>
  <w:style w:type="paragraph" w:styleId="NormalWeb">
    <w:name w:val="Normal (Web)"/>
    <w:basedOn w:val="Normal"/>
    <w:uiPriority w:val="99"/>
    <w:rsid w:val="00C772C6"/>
    <w:pPr>
      <w:spacing w:before="100" w:beforeAutospacing="1" w:after="100" w:afterAutospacing="1" w:line="240" w:lineRule="auto"/>
    </w:pPr>
    <w:rPr>
      <w:rFonts w:cs="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ss.gov.au/our-responsibilities/families-and-children/programmes-services/early-childhood-child-care/inclusion-and-professional-support-progra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SPCompliance@dss.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CB97-5A87-4F5E-B225-5FEE0D54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Compliance Information Sheet</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Information Sheet</dc:title>
  <dc:creator/>
  <cp:lastModifiedBy/>
  <cp:revision>1</cp:revision>
  <dcterms:created xsi:type="dcterms:W3CDTF">2015-05-25T02:32:00Z</dcterms:created>
  <dcterms:modified xsi:type="dcterms:W3CDTF">2015-06-09T01:08:00Z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