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E96BDE" w:rsidRDefault="006567D0" w:rsidP="002A67DE">
      <w:pPr>
        <w:pStyle w:val="Heading2"/>
        <w:keepNext/>
        <w:spacing w:before="240" w:after="60" w:line="240" w:lineRule="auto"/>
        <w:jc w:val="center"/>
        <w:rPr>
          <w:rStyle w:val="Strong"/>
          <w:rFonts w:eastAsia="Times New Roman" w:cs="Arial"/>
          <w:i/>
          <w:iCs/>
          <w:sz w:val="32"/>
          <w:szCs w:val="32"/>
          <w:lang w:eastAsia="en-AU"/>
        </w:rPr>
      </w:pPr>
      <w:bookmarkStart w:id="0" w:name="_GoBack"/>
      <w:r>
        <w:rPr>
          <w:rStyle w:val="Strong"/>
          <w:rFonts w:eastAsia="Times New Roman" w:cs="Arial"/>
          <w:i/>
          <w:iCs/>
          <w:sz w:val="32"/>
          <w:szCs w:val="32"/>
          <w:lang w:eastAsia="en-AU"/>
        </w:rPr>
        <w:t>International examples</w:t>
      </w:r>
      <w:r w:rsidR="00FC5AFC">
        <w:rPr>
          <w:rStyle w:val="Strong"/>
          <w:rFonts w:eastAsia="Times New Roman" w:cs="Arial"/>
          <w:i/>
          <w:iCs/>
          <w:sz w:val="32"/>
          <w:szCs w:val="32"/>
          <w:lang w:eastAsia="en-AU"/>
        </w:rPr>
        <w:t xml:space="preserve"> of paid parental leave schemes</w:t>
      </w:r>
    </w:p>
    <w:bookmarkEnd w:id="0"/>
    <w:p w:rsidR="00DC7F19" w:rsidRDefault="00DC7F19" w:rsidP="00DC7F19">
      <w:pPr>
        <w:spacing w:after="0" w:line="240" w:lineRule="auto"/>
        <w:rPr>
          <w:rFonts w:ascii="Times New Roman" w:eastAsia="Times New Roman" w:hAnsi="Times New Roman" w:cs="Times New Roman"/>
          <w:sz w:val="24"/>
          <w:szCs w:val="24"/>
          <w:lang w:eastAsia="en-AU"/>
        </w:rPr>
      </w:pPr>
    </w:p>
    <w:p w:rsidR="00711D21" w:rsidRDefault="00711D21" w:rsidP="00711D2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factsheet </w:t>
      </w:r>
      <w:r w:rsidR="006567D0">
        <w:rPr>
          <w:rFonts w:ascii="Times New Roman" w:eastAsia="Times New Roman" w:hAnsi="Times New Roman" w:cs="Times New Roman"/>
          <w:sz w:val="24"/>
          <w:szCs w:val="24"/>
          <w:lang w:eastAsia="en-AU"/>
        </w:rPr>
        <w:t>considers the paid parental leave schemes of six</w:t>
      </w:r>
      <w:r>
        <w:rPr>
          <w:rFonts w:ascii="Times New Roman" w:eastAsia="Times New Roman" w:hAnsi="Times New Roman" w:cs="Times New Roman"/>
          <w:sz w:val="24"/>
          <w:szCs w:val="24"/>
          <w:lang w:eastAsia="en-AU"/>
        </w:rPr>
        <w:t xml:space="preserve"> countries which have similar social, demographic and economic circumstances, namely </w:t>
      </w:r>
      <w:r w:rsidR="0061054D">
        <w:rPr>
          <w:rFonts w:ascii="Times New Roman" w:eastAsia="Times New Roman" w:hAnsi="Times New Roman" w:cs="Times New Roman"/>
          <w:sz w:val="24"/>
          <w:szCs w:val="24"/>
          <w:lang w:eastAsia="en-AU"/>
        </w:rPr>
        <w:t xml:space="preserve">Australia, </w:t>
      </w:r>
      <w:r>
        <w:rPr>
          <w:rFonts w:ascii="Times New Roman" w:eastAsia="Times New Roman" w:hAnsi="Times New Roman" w:cs="Times New Roman"/>
          <w:sz w:val="24"/>
          <w:szCs w:val="24"/>
          <w:lang w:eastAsia="en-AU"/>
        </w:rPr>
        <w:t xml:space="preserve">New Zealand, Canada, United Kingdom, United States and Sweden. These </w:t>
      </w:r>
      <w:r w:rsidR="00C70245">
        <w:rPr>
          <w:rFonts w:ascii="Times New Roman" w:eastAsia="Times New Roman" w:hAnsi="Times New Roman" w:cs="Times New Roman"/>
          <w:sz w:val="24"/>
          <w:szCs w:val="24"/>
          <w:lang w:eastAsia="en-AU"/>
        </w:rPr>
        <w:t>six</w:t>
      </w:r>
      <w:r>
        <w:rPr>
          <w:rFonts w:ascii="Times New Roman" w:eastAsia="Times New Roman" w:hAnsi="Times New Roman" w:cs="Times New Roman"/>
          <w:sz w:val="24"/>
          <w:szCs w:val="24"/>
          <w:lang w:eastAsia="en-AU"/>
        </w:rPr>
        <w:t xml:space="preserve"> countries illustrate how much variation can be seen in parental leave arrangements around the world. </w:t>
      </w:r>
    </w:p>
    <w:p w:rsidR="00711D21" w:rsidRDefault="00711D21" w:rsidP="00711D21">
      <w:pPr>
        <w:spacing w:after="0" w:line="240" w:lineRule="auto"/>
        <w:rPr>
          <w:rFonts w:ascii="Times New Roman" w:eastAsia="Times New Roman" w:hAnsi="Times New Roman" w:cs="Times New Roman"/>
          <w:sz w:val="24"/>
          <w:szCs w:val="24"/>
          <w:lang w:eastAsia="en-AU"/>
        </w:rPr>
      </w:pPr>
    </w:p>
    <w:p w:rsidR="00100DD7" w:rsidRDefault="002A6DBA" w:rsidP="00DC7F1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w:t>
      </w:r>
      <w:r w:rsidR="000E527E">
        <w:rPr>
          <w:rFonts w:ascii="Times New Roman" w:eastAsia="Times New Roman" w:hAnsi="Times New Roman" w:cs="Times New Roman"/>
          <w:sz w:val="24"/>
          <w:szCs w:val="24"/>
          <w:lang w:eastAsia="en-AU"/>
        </w:rPr>
        <w:t xml:space="preserve">very nation </w:t>
      </w:r>
      <w:r>
        <w:rPr>
          <w:rFonts w:ascii="Times New Roman" w:eastAsia="Times New Roman" w:hAnsi="Times New Roman" w:cs="Times New Roman"/>
          <w:sz w:val="24"/>
          <w:szCs w:val="24"/>
          <w:lang w:eastAsia="en-AU"/>
        </w:rPr>
        <w:t>differs</w:t>
      </w:r>
      <w:r w:rsidR="008F1A74">
        <w:rPr>
          <w:rFonts w:ascii="Times New Roman" w:eastAsia="Times New Roman" w:hAnsi="Times New Roman" w:cs="Times New Roman"/>
          <w:sz w:val="24"/>
          <w:szCs w:val="24"/>
          <w:lang w:eastAsia="en-AU"/>
        </w:rPr>
        <w:t xml:space="preserve"> in </w:t>
      </w:r>
      <w:r w:rsidR="00182BE4">
        <w:rPr>
          <w:rFonts w:ascii="Times New Roman" w:eastAsia="Times New Roman" w:hAnsi="Times New Roman" w:cs="Times New Roman"/>
          <w:sz w:val="24"/>
          <w:szCs w:val="24"/>
          <w:lang w:eastAsia="en-AU"/>
        </w:rPr>
        <w:t xml:space="preserve">how </w:t>
      </w:r>
      <w:r w:rsidR="008F1A74">
        <w:rPr>
          <w:rFonts w:ascii="Times New Roman" w:eastAsia="Times New Roman" w:hAnsi="Times New Roman" w:cs="Times New Roman"/>
          <w:sz w:val="24"/>
          <w:szCs w:val="24"/>
          <w:lang w:eastAsia="en-AU"/>
        </w:rPr>
        <w:t xml:space="preserve">working </w:t>
      </w:r>
      <w:r w:rsidR="000E527E">
        <w:rPr>
          <w:rFonts w:ascii="Times New Roman" w:eastAsia="Times New Roman" w:hAnsi="Times New Roman" w:cs="Times New Roman"/>
          <w:sz w:val="24"/>
          <w:szCs w:val="24"/>
          <w:lang w:eastAsia="en-AU"/>
        </w:rPr>
        <w:t>mothers and fathers</w:t>
      </w:r>
      <w:r w:rsidR="008F1A7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may</w:t>
      </w:r>
      <w:r w:rsidR="008F1A74">
        <w:rPr>
          <w:rFonts w:ascii="Times New Roman" w:eastAsia="Times New Roman" w:hAnsi="Times New Roman" w:cs="Times New Roman"/>
          <w:sz w:val="24"/>
          <w:szCs w:val="24"/>
          <w:lang w:eastAsia="en-AU"/>
        </w:rPr>
        <w:t xml:space="preserve"> take leave after the birth of a child. </w:t>
      </w:r>
      <w:r>
        <w:rPr>
          <w:rFonts w:ascii="Times New Roman" w:eastAsia="Times New Roman" w:hAnsi="Times New Roman" w:cs="Times New Roman"/>
          <w:sz w:val="24"/>
          <w:szCs w:val="24"/>
          <w:lang w:eastAsia="en-AU"/>
        </w:rPr>
        <w:t>In some countries</w:t>
      </w:r>
      <w:r w:rsidR="000E527E">
        <w:rPr>
          <w:rFonts w:ascii="Times New Roman" w:eastAsia="Times New Roman" w:hAnsi="Times New Roman" w:cs="Times New Roman"/>
          <w:sz w:val="24"/>
          <w:szCs w:val="24"/>
          <w:lang w:eastAsia="en-AU"/>
        </w:rPr>
        <w:t xml:space="preserve"> </w:t>
      </w:r>
      <w:r w:rsidR="00182BE4">
        <w:rPr>
          <w:rFonts w:ascii="Times New Roman" w:eastAsia="Times New Roman" w:hAnsi="Times New Roman" w:cs="Times New Roman"/>
          <w:sz w:val="24"/>
          <w:szCs w:val="24"/>
          <w:lang w:eastAsia="en-AU"/>
        </w:rPr>
        <w:t xml:space="preserve">there are </w:t>
      </w:r>
      <w:r w:rsidR="000E527E">
        <w:rPr>
          <w:rFonts w:ascii="Times New Roman" w:eastAsia="Times New Roman" w:hAnsi="Times New Roman" w:cs="Times New Roman"/>
          <w:sz w:val="24"/>
          <w:szCs w:val="24"/>
          <w:lang w:eastAsia="en-AU"/>
        </w:rPr>
        <w:t xml:space="preserve">parents </w:t>
      </w:r>
      <w:r w:rsidR="00182BE4">
        <w:rPr>
          <w:rFonts w:ascii="Times New Roman" w:eastAsia="Times New Roman" w:hAnsi="Times New Roman" w:cs="Times New Roman"/>
          <w:sz w:val="24"/>
          <w:szCs w:val="24"/>
          <w:lang w:eastAsia="en-AU"/>
        </w:rPr>
        <w:t xml:space="preserve">who </w:t>
      </w:r>
      <w:r w:rsidR="000E527E">
        <w:rPr>
          <w:rFonts w:ascii="Times New Roman" w:eastAsia="Times New Roman" w:hAnsi="Times New Roman" w:cs="Times New Roman"/>
          <w:sz w:val="24"/>
          <w:szCs w:val="24"/>
          <w:lang w:eastAsia="en-AU"/>
        </w:rPr>
        <w:t xml:space="preserve">are not entitled to any paid leave after </w:t>
      </w:r>
      <w:r>
        <w:rPr>
          <w:rFonts w:ascii="Times New Roman" w:eastAsia="Times New Roman" w:hAnsi="Times New Roman" w:cs="Times New Roman"/>
          <w:sz w:val="24"/>
          <w:szCs w:val="24"/>
          <w:lang w:eastAsia="en-AU"/>
        </w:rPr>
        <w:t>their child is born or adopted</w:t>
      </w:r>
      <w:r w:rsidR="000E527E">
        <w:rPr>
          <w:rFonts w:ascii="Times New Roman" w:eastAsia="Times New Roman" w:hAnsi="Times New Roman" w:cs="Times New Roman"/>
          <w:sz w:val="24"/>
          <w:szCs w:val="24"/>
          <w:lang w:eastAsia="en-AU"/>
        </w:rPr>
        <w:t>. Other countries have national schemes</w:t>
      </w:r>
      <w:r w:rsidR="00FD41A9">
        <w:rPr>
          <w:rFonts w:ascii="Times New Roman" w:eastAsia="Times New Roman" w:hAnsi="Times New Roman" w:cs="Times New Roman"/>
          <w:sz w:val="24"/>
          <w:szCs w:val="24"/>
          <w:lang w:eastAsia="en-AU"/>
        </w:rPr>
        <w:t xml:space="preserve"> </w:t>
      </w:r>
      <w:r w:rsidR="005211FC">
        <w:rPr>
          <w:rFonts w:ascii="Times New Roman" w:eastAsia="Times New Roman" w:hAnsi="Times New Roman" w:cs="Times New Roman"/>
          <w:sz w:val="24"/>
          <w:szCs w:val="24"/>
          <w:lang w:eastAsia="en-AU"/>
        </w:rPr>
        <w:t>for</w:t>
      </w:r>
      <w:r w:rsidR="00FD41A9">
        <w:rPr>
          <w:rFonts w:ascii="Times New Roman" w:eastAsia="Times New Roman" w:hAnsi="Times New Roman" w:cs="Times New Roman"/>
          <w:sz w:val="24"/>
          <w:szCs w:val="24"/>
          <w:lang w:eastAsia="en-AU"/>
        </w:rPr>
        <w:t xml:space="preserve"> different kinds of paid leave</w:t>
      </w:r>
      <w:r w:rsidR="000E527E">
        <w:rPr>
          <w:rFonts w:ascii="Times New Roman" w:eastAsia="Times New Roman" w:hAnsi="Times New Roman" w:cs="Times New Roman"/>
          <w:sz w:val="24"/>
          <w:szCs w:val="24"/>
          <w:lang w:eastAsia="en-AU"/>
        </w:rPr>
        <w:t xml:space="preserve"> funded by governments, employers, employee contributions or a combination of these. </w:t>
      </w:r>
    </w:p>
    <w:p w:rsidR="00100DD7" w:rsidRDefault="00100DD7" w:rsidP="00DC7F19">
      <w:pPr>
        <w:spacing w:after="0" w:line="240" w:lineRule="auto"/>
        <w:rPr>
          <w:rFonts w:ascii="Times New Roman" w:eastAsia="Times New Roman" w:hAnsi="Times New Roman" w:cs="Times New Roman"/>
          <w:sz w:val="24"/>
          <w:szCs w:val="24"/>
          <w:lang w:eastAsia="en-AU"/>
        </w:rPr>
      </w:pPr>
    </w:p>
    <w:p w:rsidR="008F1A74" w:rsidRDefault="002A6DBA" w:rsidP="00DC7F1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In countries where</w:t>
      </w:r>
      <w:r w:rsidR="008F1A74">
        <w:rPr>
          <w:rFonts w:ascii="Times New Roman" w:eastAsia="Times New Roman" w:hAnsi="Times New Roman" w:cs="Times New Roman"/>
          <w:sz w:val="24"/>
          <w:szCs w:val="24"/>
          <w:lang w:eastAsia="en-AU"/>
        </w:rPr>
        <w:t xml:space="preserve"> paid </w:t>
      </w:r>
      <w:r w:rsidR="000E527E">
        <w:rPr>
          <w:rFonts w:ascii="Times New Roman" w:eastAsia="Times New Roman" w:hAnsi="Times New Roman" w:cs="Times New Roman"/>
          <w:sz w:val="24"/>
          <w:szCs w:val="24"/>
          <w:lang w:eastAsia="en-AU"/>
        </w:rPr>
        <w:t xml:space="preserve">parental </w:t>
      </w:r>
      <w:r w:rsidR="008F1A74">
        <w:rPr>
          <w:rFonts w:ascii="Times New Roman" w:eastAsia="Times New Roman" w:hAnsi="Times New Roman" w:cs="Times New Roman"/>
          <w:sz w:val="24"/>
          <w:szCs w:val="24"/>
          <w:lang w:eastAsia="en-AU"/>
        </w:rPr>
        <w:t>leave is available</w:t>
      </w:r>
      <w:r w:rsidR="000E527E">
        <w:rPr>
          <w:rFonts w:ascii="Times New Roman" w:eastAsia="Times New Roman" w:hAnsi="Times New Roman" w:cs="Times New Roman"/>
          <w:sz w:val="24"/>
          <w:szCs w:val="24"/>
          <w:lang w:eastAsia="en-AU"/>
        </w:rPr>
        <w:t xml:space="preserve">, arrangements </w:t>
      </w:r>
      <w:r>
        <w:rPr>
          <w:rFonts w:ascii="Times New Roman" w:eastAsia="Times New Roman" w:hAnsi="Times New Roman" w:cs="Times New Roman"/>
          <w:sz w:val="24"/>
          <w:szCs w:val="24"/>
          <w:lang w:eastAsia="en-AU"/>
        </w:rPr>
        <w:t>vary</w:t>
      </w:r>
      <w:r w:rsidR="000E527E">
        <w:rPr>
          <w:rFonts w:ascii="Times New Roman" w:eastAsia="Times New Roman" w:hAnsi="Times New Roman" w:cs="Times New Roman"/>
          <w:sz w:val="24"/>
          <w:szCs w:val="24"/>
          <w:lang w:eastAsia="en-AU"/>
        </w:rPr>
        <w:t xml:space="preserve"> in</w:t>
      </w:r>
      <w:r w:rsidR="008F1A74">
        <w:rPr>
          <w:rFonts w:ascii="Times New Roman" w:eastAsia="Times New Roman" w:hAnsi="Times New Roman" w:cs="Times New Roman"/>
          <w:sz w:val="24"/>
          <w:szCs w:val="24"/>
          <w:lang w:eastAsia="en-AU"/>
        </w:rPr>
        <w:t xml:space="preserve"> </w:t>
      </w:r>
      <w:r w:rsidR="000E527E">
        <w:rPr>
          <w:rFonts w:ascii="Times New Roman" w:eastAsia="Times New Roman" w:hAnsi="Times New Roman" w:cs="Times New Roman"/>
          <w:sz w:val="24"/>
          <w:szCs w:val="24"/>
          <w:lang w:eastAsia="en-AU"/>
        </w:rPr>
        <w:t xml:space="preserve">terms of who is </w:t>
      </w:r>
      <w:r w:rsidR="008F1A74">
        <w:rPr>
          <w:rFonts w:ascii="Times New Roman" w:eastAsia="Times New Roman" w:hAnsi="Times New Roman" w:cs="Times New Roman"/>
          <w:sz w:val="24"/>
          <w:szCs w:val="24"/>
          <w:lang w:eastAsia="en-AU"/>
        </w:rPr>
        <w:t>eligible</w:t>
      </w:r>
      <w:r w:rsidR="000E527E">
        <w:rPr>
          <w:rFonts w:ascii="Times New Roman" w:eastAsia="Times New Roman" w:hAnsi="Times New Roman" w:cs="Times New Roman"/>
          <w:sz w:val="24"/>
          <w:szCs w:val="24"/>
          <w:lang w:eastAsia="en-AU"/>
        </w:rPr>
        <w:t xml:space="preserve"> for the payment</w:t>
      </w:r>
      <w:r w:rsidR="008F1A7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how much a parent i</w:t>
      </w:r>
      <w:r w:rsidR="00100DD7">
        <w:rPr>
          <w:rFonts w:ascii="Times New Roman" w:eastAsia="Times New Roman" w:hAnsi="Times New Roman" w:cs="Times New Roman"/>
          <w:sz w:val="24"/>
          <w:szCs w:val="24"/>
          <w:lang w:eastAsia="en-AU"/>
        </w:rPr>
        <w:t xml:space="preserve">s paid while they are on leave </w:t>
      </w:r>
      <w:r>
        <w:rPr>
          <w:rFonts w:ascii="Times New Roman" w:eastAsia="Times New Roman" w:hAnsi="Times New Roman" w:cs="Times New Roman"/>
          <w:sz w:val="24"/>
          <w:szCs w:val="24"/>
          <w:lang w:eastAsia="en-AU"/>
        </w:rPr>
        <w:t>and for how long they are paid</w:t>
      </w:r>
      <w:r w:rsidR="008F1A74">
        <w:rPr>
          <w:rFonts w:ascii="Times New Roman" w:eastAsia="Times New Roman" w:hAnsi="Times New Roman" w:cs="Times New Roman"/>
          <w:sz w:val="24"/>
          <w:szCs w:val="24"/>
          <w:lang w:eastAsia="en-AU"/>
        </w:rPr>
        <w:t>, whether both mothers and fathers can take leave</w:t>
      </w:r>
      <w:r w:rsidR="000E527E">
        <w:rPr>
          <w:rFonts w:ascii="Times New Roman" w:eastAsia="Times New Roman" w:hAnsi="Times New Roman" w:cs="Times New Roman"/>
          <w:sz w:val="24"/>
          <w:szCs w:val="24"/>
          <w:lang w:eastAsia="en-AU"/>
        </w:rPr>
        <w:t>,</w:t>
      </w:r>
      <w:r w:rsidR="008F1A74">
        <w:rPr>
          <w:rFonts w:ascii="Times New Roman" w:eastAsia="Times New Roman" w:hAnsi="Times New Roman" w:cs="Times New Roman"/>
          <w:sz w:val="24"/>
          <w:szCs w:val="24"/>
          <w:lang w:eastAsia="en-AU"/>
        </w:rPr>
        <w:t xml:space="preserve"> and</w:t>
      </w:r>
      <w:r w:rsidR="000E527E">
        <w:rPr>
          <w:rFonts w:ascii="Times New Roman" w:eastAsia="Times New Roman" w:hAnsi="Times New Roman" w:cs="Times New Roman"/>
          <w:sz w:val="24"/>
          <w:szCs w:val="24"/>
          <w:lang w:eastAsia="en-AU"/>
        </w:rPr>
        <w:t xml:space="preserve"> whether the payment can be transferred between parents</w:t>
      </w:r>
      <w:r w:rsidR="008F1A74">
        <w:rPr>
          <w:rFonts w:ascii="Times New Roman" w:eastAsia="Times New Roman" w:hAnsi="Times New Roman" w:cs="Times New Roman"/>
          <w:sz w:val="24"/>
          <w:szCs w:val="24"/>
          <w:lang w:eastAsia="en-AU"/>
        </w:rPr>
        <w:t xml:space="preserve">. </w:t>
      </w:r>
    </w:p>
    <w:p w:rsidR="00DC7F19" w:rsidRDefault="00DC7F19" w:rsidP="00DC7F19">
      <w:pPr>
        <w:spacing w:after="0" w:line="240" w:lineRule="auto"/>
        <w:rPr>
          <w:rFonts w:ascii="Times New Roman" w:eastAsia="Times New Roman" w:hAnsi="Times New Roman" w:cs="Times New Roman"/>
          <w:sz w:val="24"/>
          <w:szCs w:val="24"/>
          <w:lang w:eastAsia="en-AU"/>
        </w:rPr>
      </w:pPr>
    </w:p>
    <w:p w:rsidR="00DC250F" w:rsidRDefault="000D0B9E" w:rsidP="00DC7F1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factsheet starts by highlighting the differences between countries in how many mothers are employed and how long women stay out of the workforce after having a baby. </w:t>
      </w:r>
    </w:p>
    <w:p w:rsidR="00DC250F" w:rsidRDefault="00DC250F" w:rsidP="00DC7F19">
      <w:pPr>
        <w:spacing w:after="0" w:line="240" w:lineRule="auto"/>
        <w:rPr>
          <w:rFonts w:ascii="Times New Roman" w:eastAsia="Times New Roman" w:hAnsi="Times New Roman" w:cs="Times New Roman"/>
          <w:sz w:val="24"/>
          <w:szCs w:val="24"/>
          <w:lang w:eastAsia="en-AU"/>
        </w:rPr>
      </w:pPr>
    </w:p>
    <w:p w:rsidR="00B254B5" w:rsidRPr="00185CEF" w:rsidRDefault="002A3E8A" w:rsidP="00B254B5">
      <w:pPr>
        <w:pStyle w:val="Heading2"/>
        <w:rPr>
          <w:rFonts w:eastAsia="Times New Roman" w:cs="Arial"/>
          <w:i/>
          <w:iCs/>
          <w:lang w:eastAsia="en-AU"/>
        </w:rPr>
      </w:pPr>
      <w:r w:rsidRPr="00185CEF">
        <w:rPr>
          <w:rFonts w:eastAsia="Times New Roman" w:cs="Arial"/>
          <w:i/>
          <w:iCs/>
          <w:lang w:eastAsia="en-AU"/>
        </w:rPr>
        <w:t xml:space="preserve">How many </w:t>
      </w:r>
      <w:r w:rsidR="004A67C9" w:rsidRPr="00185CEF">
        <w:rPr>
          <w:rFonts w:eastAsia="Times New Roman" w:cs="Arial"/>
          <w:i/>
          <w:iCs/>
          <w:lang w:eastAsia="en-AU"/>
        </w:rPr>
        <w:t>women</w:t>
      </w:r>
      <w:r w:rsidRPr="00185CEF">
        <w:rPr>
          <w:rFonts w:eastAsia="Times New Roman" w:cs="Arial"/>
          <w:i/>
          <w:iCs/>
          <w:lang w:eastAsia="en-AU"/>
        </w:rPr>
        <w:t xml:space="preserve"> </w:t>
      </w:r>
      <w:r w:rsidR="00182BE4" w:rsidRPr="00185CEF">
        <w:rPr>
          <w:rFonts w:eastAsia="Times New Roman" w:cs="Arial"/>
          <w:i/>
          <w:iCs/>
          <w:lang w:eastAsia="en-AU"/>
        </w:rPr>
        <w:t>are employed</w:t>
      </w:r>
      <w:r w:rsidR="00DC250F" w:rsidRPr="00185CEF">
        <w:rPr>
          <w:rFonts w:eastAsia="Times New Roman" w:cs="Arial"/>
          <w:i/>
          <w:iCs/>
          <w:lang w:eastAsia="en-AU"/>
        </w:rPr>
        <w:t xml:space="preserve"> after </w:t>
      </w:r>
      <w:r w:rsidR="004A67C9" w:rsidRPr="00185CEF">
        <w:rPr>
          <w:rFonts w:eastAsia="Times New Roman" w:cs="Arial"/>
          <w:i/>
          <w:iCs/>
          <w:lang w:eastAsia="en-AU"/>
        </w:rPr>
        <w:t>becoming a mum</w:t>
      </w:r>
      <w:r w:rsidRPr="00185CEF">
        <w:rPr>
          <w:rFonts w:eastAsia="Times New Roman" w:cs="Arial"/>
          <w:i/>
          <w:iCs/>
          <w:lang w:eastAsia="en-AU"/>
        </w:rPr>
        <w:t>?</w:t>
      </w:r>
    </w:p>
    <w:p w:rsidR="002A3E8A" w:rsidRDefault="002A3E8A" w:rsidP="002A3E8A">
      <w:pPr>
        <w:spacing w:after="0" w:line="240" w:lineRule="auto"/>
        <w:rPr>
          <w:rFonts w:ascii="Times New Roman" w:eastAsia="Times New Roman" w:hAnsi="Times New Roman" w:cs="Times New Roman"/>
          <w:sz w:val="24"/>
          <w:szCs w:val="24"/>
          <w:lang w:eastAsia="en-AU"/>
        </w:rPr>
      </w:pPr>
    </w:p>
    <w:p w:rsidR="00100DD7" w:rsidRDefault="00100DD7" w:rsidP="002A3E8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is not surprising that in</w:t>
      </w:r>
      <w:r w:rsidR="002A3E8A">
        <w:rPr>
          <w:rFonts w:ascii="Times New Roman" w:eastAsia="Times New Roman" w:hAnsi="Times New Roman" w:cs="Times New Roman"/>
          <w:sz w:val="24"/>
          <w:szCs w:val="24"/>
          <w:lang w:eastAsia="en-AU"/>
        </w:rPr>
        <w:t xml:space="preserve"> </w:t>
      </w:r>
      <w:r w:rsidR="005211FC">
        <w:rPr>
          <w:rFonts w:ascii="Times New Roman" w:eastAsia="Times New Roman" w:hAnsi="Times New Roman" w:cs="Times New Roman"/>
          <w:sz w:val="24"/>
          <w:szCs w:val="24"/>
          <w:lang w:eastAsia="en-AU"/>
        </w:rPr>
        <w:t>most</w:t>
      </w:r>
      <w:r>
        <w:rPr>
          <w:rFonts w:ascii="Times New Roman" w:eastAsia="Times New Roman" w:hAnsi="Times New Roman" w:cs="Times New Roman"/>
          <w:sz w:val="24"/>
          <w:szCs w:val="24"/>
          <w:lang w:eastAsia="en-AU"/>
        </w:rPr>
        <w:t xml:space="preserve"> countries –</w:t>
      </w:r>
      <w:r w:rsidR="002A3E8A">
        <w:rPr>
          <w:rFonts w:ascii="Times New Roman" w:eastAsia="Times New Roman" w:hAnsi="Times New Roman" w:cs="Times New Roman"/>
          <w:sz w:val="24"/>
          <w:szCs w:val="24"/>
          <w:lang w:eastAsia="en-AU"/>
        </w:rPr>
        <w:t xml:space="preserve"> </w:t>
      </w:r>
      <w:r w:rsidR="00F15E3E">
        <w:rPr>
          <w:rFonts w:ascii="Times New Roman" w:eastAsia="Times New Roman" w:hAnsi="Times New Roman" w:cs="Times New Roman"/>
          <w:sz w:val="24"/>
          <w:szCs w:val="24"/>
          <w:lang w:eastAsia="en-AU"/>
        </w:rPr>
        <w:t>including Australia</w:t>
      </w:r>
      <w:r>
        <w:rPr>
          <w:rFonts w:ascii="Times New Roman" w:eastAsia="Times New Roman" w:hAnsi="Times New Roman" w:cs="Times New Roman"/>
          <w:sz w:val="24"/>
          <w:szCs w:val="24"/>
          <w:lang w:eastAsia="en-AU"/>
        </w:rPr>
        <w:t xml:space="preserve"> –</w:t>
      </w:r>
      <w:r w:rsidR="00F15E3E">
        <w:rPr>
          <w:rFonts w:ascii="Times New Roman" w:eastAsia="Times New Roman" w:hAnsi="Times New Roman" w:cs="Times New Roman"/>
          <w:sz w:val="24"/>
          <w:szCs w:val="24"/>
          <w:lang w:eastAsia="en-AU"/>
        </w:rPr>
        <w:t xml:space="preserve"> </w:t>
      </w:r>
      <w:r w:rsidR="002A3E8A">
        <w:rPr>
          <w:rFonts w:ascii="Times New Roman" w:eastAsia="Times New Roman" w:hAnsi="Times New Roman" w:cs="Times New Roman"/>
          <w:sz w:val="24"/>
          <w:szCs w:val="24"/>
          <w:lang w:eastAsia="en-AU"/>
        </w:rPr>
        <w:t xml:space="preserve">women who have children are less likely to be employed than women who do not have children. </w:t>
      </w:r>
    </w:p>
    <w:p w:rsidR="00100DD7" w:rsidRDefault="00100DD7" w:rsidP="002A3E8A">
      <w:pPr>
        <w:spacing w:after="0" w:line="240" w:lineRule="auto"/>
        <w:rPr>
          <w:rFonts w:ascii="Times New Roman" w:eastAsia="Times New Roman" w:hAnsi="Times New Roman" w:cs="Times New Roman"/>
          <w:sz w:val="24"/>
          <w:szCs w:val="24"/>
          <w:lang w:eastAsia="en-AU"/>
        </w:rPr>
      </w:pPr>
    </w:p>
    <w:p w:rsidR="00367F8E" w:rsidRDefault="00F15E3E" w:rsidP="002A3E8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One of the main objectives of </w:t>
      </w:r>
      <w:r w:rsidR="005211FC">
        <w:rPr>
          <w:rFonts w:ascii="Times New Roman" w:eastAsia="Times New Roman" w:hAnsi="Times New Roman" w:cs="Times New Roman"/>
          <w:sz w:val="24"/>
          <w:szCs w:val="24"/>
          <w:lang w:eastAsia="en-AU"/>
        </w:rPr>
        <w:t>Australia’s</w:t>
      </w:r>
      <w:r>
        <w:rPr>
          <w:rFonts w:ascii="Times New Roman" w:eastAsia="Times New Roman" w:hAnsi="Times New Roman" w:cs="Times New Roman"/>
          <w:sz w:val="24"/>
          <w:szCs w:val="24"/>
          <w:lang w:eastAsia="en-AU"/>
        </w:rPr>
        <w:t xml:space="preserve"> PPL scheme is to </w:t>
      </w:r>
      <w:r w:rsidR="005211FC">
        <w:rPr>
          <w:rFonts w:ascii="Times New Roman" w:eastAsia="Times New Roman" w:hAnsi="Times New Roman" w:cs="Times New Roman"/>
          <w:sz w:val="24"/>
          <w:szCs w:val="24"/>
          <w:lang w:eastAsia="en-AU"/>
        </w:rPr>
        <w:t xml:space="preserve">encourage mothers to </w:t>
      </w:r>
      <w:r>
        <w:rPr>
          <w:rFonts w:ascii="Times New Roman" w:eastAsia="Times New Roman" w:hAnsi="Times New Roman" w:cs="Times New Roman"/>
          <w:sz w:val="24"/>
          <w:szCs w:val="24"/>
          <w:lang w:eastAsia="en-AU"/>
        </w:rPr>
        <w:t>take leave after the birth of a child</w:t>
      </w:r>
      <w:r w:rsidR="00100DD7">
        <w:rPr>
          <w:rFonts w:ascii="Times New Roman" w:eastAsia="Times New Roman" w:hAnsi="Times New Roman" w:cs="Times New Roman"/>
          <w:sz w:val="24"/>
          <w:szCs w:val="24"/>
          <w:lang w:eastAsia="en-AU"/>
        </w:rPr>
        <w:t xml:space="preserve"> </w:t>
      </w:r>
      <w:r w:rsidR="00590B08">
        <w:rPr>
          <w:rFonts w:ascii="Times New Roman" w:eastAsia="Times New Roman" w:hAnsi="Times New Roman" w:cs="Times New Roman"/>
          <w:sz w:val="24"/>
          <w:szCs w:val="24"/>
          <w:lang w:eastAsia="en-AU"/>
        </w:rPr>
        <w:t xml:space="preserve">while also </w:t>
      </w:r>
      <w:r w:rsidR="00100DD7">
        <w:rPr>
          <w:rFonts w:ascii="Times New Roman" w:eastAsia="Times New Roman" w:hAnsi="Times New Roman" w:cs="Times New Roman"/>
          <w:sz w:val="24"/>
          <w:szCs w:val="24"/>
          <w:lang w:eastAsia="en-AU"/>
        </w:rPr>
        <w:t>remain</w:t>
      </w:r>
      <w:r w:rsidR="00590B08">
        <w:rPr>
          <w:rFonts w:ascii="Times New Roman" w:eastAsia="Times New Roman" w:hAnsi="Times New Roman" w:cs="Times New Roman"/>
          <w:sz w:val="24"/>
          <w:szCs w:val="24"/>
          <w:lang w:eastAsia="en-AU"/>
        </w:rPr>
        <w:t>ing</w:t>
      </w:r>
      <w:r w:rsidR="00100DD7">
        <w:rPr>
          <w:rFonts w:ascii="Times New Roman" w:eastAsia="Times New Roman" w:hAnsi="Times New Roman" w:cs="Times New Roman"/>
          <w:sz w:val="24"/>
          <w:szCs w:val="24"/>
          <w:lang w:eastAsia="en-AU"/>
        </w:rPr>
        <w:t xml:space="preserve"> connected with their employ</w:t>
      </w:r>
      <w:r w:rsidR="00590B08">
        <w:rPr>
          <w:rFonts w:ascii="Times New Roman" w:eastAsia="Times New Roman" w:hAnsi="Times New Roman" w:cs="Times New Roman"/>
          <w:sz w:val="24"/>
          <w:szCs w:val="24"/>
          <w:lang w:eastAsia="en-AU"/>
        </w:rPr>
        <w:t>er</w:t>
      </w:r>
      <w:r w:rsidR="00100DD7">
        <w:rPr>
          <w:rFonts w:ascii="Times New Roman" w:eastAsia="Times New Roman" w:hAnsi="Times New Roman" w:cs="Times New Roman"/>
          <w:sz w:val="24"/>
          <w:szCs w:val="24"/>
          <w:lang w:eastAsia="en-AU"/>
        </w:rPr>
        <w:t xml:space="preserve"> so they can </w:t>
      </w:r>
      <w:r w:rsidR="00FE4B10">
        <w:rPr>
          <w:rFonts w:ascii="Times New Roman" w:eastAsia="Times New Roman" w:hAnsi="Times New Roman" w:cs="Times New Roman"/>
          <w:sz w:val="24"/>
          <w:szCs w:val="24"/>
          <w:lang w:eastAsia="en-AU"/>
        </w:rPr>
        <w:t>go back</w:t>
      </w:r>
      <w:r>
        <w:rPr>
          <w:rFonts w:ascii="Times New Roman" w:eastAsia="Times New Roman" w:hAnsi="Times New Roman" w:cs="Times New Roman"/>
          <w:sz w:val="24"/>
          <w:szCs w:val="24"/>
          <w:lang w:eastAsia="en-AU"/>
        </w:rPr>
        <w:t xml:space="preserve"> to </w:t>
      </w:r>
      <w:r w:rsidR="00FE4B10">
        <w:rPr>
          <w:rFonts w:ascii="Times New Roman" w:eastAsia="Times New Roman" w:hAnsi="Times New Roman" w:cs="Times New Roman"/>
          <w:sz w:val="24"/>
          <w:szCs w:val="24"/>
          <w:lang w:eastAsia="en-AU"/>
        </w:rPr>
        <w:t>work</w:t>
      </w:r>
      <w:r>
        <w:rPr>
          <w:rFonts w:ascii="Times New Roman" w:eastAsia="Times New Roman" w:hAnsi="Times New Roman" w:cs="Times New Roman"/>
          <w:sz w:val="24"/>
          <w:szCs w:val="24"/>
          <w:lang w:eastAsia="en-AU"/>
        </w:rPr>
        <w:t xml:space="preserve"> when they are ready.</w:t>
      </w:r>
      <w:r w:rsidR="005211FC">
        <w:rPr>
          <w:rFonts w:ascii="Times New Roman" w:eastAsia="Times New Roman" w:hAnsi="Times New Roman" w:cs="Times New Roman"/>
          <w:sz w:val="24"/>
          <w:szCs w:val="24"/>
          <w:lang w:eastAsia="en-AU"/>
        </w:rPr>
        <w:t xml:space="preserve"> </w:t>
      </w:r>
      <w:r w:rsidR="00100DD7">
        <w:rPr>
          <w:rFonts w:ascii="Times New Roman" w:eastAsia="Times New Roman" w:hAnsi="Times New Roman" w:cs="Times New Roman"/>
          <w:sz w:val="24"/>
          <w:szCs w:val="24"/>
          <w:lang w:eastAsia="en-AU"/>
        </w:rPr>
        <w:t xml:space="preserve">This would </w:t>
      </w:r>
      <w:r w:rsidR="00C70245">
        <w:rPr>
          <w:rFonts w:ascii="Times New Roman" w:eastAsia="Times New Roman" w:hAnsi="Times New Roman" w:cs="Times New Roman"/>
          <w:sz w:val="24"/>
          <w:szCs w:val="24"/>
          <w:lang w:eastAsia="en-AU"/>
        </w:rPr>
        <w:t xml:space="preserve">help </w:t>
      </w:r>
      <w:r w:rsidR="00100DD7">
        <w:rPr>
          <w:rFonts w:ascii="Times New Roman" w:eastAsia="Times New Roman" w:hAnsi="Times New Roman" w:cs="Times New Roman"/>
          <w:sz w:val="24"/>
          <w:szCs w:val="24"/>
          <w:lang w:eastAsia="en-AU"/>
        </w:rPr>
        <w:t>reduce</w:t>
      </w:r>
      <w:r w:rsidR="005211FC">
        <w:rPr>
          <w:rFonts w:ascii="Times New Roman" w:eastAsia="Times New Roman" w:hAnsi="Times New Roman" w:cs="Times New Roman"/>
          <w:sz w:val="24"/>
          <w:szCs w:val="24"/>
          <w:lang w:eastAsia="en-AU"/>
        </w:rPr>
        <w:t xml:space="preserve"> the </w:t>
      </w:r>
      <w:r w:rsidR="00100DD7">
        <w:rPr>
          <w:rFonts w:ascii="Times New Roman" w:eastAsia="Times New Roman" w:hAnsi="Times New Roman" w:cs="Times New Roman"/>
          <w:sz w:val="24"/>
          <w:szCs w:val="24"/>
          <w:lang w:eastAsia="en-AU"/>
        </w:rPr>
        <w:t>difference</w:t>
      </w:r>
      <w:r w:rsidR="005211FC">
        <w:rPr>
          <w:rFonts w:ascii="Times New Roman" w:eastAsia="Times New Roman" w:hAnsi="Times New Roman" w:cs="Times New Roman"/>
          <w:sz w:val="24"/>
          <w:szCs w:val="24"/>
          <w:lang w:eastAsia="en-AU"/>
        </w:rPr>
        <w:t xml:space="preserve"> </w:t>
      </w:r>
      <w:r w:rsidR="00100DD7">
        <w:rPr>
          <w:rFonts w:ascii="Times New Roman" w:eastAsia="Times New Roman" w:hAnsi="Times New Roman" w:cs="Times New Roman"/>
          <w:sz w:val="24"/>
          <w:szCs w:val="24"/>
          <w:lang w:eastAsia="en-AU"/>
        </w:rPr>
        <w:t>in</w:t>
      </w:r>
      <w:r w:rsidR="005211FC">
        <w:rPr>
          <w:rFonts w:ascii="Times New Roman" w:eastAsia="Times New Roman" w:hAnsi="Times New Roman" w:cs="Times New Roman"/>
          <w:sz w:val="24"/>
          <w:szCs w:val="24"/>
          <w:lang w:eastAsia="en-AU"/>
        </w:rPr>
        <w:t xml:space="preserve"> </w:t>
      </w:r>
      <w:r w:rsidR="00100DD7">
        <w:rPr>
          <w:rFonts w:ascii="Times New Roman" w:eastAsia="Times New Roman" w:hAnsi="Times New Roman" w:cs="Times New Roman"/>
          <w:sz w:val="24"/>
          <w:szCs w:val="24"/>
          <w:lang w:eastAsia="en-AU"/>
        </w:rPr>
        <w:t xml:space="preserve">the </w:t>
      </w:r>
      <w:r w:rsidR="005211FC">
        <w:rPr>
          <w:rFonts w:ascii="Times New Roman" w:eastAsia="Times New Roman" w:hAnsi="Times New Roman" w:cs="Times New Roman"/>
          <w:sz w:val="24"/>
          <w:szCs w:val="24"/>
          <w:lang w:eastAsia="en-AU"/>
        </w:rPr>
        <w:t>employment rate</w:t>
      </w:r>
      <w:r w:rsidR="00100DD7">
        <w:rPr>
          <w:rFonts w:ascii="Times New Roman" w:eastAsia="Times New Roman" w:hAnsi="Times New Roman" w:cs="Times New Roman"/>
          <w:sz w:val="24"/>
          <w:szCs w:val="24"/>
          <w:lang w:eastAsia="en-AU"/>
        </w:rPr>
        <w:t xml:space="preserve"> of mothers compared to the employment rate of all women</w:t>
      </w:r>
      <w:r w:rsidR="005211FC">
        <w:rPr>
          <w:rFonts w:ascii="Times New Roman" w:eastAsia="Times New Roman" w:hAnsi="Times New Roman" w:cs="Times New Roman"/>
          <w:sz w:val="24"/>
          <w:szCs w:val="24"/>
          <w:lang w:eastAsia="en-AU"/>
        </w:rPr>
        <w:t>.</w:t>
      </w:r>
      <w:r w:rsidR="00100DD7">
        <w:rPr>
          <w:rFonts w:ascii="Times New Roman" w:eastAsia="Times New Roman" w:hAnsi="Times New Roman" w:cs="Times New Roman"/>
          <w:sz w:val="24"/>
          <w:szCs w:val="24"/>
          <w:lang w:eastAsia="en-AU"/>
        </w:rPr>
        <w:t xml:space="preserve"> </w:t>
      </w:r>
    </w:p>
    <w:p w:rsidR="00500A3B" w:rsidRDefault="00500A3B" w:rsidP="002A3E8A">
      <w:pPr>
        <w:spacing w:after="0" w:line="240" w:lineRule="auto"/>
        <w:rPr>
          <w:rFonts w:ascii="Times New Roman" w:eastAsia="Times New Roman" w:hAnsi="Times New Roman" w:cs="Times New Roman"/>
          <w:sz w:val="24"/>
          <w:szCs w:val="24"/>
          <w:lang w:eastAsia="en-AU"/>
        </w:rPr>
      </w:pPr>
    </w:p>
    <w:p w:rsidR="00F15E3E" w:rsidRDefault="00100DD7" w:rsidP="002A3E8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Figure 1 illustrates the employment rates </w:t>
      </w:r>
      <w:r w:rsidR="00367F8E">
        <w:rPr>
          <w:rFonts w:ascii="Times New Roman" w:eastAsia="Times New Roman" w:hAnsi="Times New Roman" w:cs="Times New Roman"/>
          <w:sz w:val="24"/>
          <w:szCs w:val="24"/>
          <w:lang w:eastAsia="en-AU"/>
        </w:rPr>
        <w:t>in 2009 for</w:t>
      </w:r>
      <w:r>
        <w:rPr>
          <w:rFonts w:ascii="Times New Roman" w:eastAsia="Times New Roman" w:hAnsi="Times New Roman" w:cs="Times New Roman"/>
          <w:sz w:val="24"/>
          <w:szCs w:val="24"/>
          <w:lang w:eastAsia="en-AU"/>
        </w:rPr>
        <w:t xml:space="preserve"> </w:t>
      </w:r>
      <w:r w:rsidR="00EF7612">
        <w:rPr>
          <w:rFonts w:ascii="Times New Roman" w:eastAsia="Times New Roman" w:hAnsi="Times New Roman" w:cs="Times New Roman"/>
          <w:sz w:val="24"/>
          <w:szCs w:val="24"/>
          <w:lang w:eastAsia="en-AU"/>
        </w:rPr>
        <w:t xml:space="preserve">mothers and all </w:t>
      </w:r>
      <w:r>
        <w:rPr>
          <w:rFonts w:ascii="Times New Roman" w:eastAsia="Times New Roman" w:hAnsi="Times New Roman" w:cs="Times New Roman"/>
          <w:sz w:val="24"/>
          <w:szCs w:val="24"/>
          <w:lang w:eastAsia="en-AU"/>
        </w:rPr>
        <w:t>women in Australia and selected countries</w:t>
      </w:r>
      <w:r w:rsidR="00367F8E">
        <w:rPr>
          <w:rFonts w:ascii="Times New Roman" w:eastAsia="Times New Roman" w:hAnsi="Times New Roman" w:cs="Times New Roman"/>
          <w:sz w:val="24"/>
          <w:szCs w:val="24"/>
          <w:lang w:eastAsia="en-AU"/>
        </w:rPr>
        <w:t>. It also shows the average for developed countries in the Organisation for Economic Co</w:t>
      </w:r>
      <w:r w:rsidR="00367F8E">
        <w:rPr>
          <w:rFonts w:ascii="Times New Roman" w:eastAsia="Times New Roman" w:hAnsi="Times New Roman" w:cs="Times New Roman"/>
          <w:sz w:val="24"/>
          <w:szCs w:val="24"/>
          <w:lang w:eastAsia="en-AU"/>
        </w:rPr>
        <w:noBreakHyphen/>
      </w:r>
      <w:r w:rsidR="00367F8E" w:rsidRPr="0058766C">
        <w:rPr>
          <w:rFonts w:ascii="Times New Roman" w:eastAsia="Times New Roman" w:hAnsi="Times New Roman" w:cs="Times New Roman"/>
          <w:sz w:val="24"/>
          <w:szCs w:val="24"/>
          <w:lang w:eastAsia="en-AU"/>
        </w:rPr>
        <w:t>operation and Development</w:t>
      </w:r>
      <w:r w:rsidR="00367F8E">
        <w:rPr>
          <w:rFonts w:ascii="Times New Roman" w:eastAsia="Times New Roman" w:hAnsi="Times New Roman" w:cs="Times New Roman"/>
          <w:sz w:val="24"/>
          <w:szCs w:val="24"/>
          <w:lang w:eastAsia="en-AU"/>
        </w:rPr>
        <w:t xml:space="preserve"> (OECD).</w:t>
      </w:r>
    </w:p>
    <w:p w:rsidR="00367F8E" w:rsidRDefault="00367F8E" w:rsidP="00100DD7">
      <w:pPr>
        <w:spacing w:after="0" w:line="240" w:lineRule="auto"/>
        <w:rPr>
          <w:rFonts w:ascii="Times New Roman" w:eastAsia="Times New Roman" w:hAnsi="Times New Roman" w:cs="Times New Roman"/>
          <w:sz w:val="24"/>
          <w:szCs w:val="24"/>
          <w:lang w:eastAsia="en-AU"/>
        </w:rPr>
      </w:pPr>
    </w:p>
    <w:p w:rsidR="00100DD7" w:rsidRDefault="00624B7B" w:rsidP="00100DD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graph</w:t>
      </w:r>
      <w:r w:rsidR="00367F8E">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illustrates</w:t>
      </w:r>
      <w:r w:rsidR="00100DD7">
        <w:rPr>
          <w:rFonts w:ascii="Times New Roman" w:eastAsia="Times New Roman" w:hAnsi="Times New Roman" w:cs="Times New Roman"/>
          <w:sz w:val="24"/>
          <w:szCs w:val="24"/>
          <w:lang w:eastAsia="en-AU"/>
        </w:rPr>
        <w:t xml:space="preserve"> </w:t>
      </w:r>
      <w:r w:rsidR="00367F8E">
        <w:rPr>
          <w:rFonts w:ascii="Times New Roman" w:eastAsia="Times New Roman" w:hAnsi="Times New Roman" w:cs="Times New Roman"/>
          <w:sz w:val="24"/>
          <w:szCs w:val="24"/>
          <w:lang w:eastAsia="en-AU"/>
        </w:rPr>
        <w:t>that the</w:t>
      </w:r>
      <w:r w:rsidR="00100DD7">
        <w:rPr>
          <w:rFonts w:ascii="Times New Roman" w:eastAsia="Times New Roman" w:hAnsi="Times New Roman" w:cs="Times New Roman"/>
          <w:sz w:val="24"/>
          <w:szCs w:val="24"/>
          <w:lang w:eastAsia="en-AU"/>
        </w:rPr>
        <w:t xml:space="preserve"> employment rate of mothers in Australia </w:t>
      </w:r>
      <w:r>
        <w:rPr>
          <w:rFonts w:ascii="Times New Roman" w:eastAsia="Times New Roman" w:hAnsi="Times New Roman" w:cs="Times New Roman"/>
          <w:sz w:val="24"/>
          <w:szCs w:val="24"/>
          <w:lang w:eastAsia="en-AU"/>
        </w:rPr>
        <w:t>wa</w:t>
      </w:r>
      <w:r w:rsidR="00367F8E">
        <w:rPr>
          <w:rFonts w:ascii="Times New Roman" w:eastAsia="Times New Roman" w:hAnsi="Times New Roman" w:cs="Times New Roman"/>
          <w:sz w:val="24"/>
          <w:szCs w:val="24"/>
          <w:lang w:eastAsia="en-AU"/>
        </w:rPr>
        <w:t>s</w:t>
      </w:r>
      <w:r w:rsidR="00100DD7">
        <w:rPr>
          <w:rFonts w:ascii="Times New Roman" w:eastAsia="Times New Roman" w:hAnsi="Times New Roman" w:cs="Times New Roman"/>
          <w:sz w:val="24"/>
          <w:szCs w:val="24"/>
          <w:lang w:eastAsia="en-AU"/>
        </w:rPr>
        <w:t xml:space="preserve"> lower than the average </w:t>
      </w:r>
      <w:r w:rsidR="00367F8E">
        <w:rPr>
          <w:rFonts w:ascii="Times New Roman" w:eastAsia="Times New Roman" w:hAnsi="Times New Roman" w:cs="Times New Roman"/>
          <w:sz w:val="24"/>
          <w:szCs w:val="24"/>
          <w:lang w:eastAsia="en-AU"/>
        </w:rPr>
        <w:t>in developed countries</w:t>
      </w:r>
      <w:r w:rsidR="00100DD7">
        <w:rPr>
          <w:rFonts w:ascii="Times New Roman" w:eastAsia="Times New Roman" w:hAnsi="Times New Roman" w:cs="Times New Roman"/>
          <w:sz w:val="24"/>
          <w:szCs w:val="24"/>
          <w:lang w:eastAsia="en-AU"/>
        </w:rPr>
        <w:t>.</w:t>
      </w:r>
      <w:r w:rsidR="00FE4B10">
        <w:rPr>
          <w:rFonts w:ascii="Times New Roman" w:eastAsia="Times New Roman" w:hAnsi="Times New Roman" w:cs="Times New Roman"/>
          <w:sz w:val="24"/>
          <w:szCs w:val="24"/>
          <w:lang w:eastAsia="en-AU"/>
        </w:rPr>
        <w:t xml:space="preserve"> </w:t>
      </w:r>
      <w:r w:rsidR="00C70245">
        <w:rPr>
          <w:rFonts w:ascii="Times New Roman" w:eastAsia="Times New Roman" w:hAnsi="Times New Roman" w:cs="Times New Roman"/>
          <w:sz w:val="24"/>
          <w:szCs w:val="24"/>
          <w:lang w:eastAsia="en-AU"/>
        </w:rPr>
        <w:t>There was a 10 percentage point</w:t>
      </w:r>
      <w:r>
        <w:rPr>
          <w:rFonts w:ascii="Times New Roman" w:eastAsia="Times New Roman" w:hAnsi="Times New Roman" w:cs="Times New Roman"/>
          <w:sz w:val="24"/>
          <w:szCs w:val="24"/>
          <w:lang w:eastAsia="en-AU"/>
        </w:rPr>
        <w:t xml:space="preserve"> difference in the </w:t>
      </w:r>
      <w:r w:rsidR="00C70245">
        <w:rPr>
          <w:rFonts w:ascii="Times New Roman" w:eastAsia="Times New Roman" w:hAnsi="Times New Roman" w:cs="Times New Roman"/>
          <w:sz w:val="24"/>
          <w:szCs w:val="24"/>
          <w:lang w:eastAsia="en-AU"/>
        </w:rPr>
        <w:t>employment rates of mothers (62 per cent</w:t>
      </w:r>
      <w:r>
        <w:rPr>
          <w:rFonts w:ascii="Times New Roman" w:eastAsia="Times New Roman" w:hAnsi="Times New Roman" w:cs="Times New Roman"/>
          <w:sz w:val="24"/>
          <w:szCs w:val="24"/>
          <w:lang w:eastAsia="en-AU"/>
        </w:rPr>
        <w:t>) and all women</w:t>
      </w:r>
      <w:r w:rsidR="00C70245">
        <w:rPr>
          <w:rFonts w:ascii="Times New Roman" w:eastAsia="Times New Roman" w:hAnsi="Times New Roman" w:cs="Times New Roman"/>
          <w:sz w:val="24"/>
          <w:szCs w:val="24"/>
          <w:lang w:eastAsia="en-AU"/>
        </w:rPr>
        <w:t xml:space="preserve"> (72 per cent</w:t>
      </w:r>
      <w:r w:rsidRPr="00727ED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in Australia – a </w:t>
      </w:r>
      <w:r w:rsidRPr="00727ED5">
        <w:rPr>
          <w:rFonts w:ascii="Times New Roman" w:eastAsia="Times New Roman" w:hAnsi="Times New Roman" w:cs="Times New Roman"/>
          <w:sz w:val="24"/>
          <w:szCs w:val="24"/>
          <w:lang w:eastAsia="en-AU"/>
        </w:rPr>
        <w:t>rel</w:t>
      </w:r>
      <w:r>
        <w:rPr>
          <w:rFonts w:ascii="Times New Roman" w:eastAsia="Times New Roman" w:hAnsi="Times New Roman" w:cs="Times New Roman"/>
          <w:sz w:val="24"/>
          <w:szCs w:val="24"/>
          <w:lang w:eastAsia="en-AU"/>
        </w:rPr>
        <w:t xml:space="preserve">atively large gap compared to </w:t>
      </w:r>
      <w:r w:rsidR="00C70245">
        <w:rPr>
          <w:rFonts w:ascii="Times New Roman" w:eastAsia="Times New Roman" w:hAnsi="Times New Roman" w:cs="Times New Roman"/>
          <w:sz w:val="24"/>
          <w:szCs w:val="24"/>
          <w:lang w:eastAsia="en-AU"/>
        </w:rPr>
        <w:t>the OECD average which is less than 5 percentage points</w:t>
      </w:r>
      <w:r>
        <w:rPr>
          <w:rFonts w:ascii="Times New Roman" w:eastAsia="Times New Roman" w:hAnsi="Times New Roman" w:cs="Times New Roman"/>
          <w:sz w:val="24"/>
          <w:szCs w:val="24"/>
          <w:lang w:eastAsia="en-AU"/>
        </w:rPr>
        <w:t>.</w:t>
      </w:r>
    </w:p>
    <w:p w:rsidR="00727ED5" w:rsidRDefault="00727ED5" w:rsidP="002A3E8A">
      <w:pPr>
        <w:spacing w:after="0" w:line="240" w:lineRule="auto"/>
        <w:rPr>
          <w:rFonts w:ascii="Times New Roman" w:eastAsia="Times New Roman" w:hAnsi="Times New Roman" w:cs="Times New Roman"/>
          <w:sz w:val="24"/>
          <w:szCs w:val="24"/>
          <w:lang w:eastAsia="en-AU"/>
        </w:rPr>
      </w:pPr>
    </w:p>
    <w:p w:rsidR="004A67C9" w:rsidRDefault="00DC250F" w:rsidP="00727ED5">
      <w:pPr>
        <w:keepNext/>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lastRenderedPageBreak/>
        <w:t xml:space="preserve">Figure 1: </w:t>
      </w:r>
      <w:r w:rsidR="004A67C9">
        <w:rPr>
          <w:rFonts w:ascii="Times New Roman" w:eastAsia="Times New Roman" w:hAnsi="Times New Roman" w:cs="Times New Roman"/>
          <w:b/>
          <w:sz w:val="24"/>
          <w:szCs w:val="24"/>
          <w:lang w:eastAsia="en-AU"/>
        </w:rPr>
        <w:t>E</w:t>
      </w:r>
      <w:r w:rsidR="00727ED5" w:rsidRPr="00727ED5">
        <w:rPr>
          <w:rFonts w:ascii="Times New Roman" w:eastAsia="Times New Roman" w:hAnsi="Times New Roman" w:cs="Times New Roman"/>
          <w:b/>
          <w:sz w:val="24"/>
          <w:szCs w:val="24"/>
          <w:lang w:eastAsia="en-AU"/>
        </w:rPr>
        <w:t>mployment rate</w:t>
      </w:r>
      <w:r w:rsidR="007F4B6C">
        <w:rPr>
          <w:rFonts w:ascii="Times New Roman" w:eastAsia="Times New Roman" w:hAnsi="Times New Roman" w:cs="Times New Roman"/>
          <w:b/>
          <w:sz w:val="24"/>
          <w:szCs w:val="24"/>
          <w:lang w:eastAsia="en-AU"/>
        </w:rPr>
        <w:t>s</w:t>
      </w:r>
      <w:r w:rsidR="00727ED5" w:rsidRPr="00727ED5">
        <w:rPr>
          <w:rFonts w:ascii="Times New Roman" w:eastAsia="Times New Roman" w:hAnsi="Times New Roman" w:cs="Times New Roman"/>
          <w:b/>
          <w:sz w:val="24"/>
          <w:szCs w:val="24"/>
          <w:lang w:eastAsia="en-AU"/>
        </w:rPr>
        <w:t xml:space="preserve"> </w:t>
      </w:r>
      <w:r w:rsidR="004A67C9">
        <w:rPr>
          <w:rFonts w:ascii="Times New Roman" w:eastAsia="Times New Roman" w:hAnsi="Times New Roman" w:cs="Times New Roman"/>
          <w:b/>
          <w:sz w:val="24"/>
          <w:szCs w:val="24"/>
          <w:lang w:eastAsia="en-AU"/>
        </w:rPr>
        <w:t xml:space="preserve">for mothers </w:t>
      </w:r>
      <w:r w:rsidR="007F4B6C">
        <w:rPr>
          <w:rFonts w:ascii="Times New Roman" w:eastAsia="Times New Roman" w:hAnsi="Times New Roman" w:cs="Times New Roman"/>
          <w:b/>
          <w:sz w:val="24"/>
          <w:szCs w:val="24"/>
          <w:lang w:eastAsia="en-AU"/>
        </w:rPr>
        <w:t xml:space="preserve">with a child under 15 years </w:t>
      </w:r>
      <w:r w:rsidR="004A67C9">
        <w:rPr>
          <w:rFonts w:ascii="Times New Roman" w:eastAsia="Times New Roman" w:hAnsi="Times New Roman" w:cs="Times New Roman"/>
          <w:b/>
          <w:sz w:val="24"/>
          <w:szCs w:val="24"/>
          <w:lang w:eastAsia="en-AU"/>
        </w:rPr>
        <w:t>and all females</w:t>
      </w:r>
      <w:r w:rsidR="007F4B6C">
        <w:rPr>
          <w:rFonts w:ascii="Times New Roman" w:eastAsia="Times New Roman" w:hAnsi="Times New Roman" w:cs="Times New Roman"/>
          <w:b/>
          <w:sz w:val="24"/>
          <w:szCs w:val="24"/>
          <w:lang w:eastAsia="en-AU"/>
        </w:rPr>
        <w:t xml:space="preserve"> (25-54 years)</w:t>
      </w:r>
      <w:r w:rsidR="00727ED5" w:rsidRPr="00727ED5">
        <w:rPr>
          <w:rFonts w:ascii="Times New Roman" w:eastAsia="Times New Roman" w:hAnsi="Times New Roman" w:cs="Times New Roman"/>
          <w:b/>
          <w:sz w:val="24"/>
          <w:szCs w:val="24"/>
          <w:lang w:eastAsia="en-AU"/>
        </w:rPr>
        <w:t>, 2009</w:t>
      </w:r>
      <w:r w:rsidR="004A67C9">
        <w:rPr>
          <w:rFonts w:ascii="Times New Roman" w:eastAsia="Times New Roman" w:hAnsi="Times New Roman" w:cs="Times New Roman"/>
          <w:b/>
          <w:sz w:val="24"/>
          <w:szCs w:val="24"/>
          <w:lang w:eastAsia="en-AU"/>
        </w:rPr>
        <w:t xml:space="preserve"> </w:t>
      </w:r>
      <w:r w:rsidR="004A67C9">
        <w:rPr>
          <w:rStyle w:val="EndnoteReference"/>
          <w:rFonts w:ascii="Times New Roman" w:eastAsia="Times New Roman" w:hAnsi="Times New Roman" w:cs="Times New Roman"/>
          <w:b/>
          <w:sz w:val="24"/>
          <w:szCs w:val="24"/>
          <w:lang w:eastAsia="en-AU"/>
        </w:rPr>
        <w:endnoteReference w:id="1"/>
      </w:r>
    </w:p>
    <w:p w:rsidR="004A67C9" w:rsidRPr="00727ED5" w:rsidRDefault="004A67C9" w:rsidP="00727ED5">
      <w:pPr>
        <w:keepNext/>
        <w:spacing w:after="0" w:line="240" w:lineRule="auto"/>
        <w:rPr>
          <w:rFonts w:ascii="Times New Roman" w:eastAsia="Times New Roman" w:hAnsi="Times New Roman" w:cs="Times New Roman"/>
          <w:b/>
          <w:sz w:val="24"/>
          <w:szCs w:val="24"/>
          <w:lang w:eastAsia="en-AU"/>
        </w:rPr>
      </w:pPr>
    </w:p>
    <w:p w:rsidR="004A67C9" w:rsidRPr="0058766C" w:rsidRDefault="004A67C9" w:rsidP="004A67C9">
      <w:pPr>
        <w:spacing w:after="0" w:line="240" w:lineRule="auto"/>
        <w:rPr>
          <w:rFonts w:ascii="Times New Roman" w:eastAsia="Times New Roman" w:hAnsi="Times New Roman" w:cs="Times New Roman"/>
          <w:sz w:val="24"/>
          <w:szCs w:val="24"/>
          <w:lang w:eastAsia="en-AU"/>
        </w:rPr>
      </w:pPr>
      <w:r>
        <w:rPr>
          <w:noProof/>
          <w:lang w:eastAsia="en-AU"/>
        </w:rPr>
        <w:drawing>
          <wp:inline distT="0" distB="0" distL="0" distR="0" wp14:anchorId="5EC07066" wp14:editId="7373C645">
            <wp:extent cx="5731510" cy="3322561"/>
            <wp:effectExtent l="0" t="0" r="21590" b="11430"/>
            <wp:docPr id="1" name="Chart 1" descr="This bar graph is titled “employment rates for mothers with a child under 15 years and all females (25-54 years), 2009”. &#10;&#10;Six OECD countries and an OECD average are shown along the horizontal axis. The categories for the horizontal axis are ‘Sweden’, ‘Canada’, United Kingdom’, ‘United States’, ‘New Zealand’, ‘Australia’, and ‘OECD Average’ in that order. The vertical axis begins with zero per cent at the bottom and ends with one hundred per cent at the top. The scale for the vertical axis is in ten per cent increments.&#10;&#10;The graph has two sets of bars. The first set shows the percentage of female employment rates for the 25-54 age cohort. It shows that Sweden has a female employment rate of eighty one point nine per cent. Canada has a female employment rate of seventy four point three per cent. United Kingdom has a female employment rate of seventy four point four per cent. United States has a female employment rate of seventy two point zero per cent. New Zealand has a female employment rate of seventy four point two per cent. Australia has a female employment rate of seventy two point one per cent and the OECD average for female employment rate is seventy point nine per cent.&#10;&#10;The second set of bars shows the percentage of maternal employment rates for mothers with a child under 15. It shows that Sweden has a maternal employment rate of eighty point three per cent. Canada has a maternal employment rate of seventy point five per cent. United Kingdom has a maternal employment rate of sixty seven point one per cent. United States has a maternal employment rate of sixty six point seven per cent. New Zealand has a maternal employment rate of sixty two point two per cent. Australia has a maternal employment rate of sixty one point nine per cent and the OECD average for maternal employment rate is sixty six point two per cent.&#10;&#10;By comparing the two sets of bars in this graph, we see that the employment rate for females aged 25-54 years is higher than the employment rate for mothers with a child under 15 years across all countries. Sweden has the highest employment for both female and maternal employment rates. Australia is slightly above the United States for female employment rate and has the lowest maternal employment rate.&#10;"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6EA0" w:rsidRDefault="00786EA0" w:rsidP="00786EA0">
      <w:pPr>
        <w:spacing w:line="240" w:lineRule="auto"/>
        <w:rPr>
          <w:rFonts w:ascii="Times New Roman" w:hAnsi="Times New Roman" w:cs="Times New Roman"/>
          <w:noProof/>
          <w:sz w:val="24"/>
          <w:szCs w:val="24"/>
          <w:lang w:eastAsia="en-AU"/>
        </w:rPr>
      </w:pPr>
    </w:p>
    <w:p w:rsidR="00FD6C25" w:rsidRDefault="00FD6C25" w:rsidP="00786EA0">
      <w:pPr>
        <w:spacing w:line="240" w:lineRule="auto"/>
        <w:rPr>
          <w:rFonts w:ascii="Times New Roman" w:hAnsi="Times New Roman" w:cs="Times New Roman"/>
          <w:noProof/>
          <w:sz w:val="24"/>
          <w:szCs w:val="24"/>
          <w:lang w:eastAsia="en-AU"/>
        </w:rPr>
      </w:pPr>
    </w:p>
    <w:p w:rsidR="00786EA0" w:rsidRPr="00786EA0" w:rsidRDefault="00624B7B" w:rsidP="00786EA0">
      <w:pPr>
        <w:pStyle w:val="Heading2"/>
        <w:spacing w:before="0" w:line="240" w:lineRule="auto"/>
        <w:rPr>
          <w:i/>
          <w:noProof/>
          <w:lang w:eastAsia="en-AU"/>
        </w:rPr>
      </w:pPr>
      <w:r>
        <w:rPr>
          <w:i/>
          <w:noProof/>
          <w:lang w:eastAsia="en-AU"/>
        </w:rPr>
        <w:t>T</w:t>
      </w:r>
      <w:r w:rsidR="00786EA0">
        <w:rPr>
          <w:i/>
          <w:noProof/>
          <w:lang w:eastAsia="en-AU"/>
        </w:rPr>
        <w:t>h</w:t>
      </w:r>
      <w:r w:rsidR="002634DD">
        <w:rPr>
          <w:i/>
          <w:noProof/>
          <w:lang w:eastAsia="en-AU"/>
        </w:rPr>
        <w:t>e relationship between birth rate</w:t>
      </w:r>
      <w:r>
        <w:rPr>
          <w:i/>
          <w:noProof/>
          <w:lang w:eastAsia="en-AU"/>
        </w:rPr>
        <w:t>s</w:t>
      </w:r>
      <w:r w:rsidR="00786EA0">
        <w:rPr>
          <w:i/>
          <w:noProof/>
          <w:lang w:eastAsia="en-AU"/>
        </w:rPr>
        <w:t xml:space="preserve"> and employment </w:t>
      </w:r>
      <w:r>
        <w:rPr>
          <w:i/>
          <w:noProof/>
          <w:lang w:eastAsia="en-AU"/>
        </w:rPr>
        <w:t>rates</w:t>
      </w:r>
    </w:p>
    <w:p w:rsidR="00786EA0" w:rsidRDefault="00786EA0" w:rsidP="00786EA0">
      <w:pPr>
        <w:spacing w:after="0" w:line="240" w:lineRule="auto"/>
        <w:rPr>
          <w:rFonts w:ascii="Times New Roman" w:hAnsi="Times New Roman" w:cs="Times New Roman"/>
          <w:noProof/>
          <w:sz w:val="24"/>
          <w:szCs w:val="24"/>
          <w:lang w:eastAsia="en-AU"/>
        </w:rPr>
      </w:pPr>
    </w:p>
    <w:p w:rsidR="00786EA0" w:rsidRDefault="00624B7B" w:rsidP="00A57F5F">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We know that</w:t>
      </w:r>
      <w:r w:rsidR="00590B08">
        <w:rPr>
          <w:rFonts w:ascii="Times New Roman" w:hAnsi="Times New Roman" w:cs="Times New Roman"/>
          <w:noProof/>
          <w:sz w:val="24"/>
          <w:szCs w:val="24"/>
          <w:lang w:eastAsia="en-AU"/>
        </w:rPr>
        <w:t xml:space="preserve"> mothers have a lower rate of employment tha</w:t>
      </w:r>
      <w:r w:rsidR="000B71E6">
        <w:rPr>
          <w:rFonts w:ascii="Times New Roman" w:hAnsi="Times New Roman" w:cs="Times New Roman"/>
          <w:noProof/>
          <w:sz w:val="24"/>
          <w:szCs w:val="24"/>
          <w:lang w:eastAsia="en-AU"/>
        </w:rPr>
        <w:t>n</w:t>
      </w:r>
      <w:r w:rsidR="00590B08">
        <w:rPr>
          <w:rFonts w:ascii="Times New Roman" w:hAnsi="Times New Roman" w:cs="Times New Roman"/>
          <w:noProof/>
          <w:sz w:val="24"/>
          <w:szCs w:val="24"/>
          <w:lang w:eastAsia="en-AU"/>
        </w:rPr>
        <w:t xml:space="preserve"> women </w:t>
      </w:r>
      <w:r>
        <w:rPr>
          <w:rFonts w:ascii="Times New Roman" w:hAnsi="Times New Roman" w:cs="Times New Roman"/>
          <w:noProof/>
          <w:sz w:val="24"/>
          <w:szCs w:val="24"/>
          <w:lang w:eastAsia="en-AU"/>
        </w:rPr>
        <w:t>overall. I</w:t>
      </w:r>
      <w:r w:rsidR="00786EA0">
        <w:rPr>
          <w:rFonts w:ascii="Times New Roman" w:hAnsi="Times New Roman" w:cs="Times New Roman"/>
          <w:noProof/>
          <w:sz w:val="24"/>
          <w:szCs w:val="24"/>
          <w:lang w:eastAsia="en-AU"/>
        </w:rPr>
        <w:t>t follows th</w:t>
      </w:r>
      <w:r w:rsidR="002634DD">
        <w:rPr>
          <w:rFonts w:ascii="Times New Roman" w:hAnsi="Times New Roman" w:cs="Times New Roman"/>
          <w:noProof/>
          <w:sz w:val="24"/>
          <w:szCs w:val="24"/>
          <w:lang w:eastAsia="en-AU"/>
        </w:rPr>
        <w:t>at countries with high birth</w:t>
      </w:r>
      <w:r w:rsidR="00786EA0">
        <w:rPr>
          <w:rFonts w:ascii="Times New Roman" w:hAnsi="Times New Roman" w:cs="Times New Roman"/>
          <w:noProof/>
          <w:sz w:val="24"/>
          <w:szCs w:val="24"/>
          <w:lang w:eastAsia="en-AU"/>
        </w:rPr>
        <w:t xml:space="preserve"> rates – in other words, countries where there are more babies per </w:t>
      </w:r>
      <w:r w:rsidR="003A10BB">
        <w:rPr>
          <w:rFonts w:ascii="Times New Roman" w:hAnsi="Times New Roman" w:cs="Times New Roman"/>
          <w:noProof/>
          <w:sz w:val="24"/>
          <w:szCs w:val="24"/>
          <w:lang w:eastAsia="en-AU"/>
        </w:rPr>
        <w:t>woman</w:t>
      </w:r>
      <w:r w:rsidR="00786EA0">
        <w:rPr>
          <w:rFonts w:ascii="Times New Roman" w:hAnsi="Times New Roman" w:cs="Times New Roman"/>
          <w:noProof/>
          <w:sz w:val="24"/>
          <w:szCs w:val="24"/>
          <w:lang w:eastAsia="en-AU"/>
        </w:rPr>
        <w:t xml:space="preserve"> – </w:t>
      </w:r>
      <w:r w:rsidR="00585933">
        <w:rPr>
          <w:rFonts w:ascii="Times New Roman" w:hAnsi="Times New Roman" w:cs="Times New Roman"/>
          <w:noProof/>
          <w:sz w:val="24"/>
          <w:szCs w:val="24"/>
          <w:lang w:eastAsia="en-AU"/>
        </w:rPr>
        <w:t>would have</w:t>
      </w:r>
      <w:r w:rsidR="00786EA0">
        <w:rPr>
          <w:rFonts w:ascii="Times New Roman" w:hAnsi="Times New Roman" w:cs="Times New Roman"/>
          <w:noProof/>
          <w:sz w:val="24"/>
          <w:szCs w:val="24"/>
          <w:lang w:eastAsia="en-AU"/>
        </w:rPr>
        <w:t xml:space="preserve"> fewer females in the workforce. </w:t>
      </w:r>
      <w:r w:rsidR="00ED2388">
        <w:rPr>
          <w:rFonts w:ascii="Times New Roman" w:hAnsi="Times New Roman" w:cs="Times New Roman"/>
          <w:noProof/>
          <w:sz w:val="24"/>
          <w:szCs w:val="24"/>
          <w:lang w:eastAsia="en-AU"/>
        </w:rPr>
        <w:t>But this is not the whole story</w:t>
      </w:r>
      <w:r w:rsidR="002634DD">
        <w:rPr>
          <w:rFonts w:ascii="Times New Roman" w:hAnsi="Times New Roman" w:cs="Times New Roman"/>
          <w:noProof/>
          <w:sz w:val="24"/>
          <w:szCs w:val="24"/>
          <w:lang w:eastAsia="en-AU"/>
        </w:rPr>
        <w:t>. Birth</w:t>
      </w:r>
      <w:r w:rsidR="00590B08">
        <w:rPr>
          <w:rFonts w:ascii="Times New Roman" w:hAnsi="Times New Roman" w:cs="Times New Roman"/>
          <w:noProof/>
          <w:sz w:val="24"/>
          <w:szCs w:val="24"/>
          <w:lang w:eastAsia="en-AU"/>
        </w:rPr>
        <w:t xml:space="preserve"> rates, female employment rates, and the i</w:t>
      </w:r>
      <w:r w:rsidR="002634DD">
        <w:rPr>
          <w:rFonts w:ascii="Times New Roman" w:hAnsi="Times New Roman" w:cs="Times New Roman"/>
          <w:noProof/>
          <w:sz w:val="24"/>
          <w:szCs w:val="24"/>
          <w:lang w:eastAsia="en-AU"/>
        </w:rPr>
        <w:t>nteraction between birth rate</w:t>
      </w:r>
      <w:r>
        <w:rPr>
          <w:rFonts w:ascii="Times New Roman" w:hAnsi="Times New Roman" w:cs="Times New Roman"/>
          <w:noProof/>
          <w:sz w:val="24"/>
          <w:szCs w:val="24"/>
          <w:lang w:eastAsia="en-AU"/>
        </w:rPr>
        <w:t>s</w:t>
      </w:r>
      <w:r w:rsidR="00590B08">
        <w:rPr>
          <w:rFonts w:ascii="Times New Roman" w:hAnsi="Times New Roman" w:cs="Times New Roman"/>
          <w:noProof/>
          <w:sz w:val="24"/>
          <w:szCs w:val="24"/>
          <w:lang w:eastAsia="en-AU"/>
        </w:rPr>
        <w:t xml:space="preserve"> and employment, vary considerably between coun</w:t>
      </w:r>
      <w:r>
        <w:rPr>
          <w:rFonts w:ascii="Times New Roman" w:hAnsi="Times New Roman" w:cs="Times New Roman"/>
          <w:noProof/>
          <w:sz w:val="24"/>
          <w:szCs w:val="24"/>
          <w:lang w:eastAsia="en-AU"/>
        </w:rPr>
        <w:t>t</w:t>
      </w:r>
      <w:r w:rsidR="00590B08">
        <w:rPr>
          <w:rFonts w:ascii="Times New Roman" w:hAnsi="Times New Roman" w:cs="Times New Roman"/>
          <w:noProof/>
          <w:sz w:val="24"/>
          <w:szCs w:val="24"/>
          <w:lang w:eastAsia="en-AU"/>
        </w:rPr>
        <w:t>ries</w:t>
      </w:r>
      <w:r w:rsidR="00ED2388">
        <w:rPr>
          <w:rFonts w:ascii="Times New Roman" w:hAnsi="Times New Roman" w:cs="Times New Roman"/>
          <w:noProof/>
          <w:sz w:val="24"/>
          <w:szCs w:val="24"/>
          <w:lang w:eastAsia="en-AU"/>
        </w:rPr>
        <w:t xml:space="preserve"> as </w:t>
      </w:r>
      <w:r w:rsidR="00A57F5F">
        <w:rPr>
          <w:rFonts w:ascii="Times New Roman" w:hAnsi="Times New Roman" w:cs="Times New Roman"/>
          <w:noProof/>
          <w:sz w:val="24"/>
          <w:szCs w:val="24"/>
          <w:lang w:eastAsia="en-AU"/>
        </w:rPr>
        <w:t>illustrated in Figure 2.</w:t>
      </w:r>
    </w:p>
    <w:p w:rsidR="00A57F5F" w:rsidRDefault="00A57F5F" w:rsidP="00A57F5F">
      <w:pPr>
        <w:spacing w:after="0" w:line="240" w:lineRule="auto"/>
        <w:rPr>
          <w:rFonts w:ascii="Times New Roman" w:hAnsi="Times New Roman" w:cs="Times New Roman"/>
          <w:noProof/>
          <w:sz w:val="24"/>
          <w:szCs w:val="24"/>
          <w:lang w:eastAsia="en-AU"/>
        </w:rPr>
      </w:pPr>
    </w:p>
    <w:p w:rsidR="00A25686" w:rsidRDefault="00585933" w:rsidP="00A57F5F">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 xml:space="preserve">The most stark contrast </w:t>
      </w:r>
      <w:r w:rsidR="00A57F5F">
        <w:rPr>
          <w:rFonts w:ascii="Times New Roman" w:hAnsi="Times New Roman" w:cs="Times New Roman"/>
          <w:noProof/>
          <w:sz w:val="24"/>
          <w:szCs w:val="24"/>
          <w:lang w:eastAsia="en-AU"/>
        </w:rPr>
        <w:t xml:space="preserve">in Figure 2 </w:t>
      </w:r>
      <w:r>
        <w:rPr>
          <w:rFonts w:ascii="Times New Roman" w:hAnsi="Times New Roman" w:cs="Times New Roman"/>
          <w:noProof/>
          <w:sz w:val="24"/>
          <w:szCs w:val="24"/>
          <w:lang w:eastAsia="en-AU"/>
        </w:rPr>
        <w:t xml:space="preserve">is </w:t>
      </w:r>
      <w:r w:rsidR="00A57F5F">
        <w:rPr>
          <w:rFonts w:ascii="Times New Roman" w:hAnsi="Times New Roman" w:cs="Times New Roman"/>
          <w:noProof/>
          <w:sz w:val="24"/>
          <w:szCs w:val="24"/>
          <w:lang w:eastAsia="en-AU"/>
        </w:rPr>
        <w:t xml:space="preserve">the difference </w:t>
      </w:r>
      <w:r>
        <w:rPr>
          <w:rFonts w:ascii="Times New Roman" w:hAnsi="Times New Roman" w:cs="Times New Roman"/>
          <w:noProof/>
          <w:sz w:val="24"/>
          <w:szCs w:val="24"/>
          <w:lang w:eastAsia="en-AU"/>
        </w:rPr>
        <w:t xml:space="preserve">between Sweden and </w:t>
      </w:r>
      <w:r w:rsidR="00C70245">
        <w:rPr>
          <w:rFonts w:ascii="Times New Roman" w:hAnsi="Times New Roman" w:cs="Times New Roman"/>
          <w:noProof/>
          <w:sz w:val="24"/>
          <w:szCs w:val="24"/>
          <w:lang w:eastAsia="en-AU"/>
        </w:rPr>
        <w:t xml:space="preserve">the </w:t>
      </w:r>
      <w:r>
        <w:rPr>
          <w:rFonts w:ascii="Times New Roman" w:hAnsi="Times New Roman" w:cs="Times New Roman"/>
          <w:noProof/>
          <w:sz w:val="24"/>
          <w:szCs w:val="24"/>
          <w:lang w:eastAsia="en-AU"/>
        </w:rPr>
        <w:t>USA. Although these two countries have a si</w:t>
      </w:r>
      <w:r w:rsidR="002634DD">
        <w:rPr>
          <w:rFonts w:ascii="Times New Roman" w:hAnsi="Times New Roman" w:cs="Times New Roman"/>
          <w:noProof/>
          <w:sz w:val="24"/>
          <w:szCs w:val="24"/>
          <w:lang w:eastAsia="en-AU"/>
        </w:rPr>
        <w:t>milar birth</w:t>
      </w:r>
      <w:r>
        <w:rPr>
          <w:rFonts w:ascii="Times New Roman" w:hAnsi="Times New Roman" w:cs="Times New Roman"/>
          <w:noProof/>
          <w:sz w:val="24"/>
          <w:szCs w:val="24"/>
          <w:lang w:eastAsia="en-AU"/>
        </w:rPr>
        <w:t xml:space="preserve"> rate</w:t>
      </w:r>
      <w:r w:rsidR="003A10BB">
        <w:rPr>
          <w:rFonts w:ascii="Times New Roman" w:hAnsi="Times New Roman" w:cs="Times New Roman"/>
          <w:noProof/>
          <w:sz w:val="24"/>
          <w:szCs w:val="24"/>
          <w:lang w:eastAsia="en-AU"/>
        </w:rPr>
        <w:t xml:space="preserve"> (approx</w:t>
      </w:r>
      <w:r w:rsidR="00556808">
        <w:rPr>
          <w:rFonts w:ascii="Times New Roman" w:hAnsi="Times New Roman" w:cs="Times New Roman"/>
          <w:noProof/>
          <w:sz w:val="24"/>
          <w:szCs w:val="24"/>
          <w:lang w:eastAsia="en-AU"/>
        </w:rPr>
        <w:t>imately</w:t>
      </w:r>
      <w:r w:rsidR="003A10BB">
        <w:rPr>
          <w:rFonts w:ascii="Times New Roman" w:hAnsi="Times New Roman" w:cs="Times New Roman"/>
          <w:noProof/>
          <w:sz w:val="24"/>
          <w:szCs w:val="24"/>
          <w:lang w:eastAsia="en-AU"/>
        </w:rPr>
        <w:t xml:space="preserve"> two</w:t>
      </w:r>
      <w:r w:rsidR="00A57F5F">
        <w:rPr>
          <w:rFonts w:ascii="Times New Roman" w:hAnsi="Times New Roman" w:cs="Times New Roman"/>
          <w:noProof/>
          <w:sz w:val="24"/>
          <w:szCs w:val="24"/>
          <w:lang w:eastAsia="en-AU"/>
        </w:rPr>
        <w:t xml:space="preserve"> babies per </w:t>
      </w:r>
      <w:r w:rsidR="003A10BB">
        <w:rPr>
          <w:rFonts w:ascii="Times New Roman" w:hAnsi="Times New Roman" w:cs="Times New Roman"/>
          <w:noProof/>
          <w:sz w:val="24"/>
          <w:szCs w:val="24"/>
          <w:lang w:eastAsia="en-AU"/>
        </w:rPr>
        <w:t>woman</w:t>
      </w:r>
      <w:r w:rsidR="00A57F5F">
        <w:rPr>
          <w:rFonts w:ascii="Times New Roman" w:hAnsi="Times New Roman" w:cs="Times New Roman"/>
          <w:noProof/>
          <w:sz w:val="24"/>
          <w:szCs w:val="24"/>
          <w:lang w:eastAsia="en-AU"/>
        </w:rPr>
        <w:t>)</w:t>
      </w:r>
      <w:r>
        <w:rPr>
          <w:rFonts w:ascii="Times New Roman" w:hAnsi="Times New Roman" w:cs="Times New Roman"/>
          <w:noProof/>
          <w:sz w:val="24"/>
          <w:szCs w:val="24"/>
          <w:lang w:eastAsia="en-AU"/>
        </w:rPr>
        <w:t xml:space="preserve"> the </w:t>
      </w:r>
      <w:r w:rsidR="00A57F5F">
        <w:rPr>
          <w:rFonts w:ascii="Times New Roman" w:hAnsi="Times New Roman" w:cs="Times New Roman"/>
          <w:noProof/>
          <w:sz w:val="24"/>
          <w:szCs w:val="24"/>
          <w:lang w:eastAsia="en-AU"/>
        </w:rPr>
        <w:t xml:space="preserve">female </w:t>
      </w:r>
      <w:r>
        <w:rPr>
          <w:rFonts w:ascii="Times New Roman" w:hAnsi="Times New Roman" w:cs="Times New Roman"/>
          <w:noProof/>
          <w:sz w:val="24"/>
          <w:szCs w:val="24"/>
          <w:lang w:eastAsia="en-AU"/>
        </w:rPr>
        <w:t>employment rate in Sweden</w:t>
      </w:r>
      <w:r w:rsidR="00C70245">
        <w:rPr>
          <w:rFonts w:ascii="Times New Roman" w:hAnsi="Times New Roman" w:cs="Times New Roman"/>
          <w:noProof/>
          <w:sz w:val="24"/>
          <w:szCs w:val="24"/>
          <w:lang w:eastAsia="en-AU"/>
        </w:rPr>
        <w:t xml:space="preserve"> (82 per cent</w:t>
      </w:r>
      <w:r w:rsidR="00590B08">
        <w:rPr>
          <w:rFonts w:ascii="Times New Roman" w:hAnsi="Times New Roman" w:cs="Times New Roman"/>
          <w:noProof/>
          <w:sz w:val="24"/>
          <w:szCs w:val="24"/>
          <w:lang w:eastAsia="en-AU"/>
        </w:rPr>
        <w:t xml:space="preserve">) </w:t>
      </w:r>
      <w:r>
        <w:rPr>
          <w:rFonts w:ascii="Times New Roman" w:hAnsi="Times New Roman" w:cs="Times New Roman"/>
          <w:noProof/>
          <w:sz w:val="24"/>
          <w:szCs w:val="24"/>
          <w:lang w:eastAsia="en-AU"/>
        </w:rPr>
        <w:t xml:space="preserve">is </w:t>
      </w:r>
      <w:r w:rsidR="00590B08">
        <w:rPr>
          <w:rFonts w:ascii="Times New Roman" w:hAnsi="Times New Roman" w:cs="Times New Roman"/>
          <w:noProof/>
          <w:sz w:val="24"/>
          <w:szCs w:val="24"/>
          <w:lang w:eastAsia="en-AU"/>
        </w:rPr>
        <w:t>much</w:t>
      </w:r>
      <w:r>
        <w:rPr>
          <w:rFonts w:ascii="Times New Roman" w:hAnsi="Times New Roman" w:cs="Times New Roman"/>
          <w:noProof/>
          <w:sz w:val="24"/>
          <w:szCs w:val="24"/>
          <w:lang w:eastAsia="en-AU"/>
        </w:rPr>
        <w:t xml:space="preserve"> </w:t>
      </w:r>
      <w:r w:rsidR="00590B08">
        <w:rPr>
          <w:rFonts w:ascii="Times New Roman" w:hAnsi="Times New Roman" w:cs="Times New Roman"/>
          <w:noProof/>
          <w:sz w:val="24"/>
          <w:szCs w:val="24"/>
          <w:lang w:eastAsia="en-AU"/>
        </w:rPr>
        <w:t>higher</w:t>
      </w:r>
      <w:r>
        <w:rPr>
          <w:rFonts w:ascii="Times New Roman" w:hAnsi="Times New Roman" w:cs="Times New Roman"/>
          <w:noProof/>
          <w:sz w:val="24"/>
          <w:szCs w:val="24"/>
          <w:lang w:eastAsia="en-AU"/>
        </w:rPr>
        <w:t xml:space="preserve"> than in the USA</w:t>
      </w:r>
      <w:r w:rsidR="00C70245">
        <w:rPr>
          <w:rFonts w:ascii="Times New Roman" w:hAnsi="Times New Roman" w:cs="Times New Roman"/>
          <w:noProof/>
          <w:sz w:val="24"/>
          <w:szCs w:val="24"/>
          <w:lang w:eastAsia="en-AU"/>
        </w:rPr>
        <w:t xml:space="preserve"> (69 per cent</w:t>
      </w:r>
      <w:r w:rsidR="00590B08">
        <w:rPr>
          <w:rFonts w:ascii="Times New Roman" w:hAnsi="Times New Roman" w:cs="Times New Roman"/>
          <w:noProof/>
          <w:sz w:val="24"/>
          <w:szCs w:val="24"/>
          <w:lang w:eastAsia="en-AU"/>
        </w:rPr>
        <w:t>)</w:t>
      </w:r>
      <w:r>
        <w:rPr>
          <w:rFonts w:ascii="Times New Roman" w:hAnsi="Times New Roman" w:cs="Times New Roman"/>
          <w:noProof/>
          <w:sz w:val="24"/>
          <w:szCs w:val="24"/>
          <w:lang w:eastAsia="en-AU"/>
        </w:rPr>
        <w:t>. Thi</w:t>
      </w:r>
      <w:r w:rsidR="00A25686">
        <w:rPr>
          <w:rFonts w:ascii="Times New Roman" w:hAnsi="Times New Roman" w:cs="Times New Roman"/>
          <w:noProof/>
          <w:sz w:val="24"/>
          <w:szCs w:val="24"/>
          <w:lang w:eastAsia="en-AU"/>
        </w:rPr>
        <w:t xml:space="preserve">s suggests </w:t>
      </w:r>
      <w:r w:rsidR="003A10BB">
        <w:rPr>
          <w:rFonts w:ascii="Times New Roman" w:hAnsi="Times New Roman" w:cs="Times New Roman"/>
          <w:noProof/>
          <w:sz w:val="24"/>
          <w:szCs w:val="24"/>
          <w:lang w:eastAsia="en-AU"/>
        </w:rPr>
        <w:t>women</w:t>
      </w:r>
      <w:r w:rsidR="00A25686">
        <w:rPr>
          <w:rFonts w:ascii="Times New Roman" w:hAnsi="Times New Roman" w:cs="Times New Roman"/>
          <w:noProof/>
          <w:sz w:val="24"/>
          <w:szCs w:val="24"/>
          <w:lang w:eastAsia="en-AU"/>
        </w:rPr>
        <w:t xml:space="preserve"> </w:t>
      </w:r>
      <w:r w:rsidR="003A1F77">
        <w:rPr>
          <w:rFonts w:ascii="Times New Roman" w:hAnsi="Times New Roman" w:cs="Times New Roman"/>
          <w:noProof/>
          <w:sz w:val="24"/>
          <w:szCs w:val="24"/>
          <w:lang w:eastAsia="en-AU"/>
        </w:rPr>
        <w:t xml:space="preserve">in </w:t>
      </w:r>
      <w:r w:rsidR="00A25686">
        <w:rPr>
          <w:rFonts w:ascii="Times New Roman" w:hAnsi="Times New Roman" w:cs="Times New Roman"/>
          <w:noProof/>
          <w:sz w:val="24"/>
          <w:szCs w:val="24"/>
          <w:lang w:eastAsia="en-AU"/>
        </w:rPr>
        <w:t xml:space="preserve">Sweden </w:t>
      </w:r>
      <w:r w:rsidR="003A10BB">
        <w:rPr>
          <w:rFonts w:ascii="Times New Roman" w:hAnsi="Times New Roman" w:cs="Times New Roman"/>
          <w:noProof/>
          <w:sz w:val="24"/>
          <w:szCs w:val="24"/>
          <w:lang w:eastAsia="en-AU"/>
        </w:rPr>
        <w:t xml:space="preserve">are more likely </w:t>
      </w:r>
      <w:r w:rsidR="00590B08">
        <w:rPr>
          <w:rFonts w:ascii="Times New Roman" w:hAnsi="Times New Roman" w:cs="Times New Roman"/>
          <w:noProof/>
          <w:sz w:val="24"/>
          <w:szCs w:val="24"/>
          <w:lang w:eastAsia="en-AU"/>
        </w:rPr>
        <w:t xml:space="preserve">to stay in the workforce after they have a baby than </w:t>
      </w:r>
      <w:r w:rsidR="003A10BB">
        <w:rPr>
          <w:rFonts w:ascii="Times New Roman" w:hAnsi="Times New Roman" w:cs="Times New Roman"/>
          <w:noProof/>
          <w:sz w:val="24"/>
          <w:szCs w:val="24"/>
          <w:lang w:eastAsia="en-AU"/>
        </w:rPr>
        <w:t xml:space="preserve">women </w:t>
      </w:r>
      <w:r w:rsidR="00590B08">
        <w:rPr>
          <w:rFonts w:ascii="Times New Roman" w:hAnsi="Times New Roman" w:cs="Times New Roman"/>
          <w:noProof/>
          <w:sz w:val="24"/>
          <w:szCs w:val="24"/>
          <w:lang w:eastAsia="en-AU"/>
        </w:rPr>
        <w:t xml:space="preserve">in </w:t>
      </w:r>
      <w:r w:rsidR="00A25686">
        <w:rPr>
          <w:rFonts w:ascii="Times New Roman" w:hAnsi="Times New Roman" w:cs="Times New Roman"/>
          <w:noProof/>
          <w:sz w:val="24"/>
          <w:szCs w:val="24"/>
          <w:lang w:eastAsia="en-AU"/>
        </w:rPr>
        <w:t>the USA.</w:t>
      </w:r>
    </w:p>
    <w:p w:rsidR="00A57F5F" w:rsidRDefault="00A57F5F" w:rsidP="00A57F5F">
      <w:pPr>
        <w:spacing w:after="0" w:line="240" w:lineRule="auto"/>
        <w:rPr>
          <w:rFonts w:ascii="Times New Roman" w:hAnsi="Times New Roman" w:cs="Times New Roman"/>
          <w:noProof/>
          <w:sz w:val="24"/>
          <w:szCs w:val="24"/>
          <w:lang w:eastAsia="en-AU"/>
        </w:rPr>
      </w:pPr>
    </w:p>
    <w:p w:rsidR="004A67C9" w:rsidRDefault="003A1F77" w:rsidP="00A57F5F">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 xml:space="preserve">In Figure 2, </w:t>
      </w:r>
      <w:r w:rsidR="00786EA0">
        <w:rPr>
          <w:rFonts w:ascii="Times New Roman" w:hAnsi="Times New Roman" w:cs="Times New Roman"/>
          <w:noProof/>
          <w:sz w:val="24"/>
          <w:szCs w:val="24"/>
          <w:lang w:eastAsia="en-AU"/>
        </w:rPr>
        <w:t>Australia is similar to the USA</w:t>
      </w:r>
      <w:r w:rsidR="00590B08">
        <w:rPr>
          <w:rFonts w:ascii="Times New Roman" w:hAnsi="Times New Roman" w:cs="Times New Roman"/>
          <w:noProof/>
          <w:sz w:val="24"/>
          <w:szCs w:val="24"/>
          <w:lang w:eastAsia="en-AU"/>
        </w:rPr>
        <w:t>, New Zealand and Great Britain.</w:t>
      </w:r>
      <w:r w:rsidR="00786EA0">
        <w:rPr>
          <w:rFonts w:ascii="Times New Roman" w:hAnsi="Times New Roman" w:cs="Times New Roman"/>
          <w:noProof/>
          <w:sz w:val="24"/>
          <w:szCs w:val="24"/>
          <w:lang w:eastAsia="en-AU"/>
        </w:rPr>
        <w:t xml:space="preserve"> </w:t>
      </w:r>
      <w:r w:rsidR="003A10BB">
        <w:rPr>
          <w:rFonts w:ascii="Times New Roman" w:hAnsi="Times New Roman" w:cs="Times New Roman"/>
          <w:noProof/>
          <w:sz w:val="24"/>
          <w:szCs w:val="24"/>
          <w:lang w:eastAsia="en-AU"/>
        </w:rPr>
        <w:t xml:space="preserve">Compared to all </w:t>
      </w:r>
      <w:r w:rsidR="00315E8B">
        <w:rPr>
          <w:rFonts w:ascii="Times New Roman" w:hAnsi="Times New Roman" w:cs="Times New Roman"/>
          <w:noProof/>
          <w:sz w:val="24"/>
          <w:szCs w:val="24"/>
          <w:lang w:eastAsia="en-AU"/>
        </w:rPr>
        <w:t xml:space="preserve">the </w:t>
      </w:r>
      <w:r w:rsidR="003A10BB">
        <w:rPr>
          <w:rFonts w:ascii="Times New Roman" w:hAnsi="Times New Roman" w:cs="Times New Roman"/>
          <w:noProof/>
          <w:sz w:val="24"/>
          <w:szCs w:val="24"/>
          <w:lang w:eastAsia="en-AU"/>
        </w:rPr>
        <w:t>other developed countries</w:t>
      </w:r>
      <w:r w:rsidR="0000171E">
        <w:rPr>
          <w:rFonts w:ascii="Times New Roman" w:hAnsi="Times New Roman" w:cs="Times New Roman"/>
          <w:noProof/>
          <w:sz w:val="24"/>
          <w:szCs w:val="24"/>
          <w:lang w:eastAsia="en-AU"/>
        </w:rPr>
        <w:t xml:space="preserve"> in the OECD</w:t>
      </w:r>
      <w:r w:rsidR="00624B7B">
        <w:rPr>
          <w:rFonts w:ascii="Times New Roman" w:hAnsi="Times New Roman" w:cs="Times New Roman"/>
          <w:noProof/>
          <w:sz w:val="24"/>
          <w:szCs w:val="24"/>
          <w:lang w:eastAsia="en-AU"/>
        </w:rPr>
        <w:t xml:space="preserve"> these countries</w:t>
      </w:r>
      <w:r w:rsidR="002634DD">
        <w:rPr>
          <w:rFonts w:ascii="Times New Roman" w:hAnsi="Times New Roman" w:cs="Times New Roman"/>
          <w:noProof/>
          <w:sz w:val="24"/>
          <w:szCs w:val="24"/>
          <w:lang w:eastAsia="en-AU"/>
        </w:rPr>
        <w:t xml:space="preserve"> have high birth</w:t>
      </w:r>
      <w:r w:rsidR="003A10BB">
        <w:rPr>
          <w:rFonts w:ascii="Times New Roman" w:hAnsi="Times New Roman" w:cs="Times New Roman"/>
          <w:noProof/>
          <w:sz w:val="24"/>
          <w:szCs w:val="24"/>
          <w:lang w:eastAsia="en-AU"/>
        </w:rPr>
        <w:t xml:space="preserve"> rates and moderately high female employment rates.</w:t>
      </w:r>
    </w:p>
    <w:p w:rsidR="00786EA0" w:rsidRPr="00A25686" w:rsidRDefault="00786EA0" w:rsidP="00A25686">
      <w:pPr>
        <w:keepNext/>
        <w:spacing w:line="240" w:lineRule="auto"/>
        <w:rPr>
          <w:rFonts w:ascii="Times New Roman" w:hAnsi="Times New Roman" w:cs="Times New Roman"/>
          <w:b/>
          <w:noProof/>
          <w:sz w:val="24"/>
          <w:szCs w:val="24"/>
          <w:lang w:eastAsia="en-AU"/>
        </w:rPr>
      </w:pPr>
      <w:r w:rsidRPr="00A25686">
        <w:rPr>
          <w:rFonts w:ascii="Times New Roman" w:hAnsi="Times New Roman" w:cs="Times New Roman"/>
          <w:b/>
          <w:noProof/>
          <w:sz w:val="24"/>
          <w:szCs w:val="24"/>
          <w:lang w:eastAsia="en-AU"/>
        </w:rPr>
        <w:lastRenderedPageBreak/>
        <w:t xml:space="preserve">Figure 2: Female employment rates and national </w:t>
      </w:r>
      <w:r w:rsidR="00884376">
        <w:rPr>
          <w:rFonts w:ascii="Times New Roman" w:hAnsi="Times New Roman" w:cs="Times New Roman"/>
          <w:b/>
          <w:noProof/>
          <w:sz w:val="24"/>
          <w:szCs w:val="24"/>
          <w:lang w:eastAsia="en-AU"/>
        </w:rPr>
        <w:t>birth rate</w:t>
      </w:r>
      <w:r w:rsidRPr="00A25686">
        <w:rPr>
          <w:rFonts w:ascii="Times New Roman" w:hAnsi="Times New Roman" w:cs="Times New Roman"/>
          <w:b/>
          <w:noProof/>
          <w:sz w:val="24"/>
          <w:szCs w:val="24"/>
          <w:lang w:eastAsia="en-AU"/>
        </w:rPr>
        <w:t xml:space="preserve"> for selected countries </w:t>
      </w:r>
      <w:r w:rsidRPr="00A25686">
        <w:rPr>
          <w:rStyle w:val="EndnoteReference"/>
          <w:rFonts w:ascii="Times New Roman" w:hAnsi="Times New Roman" w:cs="Times New Roman"/>
          <w:b/>
          <w:noProof/>
          <w:sz w:val="24"/>
          <w:szCs w:val="24"/>
          <w:lang w:eastAsia="en-AU"/>
        </w:rPr>
        <w:endnoteReference w:id="2"/>
      </w:r>
    </w:p>
    <w:p w:rsidR="00961442" w:rsidRDefault="002634DD" w:rsidP="00A25686">
      <w:pPr>
        <w:keepNext/>
        <w:rPr>
          <w:rFonts w:ascii="Times New Roman" w:hAnsi="Times New Roman" w:cs="Times New Roman"/>
          <w:noProof/>
          <w:sz w:val="24"/>
          <w:szCs w:val="24"/>
          <w:lang w:eastAsia="en-AU"/>
        </w:rPr>
      </w:pPr>
      <w:r>
        <w:rPr>
          <w:noProof/>
          <w:lang w:eastAsia="en-AU"/>
        </w:rPr>
        <w:drawing>
          <wp:inline distT="0" distB="0" distL="0" distR="0" wp14:anchorId="615C00F9" wp14:editId="4D8FA2D9">
            <wp:extent cx="5472545" cy="3082636"/>
            <wp:effectExtent l="0" t="0" r="13970" b="22860"/>
            <wp:docPr id="3" name="Chart 3" descr="This scatter plot is titled “Female employment rates and national birth rate for selected countries”. &#10;&#10;The horizontal axis is labelled ‘Total birth rate’ and begins with one point zero on the left and ends with two point five on the right. The scale for the horizontal axis is zero point five births per woman increments. The vertical axis is labelled ‘Female employment rate’ and begins with sixty eight per cent at the bottom and ends with eighty four per cent at the top. The scale for the vertical axis is in two unit increments.&#10;&#10;There are six countries plotted on this graph and they are ‘Australia’, ‘Canada’, ‘New Zealand’, ‘Sweden’, ‘Great Britain’, and ‘USA’. The position of each country is determined by their total birth rate and female employment rate. Australia has a total birth rate of one point nine and a female employment rate of seventy two per cent. Canada has a total birth rate of one point seven and a female employment rate of seventy seven per cent. New Zealand has a total birth rate of two point two and a female employment rate of seventy three per cent. Sweden has a total birth rate of two point zero and a female employment rate of eighty two per cent. Great Britain has a total birth rate of two point zero and a female employment rate of seventy four per cent. United States has a total birth rate of one point nine and a female employment rate of sixty nine per cent. &#10;&#10;Looking at the scatter plot the starkest contrast is the difference between Sweden and the United States. Both countries have similar birth rates but Sweden has the highest female employment rate of eighty two per cent and the United States has the lowest employment rate of sixty nine per cent.&#10;"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1442" w:rsidRPr="004A67C9" w:rsidRDefault="00961442" w:rsidP="003E63DB">
      <w:pPr>
        <w:rPr>
          <w:rFonts w:ascii="Times New Roman" w:hAnsi="Times New Roman" w:cs="Times New Roman"/>
          <w:noProof/>
          <w:sz w:val="24"/>
          <w:szCs w:val="24"/>
          <w:lang w:eastAsia="en-AU"/>
        </w:rPr>
      </w:pPr>
    </w:p>
    <w:p w:rsidR="004A67C9" w:rsidRPr="004A67C9" w:rsidRDefault="00556808" w:rsidP="004A67C9">
      <w:pPr>
        <w:pStyle w:val="Heading2"/>
        <w:rPr>
          <w:i/>
          <w:noProof/>
          <w:lang w:eastAsia="en-AU"/>
        </w:rPr>
      </w:pPr>
      <w:r>
        <w:rPr>
          <w:i/>
          <w:noProof/>
          <w:lang w:eastAsia="en-AU"/>
        </w:rPr>
        <w:t>How</w:t>
      </w:r>
      <w:r w:rsidR="004A67C9" w:rsidRPr="004A67C9">
        <w:rPr>
          <w:i/>
          <w:noProof/>
          <w:lang w:eastAsia="en-AU"/>
        </w:rPr>
        <w:t xml:space="preserve"> </w:t>
      </w:r>
      <w:r w:rsidR="004A67C9">
        <w:rPr>
          <w:i/>
          <w:noProof/>
          <w:lang w:eastAsia="en-AU"/>
        </w:rPr>
        <w:t xml:space="preserve">old are children when </w:t>
      </w:r>
      <w:r w:rsidR="004A67C9" w:rsidRPr="004A67C9">
        <w:rPr>
          <w:i/>
          <w:noProof/>
          <w:lang w:eastAsia="en-AU"/>
        </w:rPr>
        <w:t>mothers go back to work?</w:t>
      </w:r>
    </w:p>
    <w:p w:rsidR="00556808" w:rsidRDefault="00556808" w:rsidP="00556808">
      <w:pPr>
        <w:spacing w:after="0" w:line="240" w:lineRule="auto"/>
        <w:rPr>
          <w:rFonts w:ascii="Times New Roman" w:hAnsi="Times New Roman" w:cs="Times New Roman"/>
          <w:noProof/>
          <w:sz w:val="24"/>
          <w:szCs w:val="24"/>
          <w:lang w:eastAsia="en-AU"/>
        </w:rPr>
      </w:pPr>
    </w:p>
    <w:p w:rsidR="00556808" w:rsidRDefault="00556808" w:rsidP="00556808">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 xml:space="preserve">In many developed </w:t>
      </w:r>
      <w:r w:rsidR="000152A6">
        <w:rPr>
          <w:rFonts w:ascii="Times New Roman" w:hAnsi="Times New Roman" w:cs="Times New Roman"/>
          <w:noProof/>
          <w:sz w:val="24"/>
          <w:szCs w:val="24"/>
          <w:lang w:eastAsia="en-AU"/>
        </w:rPr>
        <w:t>countries</w:t>
      </w:r>
      <w:r>
        <w:rPr>
          <w:rFonts w:ascii="Times New Roman" w:hAnsi="Times New Roman" w:cs="Times New Roman"/>
          <w:noProof/>
          <w:sz w:val="24"/>
          <w:szCs w:val="24"/>
          <w:lang w:eastAsia="en-AU"/>
        </w:rPr>
        <w:t xml:space="preserve"> </w:t>
      </w:r>
      <w:r w:rsidR="000152A6">
        <w:rPr>
          <w:rFonts w:ascii="Times New Roman" w:hAnsi="Times New Roman" w:cs="Times New Roman"/>
          <w:noProof/>
          <w:sz w:val="24"/>
          <w:szCs w:val="24"/>
          <w:lang w:eastAsia="en-AU"/>
        </w:rPr>
        <w:t>the majority of</w:t>
      </w:r>
      <w:r>
        <w:rPr>
          <w:rFonts w:ascii="Times New Roman" w:hAnsi="Times New Roman" w:cs="Times New Roman"/>
          <w:noProof/>
          <w:sz w:val="24"/>
          <w:szCs w:val="24"/>
          <w:lang w:eastAsia="en-AU"/>
        </w:rPr>
        <w:t xml:space="preserve"> mothers </w:t>
      </w:r>
      <w:r w:rsidR="00D51D72">
        <w:rPr>
          <w:rFonts w:ascii="Times New Roman" w:hAnsi="Times New Roman" w:cs="Times New Roman"/>
          <w:noProof/>
          <w:sz w:val="24"/>
          <w:szCs w:val="24"/>
          <w:lang w:eastAsia="en-AU"/>
        </w:rPr>
        <w:t>are employed</w:t>
      </w:r>
      <w:r>
        <w:rPr>
          <w:rFonts w:ascii="Times New Roman" w:hAnsi="Times New Roman" w:cs="Times New Roman"/>
          <w:noProof/>
          <w:sz w:val="24"/>
          <w:szCs w:val="24"/>
          <w:lang w:eastAsia="en-AU"/>
        </w:rPr>
        <w:t xml:space="preserve"> </w:t>
      </w:r>
      <w:r w:rsidR="00BB1764">
        <w:rPr>
          <w:rFonts w:ascii="Times New Roman" w:hAnsi="Times New Roman" w:cs="Times New Roman"/>
          <w:noProof/>
          <w:sz w:val="24"/>
          <w:szCs w:val="24"/>
          <w:lang w:eastAsia="en-AU"/>
        </w:rPr>
        <w:t>when</w:t>
      </w:r>
      <w:r w:rsidR="00624B7B">
        <w:rPr>
          <w:rFonts w:ascii="Times New Roman" w:hAnsi="Times New Roman" w:cs="Times New Roman"/>
          <w:noProof/>
          <w:sz w:val="24"/>
          <w:szCs w:val="24"/>
          <w:lang w:eastAsia="en-AU"/>
        </w:rPr>
        <w:t xml:space="preserve"> their youngest child is three</w:t>
      </w:r>
      <w:r>
        <w:rPr>
          <w:rFonts w:ascii="Times New Roman" w:hAnsi="Times New Roman" w:cs="Times New Roman"/>
          <w:noProof/>
          <w:sz w:val="24"/>
          <w:szCs w:val="24"/>
          <w:lang w:eastAsia="en-AU"/>
        </w:rPr>
        <w:t xml:space="preserve"> years old</w:t>
      </w:r>
      <w:r w:rsidR="00BB1764">
        <w:rPr>
          <w:rFonts w:ascii="Times New Roman" w:hAnsi="Times New Roman" w:cs="Times New Roman"/>
          <w:noProof/>
          <w:sz w:val="24"/>
          <w:szCs w:val="24"/>
          <w:lang w:eastAsia="en-AU"/>
        </w:rPr>
        <w:t xml:space="preserve"> and in most countries the majority are at work by the time the</w:t>
      </w:r>
      <w:r w:rsidR="00624B7B">
        <w:rPr>
          <w:rFonts w:ascii="Times New Roman" w:hAnsi="Times New Roman" w:cs="Times New Roman"/>
          <w:noProof/>
          <w:sz w:val="24"/>
          <w:szCs w:val="24"/>
          <w:lang w:eastAsia="en-AU"/>
        </w:rPr>
        <w:t xml:space="preserve">ir child is </w:t>
      </w:r>
      <w:r w:rsidR="003B1590">
        <w:rPr>
          <w:rFonts w:ascii="Times New Roman" w:hAnsi="Times New Roman" w:cs="Times New Roman"/>
          <w:noProof/>
          <w:sz w:val="24"/>
          <w:szCs w:val="24"/>
          <w:lang w:eastAsia="en-AU"/>
        </w:rPr>
        <w:t xml:space="preserve">five years old – </w:t>
      </w:r>
      <w:r w:rsidR="00624B7B">
        <w:rPr>
          <w:rFonts w:ascii="Times New Roman" w:hAnsi="Times New Roman" w:cs="Times New Roman"/>
          <w:noProof/>
          <w:sz w:val="24"/>
          <w:szCs w:val="24"/>
          <w:lang w:eastAsia="en-AU"/>
        </w:rPr>
        <w:t>around school age</w:t>
      </w:r>
      <w:r>
        <w:rPr>
          <w:rFonts w:ascii="Times New Roman" w:hAnsi="Times New Roman" w:cs="Times New Roman"/>
          <w:noProof/>
          <w:sz w:val="24"/>
          <w:szCs w:val="24"/>
          <w:lang w:eastAsia="en-AU"/>
        </w:rPr>
        <w:t xml:space="preserve">. </w:t>
      </w:r>
      <w:r w:rsidR="00074D23">
        <w:rPr>
          <w:rFonts w:ascii="Times New Roman" w:hAnsi="Times New Roman" w:cs="Times New Roman"/>
          <w:noProof/>
          <w:sz w:val="24"/>
          <w:szCs w:val="24"/>
          <w:lang w:eastAsia="en-AU"/>
        </w:rPr>
        <w:t>Figure 3 shows maternal employment rates in the selected countries, comparing mothers whose youngest child is aged less that 5 years to mothers whose youngest child is aged 6-14 years.</w:t>
      </w:r>
    </w:p>
    <w:p w:rsidR="00556808" w:rsidRDefault="00556808" w:rsidP="00556808">
      <w:pPr>
        <w:spacing w:after="0" w:line="240" w:lineRule="auto"/>
        <w:rPr>
          <w:rFonts w:ascii="Times New Roman" w:hAnsi="Times New Roman" w:cs="Times New Roman"/>
          <w:noProof/>
          <w:sz w:val="24"/>
          <w:szCs w:val="24"/>
          <w:lang w:eastAsia="en-AU"/>
        </w:rPr>
      </w:pPr>
    </w:p>
    <w:p w:rsidR="00315E8B" w:rsidRDefault="00D26BFA" w:rsidP="00556808">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M</w:t>
      </w:r>
      <w:r w:rsidR="00556808">
        <w:rPr>
          <w:rFonts w:ascii="Times New Roman" w:hAnsi="Times New Roman" w:cs="Times New Roman"/>
          <w:noProof/>
          <w:sz w:val="24"/>
          <w:szCs w:val="24"/>
          <w:lang w:eastAsia="en-AU"/>
        </w:rPr>
        <w:t xml:space="preserve">others in Australia tend to return to </w:t>
      </w:r>
      <w:r w:rsidR="000152A6">
        <w:rPr>
          <w:rFonts w:ascii="Times New Roman" w:hAnsi="Times New Roman" w:cs="Times New Roman"/>
          <w:noProof/>
          <w:sz w:val="24"/>
          <w:szCs w:val="24"/>
          <w:lang w:eastAsia="en-AU"/>
        </w:rPr>
        <w:t>work when their child</w:t>
      </w:r>
      <w:r w:rsidR="00ED2388">
        <w:rPr>
          <w:rFonts w:ascii="Times New Roman" w:hAnsi="Times New Roman" w:cs="Times New Roman"/>
          <w:noProof/>
          <w:sz w:val="24"/>
          <w:szCs w:val="24"/>
          <w:lang w:eastAsia="en-AU"/>
        </w:rPr>
        <w:t>ren are</w:t>
      </w:r>
      <w:r w:rsidR="000152A6">
        <w:rPr>
          <w:rFonts w:ascii="Times New Roman" w:hAnsi="Times New Roman" w:cs="Times New Roman"/>
          <w:noProof/>
          <w:sz w:val="24"/>
          <w:szCs w:val="24"/>
          <w:lang w:eastAsia="en-AU"/>
        </w:rPr>
        <w:t xml:space="preserve"> older. </w:t>
      </w:r>
      <w:r w:rsidR="003B1590">
        <w:rPr>
          <w:rFonts w:ascii="Times New Roman" w:hAnsi="Times New Roman" w:cs="Times New Roman"/>
          <w:noProof/>
          <w:sz w:val="24"/>
          <w:szCs w:val="24"/>
          <w:lang w:eastAsia="en-AU"/>
        </w:rPr>
        <w:t>T</w:t>
      </w:r>
      <w:r w:rsidR="00D51D72">
        <w:rPr>
          <w:rFonts w:ascii="Times New Roman" w:hAnsi="Times New Roman" w:cs="Times New Roman"/>
          <w:noProof/>
          <w:sz w:val="24"/>
          <w:szCs w:val="24"/>
          <w:lang w:eastAsia="en-AU"/>
        </w:rPr>
        <w:t xml:space="preserve">he </w:t>
      </w:r>
      <w:r w:rsidR="003B1590">
        <w:rPr>
          <w:rFonts w:ascii="Times New Roman" w:hAnsi="Times New Roman" w:cs="Times New Roman"/>
          <w:noProof/>
          <w:sz w:val="24"/>
          <w:szCs w:val="24"/>
          <w:lang w:eastAsia="en-AU"/>
        </w:rPr>
        <w:t xml:space="preserve">employment rate of </w:t>
      </w:r>
      <w:r w:rsidR="00556808">
        <w:rPr>
          <w:rFonts w:ascii="Times New Roman" w:hAnsi="Times New Roman" w:cs="Times New Roman"/>
          <w:noProof/>
          <w:sz w:val="24"/>
          <w:szCs w:val="24"/>
          <w:lang w:eastAsia="en-AU"/>
        </w:rPr>
        <w:t xml:space="preserve">mothers </w:t>
      </w:r>
      <w:r w:rsidR="00ED2388">
        <w:rPr>
          <w:rFonts w:ascii="Times New Roman" w:hAnsi="Times New Roman" w:cs="Times New Roman"/>
          <w:noProof/>
          <w:sz w:val="24"/>
          <w:szCs w:val="24"/>
          <w:lang w:eastAsia="en-AU"/>
        </w:rPr>
        <w:t xml:space="preserve">in Australia </w:t>
      </w:r>
      <w:r w:rsidR="003B1590">
        <w:rPr>
          <w:rFonts w:ascii="Times New Roman" w:hAnsi="Times New Roman" w:cs="Times New Roman"/>
          <w:noProof/>
          <w:sz w:val="24"/>
          <w:szCs w:val="24"/>
          <w:lang w:eastAsia="en-AU"/>
        </w:rPr>
        <w:t>whose</w:t>
      </w:r>
      <w:r w:rsidR="00624B7B">
        <w:rPr>
          <w:rFonts w:ascii="Times New Roman" w:hAnsi="Times New Roman" w:cs="Times New Roman"/>
          <w:noProof/>
          <w:sz w:val="24"/>
          <w:szCs w:val="24"/>
          <w:lang w:eastAsia="en-AU"/>
        </w:rPr>
        <w:t xml:space="preserve"> youngest child is five</w:t>
      </w:r>
      <w:r w:rsidR="00556808">
        <w:rPr>
          <w:rFonts w:ascii="Times New Roman" w:hAnsi="Times New Roman" w:cs="Times New Roman"/>
          <w:noProof/>
          <w:sz w:val="24"/>
          <w:szCs w:val="24"/>
          <w:lang w:eastAsia="en-AU"/>
        </w:rPr>
        <w:t xml:space="preserve"> years old</w:t>
      </w:r>
      <w:r w:rsidR="003B1590">
        <w:rPr>
          <w:rFonts w:ascii="Times New Roman" w:hAnsi="Times New Roman" w:cs="Times New Roman"/>
          <w:noProof/>
          <w:sz w:val="24"/>
          <w:szCs w:val="24"/>
          <w:lang w:eastAsia="en-AU"/>
        </w:rPr>
        <w:t xml:space="preserve"> is just under 50 per cent</w:t>
      </w:r>
      <w:r>
        <w:rPr>
          <w:rFonts w:ascii="Times New Roman" w:hAnsi="Times New Roman" w:cs="Times New Roman"/>
          <w:noProof/>
          <w:sz w:val="24"/>
          <w:szCs w:val="24"/>
          <w:lang w:eastAsia="en-AU"/>
        </w:rPr>
        <w:t>,</w:t>
      </w:r>
      <w:r w:rsidR="003B1590">
        <w:rPr>
          <w:rFonts w:ascii="Times New Roman" w:hAnsi="Times New Roman" w:cs="Times New Roman"/>
          <w:noProof/>
          <w:sz w:val="24"/>
          <w:szCs w:val="24"/>
          <w:lang w:eastAsia="en-AU"/>
        </w:rPr>
        <w:t xml:space="preserve"> which is less</w:t>
      </w:r>
      <w:r w:rsidR="00315E8B">
        <w:rPr>
          <w:rFonts w:ascii="Times New Roman" w:hAnsi="Times New Roman" w:cs="Times New Roman"/>
          <w:noProof/>
          <w:sz w:val="24"/>
          <w:szCs w:val="24"/>
          <w:lang w:eastAsia="en-AU"/>
        </w:rPr>
        <w:t xml:space="preserve"> than </w:t>
      </w:r>
      <w:r w:rsidR="003B1590">
        <w:rPr>
          <w:rFonts w:ascii="Times New Roman" w:hAnsi="Times New Roman" w:cs="Times New Roman"/>
          <w:noProof/>
          <w:sz w:val="24"/>
          <w:szCs w:val="24"/>
          <w:lang w:eastAsia="en-AU"/>
        </w:rPr>
        <w:t>the OECD average of 64 per cent</w:t>
      </w:r>
      <w:r w:rsidR="00D51D72">
        <w:rPr>
          <w:rFonts w:ascii="Times New Roman" w:hAnsi="Times New Roman" w:cs="Times New Roman"/>
          <w:noProof/>
          <w:sz w:val="24"/>
          <w:szCs w:val="24"/>
          <w:lang w:eastAsia="en-AU"/>
        </w:rPr>
        <w:t>.</w:t>
      </w:r>
      <w:r>
        <w:rPr>
          <w:rFonts w:ascii="Times New Roman" w:hAnsi="Times New Roman" w:cs="Times New Roman"/>
          <w:noProof/>
          <w:sz w:val="24"/>
          <w:szCs w:val="24"/>
          <w:lang w:eastAsia="en-AU"/>
        </w:rPr>
        <w:t xml:space="preserve"> In contrast,</w:t>
      </w:r>
      <w:r w:rsidR="00D51D72">
        <w:rPr>
          <w:rFonts w:ascii="Times New Roman" w:hAnsi="Times New Roman" w:cs="Times New Roman"/>
          <w:noProof/>
          <w:sz w:val="24"/>
          <w:szCs w:val="24"/>
          <w:lang w:eastAsia="en-AU"/>
        </w:rPr>
        <w:t xml:space="preserve"> </w:t>
      </w:r>
      <w:r>
        <w:rPr>
          <w:rFonts w:ascii="Times New Roman" w:hAnsi="Times New Roman" w:cs="Times New Roman"/>
          <w:noProof/>
          <w:sz w:val="24"/>
          <w:szCs w:val="24"/>
          <w:lang w:eastAsia="en-AU"/>
        </w:rPr>
        <w:t xml:space="preserve">the majority of mothers in Sweden (81 per cent) </w:t>
      </w:r>
      <w:r w:rsidR="00D51D72">
        <w:rPr>
          <w:rFonts w:ascii="Times New Roman" w:hAnsi="Times New Roman" w:cs="Times New Roman"/>
          <w:noProof/>
          <w:sz w:val="24"/>
          <w:szCs w:val="24"/>
          <w:lang w:eastAsia="en-AU"/>
        </w:rPr>
        <w:t>have returned to work by the time their child is 5 years old</w:t>
      </w:r>
      <w:r>
        <w:rPr>
          <w:rFonts w:ascii="Times New Roman" w:hAnsi="Times New Roman" w:cs="Times New Roman"/>
          <w:noProof/>
          <w:sz w:val="24"/>
          <w:szCs w:val="24"/>
          <w:lang w:eastAsia="en-AU"/>
        </w:rPr>
        <w:t>.</w:t>
      </w:r>
    </w:p>
    <w:p w:rsidR="00315E8B" w:rsidRDefault="00315E8B" w:rsidP="00556808">
      <w:pPr>
        <w:spacing w:after="0" w:line="240" w:lineRule="auto"/>
        <w:rPr>
          <w:rFonts w:ascii="Times New Roman" w:hAnsi="Times New Roman" w:cs="Times New Roman"/>
          <w:noProof/>
          <w:sz w:val="24"/>
          <w:szCs w:val="24"/>
          <w:lang w:eastAsia="en-AU"/>
        </w:rPr>
      </w:pPr>
    </w:p>
    <w:p w:rsidR="00556808" w:rsidRDefault="00D26BFA" w:rsidP="00556808">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 xml:space="preserve">The employment rate of mothers in Australia whose youngest child is 6-14 years old is similar to </w:t>
      </w:r>
      <w:r w:rsidR="00D51D72">
        <w:rPr>
          <w:rFonts w:ascii="Times New Roman" w:hAnsi="Times New Roman" w:cs="Times New Roman"/>
          <w:noProof/>
          <w:sz w:val="24"/>
          <w:szCs w:val="24"/>
          <w:lang w:eastAsia="en-AU"/>
        </w:rPr>
        <w:t>the OECD average (</w:t>
      </w:r>
      <w:r>
        <w:rPr>
          <w:rFonts w:ascii="Times New Roman" w:hAnsi="Times New Roman" w:cs="Times New Roman"/>
          <w:noProof/>
          <w:sz w:val="24"/>
          <w:szCs w:val="24"/>
          <w:lang w:eastAsia="en-AU"/>
        </w:rPr>
        <w:t xml:space="preserve">74 and </w:t>
      </w:r>
      <w:r w:rsidR="00D51D72">
        <w:rPr>
          <w:rFonts w:ascii="Times New Roman" w:hAnsi="Times New Roman" w:cs="Times New Roman"/>
          <w:noProof/>
          <w:sz w:val="24"/>
          <w:szCs w:val="24"/>
          <w:lang w:eastAsia="en-AU"/>
        </w:rPr>
        <w:t>73 per cent</w:t>
      </w:r>
      <w:r>
        <w:rPr>
          <w:rFonts w:ascii="Times New Roman" w:hAnsi="Times New Roman" w:cs="Times New Roman"/>
          <w:noProof/>
          <w:sz w:val="24"/>
          <w:szCs w:val="24"/>
          <w:lang w:eastAsia="en-AU"/>
        </w:rPr>
        <w:t xml:space="preserve"> respectively</w:t>
      </w:r>
      <w:r w:rsidR="00D51D72">
        <w:rPr>
          <w:rFonts w:ascii="Times New Roman" w:hAnsi="Times New Roman" w:cs="Times New Roman"/>
          <w:noProof/>
          <w:sz w:val="24"/>
          <w:szCs w:val="24"/>
          <w:lang w:eastAsia="en-AU"/>
        </w:rPr>
        <w:t>).</w:t>
      </w:r>
    </w:p>
    <w:p w:rsidR="004A67C9" w:rsidRPr="004A67C9" w:rsidRDefault="004A67C9" w:rsidP="003E63DB">
      <w:pPr>
        <w:rPr>
          <w:rFonts w:ascii="Times New Roman" w:hAnsi="Times New Roman" w:cs="Times New Roman"/>
          <w:noProof/>
          <w:sz w:val="24"/>
          <w:szCs w:val="24"/>
          <w:lang w:eastAsia="en-AU"/>
        </w:rPr>
      </w:pPr>
    </w:p>
    <w:p w:rsidR="004A67C9" w:rsidRPr="004A67C9" w:rsidRDefault="004A67C9" w:rsidP="003E63DB">
      <w:pPr>
        <w:rPr>
          <w:rFonts w:ascii="Times New Roman" w:hAnsi="Times New Roman" w:cs="Times New Roman"/>
          <w:noProof/>
          <w:sz w:val="24"/>
          <w:szCs w:val="24"/>
          <w:lang w:eastAsia="en-AU"/>
        </w:rPr>
      </w:pPr>
    </w:p>
    <w:p w:rsidR="004A67C9" w:rsidRPr="004A67C9" w:rsidRDefault="00074D23" w:rsidP="00A25686">
      <w:pPr>
        <w:keepNext/>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lastRenderedPageBreak/>
        <w:t>Figure 3</w:t>
      </w:r>
      <w:r w:rsidR="004A67C9" w:rsidRPr="004A67C9">
        <w:rPr>
          <w:rFonts w:ascii="Times New Roman" w:hAnsi="Times New Roman" w:cs="Times New Roman"/>
          <w:b/>
          <w:noProof/>
          <w:sz w:val="24"/>
          <w:szCs w:val="24"/>
          <w:lang w:eastAsia="en-AU"/>
        </w:rPr>
        <w:t xml:space="preserve">: Employment rates </w:t>
      </w:r>
      <w:r w:rsidR="004A67C9">
        <w:rPr>
          <w:rFonts w:ascii="Times New Roman" w:hAnsi="Times New Roman" w:cs="Times New Roman"/>
          <w:b/>
          <w:noProof/>
          <w:sz w:val="24"/>
          <w:szCs w:val="24"/>
          <w:lang w:eastAsia="en-AU"/>
        </w:rPr>
        <w:t>of</w:t>
      </w:r>
      <w:r w:rsidR="004A67C9" w:rsidRPr="004A67C9">
        <w:rPr>
          <w:rFonts w:ascii="Times New Roman" w:hAnsi="Times New Roman" w:cs="Times New Roman"/>
          <w:b/>
          <w:noProof/>
          <w:sz w:val="24"/>
          <w:szCs w:val="24"/>
          <w:lang w:eastAsia="en-AU"/>
        </w:rPr>
        <w:t xml:space="preserve"> mothers by age of youngest child, 2009</w:t>
      </w:r>
      <w:r w:rsidR="004A67C9">
        <w:rPr>
          <w:rFonts w:ascii="Times New Roman" w:hAnsi="Times New Roman" w:cs="Times New Roman"/>
          <w:b/>
          <w:noProof/>
          <w:sz w:val="24"/>
          <w:szCs w:val="24"/>
          <w:lang w:eastAsia="en-AU"/>
        </w:rPr>
        <w:t xml:space="preserve"> </w:t>
      </w:r>
      <w:r w:rsidR="004A67C9" w:rsidRPr="004A67C9">
        <w:rPr>
          <w:rStyle w:val="EndnoteReference"/>
          <w:rFonts w:ascii="Times New Roman" w:hAnsi="Times New Roman" w:cs="Times New Roman"/>
          <w:b/>
          <w:noProof/>
          <w:sz w:val="24"/>
          <w:szCs w:val="24"/>
          <w:lang w:eastAsia="en-AU"/>
        </w:rPr>
        <w:endnoteReference w:id="3"/>
      </w:r>
    </w:p>
    <w:p w:rsidR="00E5527E" w:rsidRDefault="000152A6">
      <w:pPr>
        <w:rPr>
          <w:rFonts w:ascii="Times New Roman" w:hAnsi="Times New Roman" w:cs="Times New Roman"/>
          <w:noProof/>
          <w:sz w:val="24"/>
          <w:szCs w:val="24"/>
          <w:lang w:eastAsia="en-AU"/>
        </w:rPr>
      </w:pPr>
      <w:r>
        <w:rPr>
          <w:noProof/>
          <w:lang w:eastAsia="en-AU"/>
        </w:rPr>
        <w:drawing>
          <wp:inline distT="0" distB="0" distL="0" distR="0" wp14:anchorId="226BDFCF" wp14:editId="04121D7D">
            <wp:extent cx="5471160" cy="4038600"/>
            <wp:effectExtent l="0" t="0" r="15240" b="19050"/>
            <wp:docPr id="5" name="Chart 5" descr="Figure 3 is a bar graph titled “Employment rates of mothers by age of youngest child, 2009”.&#10;&#10;Six OECD countries and an OECD average are shown along the horizontal axis. The categories for the horizontal axis are ‘Sweden’, ‘Canada’, ‘OECD average’, ‘United States’, ‘New Zealand’, ‘United Kingdom’ and ‘Australia’ in that order. The vertical axis begins with zero per cent at the bottom and ends with ninety per cent at the top. The scale for the vertical axis is in ten per cent increments.&#10;&#10;The graph has two sets of bars. The first set shows the maternal employment rates for women who have a youngest child aged 0-5. It shows that Sweden has a maternal employment rate of eighty one point three per cent. Canada has a maternal employment rate of sixty eight point one per cent. The OECD average maternal employment rate is sixty four point three per cent. The United States has a maternal employment rate of sixty two point eight per cent. New Zealand has a maternal employment rate of sixty one point three per cent. The United Kingdom has a maternal employment rate of fifty eight point two per cent. Australia has a maternal employment rate of forty eight point seven per cent.&#10;&#10;The second set of bars show the maternal employment rates for women who have a youngest child aged 6-14. It shows that Sweden has a maternal employment rate of seventy six point one per cent. Canada has a maternal employment rate of seventy one point one per cent. The OECD average maternal employment rate is seventy two point seven per cent. The United States has a maternal employment rate of seventy three point two per cent. New Zealand has a maternal employment rate of seventy eight per cent. The United Kingdom has a maternal employment rate of seventy three point eight per cent. Australia has a maternal employment rate of seventy three point nine per cent.&#10;&#10;By comparing the two sets of bars in this graph, we see that the employment rate for mothers with a youngest child aged 0-5 is lower than the employment rate for mothers with a youngest child aged 6-14 in every country except Sweden. Australia has the largest gap between the employment rate of mothers by age of youngest child, with a difference of twenty five point two percentage points between mothers with a youngest child aged 0-5 and a youngest child aged 6-14 years.  &#10;"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527E" w:rsidRDefault="00E5527E" w:rsidP="00E5527E">
      <w:pPr>
        <w:spacing w:after="0" w:line="240" w:lineRule="auto"/>
        <w:rPr>
          <w:rFonts w:ascii="Times New Roman" w:hAnsi="Times New Roman" w:cs="Times New Roman"/>
          <w:noProof/>
          <w:sz w:val="24"/>
          <w:szCs w:val="24"/>
          <w:lang w:eastAsia="en-AU"/>
        </w:rPr>
      </w:pPr>
    </w:p>
    <w:p w:rsidR="00774072" w:rsidRDefault="00774072" w:rsidP="00E5527E">
      <w:pPr>
        <w:spacing w:after="0" w:line="240" w:lineRule="auto"/>
        <w:rPr>
          <w:rFonts w:ascii="Times New Roman" w:hAnsi="Times New Roman" w:cs="Times New Roman"/>
          <w:noProof/>
          <w:sz w:val="24"/>
          <w:szCs w:val="24"/>
          <w:lang w:eastAsia="en-AU"/>
        </w:rPr>
      </w:pPr>
    </w:p>
    <w:p w:rsidR="00E5527E" w:rsidRDefault="00E5527E" w:rsidP="00E5527E">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 xml:space="preserve">The trends described above highlight how females in different countries have different patterns of employment after the birth of a child. </w:t>
      </w:r>
    </w:p>
    <w:p w:rsidR="00E5527E" w:rsidRDefault="00E5527E" w:rsidP="00E5527E">
      <w:pPr>
        <w:spacing w:after="0" w:line="240" w:lineRule="auto"/>
        <w:rPr>
          <w:rFonts w:ascii="Times New Roman" w:hAnsi="Times New Roman" w:cs="Times New Roman"/>
          <w:noProof/>
          <w:sz w:val="24"/>
          <w:szCs w:val="24"/>
          <w:lang w:eastAsia="en-AU"/>
        </w:rPr>
      </w:pPr>
    </w:p>
    <w:p w:rsidR="00E5527E" w:rsidRDefault="00E5527E" w:rsidP="00E5527E">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There are a number of reasons for this variation including economic factors</w:t>
      </w:r>
      <w:r w:rsidR="00711D21">
        <w:rPr>
          <w:rFonts w:ascii="Times New Roman" w:hAnsi="Times New Roman" w:cs="Times New Roman"/>
          <w:noProof/>
          <w:sz w:val="24"/>
          <w:szCs w:val="24"/>
          <w:lang w:eastAsia="en-AU"/>
        </w:rPr>
        <w:t xml:space="preserve"> (eg. average family income, cost of living, availability of suitable jobs)</w:t>
      </w:r>
      <w:r>
        <w:rPr>
          <w:rFonts w:ascii="Times New Roman" w:hAnsi="Times New Roman" w:cs="Times New Roman"/>
          <w:noProof/>
          <w:sz w:val="24"/>
          <w:szCs w:val="24"/>
          <w:lang w:eastAsia="en-AU"/>
        </w:rPr>
        <w:t xml:space="preserve">, cultural preferences, demographic differences </w:t>
      </w:r>
      <w:r w:rsidR="00711D21">
        <w:rPr>
          <w:rFonts w:ascii="Times New Roman" w:hAnsi="Times New Roman" w:cs="Times New Roman"/>
          <w:noProof/>
          <w:sz w:val="24"/>
          <w:szCs w:val="24"/>
          <w:lang w:eastAsia="en-AU"/>
        </w:rPr>
        <w:t xml:space="preserve">(eg. average age of  mothers, education) </w:t>
      </w:r>
      <w:r>
        <w:rPr>
          <w:rFonts w:ascii="Times New Roman" w:hAnsi="Times New Roman" w:cs="Times New Roman"/>
          <w:noProof/>
          <w:sz w:val="24"/>
          <w:szCs w:val="24"/>
          <w:lang w:eastAsia="en-AU"/>
        </w:rPr>
        <w:t>and other social trends which influence families and working life</w:t>
      </w:r>
      <w:r w:rsidR="00774072">
        <w:rPr>
          <w:rFonts w:ascii="Times New Roman" w:hAnsi="Times New Roman" w:cs="Times New Roman"/>
          <w:noProof/>
          <w:sz w:val="24"/>
          <w:szCs w:val="24"/>
          <w:lang w:eastAsia="en-AU"/>
        </w:rPr>
        <w:t xml:space="preserve"> in different countries</w:t>
      </w:r>
      <w:r>
        <w:rPr>
          <w:rFonts w:ascii="Times New Roman" w:hAnsi="Times New Roman" w:cs="Times New Roman"/>
          <w:noProof/>
          <w:sz w:val="24"/>
          <w:szCs w:val="24"/>
          <w:lang w:eastAsia="en-AU"/>
        </w:rPr>
        <w:t xml:space="preserve">. </w:t>
      </w:r>
    </w:p>
    <w:p w:rsidR="00E5527E" w:rsidRDefault="00E5527E" w:rsidP="00E5527E">
      <w:pPr>
        <w:spacing w:after="0" w:line="240" w:lineRule="auto"/>
        <w:rPr>
          <w:rFonts w:ascii="Times New Roman" w:hAnsi="Times New Roman" w:cs="Times New Roman"/>
          <w:noProof/>
          <w:sz w:val="24"/>
          <w:szCs w:val="24"/>
          <w:lang w:eastAsia="en-AU"/>
        </w:rPr>
      </w:pPr>
    </w:p>
    <w:p w:rsidR="00E5527E" w:rsidRDefault="00774072" w:rsidP="00E5527E">
      <w:pPr>
        <w:spacing w:after="0" w:line="240" w:lineRule="auto"/>
        <w:rPr>
          <w:rFonts w:ascii="Times New Roman" w:hAnsi="Times New Roman" w:cs="Times New Roman"/>
          <w:noProof/>
          <w:sz w:val="24"/>
          <w:szCs w:val="24"/>
          <w:lang w:eastAsia="en-AU"/>
        </w:rPr>
      </w:pPr>
      <w:r>
        <w:rPr>
          <w:rFonts w:ascii="Times New Roman" w:hAnsi="Times New Roman" w:cs="Times New Roman"/>
          <w:noProof/>
          <w:sz w:val="24"/>
          <w:szCs w:val="24"/>
          <w:lang w:eastAsia="en-AU"/>
        </w:rPr>
        <w:t xml:space="preserve">Government policies </w:t>
      </w:r>
      <w:r w:rsidR="00E5527E">
        <w:rPr>
          <w:rFonts w:ascii="Times New Roman" w:hAnsi="Times New Roman" w:cs="Times New Roman"/>
          <w:noProof/>
          <w:sz w:val="24"/>
          <w:szCs w:val="24"/>
          <w:lang w:eastAsia="en-AU"/>
        </w:rPr>
        <w:t>influence</w:t>
      </w:r>
      <w:r>
        <w:rPr>
          <w:rFonts w:ascii="Times New Roman" w:hAnsi="Times New Roman" w:cs="Times New Roman"/>
          <w:noProof/>
          <w:sz w:val="24"/>
          <w:szCs w:val="24"/>
          <w:lang w:eastAsia="en-AU"/>
        </w:rPr>
        <w:t xml:space="preserve"> if and</w:t>
      </w:r>
      <w:r w:rsidR="00E5527E">
        <w:rPr>
          <w:rFonts w:ascii="Times New Roman" w:hAnsi="Times New Roman" w:cs="Times New Roman"/>
          <w:noProof/>
          <w:sz w:val="24"/>
          <w:szCs w:val="24"/>
          <w:lang w:eastAsia="en-AU"/>
        </w:rPr>
        <w:t xml:space="preserve"> how </w:t>
      </w:r>
      <w:r>
        <w:rPr>
          <w:rFonts w:ascii="Times New Roman" w:hAnsi="Times New Roman" w:cs="Times New Roman"/>
          <w:noProof/>
          <w:sz w:val="24"/>
          <w:szCs w:val="24"/>
          <w:lang w:eastAsia="en-AU"/>
        </w:rPr>
        <w:t>mothers</w:t>
      </w:r>
      <w:r w:rsidR="00E5527E">
        <w:rPr>
          <w:rFonts w:ascii="Times New Roman" w:hAnsi="Times New Roman" w:cs="Times New Roman"/>
          <w:noProof/>
          <w:sz w:val="24"/>
          <w:szCs w:val="24"/>
          <w:lang w:eastAsia="en-AU"/>
        </w:rPr>
        <w:t xml:space="preserve"> participate in the workforce</w:t>
      </w:r>
      <w:r>
        <w:rPr>
          <w:rFonts w:ascii="Times New Roman" w:hAnsi="Times New Roman" w:cs="Times New Roman"/>
          <w:noProof/>
          <w:sz w:val="24"/>
          <w:szCs w:val="24"/>
          <w:lang w:eastAsia="en-AU"/>
        </w:rPr>
        <w:t xml:space="preserve"> with</w:t>
      </w:r>
      <w:r w:rsidR="00E5527E">
        <w:rPr>
          <w:rFonts w:ascii="Times New Roman" w:hAnsi="Times New Roman" w:cs="Times New Roman"/>
          <w:noProof/>
          <w:sz w:val="24"/>
          <w:szCs w:val="24"/>
          <w:lang w:eastAsia="en-AU"/>
        </w:rPr>
        <w:t xml:space="preserve"> policies about parental leave as well as other </w:t>
      </w:r>
      <w:r>
        <w:rPr>
          <w:rFonts w:ascii="Times New Roman" w:hAnsi="Times New Roman" w:cs="Times New Roman"/>
          <w:noProof/>
          <w:sz w:val="24"/>
          <w:szCs w:val="24"/>
          <w:lang w:eastAsia="en-AU"/>
        </w:rPr>
        <w:t>issues</w:t>
      </w:r>
      <w:r w:rsidR="00E5527E">
        <w:rPr>
          <w:rFonts w:ascii="Times New Roman" w:hAnsi="Times New Roman" w:cs="Times New Roman"/>
          <w:noProof/>
          <w:sz w:val="24"/>
          <w:szCs w:val="24"/>
          <w:lang w:eastAsia="en-AU"/>
        </w:rPr>
        <w:t xml:space="preserve"> such as </w:t>
      </w:r>
      <w:r w:rsidR="0019572F">
        <w:rPr>
          <w:rFonts w:ascii="Times New Roman" w:hAnsi="Times New Roman" w:cs="Times New Roman"/>
          <w:noProof/>
          <w:sz w:val="24"/>
          <w:szCs w:val="24"/>
          <w:lang w:eastAsia="en-AU"/>
        </w:rPr>
        <w:t xml:space="preserve">job security, wages, </w:t>
      </w:r>
      <w:r w:rsidR="00711D21">
        <w:rPr>
          <w:rFonts w:ascii="Times New Roman" w:hAnsi="Times New Roman" w:cs="Times New Roman"/>
          <w:noProof/>
          <w:sz w:val="24"/>
          <w:szCs w:val="24"/>
          <w:lang w:eastAsia="en-AU"/>
        </w:rPr>
        <w:t xml:space="preserve">taxation, </w:t>
      </w:r>
      <w:r w:rsidR="00E5527E">
        <w:rPr>
          <w:rFonts w:ascii="Times New Roman" w:hAnsi="Times New Roman" w:cs="Times New Roman"/>
          <w:noProof/>
          <w:sz w:val="24"/>
          <w:szCs w:val="24"/>
          <w:lang w:eastAsia="en-AU"/>
        </w:rPr>
        <w:t>flexible working conditions</w:t>
      </w:r>
      <w:r w:rsidR="0019572F">
        <w:rPr>
          <w:rFonts w:ascii="Times New Roman" w:hAnsi="Times New Roman" w:cs="Times New Roman"/>
          <w:noProof/>
          <w:sz w:val="24"/>
          <w:szCs w:val="24"/>
          <w:lang w:eastAsia="en-AU"/>
        </w:rPr>
        <w:t xml:space="preserve">, </w:t>
      </w:r>
      <w:r w:rsidR="00711D21">
        <w:rPr>
          <w:rFonts w:ascii="Times New Roman" w:hAnsi="Times New Roman" w:cs="Times New Roman"/>
          <w:noProof/>
          <w:sz w:val="24"/>
          <w:szCs w:val="24"/>
          <w:lang w:eastAsia="en-AU"/>
        </w:rPr>
        <w:t xml:space="preserve">equal employment opportunities, </w:t>
      </w:r>
      <w:r w:rsidR="0019572F">
        <w:rPr>
          <w:rFonts w:ascii="Times New Roman" w:hAnsi="Times New Roman" w:cs="Times New Roman"/>
          <w:noProof/>
          <w:sz w:val="24"/>
          <w:szCs w:val="24"/>
          <w:lang w:eastAsia="en-AU"/>
        </w:rPr>
        <w:t>early childhood services and school</w:t>
      </w:r>
      <w:r w:rsidR="00E5527E">
        <w:rPr>
          <w:rFonts w:ascii="Times New Roman" w:hAnsi="Times New Roman" w:cs="Times New Roman"/>
          <w:noProof/>
          <w:sz w:val="24"/>
          <w:szCs w:val="24"/>
          <w:lang w:eastAsia="en-AU"/>
        </w:rPr>
        <w:t>.</w:t>
      </w:r>
    </w:p>
    <w:p w:rsidR="00E5527E" w:rsidRDefault="00E5527E" w:rsidP="00E5527E">
      <w:pPr>
        <w:spacing w:after="0" w:line="240" w:lineRule="auto"/>
        <w:rPr>
          <w:rFonts w:ascii="Times New Roman" w:hAnsi="Times New Roman" w:cs="Times New Roman"/>
          <w:noProof/>
          <w:sz w:val="24"/>
          <w:szCs w:val="24"/>
          <w:lang w:eastAsia="en-AU"/>
        </w:rPr>
      </w:pPr>
    </w:p>
    <w:p w:rsidR="00185CEF" w:rsidRPr="00185CEF" w:rsidRDefault="00AA6501" w:rsidP="00185CEF">
      <w:pPr>
        <w:pStyle w:val="Heading2"/>
        <w:rPr>
          <w:i/>
          <w:noProof/>
          <w:lang w:eastAsia="en-AU"/>
        </w:rPr>
      </w:pPr>
      <w:r>
        <w:rPr>
          <w:i/>
          <w:noProof/>
          <w:lang w:eastAsia="en-AU"/>
        </w:rPr>
        <w:t>How d</w:t>
      </w:r>
      <w:r w:rsidR="00185CEF">
        <w:rPr>
          <w:i/>
          <w:noProof/>
          <w:lang w:eastAsia="en-AU"/>
        </w:rPr>
        <w:t>o government p</w:t>
      </w:r>
      <w:r w:rsidR="00185CEF" w:rsidRPr="00185CEF">
        <w:rPr>
          <w:i/>
          <w:noProof/>
          <w:lang w:eastAsia="en-AU"/>
        </w:rPr>
        <w:t xml:space="preserve">arental leave </w:t>
      </w:r>
      <w:r w:rsidR="00185CEF">
        <w:rPr>
          <w:i/>
          <w:noProof/>
          <w:lang w:eastAsia="en-AU"/>
        </w:rPr>
        <w:t>policies vary between countries?</w:t>
      </w:r>
    </w:p>
    <w:p w:rsidR="00185CEF" w:rsidRDefault="00185CEF" w:rsidP="00E5527E">
      <w:pPr>
        <w:spacing w:after="0" w:line="240" w:lineRule="auto"/>
        <w:rPr>
          <w:rFonts w:ascii="Times New Roman" w:hAnsi="Times New Roman" w:cs="Times New Roman"/>
          <w:noProof/>
          <w:sz w:val="24"/>
          <w:szCs w:val="24"/>
          <w:lang w:eastAsia="en-AU"/>
        </w:rPr>
      </w:pPr>
    </w:p>
    <w:p w:rsidR="003F28D6" w:rsidRDefault="003F28D6" w:rsidP="00E5527E">
      <w:pPr>
        <w:spacing w:after="0" w:line="240" w:lineRule="auto"/>
        <w:rPr>
          <w:rFonts w:ascii="Times New Roman" w:hAnsi="Times New Roman" w:cs="Times New Roman"/>
          <w:noProof/>
          <w:sz w:val="24"/>
          <w:szCs w:val="24"/>
          <w:lang w:eastAsia="en-AU"/>
        </w:rPr>
      </w:pPr>
      <w:r w:rsidRPr="003F28D6">
        <w:rPr>
          <w:rFonts w:ascii="Times New Roman" w:hAnsi="Times New Roman" w:cs="Times New Roman"/>
          <w:noProof/>
          <w:sz w:val="24"/>
          <w:szCs w:val="24"/>
          <w:lang w:eastAsia="en-AU"/>
        </w:rPr>
        <w:t>There is a great deal of variation in parental leave policy of governments around the world. The policies specify whether parents are guaranteed parental leave, and if so, who is eligible. Policies on paid parental leave vary in terms of the duration of leave, the payment amount, the eligibility requirements, and whether the government or employer makes the payment. The following</w:t>
      </w:r>
      <w:r>
        <w:rPr>
          <w:rFonts w:ascii="Times New Roman" w:hAnsi="Times New Roman" w:cs="Times New Roman"/>
          <w:noProof/>
          <w:sz w:val="24"/>
          <w:szCs w:val="24"/>
          <w:lang w:eastAsia="en-AU"/>
        </w:rPr>
        <w:t xml:space="preserve"> table presents an overview of p</w:t>
      </w:r>
      <w:r w:rsidRPr="003F28D6">
        <w:rPr>
          <w:rFonts w:ascii="Times New Roman" w:hAnsi="Times New Roman" w:cs="Times New Roman"/>
          <w:noProof/>
          <w:sz w:val="24"/>
          <w:szCs w:val="24"/>
          <w:lang w:eastAsia="en-AU"/>
        </w:rPr>
        <w:t xml:space="preserve">aid </w:t>
      </w:r>
      <w:r>
        <w:rPr>
          <w:rFonts w:ascii="Times New Roman" w:hAnsi="Times New Roman" w:cs="Times New Roman"/>
          <w:noProof/>
          <w:sz w:val="24"/>
          <w:szCs w:val="24"/>
          <w:lang w:eastAsia="en-AU"/>
        </w:rPr>
        <w:t>parental l</w:t>
      </w:r>
      <w:r w:rsidRPr="003F28D6">
        <w:rPr>
          <w:rFonts w:ascii="Times New Roman" w:hAnsi="Times New Roman" w:cs="Times New Roman"/>
          <w:noProof/>
          <w:sz w:val="24"/>
          <w:szCs w:val="24"/>
          <w:lang w:eastAsia="en-AU"/>
        </w:rPr>
        <w:t>eave schemes in selected countries.</w:t>
      </w:r>
    </w:p>
    <w:p w:rsidR="008C7404" w:rsidRDefault="008C7404" w:rsidP="00E5527E">
      <w:pPr>
        <w:spacing w:after="0" w:line="240" w:lineRule="auto"/>
        <w:rPr>
          <w:rFonts w:ascii="Times New Roman" w:hAnsi="Times New Roman" w:cs="Times New Roman"/>
          <w:noProof/>
          <w:sz w:val="24"/>
          <w:szCs w:val="24"/>
          <w:lang w:eastAsia="en-AU"/>
        </w:rPr>
        <w:sectPr w:rsidR="008C740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705BFD" w:rsidRDefault="00640FDE" w:rsidP="00DD6FA2">
      <w:pPr>
        <w:pStyle w:val="Heading2"/>
        <w:spacing w:before="0" w:after="120"/>
        <w:rPr>
          <w:rFonts w:eastAsia="Times New Roman" w:cs="Arial"/>
          <w:i/>
          <w:iCs/>
          <w:sz w:val="28"/>
          <w:szCs w:val="28"/>
          <w:lang w:eastAsia="en-AU"/>
        </w:rPr>
      </w:pPr>
      <w:r>
        <w:rPr>
          <w:rFonts w:eastAsia="Times New Roman" w:cs="Arial"/>
          <w:i/>
          <w:iCs/>
          <w:sz w:val="28"/>
          <w:szCs w:val="28"/>
          <w:lang w:eastAsia="en-AU"/>
        </w:rPr>
        <w:lastRenderedPageBreak/>
        <w:t>Overview of p</w:t>
      </w:r>
      <w:r w:rsidR="00711D21">
        <w:rPr>
          <w:rFonts w:eastAsia="Times New Roman" w:cs="Arial"/>
          <w:i/>
          <w:iCs/>
          <w:sz w:val="28"/>
          <w:szCs w:val="28"/>
          <w:lang w:eastAsia="en-AU"/>
        </w:rPr>
        <w:t>arental leave arrangements in Australia and selected countries</w:t>
      </w:r>
      <w:r w:rsidR="006567D0">
        <w:rPr>
          <w:rStyle w:val="EndnoteReference"/>
          <w:rFonts w:eastAsia="Times New Roman" w:cs="Arial"/>
          <w:i/>
          <w:iCs/>
          <w:sz w:val="28"/>
          <w:szCs w:val="28"/>
          <w:lang w:eastAsia="en-AU"/>
        </w:rPr>
        <w:endnoteReference w:id="4"/>
      </w:r>
    </w:p>
    <w:p w:rsidR="002F2F3C" w:rsidRPr="00BD7ACB" w:rsidRDefault="002F2F3C" w:rsidP="00BD7ACB">
      <w:pPr>
        <w:spacing w:line="240" w:lineRule="auto"/>
        <w:rPr>
          <w:rFonts w:ascii="Times New Roman" w:hAnsi="Times New Roman" w:cs="Times New Roman"/>
          <w:sz w:val="20"/>
          <w:szCs w:val="20"/>
          <w:lang w:eastAsia="en-AU"/>
        </w:rPr>
      </w:pPr>
    </w:p>
    <w:tbl>
      <w:tblPr>
        <w:tblStyle w:val="TableGrid2"/>
        <w:tblpPr w:leftFromText="180" w:rightFromText="180" w:vertAnchor="text" w:tblpY="1"/>
        <w:tblOverlap w:val="never"/>
        <w:tblW w:w="15276" w:type="dxa"/>
        <w:tblLayout w:type="fixed"/>
        <w:tblLook w:val="04A0" w:firstRow="1" w:lastRow="0" w:firstColumn="1" w:lastColumn="0" w:noHBand="0" w:noVBand="1"/>
        <w:tblDescription w:val="Overview of parental leave arrangements in Australia and selected countries "/>
      </w:tblPr>
      <w:tblGrid>
        <w:gridCol w:w="1101"/>
        <w:gridCol w:w="1701"/>
        <w:gridCol w:w="1701"/>
        <w:gridCol w:w="2126"/>
        <w:gridCol w:w="1984"/>
        <w:gridCol w:w="993"/>
        <w:gridCol w:w="1842"/>
        <w:gridCol w:w="1276"/>
        <w:gridCol w:w="1276"/>
        <w:gridCol w:w="1276"/>
      </w:tblGrid>
      <w:tr w:rsidR="00DD6FA2" w:rsidRPr="00B73CF4" w:rsidTr="00592B6A">
        <w:trPr>
          <w:tblHeader/>
        </w:trPr>
        <w:tc>
          <w:tcPr>
            <w:tcW w:w="1101" w:type="dxa"/>
            <w:vMerge w:val="restart"/>
            <w:shd w:val="clear" w:color="auto" w:fill="DAEEF3" w:themeFill="accent5" w:themeFillTint="33"/>
          </w:tcPr>
          <w:p w:rsidR="00DD6FA2" w:rsidRPr="00DD6FA2" w:rsidRDefault="00DD6FA2" w:rsidP="008B103A">
            <w:pPr>
              <w:rPr>
                <w:rFonts w:ascii="Times New Roman" w:hAnsi="Times New Roman"/>
                <w:sz w:val="21"/>
                <w:szCs w:val="21"/>
              </w:rPr>
            </w:pPr>
          </w:p>
        </w:tc>
        <w:tc>
          <w:tcPr>
            <w:tcW w:w="1701" w:type="dxa"/>
            <w:vMerge w:val="restart"/>
            <w:shd w:val="clear" w:color="auto" w:fill="DAEEF3" w:themeFill="accent5" w:themeFillTint="33"/>
          </w:tcPr>
          <w:p w:rsidR="00DD6FA2" w:rsidRPr="00DD6FA2" w:rsidRDefault="00DD6FA2" w:rsidP="00DD6FA2">
            <w:pPr>
              <w:spacing w:before="80" w:after="80"/>
              <w:jc w:val="center"/>
              <w:rPr>
                <w:rFonts w:ascii="Times New Roman" w:hAnsi="Times New Roman"/>
                <w:sz w:val="21"/>
                <w:szCs w:val="21"/>
              </w:rPr>
            </w:pPr>
            <w:r w:rsidRPr="00DD6FA2">
              <w:rPr>
                <w:rFonts w:ascii="Times New Roman" w:hAnsi="Times New Roman"/>
                <w:sz w:val="21"/>
                <w:szCs w:val="21"/>
              </w:rPr>
              <w:t xml:space="preserve">What is the maximum amount of time mothers are entitled to </w:t>
            </w:r>
            <w:r w:rsidRPr="00DD6FA2">
              <w:rPr>
                <w:rFonts w:ascii="Times New Roman" w:hAnsi="Times New Roman"/>
                <w:sz w:val="21"/>
                <w:szCs w:val="21"/>
                <w:u w:val="single"/>
              </w:rPr>
              <w:t>unpaid</w:t>
            </w:r>
            <w:r w:rsidRPr="00DD6FA2">
              <w:rPr>
                <w:rFonts w:ascii="Times New Roman" w:hAnsi="Times New Roman"/>
                <w:sz w:val="21"/>
                <w:szCs w:val="21"/>
              </w:rPr>
              <w:t xml:space="preserve"> leave?</w:t>
            </w:r>
            <w:r w:rsidR="00DA2485">
              <w:rPr>
                <w:rFonts w:ascii="Times New Roman" w:hAnsi="Times New Roman"/>
                <w:sz w:val="21"/>
                <w:szCs w:val="21"/>
              </w:rPr>
              <w:t xml:space="preserve"> </w:t>
            </w:r>
            <w:r w:rsidRPr="00DD6FA2">
              <w:rPr>
                <w:rStyle w:val="EndnoteReference"/>
                <w:rFonts w:ascii="Times New Roman" w:hAnsi="Times New Roman"/>
                <w:sz w:val="21"/>
                <w:szCs w:val="21"/>
              </w:rPr>
              <w:endnoteReference w:id="5"/>
            </w:r>
            <w:r w:rsidRPr="00DD6FA2">
              <w:rPr>
                <w:rFonts w:ascii="Times New Roman" w:hAnsi="Times New Roman"/>
                <w:sz w:val="21"/>
                <w:szCs w:val="21"/>
              </w:rPr>
              <w:t xml:space="preserve"> </w:t>
            </w:r>
          </w:p>
        </w:tc>
        <w:tc>
          <w:tcPr>
            <w:tcW w:w="1701" w:type="dxa"/>
            <w:vMerge w:val="restart"/>
            <w:shd w:val="clear" w:color="auto" w:fill="DAEEF3" w:themeFill="accent5" w:themeFillTint="33"/>
          </w:tcPr>
          <w:p w:rsidR="00DD6FA2" w:rsidRPr="00DD6FA2" w:rsidRDefault="00DD6FA2" w:rsidP="00B4210F">
            <w:pPr>
              <w:spacing w:before="80" w:after="80"/>
              <w:jc w:val="center"/>
              <w:rPr>
                <w:rFonts w:ascii="Times New Roman" w:hAnsi="Times New Roman"/>
                <w:sz w:val="21"/>
                <w:szCs w:val="21"/>
              </w:rPr>
            </w:pPr>
            <w:r w:rsidRPr="00DD6FA2">
              <w:rPr>
                <w:rFonts w:ascii="Times New Roman" w:hAnsi="Times New Roman"/>
                <w:sz w:val="21"/>
                <w:szCs w:val="21"/>
              </w:rPr>
              <w:t xml:space="preserve">What is the maximum amount of time mothers are entitled to </w:t>
            </w:r>
            <w:r w:rsidRPr="00DD6FA2">
              <w:rPr>
                <w:rFonts w:ascii="Times New Roman" w:hAnsi="Times New Roman"/>
                <w:sz w:val="21"/>
                <w:szCs w:val="21"/>
                <w:u w:val="single"/>
              </w:rPr>
              <w:t>paid</w:t>
            </w:r>
            <w:r w:rsidRPr="00DD6FA2">
              <w:rPr>
                <w:rFonts w:ascii="Times New Roman" w:hAnsi="Times New Roman"/>
                <w:sz w:val="21"/>
                <w:szCs w:val="21"/>
              </w:rPr>
              <w:t xml:space="preserve"> leave</w:t>
            </w:r>
            <w:r w:rsidR="005423B3">
              <w:rPr>
                <w:rFonts w:ascii="Times New Roman" w:hAnsi="Times New Roman"/>
                <w:sz w:val="21"/>
                <w:szCs w:val="21"/>
              </w:rPr>
              <w:t xml:space="preserve"> </w:t>
            </w:r>
            <w:r w:rsidR="00B4210F">
              <w:rPr>
                <w:rFonts w:ascii="Times New Roman" w:hAnsi="Times New Roman"/>
                <w:sz w:val="21"/>
                <w:szCs w:val="21"/>
              </w:rPr>
              <w:t>from</w:t>
            </w:r>
            <w:r w:rsidR="005423B3">
              <w:rPr>
                <w:rFonts w:ascii="Times New Roman" w:hAnsi="Times New Roman"/>
                <w:sz w:val="21"/>
                <w:szCs w:val="21"/>
              </w:rPr>
              <w:t xml:space="preserve"> a national scheme</w:t>
            </w:r>
            <w:r w:rsidRPr="00DD6FA2">
              <w:rPr>
                <w:rFonts w:ascii="Times New Roman" w:hAnsi="Times New Roman"/>
                <w:sz w:val="21"/>
                <w:szCs w:val="21"/>
              </w:rPr>
              <w:t>?</w:t>
            </w:r>
          </w:p>
        </w:tc>
        <w:tc>
          <w:tcPr>
            <w:tcW w:w="2126" w:type="dxa"/>
            <w:vMerge w:val="restart"/>
            <w:shd w:val="clear" w:color="auto" w:fill="DAEEF3" w:themeFill="accent5" w:themeFillTint="33"/>
          </w:tcPr>
          <w:p w:rsidR="00DD6FA2" w:rsidRPr="00DD6FA2" w:rsidRDefault="00DA0811" w:rsidP="00CF3909">
            <w:pPr>
              <w:spacing w:before="80" w:after="80"/>
              <w:jc w:val="center"/>
              <w:rPr>
                <w:rFonts w:ascii="Times New Roman" w:hAnsi="Times New Roman"/>
                <w:sz w:val="21"/>
                <w:szCs w:val="21"/>
              </w:rPr>
            </w:pPr>
            <w:r>
              <w:rPr>
                <w:rFonts w:ascii="Times New Roman" w:hAnsi="Times New Roman"/>
                <w:sz w:val="21"/>
                <w:szCs w:val="21"/>
              </w:rPr>
              <w:t>What is the payment rate</w:t>
            </w:r>
            <w:r w:rsidR="00DD6FA2" w:rsidRPr="00DD6FA2">
              <w:rPr>
                <w:rFonts w:ascii="Times New Roman" w:hAnsi="Times New Roman"/>
                <w:sz w:val="21"/>
                <w:szCs w:val="21"/>
              </w:rPr>
              <w:t>?</w:t>
            </w:r>
          </w:p>
        </w:tc>
        <w:tc>
          <w:tcPr>
            <w:tcW w:w="2977" w:type="dxa"/>
            <w:gridSpan w:val="2"/>
            <w:shd w:val="clear" w:color="auto" w:fill="DAEEF3" w:themeFill="accent5" w:themeFillTint="33"/>
          </w:tcPr>
          <w:p w:rsidR="00DD6FA2" w:rsidRPr="00DD6FA2" w:rsidRDefault="00DD6FA2" w:rsidP="00DD6FA2">
            <w:pPr>
              <w:spacing w:before="240" w:after="240"/>
              <w:jc w:val="center"/>
              <w:rPr>
                <w:rFonts w:ascii="Times New Roman" w:hAnsi="Times New Roman"/>
                <w:sz w:val="21"/>
                <w:szCs w:val="21"/>
              </w:rPr>
            </w:pPr>
            <w:r w:rsidRPr="00DD6FA2">
              <w:rPr>
                <w:rFonts w:ascii="Times New Roman" w:hAnsi="Times New Roman"/>
                <w:sz w:val="21"/>
                <w:szCs w:val="21"/>
              </w:rPr>
              <w:t xml:space="preserve">What is the maximum weekly amount mothers may receive (approximate)? </w:t>
            </w:r>
          </w:p>
        </w:tc>
        <w:tc>
          <w:tcPr>
            <w:tcW w:w="1842" w:type="dxa"/>
            <w:vMerge w:val="restart"/>
            <w:shd w:val="clear" w:color="auto" w:fill="DAEEF3" w:themeFill="accent5" w:themeFillTint="33"/>
          </w:tcPr>
          <w:p w:rsidR="00DD6FA2" w:rsidRPr="00DD6FA2" w:rsidRDefault="00DD6FA2" w:rsidP="00DD6FA2">
            <w:pPr>
              <w:spacing w:before="80" w:after="80"/>
              <w:jc w:val="center"/>
              <w:rPr>
                <w:rFonts w:ascii="Times New Roman" w:hAnsi="Times New Roman"/>
                <w:sz w:val="21"/>
                <w:szCs w:val="21"/>
              </w:rPr>
            </w:pPr>
            <w:r w:rsidRPr="00DD6FA2">
              <w:rPr>
                <w:rFonts w:ascii="Times New Roman" w:hAnsi="Times New Roman"/>
                <w:sz w:val="21"/>
                <w:szCs w:val="21"/>
              </w:rPr>
              <w:t>Who pays for the parental leave?</w:t>
            </w:r>
          </w:p>
        </w:tc>
        <w:tc>
          <w:tcPr>
            <w:tcW w:w="1276" w:type="dxa"/>
            <w:vMerge w:val="restart"/>
            <w:shd w:val="clear" w:color="auto" w:fill="DAEEF3" w:themeFill="accent5" w:themeFillTint="33"/>
          </w:tcPr>
          <w:p w:rsidR="00DD6FA2" w:rsidRPr="00DD6FA2" w:rsidRDefault="00DD6FA2" w:rsidP="00DD6FA2">
            <w:pPr>
              <w:spacing w:before="80" w:after="80"/>
              <w:jc w:val="center"/>
              <w:rPr>
                <w:rFonts w:ascii="Times New Roman" w:hAnsi="Times New Roman"/>
                <w:sz w:val="21"/>
                <w:szCs w:val="21"/>
              </w:rPr>
            </w:pPr>
            <w:r w:rsidRPr="00DD6FA2">
              <w:rPr>
                <w:rFonts w:ascii="Times New Roman" w:hAnsi="Times New Roman"/>
                <w:sz w:val="21"/>
                <w:szCs w:val="21"/>
              </w:rPr>
              <w:t>Does the employer make the payment?</w:t>
            </w:r>
          </w:p>
        </w:tc>
        <w:tc>
          <w:tcPr>
            <w:tcW w:w="1276" w:type="dxa"/>
            <w:vMerge w:val="restart"/>
            <w:shd w:val="clear" w:color="auto" w:fill="DAEEF3" w:themeFill="accent5" w:themeFillTint="33"/>
          </w:tcPr>
          <w:p w:rsidR="00DD6FA2" w:rsidRPr="00DD6FA2" w:rsidRDefault="00DD6FA2" w:rsidP="00DD6FA2">
            <w:pPr>
              <w:spacing w:before="80" w:after="80"/>
              <w:jc w:val="center"/>
              <w:rPr>
                <w:rFonts w:ascii="Times New Roman" w:hAnsi="Times New Roman"/>
                <w:sz w:val="21"/>
                <w:szCs w:val="21"/>
              </w:rPr>
            </w:pPr>
            <w:r w:rsidRPr="00DD6FA2">
              <w:rPr>
                <w:rFonts w:ascii="Times New Roman" w:hAnsi="Times New Roman"/>
                <w:sz w:val="21"/>
                <w:szCs w:val="21"/>
              </w:rPr>
              <w:t>Can</w:t>
            </w:r>
            <w:r w:rsidR="00B4210F">
              <w:rPr>
                <w:rFonts w:ascii="Times New Roman" w:hAnsi="Times New Roman"/>
                <w:sz w:val="21"/>
                <w:szCs w:val="21"/>
              </w:rPr>
              <w:t xml:space="preserve"> some of</w:t>
            </w:r>
            <w:r w:rsidRPr="00DD6FA2">
              <w:rPr>
                <w:rFonts w:ascii="Times New Roman" w:hAnsi="Times New Roman"/>
                <w:sz w:val="21"/>
                <w:szCs w:val="21"/>
              </w:rPr>
              <w:t xml:space="preserve"> the </w:t>
            </w:r>
            <w:r w:rsidRPr="00DA0811">
              <w:rPr>
                <w:rFonts w:ascii="Times New Roman" w:hAnsi="Times New Roman"/>
                <w:sz w:val="21"/>
                <w:szCs w:val="21"/>
                <w:u w:val="single"/>
              </w:rPr>
              <w:t>paid</w:t>
            </w:r>
            <w:r w:rsidRPr="00DD6FA2">
              <w:rPr>
                <w:rFonts w:ascii="Times New Roman" w:hAnsi="Times New Roman"/>
                <w:sz w:val="21"/>
                <w:szCs w:val="21"/>
              </w:rPr>
              <w:t xml:space="preserve"> leave be transferred to fathers or partners?</w:t>
            </w:r>
          </w:p>
        </w:tc>
        <w:tc>
          <w:tcPr>
            <w:tcW w:w="1276" w:type="dxa"/>
            <w:vMerge w:val="restart"/>
            <w:shd w:val="clear" w:color="auto" w:fill="DAEEF3" w:themeFill="accent5" w:themeFillTint="33"/>
          </w:tcPr>
          <w:p w:rsidR="00DD6FA2" w:rsidRPr="00DD6FA2" w:rsidRDefault="00DD6FA2" w:rsidP="00DD6FA2">
            <w:pPr>
              <w:spacing w:before="80" w:after="80"/>
              <w:jc w:val="center"/>
              <w:rPr>
                <w:rFonts w:ascii="Times New Roman" w:hAnsi="Times New Roman"/>
                <w:sz w:val="21"/>
                <w:szCs w:val="21"/>
              </w:rPr>
            </w:pPr>
            <w:r w:rsidRPr="00DD6FA2">
              <w:rPr>
                <w:rFonts w:ascii="Times New Roman" w:hAnsi="Times New Roman"/>
                <w:sz w:val="21"/>
                <w:szCs w:val="21"/>
              </w:rPr>
              <w:t>Are fathers and partners entitled to</w:t>
            </w:r>
            <w:r w:rsidR="00B567DB">
              <w:rPr>
                <w:rFonts w:ascii="Times New Roman" w:hAnsi="Times New Roman"/>
                <w:sz w:val="21"/>
                <w:szCs w:val="21"/>
              </w:rPr>
              <w:t xml:space="preserve"> post-birth</w:t>
            </w:r>
            <w:r w:rsidRPr="00DD6FA2">
              <w:rPr>
                <w:rFonts w:ascii="Times New Roman" w:hAnsi="Times New Roman"/>
                <w:sz w:val="21"/>
                <w:szCs w:val="21"/>
              </w:rPr>
              <w:t xml:space="preserve"> </w:t>
            </w:r>
            <w:r w:rsidRPr="00DA0811">
              <w:rPr>
                <w:rFonts w:ascii="Times New Roman" w:hAnsi="Times New Roman"/>
                <w:sz w:val="21"/>
                <w:szCs w:val="21"/>
                <w:u w:val="single"/>
              </w:rPr>
              <w:t>paid</w:t>
            </w:r>
            <w:r w:rsidRPr="00DD6FA2">
              <w:rPr>
                <w:rFonts w:ascii="Times New Roman" w:hAnsi="Times New Roman"/>
                <w:sz w:val="21"/>
                <w:szCs w:val="21"/>
              </w:rPr>
              <w:t xml:space="preserve"> leave?</w:t>
            </w:r>
          </w:p>
        </w:tc>
      </w:tr>
      <w:tr w:rsidR="00DD6FA2" w:rsidRPr="00B73CF4" w:rsidTr="00592B6A">
        <w:trPr>
          <w:tblHeader/>
        </w:trPr>
        <w:tc>
          <w:tcPr>
            <w:tcW w:w="1101" w:type="dxa"/>
            <w:vMerge/>
            <w:shd w:val="clear" w:color="auto" w:fill="DAEEF3" w:themeFill="accent5" w:themeFillTint="33"/>
            <w:vAlign w:val="center"/>
          </w:tcPr>
          <w:p w:rsidR="00DD6FA2" w:rsidRPr="00DD6FA2" w:rsidRDefault="00DD6FA2" w:rsidP="008B103A">
            <w:pPr>
              <w:rPr>
                <w:rFonts w:ascii="Times New Roman" w:hAnsi="Times New Roman"/>
                <w:sz w:val="21"/>
                <w:szCs w:val="21"/>
              </w:rPr>
            </w:pPr>
          </w:p>
        </w:tc>
        <w:tc>
          <w:tcPr>
            <w:tcW w:w="1701" w:type="dxa"/>
            <w:vMerge/>
            <w:vAlign w:val="center"/>
          </w:tcPr>
          <w:p w:rsidR="00DD6FA2" w:rsidRPr="00DD6FA2" w:rsidRDefault="00DD6FA2" w:rsidP="008B103A">
            <w:pPr>
              <w:jc w:val="center"/>
              <w:rPr>
                <w:rFonts w:ascii="Times New Roman" w:hAnsi="Times New Roman"/>
                <w:sz w:val="21"/>
                <w:szCs w:val="21"/>
              </w:rPr>
            </w:pPr>
          </w:p>
        </w:tc>
        <w:tc>
          <w:tcPr>
            <w:tcW w:w="1701" w:type="dxa"/>
            <w:vMerge/>
            <w:vAlign w:val="center"/>
          </w:tcPr>
          <w:p w:rsidR="00DD6FA2" w:rsidRPr="00DD6FA2" w:rsidRDefault="00DD6FA2" w:rsidP="008B103A">
            <w:pPr>
              <w:jc w:val="center"/>
              <w:rPr>
                <w:rFonts w:ascii="Times New Roman" w:hAnsi="Times New Roman"/>
                <w:sz w:val="21"/>
                <w:szCs w:val="21"/>
              </w:rPr>
            </w:pPr>
          </w:p>
        </w:tc>
        <w:tc>
          <w:tcPr>
            <w:tcW w:w="2126" w:type="dxa"/>
            <w:vMerge/>
            <w:vAlign w:val="center"/>
          </w:tcPr>
          <w:p w:rsidR="00DD6FA2" w:rsidRPr="00DD6FA2" w:rsidRDefault="00DD6FA2" w:rsidP="008B103A">
            <w:pPr>
              <w:jc w:val="center"/>
              <w:rPr>
                <w:rFonts w:ascii="Times New Roman" w:hAnsi="Times New Roman"/>
                <w:sz w:val="21"/>
                <w:szCs w:val="21"/>
              </w:rPr>
            </w:pPr>
          </w:p>
        </w:tc>
        <w:tc>
          <w:tcPr>
            <w:tcW w:w="1984" w:type="dxa"/>
            <w:shd w:val="clear" w:color="auto" w:fill="DAEEF3" w:themeFill="accent5" w:themeFillTint="33"/>
            <w:vAlign w:val="center"/>
          </w:tcPr>
          <w:p w:rsidR="00DD6FA2" w:rsidRPr="00DD6FA2" w:rsidRDefault="00DD6FA2" w:rsidP="008B103A">
            <w:pPr>
              <w:jc w:val="center"/>
              <w:rPr>
                <w:rFonts w:ascii="Times New Roman" w:hAnsi="Times New Roman"/>
                <w:i/>
                <w:sz w:val="18"/>
                <w:szCs w:val="18"/>
              </w:rPr>
            </w:pPr>
          </w:p>
        </w:tc>
        <w:tc>
          <w:tcPr>
            <w:tcW w:w="993" w:type="dxa"/>
            <w:shd w:val="clear" w:color="auto" w:fill="DAEEF3" w:themeFill="accent5" w:themeFillTint="33"/>
            <w:vAlign w:val="center"/>
          </w:tcPr>
          <w:p w:rsidR="00DD6FA2" w:rsidRPr="00DD6FA2" w:rsidRDefault="00DD6FA2" w:rsidP="00CF3909">
            <w:pPr>
              <w:jc w:val="center"/>
              <w:rPr>
                <w:rFonts w:ascii="Times New Roman" w:hAnsi="Times New Roman"/>
                <w:i/>
                <w:sz w:val="18"/>
                <w:szCs w:val="18"/>
              </w:rPr>
            </w:pPr>
            <w:r w:rsidRPr="00DD6FA2">
              <w:rPr>
                <w:rFonts w:ascii="Times New Roman" w:hAnsi="Times New Roman"/>
                <w:i/>
                <w:sz w:val="18"/>
                <w:szCs w:val="18"/>
              </w:rPr>
              <w:t xml:space="preserve">Australian dollars </w:t>
            </w:r>
          </w:p>
        </w:tc>
        <w:tc>
          <w:tcPr>
            <w:tcW w:w="1842" w:type="dxa"/>
            <w:vMerge/>
            <w:vAlign w:val="center"/>
          </w:tcPr>
          <w:p w:rsidR="00DD6FA2" w:rsidRPr="00DD6FA2" w:rsidRDefault="00DD6FA2" w:rsidP="0098747C">
            <w:pPr>
              <w:jc w:val="center"/>
              <w:rPr>
                <w:rFonts w:ascii="Times New Roman" w:hAnsi="Times New Roman"/>
                <w:sz w:val="21"/>
                <w:szCs w:val="21"/>
              </w:rPr>
            </w:pPr>
          </w:p>
        </w:tc>
        <w:tc>
          <w:tcPr>
            <w:tcW w:w="1276" w:type="dxa"/>
            <w:vMerge/>
            <w:vAlign w:val="center"/>
          </w:tcPr>
          <w:p w:rsidR="00DD6FA2" w:rsidRPr="00DD6FA2" w:rsidRDefault="00DD6FA2" w:rsidP="008B103A">
            <w:pPr>
              <w:jc w:val="center"/>
              <w:rPr>
                <w:rFonts w:ascii="Times New Roman" w:hAnsi="Times New Roman"/>
                <w:sz w:val="21"/>
                <w:szCs w:val="21"/>
              </w:rPr>
            </w:pPr>
          </w:p>
        </w:tc>
        <w:tc>
          <w:tcPr>
            <w:tcW w:w="1276" w:type="dxa"/>
            <w:vMerge/>
            <w:vAlign w:val="center"/>
          </w:tcPr>
          <w:p w:rsidR="00DD6FA2" w:rsidRPr="00DD6FA2" w:rsidRDefault="00DD6FA2" w:rsidP="008B103A">
            <w:pPr>
              <w:jc w:val="center"/>
              <w:rPr>
                <w:rFonts w:ascii="Times New Roman" w:hAnsi="Times New Roman"/>
                <w:sz w:val="21"/>
                <w:szCs w:val="21"/>
              </w:rPr>
            </w:pPr>
          </w:p>
        </w:tc>
        <w:tc>
          <w:tcPr>
            <w:tcW w:w="1276" w:type="dxa"/>
            <w:vMerge/>
            <w:vAlign w:val="center"/>
          </w:tcPr>
          <w:p w:rsidR="00DD6FA2" w:rsidRPr="00DD6FA2" w:rsidRDefault="00DD6FA2" w:rsidP="008B103A">
            <w:pPr>
              <w:jc w:val="center"/>
              <w:rPr>
                <w:rFonts w:ascii="Times New Roman" w:hAnsi="Times New Roman"/>
                <w:sz w:val="21"/>
                <w:szCs w:val="21"/>
              </w:rPr>
            </w:pPr>
          </w:p>
        </w:tc>
      </w:tr>
      <w:tr w:rsidR="00DD6FA2" w:rsidRPr="00B73CF4" w:rsidTr="00AA6501">
        <w:tc>
          <w:tcPr>
            <w:tcW w:w="1101" w:type="dxa"/>
            <w:shd w:val="clear" w:color="auto" w:fill="DAEEF3" w:themeFill="accent5" w:themeFillTint="33"/>
            <w:vAlign w:val="center"/>
          </w:tcPr>
          <w:p w:rsidR="00DD6FA2" w:rsidRPr="00DD6FA2" w:rsidRDefault="00DD6FA2" w:rsidP="00DD6FA2">
            <w:pPr>
              <w:spacing w:before="120" w:after="120"/>
              <w:rPr>
                <w:rFonts w:ascii="Times New Roman" w:hAnsi="Times New Roman"/>
                <w:sz w:val="21"/>
                <w:szCs w:val="21"/>
              </w:rPr>
            </w:pPr>
            <w:r w:rsidRPr="00DD6FA2">
              <w:rPr>
                <w:rFonts w:ascii="Times New Roman" w:hAnsi="Times New Roman"/>
                <w:sz w:val="21"/>
                <w:szCs w:val="21"/>
              </w:rPr>
              <w:t>Australia</w:t>
            </w:r>
          </w:p>
        </w:tc>
        <w:tc>
          <w:tcPr>
            <w:tcW w:w="1701" w:type="dxa"/>
            <w:vAlign w:val="center"/>
          </w:tcPr>
          <w:p w:rsidR="00DD6FA2" w:rsidRPr="00DD6FA2" w:rsidRDefault="00AA6501" w:rsidP="00AA6501">
            <w:pPr>
              <w:spacing w:before="120" w:after="120"/>
              <w:jc w:val="center"/>
              <w:rPr>
                <w:rFonts w:ascii="Times New Roman" w:hAnsi="Times New Roman"/>
                <w:sz w:val="21"/>
                <w:szCs w:val="21"/>
              </w:rPr>
            </w:pPr>
            <w:r>
              <w:rPr>
                <w:rFonts w:ascii="Times New Roman" w:hAnsi="Times New Roman"/>
                <w:sz w:val="21"/>
                <w:szCs w:val="21"/>
              </w:rPr>
              <w:t>52</w:t>
            </w:r>
            <w:r w:rsidR="00DD6FA2" w:rsidRPr="00DD6FA2">
              <w:rPr>
                <w:rFonts w:ascii="Times New Roman" w:hAnsi="Times New Roman"/>
                <w:sz w:val="21"/>
                <w:szCs w:val="21"/>
              </w:rPr>
              <w:t xml:space="preserve"> weeks</w:t>
            </w:r>
            <w:r>
              <w:rPr>
                <w:rFonts w:ascii="Times New Roman" w:hAnsi="Times New Roman"/>
                <w:sz w:val="21"/>
                <w:szCs w:val="21"/>
              </w:rPr>
              <w:t xml:space="preserve"> + additional 52 weeks if employer agrees</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18 weeks</w:t>
            </w:r>
          </w:p>
        </w:tc>
        <w:tc>
          <w:tcPr>
            <w:tcW w:w="2126" w:type="dxa"/>
            <w:vAlign w:val="center"/>
          </w:tcPr>
          <w:p w:rsidR="00DD6FA2" w:rsidRPr="00DD6FA2" w:rsidRDefault="00DD6FA2" w:rsidP="006E21A0">
            <w:pPr>
              <w:spacing w:before="120" w:after="120"/>
              <w:jc w:val="center"/>
              <w:rPr>
                <w:rFonts w:ascii="Times New Roman" w:hAnsi="Times New Roman"/>
                <w:sz w:val="21"/>
                <w:szCs w:val="21"/>
              </w:rPr>
            </w:pPr>
            <w:r w:rsidRPr="00DD6FA2">
              <w:rPr>
                <w:rFonts w:ascii="Times New Roman" w:hAnsi="Times New Roman"/>
                <w:sz w:val="21"/>
                <w:szCs w:val="21"/>
              </w:rPr>
              <w:t xml:space="preserve">National Weekly Minimum Wage </w:t>
            </w:r>
          </w:p>
        </w:tc>
        <w:tc>
          <w:tcPr>
            <w:tcW w:w="1984"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 xml:space="preserve">$606 + </w:t>
            </w:r>
          </w:p>
        </w:tc>
        <w:tc>
          <w:tcPr>
            <w:tcW w:w="993"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$606 +</w:t>
            </w:r>
          </w:p>
        </w:tc>
        <w:tc>
          <w:tcPr>
            <w:tcW w:w="1842" w:type="dxa"/>
            <w:vAlign w:val="center"/>
          </w:tcPr>
          <w:p w:rsidR="00DD6FA2" w:rsidRPr="00DD6FA2" w:rsidRDefault="00B4210F" w:rsidP="00DD6FA2">
            <w:pPr>
              <w:spacing w:before="120" w:after="120"/>
              <w:jc w:val="center"/>
              <w:rPr>
                <w:rFonts w:ascii="Times New Roman" w:hAnsi="Times New Roman"/>
                <w:sz w:val="21"/>
                <w:szCs w:val="21"/>
              </w:rPr>
            </w:pPr>
            <w:r>
              <w:rPr>
                <w:rFonts w:ascii="Times New Roman" w:hAnsi="Times New Roman"/>
                <w:sz w:val="21"/>
                <w:szCs w:val="21"/>
              </w:rPr>
              <w:t>Government</w:t>
            </w:r>
            <w:r w:rsidRPr="00DD6FA2">
              <w:rPr>
                <w:rFonts w:ascii="Times New Roman" w:hAnsi="Times New Roman"/>
                <w:sz w:val="21"/>
                <w:szCs w:val="21"/>
              </w:rPr>
              <w:t xml:space="preserve"> </w:t>
            </w:r>
            <w:r w:rsidR="00DD6FA2" w:rsidRPr="00DD6FA2">
              <w:rPr>
                <w:rFonts w:ascii="Times New Roman" w:hAnsi="Times New Roman"/>
                <w:sz w:val="21"/>
                <w:szCs w:val="21"/>
              </w:rPr>
              <w:t>funded</w:t>
            </w:r>
          </w:p>
        </w:tc>
        <w:tc>
          <w:tcPr>
            <w:tcW w:w="1276" w:type="dxa"/>
            <w:vAlign w:val="center"/>
          </w:tcPr>
          <w:p w:rsidR="00DD6FA2" w:rsidRPr="00DD6FA2" w:rsidRDefault="00B4210F"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2 weeks</w:t>
            </w:r>
          </w:p>
        </w:tc>
      </w:tr>
      <w:tr w:rsidR="00DD6FA2" w:rsidRPr="00B73CF4" w:rsidTr="00AA6501">
        <w:tc>
          <w:tcPr>
            <w:tcW w:w="1101" w:type="dxa"/>
            <w:shd w:val="clear" w:color="auto" w:fill="DAEEF3" w:themeFill="accent5" w:themeFillTint="33"/>
            <w:vAlign w:val="center"/>
          </w:tcPr>
          <w:p w:rsidR="00DD6FA2" w:rsidRPr="00DD6FA2" w:rsidRDefault="00DD6FA2" w:rsidP="006567D0">
            <w:pPr>
              <w:spacing w:before="120" w:after="120"/>
              <w:rPr>
                <w:rFonts w:ascii="Times New Roman" w:hAnsi="Times New Roman"/>
                <w:sz w:val="21"/>
                <w:szCs w:val="21"/>
              </w:rPr>
            </w:pPr>
            <w:r w:rsidRPr="00DD6FA2">
              <w:rPr>
                <w:rFonts w:ascii="Times New Roman" w:hAnsi="Times New Roman"/>
                <w:sz w:val="21"/>
                <w:szCs w:val="21"/>
              </w:rPr>
              <w:t>US</w:t>
            </w:r>
            <w:r w:rsidR="00C91500">
              <w:rPr>
                <w:rFonts w:ascii="Times New Roman" w:hAnsi="Times New Roman"/>
                <w:sz w:val="21"/>
                <w:szCs w:val="21"/>
              </w:rPr>
              <w:t xml:space="preserve"> </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12 weeks</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No legislated entitlement</w:t>
            </w:r>
          </w:p>
        </w:tc>
        <w:tc>
          <w:tcPr>
            <w:tcW w:w="2126" w:type="dxa"/>
            <w:shd w:val="clear" w:color="auto" w:fill="D9D9D9" w:themeFill="background1" w:themeFillShade="D9"/>
            <w:vAlign w:val="center"/>
          </w:tcPr>
          <w:p w:rsidR="00DD6FA2" w:rsidRPr="00DD6FA2" w:rsidRDefault="00DD6FA2" w:rsidP="00DD6FA2">
            <w:pPr>
              <w:spacing w:before="120" w:after="120"/>
              <w:jc w:val="center"/>
              <w:rPr>
                <w:rFonts w:ascii="Times New Roman" w:hAnsi="Times New Roman"/>
                <w:sz w:val="21"/>
                <w:szCs w:val="21"/>
              </w:rPr>
            </w:pPr>
          </w:p>
        </w:tc>
        <w:tc>
          <w:tcPr>
            <w:tcW w:w="1984" w:type="dxa"/>
            <w:shd w:val="clear" w:color="auto" w:fill="D9D9D9" w:themeFill="background1" w:themeFillShade="D9"/>
            <w:vAlign w:val="center"/>
          </w:tcPr>
          <w:p w:rsidR="00DD6FA2" w:rsidRPr="00DD6FA2" w:rsidRDefault="00DD6FA2" w:rsidP="00DD6FA2">
            <w:pPr>
              <w:spacing w:before="120" w:after="120"/>
              <w:jc w:val="center"/>
              <w:rPr>
                <w:rFonts w:ascii="Times New Roman" w:hAnsi="Times New Roman"/>
                <w:sz w:val="21"/>
                <w:szCs w:val="21"/>
              </w:rPr>
            </w:pPr>
          </w:p>
        </w:tc>
        <w:tc>
          <w:tcPr>
            <w:tcW w:w="993" w:type="dxa"/>
            <w:shd w:val="clear" w:color="auto" w:fill="D9D9D9" w:themeFill="background1" w:themeFillShade="D9"/>
            <w:vAlign w:val="center"/>
          </w:tcPr>
          <w:p w:rsidR="00DD6FA2" w:rsidRPr="00DD6FA2" w:rsidRDefault="00DD6FA2" w:rsidP="00DD6FA2">
            <w:pPr>
              <w:spacing w:before="120" w:after="120"/>
              <w:jc w:val="center"/>
              <w:rPr>
                <w:rFonts w:ascii="Times New Roman" w:hAnsi="Times New Roman"/>
                <w:sz w:val="21"/>
                <w:szCs w:val="21"/>
                <w:highlight w:val="cyan"/>
              </w:rPr>
            </w:pPr>
          </w:p>
        </w:tc>
        <w:tc>
          <w:tcPr>
            <w:tcW w:w="1842" w:type="dxa"/>
            <w:shd w:val="clear" w:color="auto" w:fill="D9D9D9" w:themeFill="background1" w:themeFillShade="D9"/>
            <w:vAlign w:val="center"/>
          </w:tcPr>
          <w:p w:rsidR="00DD6FA2" w:rsidRPr="00DD6FA2" w:rsidRDefault="00DD6FA2" w:rsidP="00DD6FA2">
            <w:pPr>
              <w:spacing w:before="120" w:after="120"/>
              <w:jc w:val="center"/>
              <w:rPr>
                <w:rFonts w:ascii="Times New Roman" w:hAnsi="Times New Roman"/>
                <w:sz w:val="21"/>
                <w:szCs w:val="21"/>
                <w:highlight w:val="cyan"/>
              </w:rPr>
            </w:pPr>
          </w:p>
        </w:tc>
        <w:tc>
          <w:tcPr>
            <w:tcW w:w="1276" w:type="dxa"/>
            <w:shd w:val="clear" w:color="auto" w:fill="D9D9D9" w:themeFill="background1" w:themeFillShade="D9"/>
            <w:vAlign w:val="center"/>
          </w:tcPr>
          <w:p w:rsidR="00DD6FA2" w:rsidRPr="00DD6FA2" w:rsidRDefault="00DD6FA2" w:rsidP="00DD6FA2">
            <w:pPr>
              <w:spacing w:before="120" w:after="120"/>
              <w:jc w:val="center"/>
              <w:rPr>
                <w:rFonts w:ascii="Times New Roman" w:hAnsi="Times New Roman"/>
                <w:sz w:val="21"/>
                <w:szCs w:val="21"/>
              </w:rPr>
            </w:pPr>
          </w:p>
        </w:tc>
        <w:tc>
          <w:tcPr>
            <w:tcW w:w="1276" w:type="dxa"/>
            <w:shd w:val="clear" w:color="auto" w:fill="D9D9D9" w:themeFill="background1" w:themeFillShade="D9"/>
            <w:vAlign w:val="center"/>
          </w:tcPr>
          <w:p w:rsidR="00DD6FA2" w:rsidRPr="00DD6FA2" w:rsidRDefault="00DD6FA2" w:rsidP="00DD6FA2">
            <w:pPr>
              <w:spacing w:before="120" w:after="120"/>
              <w:jc w:val="center"/>
              <w:rPr>
                <w:rFonts w:ascii="Times New Roman" w:hAnsi="Times New Roman"/>
                <w:sz w:val="21"/>
                <w:szCs w:val="21"/>
              </w:rPr>
            </w:pP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4F"/>
            </w:r>
          </w:p>
        </w:tc>
      </w:tr>
      <w:tr w:rsidR="00DD6FA2" w:rsidRPr="00B73CF4" w:rsidTr="00AA6501">
        <w:tc>
          <w:tcPr>
            <w:tcW w:w="1101" w:type="dxa"/>
            <w:shd w:val="clear" w:color="auto" w:fill="DAEEF3" w:themeFill="accent5" w:themeFillTint="33"/>
            <w:vAlign w:val="center"/>
          </w:tcPr>
          <w:p w:rsidR="00DD6FA2" w:rsidRPr="00DD6FA2" w:rsidRDefault="00DD6FA2" w:rsidP="006567D0">
            <w:pPr>
              <w:spacing w:before="120" w:after="120"/>
              <w:rPr>
                <w:rFonts w:ascii="Times New Roman" w:hAnsi="Times New Roman"/>
                <w:sz w:val="21"/>
                <w:szCs w:val="21"/>
              </w:rPr>
            </w:pPr>
            <w:r w:rsidRPr="00DD6FA2">
              <w:rPr>
                <w:rFonts w:ascii="Times New Roman" w:hAnsi="Times New Roman"/>
                <w:sz w:val="21"/>
                <w:szCs w:val="21"/>
              </w:rPr>
              <w:t>UK</w:t>
            </w:r>
            <w:r w:rsidR="00C91500">
              <w:rPr>
                <w:rFonts w:ascii="Times New Roman" w:hAnsi="Times New Roman"/>
                <w:sz w:val="21"/>
                <w:szCs w:val="21"/>
              </w:rPr>
              <w:t xml:space="preserve"> </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52 weeks</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39 weeks</w:t>
            </w:r>
          </w:p>
        </w:tc>
        <w:tc>
          <w:tcPr>
            <w:tcW w:w="212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90% of mother’s average weekly earnings for at least 6 weeks</w:t>
            </w:r>
          </w:p>
        </w:tc>
        <w:tc>
          <w:tcPr>
            <w:tcW w:w="1984" w:type="dxa"/>
            <w:vAlign w:val="center"/>
          </w:tcPr>
          <w:p w:rsidR="00DD6FA2" w:rsidRPr="00DD6FA2" w:rsidRDefault="00DD6FA2" w:rsidP="00255C64">
            <w:pPr>
              <w:spacing w:before="120" w:after="120"/>
              <w:jc w:val="center"/>
              <w:rPr>
                <w:rFonts w:ascii="Times New Roman" w:hAnsi="Times New Roman"/>
                <w:sz w:val="21"/>
                <w:szCs w:val="21"/>
              </w:rPr>
            </w:pPr>
            <w:r w:rsidRPr="00DD6FA2">
              <w:rPr>
                <w:rFonts w:ascii="Times New Roman" w:hAnsi="Times New Roman"/>
                <w:sz w:val="21"/>
                <w:szCs w:val="21"/>
              </w:rPr>
              <w:t xml:space="preserve">Not capped for 6 weeks then capped at </w:t>
            </w:r>
            <w:r w:rsidR="0029406C">
              <w:rPr>
                <w:rFonts w:ascii="Times New Roman" w:hAnsi="Times New Roman"/>
                <w:sz w:val="21"/>
                <w:szCs w:val="21"/>
              </w:rPr>
              <w:t>GBP</w:t>
            </w:r>
            <w:r w:rsidR="00212B3C">
              <w:rPr>
                <w:rFonts w:ascii="Times New Roman" w:hAnsi="Times New Roman"/>
                <w:sz w:val="21"/>
                <w:szCs w:val="21"/>
              </w:rPr>
              <w:t> </w:t>
            </w:r>
            <w:r w:rsidRPr="00DD6FA2">
              <w:rPr>
                <w:rFonts w:ascii="Times New Roman" w:hAnsi="Times New Roman"/>
                <w:sz w:val="21"/>
                <w:szCs w:val="21"/>
              </w:rPr>
              <w:t>£</w:t>
            </w:r>
            <w:r w:rsidR="00255C64" w:rsidRPr="00DD6FA2">
              <w:rPr>
                <w:rFonts w:ascii="Times New Roman" w:hAnsi="Times New Roman"/>
                <w:sz w:val="21"/>
                <w:szCs w:val="21"/>
              </w:rPr>
              <w:t>13</w:t>
            </w:r>
            <w:r w:rsidR="00255C64">
              <w:rPr>
                <w:rFonts w:ascii="Times New Roman" w:hAnsi="Times New Roman"/>
                <w:sz w:val="21"/>
                <w:szCs w:val="21"/>
              </w:rPr>
              <w:t xml:space="preserve">7 </w:t>
            </w:r>
            <w:r w:rsidRPr="00DD6FA2">
              <w:rPr>
                <w:rFonts w:ascii="Times New Roman" w:hAnsi="Times New Roman"/>
                <w:sz w:val="21"/>
                <w:szCs w:val="21"/>
              </w:rPr>
              <w:t>for remaining 33 weeks</w:t>
            </w:r>
          </w:p>
        </w:tc>
        <w:tc>
          <w:tcPr>
            <w:tcW w:w="993" w:type="dxa"/>
            <w:vAlign w:val="center"/>
          </w:tcPr>
          <w:p w:rsidR="00DD6FA2" w:rsidRPr="00DD6FA2" w:rsidRDefault="00DD6FA2" w:rsidP="007741FC">
            <w:pPr>
              <w:spacing w:before="120" w:after="120"/>
              <w:jc w:val="center"/>
              <w:rPr>
                <w:rFonts w:ascii="Times New Roman" w:hAnsi="Times New Roman"/>
                <w:sz w:val="21"/>
                <w:szCs w:val="21"/>
              </w:rPr>
            </w:pPr>
            <w:r w:rsidRPr="00DD6FA2">
              <w:rPr>
                <w:rFonts w:ascii="Times New Roman" w:hAnsi="Times New Roman"/>
                <w:sz w:val="21"/>
                <w:szCs w:val="21"/>
              </w:rPr>
              <w:t>$</w:t>
            </w:r>
            <w:r w:rsidR="007741FC" w:rsidRPr="00DD6FA2">
              <w:rPr>
                <w:rFonts w:ascii="Times New Roman" w:hAnsi="Times New Roman"/>
                <w:sz w:val="21"/>
                <w:szCs w:val="21"/>
              </w:rPr>
              <w:t>2</w:t>
            </w:r>
            <w:r w:rsidR="007741FC">
              <w:rPr>
                <w:rFonts w:ascii="Times New Roman" w:hAnsi="Times New Roman"/>
                <w:sz w:val="21"/>
                <w:szCs w:val="21"/>
              </w:rPr>
              <w:t>11</w:t>
            </w:r>
            <w:r w:rsidR="007741FC" w:rsidRPr="00DD6FA2">
              <w:rPr>
                <w:rFonts w:ascii="Times New Roman" w:hAnsi="Times New Roman"/>
                <w:sz w:val="21"/>
                <w:szCs w:val="21"/>
              </w:rPr>
              <w:t xml:space="preserve"> </w:t>
            </w:r>
            <w:r>
              <w:rPr>
                <w:rFonts w:ascii="Times New Roman" w:hAnsi="Times New Roman"/>
                <w:sz w:val="21"/>
                <w:szCs w:val="21"/>
              </w:rPr>
              <w:br/>
            </w:r>
            <w:r w:rsidRPr="00DD6FA2">
              <w:rPr>
                <w:rFonts w:ascii="Times New Roman" w:hAnsi="Times New Roman"/>
                <w:i/>
                <w:sz w:val="18"/>
                <w:szCs w:val="18"/>
              </w:rPr>
              <w:t>33wk cap</w:t>
            </w:r>
          </w:p>
        </w:tc>
        <w:tc>
          <w:tcPr>
            <w:tcW w:w="1842" w:type="dxa"/>
            <w:vAlign w:val="center"/>
          </w:tcPr>
          <w:p w:rsidR="00DD6FA2" w:rsidRPr="00DD6FA2" w:rsidRDefault="00B4210F" w:rsidP="00DD6FA2">
            <w:pPr>
              <w:spacing w:before="120" w:after="120"/>
              <w:jc w:val="center"/>
              <w:rPr>
                <w:rFonts w:ascii="Times New Roman" w:hAnsi="Times New Roman"/>
                <w:sz w:val="21"/>
                <w:szCs w:val="21"/>
              </w:rPr>
            </w:pPr>
            <w:r>
              <w:rPr>
                <w:rFonts w:ascii="Times New Roman" w:hAnsi="Times New Roman"/>
                <w:sz w:val="21"/>
                <w:szCs w:val="21"/>
              </w:rPr>
              <w:t>Government</w:t>
            </w:r>
            <w:r w:rsidRPr="00DD6FA2" w:rsidDel="00B4210F">
              <w:rPr>
                <w:rFonts w:ascii="Times New Roman" w:hAnsi="Times New Roman"/>
                <w:sz w:val="21"/>
                <w:szCs w:val="21"/>
              </w:rPr>
              <w:t xml:space="preserve"> </w:t>
            </w:r>
            <w:r w:rsidR="00DD6FA2" w:rsidRPr="00DD6FA2">
              <w:rPr>
                <w:rFonts w:ascii="Times New Roman" w:hAnsi="Times New Roman"/>
                <w:sz w:val="21"/>
                <w:szCs w:val="21"/>
              </w:rPr>
              <w:t xml:space="preserve"> funded</w:t>
            </w:r>
          </w:p>
        </w:tc>
        <w:tc>
          <w:tcPr>
            <w:tcW w:w="1276" w:type="dxa"/>
            <w:vAlign w:val="center"/>
          </w:tcPr>
          <w:p w:rsidR="00DD6FA2" w:rsidRPr="00DD6FA2" w:rsidRDefault="00B4210F"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2 weeks</w:t>
            </w:r>
          </w:p>
        </w:tc>
      </w:tr>
      <w:tr w:rsidR="00DD6FA2" w:rsidRPr="00B73CF4" w:rsidTr="00AA6501">
        <w:tc>
          <w:tcPr>
            <w:tcW w:w="1101" w:type="dxa"/>
            <w:shd w:val="clear" w:color="auto" w:fill="DAEEF3" w:themeFill="accent5" w:themeFillTint="33"/>
            <w:vAlign w:val="center"/>
          </w:tcPr>
          <w:p w:rsidR="00DD6FA2" w:rsidRPr="00DD6FA2" w:rsidRDefault="00DD6FA2" w:rsidP="006567D0">
            <w:pPr>
              <w:spacing w:before="120" w:after="120"/>
              <w:rPr>
                <w:rFonts w:ascii="Times New Roman" w:hAnsi="Times New Roman"/>
                <w:sz w:val="21"/>
                <w:szCs w:val="21"/>
              </w:rPr>
            </w:pPr>
            <w:r w:rsidRPr="00DD6FA2">
              <w:rPr>
                <w:rFonts w:ascii="Times New Roman" w:hAnsi="Times New Roman"/>
                <w:sz w:val="21"/>
                <w:szCs w:val="21"/>
              </w:rPr>
              <w:t>Canada</w:t>
            </w:r>
            <w:r w:rsidR="00C91500">
              <w:rPr>
                <w:rFonts w:ascii="Times New Roman" w:hAnsi="Times New Roman"/>
                <w:sz w:val="21"/>
                <w:szCs w:val="21"/>
              </w:rPr>
              <w:t xml:space="preserve"> </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52 weeks</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50 weeks</w:t>
            </w:r>
          </w:p>
        </w:tc>
        <w:tc>
          <w:tcPr>
            <w:tcW w:w="2126" w:type="dxa"/>
            <w:vAlign w:val="center"/>
          </w:tcPr>
          <w:p w:rsidR="00DD6FA2" w:rsidRPr="00DD6FA2" w:rsidRDefault="00DD6FA2" w:rsidP="00DD6FA2">
            <w:pPr>
              <w:spacing w:before="120" w:after="120"/>
              <w:jc w:val="center"/>
              <w:rPr>
                <w:rFonts w:ascii="Times New Roman" w:hAnsi="Times New Roman"/>
                <w:sz w:val="21"/>
                <w:szCs w:val="21"/>
              </w:rPr>
            </w:pPr>
            <w:r>
              <w:rPr>
                <w:rFonts w:ascii="Times New Roman" w:hAnsi="Times New Roman"/>
                <w:sz w:val="21"/>
                <w:szCs w:val="21"/>
              </w:rPr>
              <w:t xml:space="preserve">55% </w:t>
            </w:r>
            <w:r w:rsidRPr="00DD6FA2">
              <w:rPr>
                <w:rFonts w:ascii="Times New Roman" w:hAnsi="Times New Roman"/>
                <w:sz w:val="21"/>
                <w:szCs w:val="21"/>
              </w:rPr>
              <w:t>of average insured earnings</w:t>
            </w:r>
          </w:p>
        </w:tc>
        <w:tc>
          <w:tcPr>
            <w:tcW w:w="1984" w:type="dxa"/>
            <w:vAlign w:val="center"/>
          </w:tcPr>
          <w:p w:rsidR="00DD6FA2" w:rsidRPr="00DD6FA2" w:rsidRDefault="0029406C" w:rsidP="00255C64">
            <w:pPr>
              <w:spacing w:before="120" w:after="120"/>
              <w:jc w:val="center"/>
              <w:rPr>
                <w:rFonts w:ascii="Times New Roman" w:hAnsi="Times New Roman"/>
                <w:sz w:val="21"/>
                <w:szCs w:val="21"/>
              </w:rPr>
            </w:pPr>
            <w:r w:rsidRPr="00DD6FA2">
              <w:rPr>
                <w:rFonts w:ascii="Times New Roman" w:hAnsi="Times New Roman"/>
                <w:sz w:val="21"/>
                <w:szCs w:val="21"/>
              </w:rPr>
              <w:t>CA</w:t>
            </w:r>
            <w:r>
              <w:rPr>
                <w:rFonts w:ascii="Times New Roman" w:hAnsi="Times New Roman"/>
                <w:sz w:val="21"/>
                <w:szCs w:val="21"/>
              </w:rPr>
              <w:t>D</w:t>
            </w:r>
            <w:r w:rsidRPr="00DD6FA2">
              <w:rPr>
                <w:rFonts w:ascii="Times New Roman" w:hAnsi="Times New Roman"/>
                <w:sz w:val="21"/>
                <w:szCs w:val="21"/>
              </w:rPr>
              <w:t xml:space="preserve"> </w:t>
            </w:r>
            <w:r w:rsidR="00DD6FA2" w:rsidRPr="00DD6FA2">
              <w:rPr>
                <w:rFonts w:ascii="Times New Roman" w:hAnsi="Times New Roman"/>
                <w:sz w:val="21"/>
                <w:szCs w:val="21"/>
              </w:rPr>
              <w:t>$</w:t>
            </w:r>
            <w:r w:rsidR="00255C64">
              <w:rPr>
                <w:rFonts w:ascii="Times New Roman" w:hAnsi="Times New Roman"/>
                <w:sz w:val="21"/>
                <w:szCs w:val="21"/>
              </w:rPr>
              <w:t>501</w:t>
            </w:r>
            <w:r w:rsidR="00255C64" w:rsidRPr="00DD6FA2">
              <w:rPr>
                <w:rFonts w:ascii="Times New Roman" w:hAnsi="Times New Roman"/>
                <w:sz w:val="21"/>
                <w:szCs w:val="21"/>
              </w:rPr>
              <w:t xml:space="preserve"> </w:t>
            </w:r>
          </w:p>
        </w:tc>
        <w:tc>
          <w:tcPr>
            <w:tcW w:w="993" w:type="dxa"/>
            <w:vAlign w:val="center"/>
          </w:tcPr>
          <w:p w:rsidR="00DD6FA2" w:rsidRPr="00DD6FA2" w:rsidRDefault="00DD6FA2" w:rsidP="007741FC">
            <w:pPr>
              <w:spacing w:before="120" w:after="120"/>
              <w:jc w:val="center"/>
              <w:rPr>
                <w:rFonts w:ascii="Times New Roman" w:hAnsi="Times New Roman"/>
                <w:sz w:val="21"/>
                <w:szCs w:val="21"/>
              </w:rPr>
            </w:pPr>
            <w:r w:rsidRPr="00DD6FA2">
              <w:rPr>
                <w:rFonts w:ascii="Times New Roman" w:hAnsi="Times New Roman"/>
                <w:sz w:val="21"/>
                <w:szCs w:val="21"/>
              </w:rPr>
              <w:t>$</w:t>
            </w:r>
            <w:r w:rsidR="007741FC" w:rsidRPr="00DD6FA2">
              <w:rPr>
                <w:rFonts w:ascii="Times New Roman" w:hAnsi="Times New Roman"/>
                <w:sz w:val="21"/>
                <w:szCs w:val="21"/>
              </w:rPr>
              <w:t>4</w:t>
            </w:r>
            <w:r w:rsidR="007741FC">
              <w:rPr>
                <w:rFonts w:ascii="Times New Roman" w:hAnsi="Times New Roman"/>
                <w:sz w:val="21"/>
                <w:szCs w:val="21"/>
              </w:rPr>
              <w:t>97</w:t>
            </w:r>
          </w:p>
        </w:tc>
        <w:tc>
          <w:tcPr>
            <w:tcW w:w="1842"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Empl</w:t>
            </w:r>
            <w:r>
              <w:rPr>
                <w:rFonts w:ascii="Times New Roman" w:hAnsi="Times New Roman"/>
                <w:sz w:val="21"/>
                <w:szCs w:val="21"/>
              </w:rPr>
              <w:t>oyee and employer contributions;</w:t>
            </w:r>
            <w:r w:rsidRPr="00DD6FA2">
              <w:rPr>
                <w:rFonts w:ascii="Times New Roman" w:hAnsi="Times New Roman"/>
                <w:sz w:val="21"/>
                <w:szCs w:val="21"/>
              </w:rPr>
              <w:t xml:space="preserve"> shortfalls covered by Government</w:t>
            </w:r>
          </w:p>
        </w:tc>
        <w:tc>
          <w:tcPr>
            <w:tcW w:w="1276" w:type="dxa"/>
            <w:vAlign w:val="center"/>
          </w:tcPr>
          <w:p w:rsidR="00DD6FA2" w:rsidRPr="00DD6FA2" w:rsidRDefault="00B4210F"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4F"/>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4F"/>
            </w:r>
          </w:p>
        </w:tc>
      </w:tr>
      <w:tr w:rsidR="00DD6FA2" w:rsidRPr="00B73CF4" w:rsidTr="00AA6501">
        <w:tc>
          <w:tcPr>
            <w:tcW w:w="1101" w:type="dxa"/>
            <w:shd w:val="clear" w:color="auto" w:fill="DAEEF3" w:themeFill="accent5" w:themeFillTint="33"/>
            <w:vAlign w:val="center"/>
          </w:tcPr>
          <w:p w:rsidR="00DD6FA2" w:rsidRPr="00DD6FA2" w:rsidRDefault="00DD6FA2" w:rsidP="006567D0">
            <w:pPr>
              <w:spacing w:before="120" w:after="120"/>
              <w:rPr>
                <w:rFonts w:ascii="Times New Roman" w:hAnsi="Times New Roman"/>
                <w:sz w:val="21"/>
                <w:szCs w:val="21"/>
              </w:rPr>
            </w:pPr>
            <w:r w:rsidRPr="00DD6FA2">
              <w:rPr>
                <w:rFonts w:ascii="Times New Roman" w:hAnsi="Times New Roman"/>
                <w:sz w:val="21"/>
                <w:szCs w:val="21"/>
              </w:rPr>
              <w:t>NZ</w:t>
            </w:r>
            <w:r w:rsidR="00C91500">
              <w:rPr>
                <w:rFonts w:ascii="Times New Roman" w:hAnsi="Times New Roman"/>
                <w:sz w:val="21"/>
                <w:szCs w:val="21"/>
              </w:rPr>
              <w:t xml:space="preserve"> </w:t>
            </w:r>
          </w:p>
        </w:tc>
        <w:tc>
          <w:tcPr>
            <w:tcW w:w="1701"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52 weeks</w:t>
            </w:r>
          </w:p>
        </w:tc>
        <w:tc>
          <w:tcPr>
            <w:tcW w:w="1701" w:type="dxa"/>
            <w:vAlign w:val="center"/>
          </w:tcPr>
          <w:p w:rsidR="00DD6FA2" w:rsidRPr="00DD6FA2" w:rsidRDefault="00FF5142" w:rsidP="006567D0">
            <w:pPr>
              <w:spacing w:before="120" w:after="120"/>
              <w:jc w:val="center"/>
              <w:rPr>
                <w:rFonts w:ascii="Times New Roman" w:hAnsi="Times New Roman"/>
                <w:sz w:val="21"/>
                <w:szCs w:val="21"/>
              </w:rPr>
            </w:pPr>
            <w:r w:rsidRPr="00DD6FA2">
              <w:rPr>
                <w:rFonts w:ascii="Times New Roman" w:hAnsi="Times New Roman"/>
                <w:sz w:val="21"/>
                <w:szCs w:val="21"/>
              </w:rPr>
              <w:t>1</w:t>
            </w:r>
            <w:r>
              <w:rPr>
                <w:rFonts w:ascii="Times New Roman" w:hAnsi="Times New Roman"/>
                <w:sz w:val="21"/>
                <w:szCs w:val="21"/>
              </w:rPr>
              <w:t>4</w:t>
            </w:r>
            <w:r w:rsidRPr="00DD6FA2">
              <w:rPr>
                <w:rFonts w:ascii="Times New Roman" w:hAnsi="Times New Roman"/>
                <w:sz w:val="21"/>
                <w:szCs w:val="21"/>
              </w:rPr>
              <w:t xml:space="preserve"> </w:t>
            </w:r>
            <w:r w:rsidR="00DD6FA2" w:rsidRPr="00DD6FA2">
              <w:rPr>
                <w:rFonts w:ascii="Times New Roman" w:hAnsi="Times New Roman"/>
                <w:sz w:val="21"/>
                <w:szCs w:val="21"/>
              </w:rPr>
              <w:t xml:space="preserve">weeks </w:t>
            </w:r>
          </w:p>
        </w:tc>
        <w:tc>
          <w:tcPr>
            <w:tcW w:w="2126" w:type="dxa"/>
            <w:vAlign w:val="center"/>
          </w:tcPr>
          <w:p w:rsidR="00DD6FA2" w:rsidRPr="00DD6FA2" w:rsidRDefault="00DD6FA2" w:rsidP="00DD6FA2">
            <w:pPr>
              <w:spacing w:before="120" w:after="120"/>
              <w:jc w:val="center"/>
              <w:rPr>
                <w:rFonts w:ascii="Times New Roman" w:hAnsi="Times New Roman"/>
                <w:sz w:val="21"/>
                <w:szCs w:val="21"/>
                <w:highlight w:val="cyan"/>
              </w:rPr>
            </w:pPr>
            <w:r>
              <w:rPr>
                <w:rFonts w:ascii="Times New Roman" w:hAnsi="Times New Roman"/>
                <w:sz w:val="21"/>
                <w:szCs w:val="21"/>
              </w:rPr>
              <w:t xml:space="preserve">100% </w:t>
            </w:r>
            <w:r w:rsidRPr="00DD6FA2">
              <w:rPr>
                <w:rFonts w:ascii="Times New Roman" w:hAnsi="Times New Roman"/>
                <w:sz w:val="21"/>
                <w:szCs w:val="21"/>
              </w:rPr>
              <w:t>of ordinary weekly pay or average weekly earnings</w:t>
            </w:r>
          </w:p>
        </w:tc>
        <w:tc>
          <w:tcPr>
            <w:tcW w:w="1984" w:type="dxa"/>
            <w:vAlign w:val="center"/>
          </w:tcPr>
          <w:p w:rsidR="00DD6FA2" w:rsidRPr="00DD6FA2" w:rsidRDefault="00DD6FA2" w:rsidP="006E21A0">
            <w:pPr>
              <w:spacing w:before="120" w:after="120"/>
              <w:jc w:val="center"/>
              <w:rPr>
                <w:rFonts w:ascii="Times New Roman" w:hAnsi="Times New Roman"/>
                <w:sz w:val="21"/>
                <w:szCs w:val="21"/>
              </w:rPr>
            </w:pPr>
            <w:r w:rsidRPr="00DD6FA2">
              <w:rPr>
                <w:rFonts w:ascii="Times New Roman" w:hAnsi="Times New Roman"/>
                <w:sz w:val="21"/>
                <w:szCs w:val="21"/>
              </w:rPr>
              <w:t>NZ</w:t>
            </w:r>
            <w:r w:rsidR="0029406C">
              <w:rPr>
                <w:rFonts w:ascii="Times New Roman" w:hAnsi="Times New Roman"/>
                <w:sz w:val="21"/>
                <w:szCs w:val="21"/>
              </w:rPr>
              <w:t>D</w:t>
            </w:r>
            <w:r w:rsidRPr="00DD6FA2">
              <w:rPr>
                <w:rFonts w:ascii="Times New Roman" w:hAnsi="Times New Roman"/>
                <w:sz w:val="21"/>
                <w:szCs w:val="21"/>
              </w:rPr>
              <w:t xml:space="preserve"> $475 </w:t>
            </w:r>
          </w:p>
        </w:tc>
        <w:tc>
          <w:tcPr>
            <w:tcW w:w="993" w:type="dxa"/>
            <w:vAlign w:val="center"/>
          </w:tcPr>
          <w:p w:rsidR="00DD6FA2" w:rsidRPr="00DD6FA2" w:rsidRDefault="00DD6FA2" w:rsidP="007741FC">
            <w:pPr>
              <w:spacing w:before="120" w:after="120"/>
              <w:jc w:val="center"/>
              <w:rPr>
                <w:rFonts w:ascii="Times New Roman" w:hAnsi="Times New Roman"/>
                <w:sz w:val="21"/>
                <w:szCs w:val="21"/>
              </w:rPr>
            </w:pPr>
            <w:r w:rsidRPr="00DD6FA2">
              <w:rPr>
                <w:rFonts w:ascii="Times New Roman" w:hAnsi="Times New Roman"/>
                <w:sz w:val="21"/>
                <w:szCs w:val="21"/>
              </w:rPr>
              <w:t>$</w:t>
            </w:r>
            <w:r w:rsidR="007741FC">
              <w:rPr>
                <w:rFonts w:ascii="Times New Roman" w:hAnsi="Times New Roman"/>
                <w:sz w:val="21"/>
                <w:szCs w:val="21"/>
              </w:rPr>
              <w:t>394</w:t>
            </w:r>
          </w:p>
        </w:tc>
        <w:tc>
          <w:tcPr>
            <w:tcW w:w="1842" w:type="dxa"/>
            <w:vAlign w:val="center"/>
          </w:tcPr>
          <w:p w:rsidR="00DD6FA2" w:rsidRPr="00DD6FA2" w:rsidRDefault="00B4210F" w:rsidP="00DD6FA2">
            <w:pPr>
              <w:spacing w:before="120" w:after="120"/>
              <w:jc w:val="center"/>
              <w:rPr>
                <w:rFonts w:ascii="Times New Roman" w:hAnsi="Times New Roman"/>
                <w:sz w:val="21"/>
                <w:szCs w:val="21"/>
              </w:rPr>
            </w:pPr>
            <w:r>
              <w:rPr>
                <w:rFonts w:ascii="Times New Roman" w:hAnsi="Times New Roman"/>
                <w:sz w:val="21"/>
                <w:szCs w:val="21"/>
              </w:rPr>
              <w:t>Government</w:t>
            </w:r>
            <w:r w:rsidRPr="00DD6FA2" w:rsidDel="00B4210F">
              <w:rPr>
                <w:rFonts w:ascii="Times New Roman" w:hAnsi="Times New Roman"/>
                <w:sz w:val="21"/>
                <w:szCs w:val="21"/>
              </w:rPr>
              <w:t xml:space="preserve"> </w:t>
            </w:r>
            <w:r w:rsidR="00DD6FA2" w:rsidRPr="00DD6FA2">
              <w:rPr>
                <w:rFonts w:ascii="Times New Roman" w:hAnsi="Times New Roman"/>
                <w:sz w:val="21"/>
                <w:szCs w:val="21"/>
              </w:rPr>
              <w:t xml:space="preserve"> funded</w:t>
            </w:r>
          </w:p>
        </w:tc>
        <w:tc>
          <w:tcPr>
            <w:tcW w:w="1276" w:type="dxa"/>
            <w:vAlign w:val="center"/>
          </w:tcPr>
          <w:p w:rsidR="00DD6FA2" w:rsidRPr="00DD6FA2" w:rsidRDefault="00B4210F"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4F"/>
            </w:r>
          </w:p>
        </w:tc>
        <w:tc>
          <w:tcPr>
            <w:tcW w:w="1276" w:type="dxa"/>
            <w:vAlign w:val="center"/>
          </w:tcPr>
          <w:p w:rsidR="00DD6FA2" w:rsidRPr="00DD6FA2" w:rsidRDefault="00E20FA9"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7A3261"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4F"/>
            </w:r>
          </w:p>
        </w:tc>
      </w:tr>
      <w:tr w:rsidR="00DD6FA2" w:rsidRPr="00B73CF4" w:rsidTr="00AA6501">
        <w:tc>
          <w:tcPr>
            <w:tcW w:w="1101" w:type="dxa"/>
            <w:shd w:val="clear" w:color="auto" w:fill="DAEEF3" w:themeFill="accent5" w:themeFillTint="33"/>
            <w:vAlign w:val="center"/>
          </w:tcPr>
          <w:p w:rsidR="00DD6FA2" w:rsidRPr="00DD6FA2" w:rsidRDefault="00DD6FA2" w:rsidP="006567D0">
            <w:pPr>
              <w:spacing w:before="120" w:after="120"/>
              <w:rPr>
                <w:rFonts w:ascii="Times New Roman" w:hAnsi="Times New Roman"/>
                <w:sz w:val="21"/>
                <w:szCs w:val="21"/>
              </w:rPr>
            </w:pPr>
            <w:r w:rsidRPr="00DD6FA2">
              <w:rPr>
                <w:rFonts w:ascii="Times New Roman" w:hAnsi="Times New Roman"/>
                <w:sz w:val="21"/>
                <w:szCs w:val="21"/>
              </w:rPr>
              <w:t>Sweden</w:t>
            </w:r>
            <w:r w:rsidR="00C91500">
              <w:rPr>
                <w:rFonts w:ascii="Times New Roman" w:hAnsi="Times New Roman"/>
                <w:sz w:val="21"/>
                <w:szCs w:val="21"/>
              </w:rPr>
              <w:t xml:space="preserve"> </w:t>
            </w:r>
          </w:p>
        </w:tc>
        <w:tc>
          <w:tcPr>
            <w:tcW w:w="1701" w:type="dxa"/>
            <w:vAlign w:val="center"/>
          </w:tcPr>
          <w:p w:rsidR="00DD6FA2" w:rsidRPr="00DD6FA2" w:rsidRDefault="00BD7ACB" w:rsidP="00677559">
            <w:pPr>
              <w:spacing w:before="120" w:after="120"/>
              <w:jc w:val="center"/>
              <w:rPr>
                <w:rFonts w:ascii="Times New Roman" w:hAnsi="Times New Roman"/>
                <w:sz w:val="21"/>
                <w:szCs w:val="21"/>
              </w:rPr>
            </w:pPr>
            <w:r>
              <w:rPr>
                <w:rFonts w:ascii="Andale WT" w:eastAsia="Andale WT" w:hAnsi="Andale WT" w:cs="Andale WT" w:hint="eastAsia"/>
                <w:sz w:val="21"/>
                <w:szCs w:val="21"/>
              </w:rPr>
              <w:t>~</w:t>
            </w:r>
            <w:r w:rsidR="00677559">
              <w:rPr>
                <w:rFonts w:ascii="Times New Roman" w:hAnsi="Times New Roman"/>
                <w:sz w:val="21"/>
                <w:szCs w:val="21"/>
              </w:rPr>
              <w:t>7</w:t>
            </w:r>
            <w:r w:rsidR="002A5CB7">
              <w:rPr>
                <w:rFonts w:ascii="Times New Roman" w:hAnsi="Times New Roman"/>
                <w:sz w:val="21"/>
                <w:szCs w:val="21"/>
              </w:rPr>
              <w:t>7</w:t>
            </w:r>
            <w:r w:rsidR="00677559" w:rsidRPr="00DD6FA2">
              <w:rPr>
                <w:rFonts w:ascii="Times New Roman" w:hAnsi="Times New Roman"/>
                <w:sz w:val="21"/>
                <w:szCs w:val="21"/>
              </w:rPr>
              <w:t xml:space="preserve"> </w:t>
            </w:r>
            <w:r w:rsidR="005423B3">
              <w:rPr>
                <w:rFonts w:ascii="Times New Roman" w:hAnsi="Times New Roman"/>
                <w:sz w:val="21"/>
                <w:szCs w:val="21"/>
              </w:rPr>
              <w:t>weeks</w:t>
            </w:r>
          </w:p>
        </w:tc>
        <w:tc>
          <w:tcPr>
            <w:tcW w:w="1701" w:type="dxa"/>
            <w:vAlign w:val="center"/>
          </w:tcPr>
          <w:p w:rsidR="00DD6FA2" w:rsidRPr="00DD6FA2" w:rsidRDefault="00BD7ACB" w:rsidP="006567D0">
            <w:pPr>
              <w:spacing w:before="120" w:after="120"/>
              <w:jc w:val="center"/>
              <w:rPr>
                <w:rFonts w:ascii="Times New Roman" w:hAnsi="Times New Roman"/>
                <w:sz w:val="21"/>
                <w:szCs w:val="21"/>
              </w:rPr>
            </w:pPr>
            <w:r>
              <w:rPr>
                <w:rFonts w:ascii="Andale WT" w:eastAsia="Andale WT" w:hAnsi="Andale WT" w:cs="Andale WT" w:hint="eastAsia"/>
                <w:sz w:val="21"/>
                <w:szCs w:val="21"/>
              </w:rPr>
              <w:t>~</w:t>
            </w:r>
            <w:r w:rsidR="007741FC">
              <w:rPr>
                <w:rFonts w:ascii="Times New Roman" w:hAnsi="Times New Roman"/>
                <w:sz w:val="21"/>
                <w:szCs w:val="21"/>
              </w:rPr>
              <w:t xml:space="preserve">60 </w:t>
            </w:r>
            <w:r w:rsidR="00AD0909">
              <w:rPr>
                <w:rFonts w:ascii="Times New Roman" w:hAnsi="Times New Roman"/>
                <w:sz w:val="21"/>
                <w:szCs w:val="21"/>
              </w:rPr>
              <w:t>weeks</w:t>
            </w:r>
          </w:p>
        </w:tc>
        <w:tc>
          <w:tcPr>
            <w:tcW w:w="2126" w:type="dxa"/>
            <w:vAlign w:val="center"/>
          </w:tcPr>
          <w:p w:rsidR="00DD6FA2" w:rsidRPr="00DD6FA2" w:rsidRDefault="007A3261" w:rsidP="006567D0">
            <w:pPr>
              <w:spacing w:before="120" w:after="120"/>
              <w:jc w:val="center"/>
              <w:rPr>
                <w:rFonts w:ascii="Times New Roman" w:hAnsi="Times New Roman"/>
                <w:sz w:val="21"/>
                <w:szCs w:val="21"/>
              </w:rPr>
            </w:pPr>
            <w:r>
              <w:rPr>
                <w:rFonts w:ascii="Times New Roman" w:hAnsi="Times New Roman"/>
                <w:sz w:val="21"/>
                <w:szCs w:val="21"/>
              </w:rPr>
              <w:t>80</w:t>
            </w:r>
            <w:r w:rsidR="00DD6FA2">
              <w:rPr>
                <w:rFonts w:ascii="Times New Roman" w:hAnsi="Times New Roman"/>
                <w:sz w:val="21"/>
                <w:szCs w:val="21"/>
              </w:rPr>
              <w:t xml:space="preserve">% </w:t>
            </w:r>
            <w:r w:rsidR="00DD6FA2" w:rsidRPr="00DD6FA2">
              <w:rPr>
                <w:rFonts w:ascii="Times New Roman" w:hAnsi="Times New Roman"/>
                <w:sz w:val="21"/>
                <w:szCs w:val="21"/>
              </w:rPr>
              <w:t xml:space="preserve">of earnings for </w:t>
            </w:r>
            <w:r w:rsidR="007741FC">
              <w:rPr>
                <w:rFonts w:ascii="Times New Roman" w:hAnsi="Times New Roman"/>
                <w:sz w:val="21"/>
                <w:szCs w:val="21"/>
              </w:rPr>
              <w:t xml:space="preserve">47 </w:t>
            </w:r>
            <w:r w:rsidR="0072677A">
              <w:rPr>
                <w:rFonts w:ascii="Times New Roman" w:hAnsi="Times New Roman"/>
                <w:sz w:val="21"/>
                <w:szCs w:val="21"/>
              </w:rPr>
              <w:t>weeks</w:t>
            </w:r>
            <w:r w:rsidR="00DD6FA2">
              <w:rPr>
                <w:rFonts w:ascii="Times New Roman" w:hAnsi="Times New Roman"/>
                <w:sz w:val="21"/>
                <w:szCs w:val="21"/>
              </w:rPr>
              <w:t>; r</w:t>
            </w:r>
            <w:r w:rsidR="00DD6FA2" w:rsidRPr="00DD6FA2">
              <w:rPr>
                <w:rFonts w:ascii="Times New Roman" w:hAnsi="Times New Roman"/>
                <w:sz w:val="21"/>
                <w:szCs w:val="21"/>
              </w:rPr>
              <w:t xml:space="preserve">emaining </w:t>
            </w:r>
            <w:r w:rsidR="007741FC">
              <w:rPr>
                <w:rFonts w:ascii="Times New Roman" w:hAnsi="Times New Roman"/>
                <w:sz w:val="21"/>
                <w:szCs w:val="21"/>
              </w:rPr>
              <w:t xml:space="preserve">13 </w:t>
            </w:r>
            <w:r w:rsidR="0072677A">
              <w:rPr>
                <w:rFonts w:ascii="Times New Roman" w:hAnsi="Times New Roman"/>
                <w:sz w:val="21"/>
                <w:szCs w:val="21"/>
              </w:rPr>
              <w:t>weeks</w:t>
            </w:r>
            <w:r w:rsidR="00DD6FA2" w:rsidRPr="00DD6FA2">
              <w:rPr>
                <w:rFonts w:ascii="Times New Roman" w:hAnsi="Times New Roman"/>
                <w:sz w:val="21"/>
                <w:szCs w:val="21"/>
              </w:rPr>
              <w:t xml:space="preserve"> at </w:t>
            </w:r>
            <w:r w:rsidR="0029406C" w:rsidRPr="00DD6FA2">
              <w:rPr>
                <w:rFonts w:ascii="Times New Roman" w:hAnsi="Times New Roman"/>
                <w:sz w:val="21"/>
                <w:szCs w:val="21"/>
              </w:rPr>
              <w:t>SEK</w:t>
            </w:r>
            <w:r w:rsidR="0029406C">
              <w:rPr>
                <w:rFonts w:ascii="Times New Roman" w:hAnsi="Times New Roman"/>
                <w:sz w:val="21"/>
                <w:szCs w:val="21"/>
              </w:rPr>
              <w:t xml:space="preserve"> kr</w:t>
            </w:r>
            <w:r>
              <w:rPr>
                <w:rFonts w:ascii="Times New Roman" w:hAnsi="Times New Roman"/>
                <w:sz w:val="21"/>
                <w:szCs w:val="21"/>
              </w:rPr>
              <w:t>1260</w:t>
            </w:r>
            <w:r w:rsidR="0029406C" w:rsidRPr="00DD6FA2">
              <w:rPr>
                <w:rFonts w:ascii="Times New Roman" w:hAnsi="Times New Roman"/>
                <w:sz w:val="21"/>
                <w:szCs w:val="21"/>
              </w:rPr>
              <w:t xml:space="preserve"> </w:t>
            </w:r>
            <w:r w:rsidR="00DD6FA2" w:rsidRPr="00DD6FA2">
              <w:rPr>
                <w:rFonts w:ascii="Times New Roman" w:hAnsi="Times New Roman"/>
                <w:sz w:val="21"/>
                <w:szCs w:val="21"/>
              </w:rPr>
              <w:t xml:space="preserve">a </w:t>
            </w:r>
            <w:r w:rsidR="0029406C">
              <w:rPr>
                <w:rFonts w:ascii="Times New Roman" w:hAnsi="Times New Roman"/>
                <w:sz w:val="21"/>
                <w:szCs w:val="21"/>
              </w:rPr>
              <w:t>week</w:t>
            </w:r>
          </w:p>
        </w:tc>
        <w:tc>
          <w:tcPr>
            <w:tcW w:w="1984"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 xml:space="preserve">SEK </w:t>
            </w:r>
            <w:r w:rsidR="0029406C">
              <w:rPr>
                <w:rFonts w:ascii="Times New Roman" w:hAnsi="Times New Roman"/>
                <w:sz w:val="21"/>
                <w:szCs w:val="21"/>
              </w:rPr>
              <w:t>kr</w:t>
            </w:r>
            <w:r w:rsidRPr="00DD6FA2">
              <w:rPr>
                <w:rFonts w:ascii="Times New Roman" w:hAnsi="Times New Roman"/>
                <w:sz w:val="21"/>
                <w:szCs w:val="21"/>
              </w:rPr>
              <w:t xml:space="preserve">6545 </w:t>
            </w:r>
            <w:r w:rsidR="00C91500">
              <w:rPr>
                <w:rFonts w:ascii="Times New Roman" w:hAnsi="Times New Roman"/>
                <w:sz w:val="21"/>
                <w:szCs w:val="21"/>
              </w:rPr>
              <w:t>during</w:t>
            </w:r>
            <w:r w:rsidRPr="00DD6FA2">
              <w:rPr>
                <w:rFonts w:ascii="Times New Roman" w:hAnsi="Times New Roman"/>
                <w:sz w:val="21"/>
                <w:szCs w:val="21"/>
              </w:rPr>
              <w:t xml:space="preserve"> first</w:t>
            </w:r>
            <w:r w:rsidR="006E21A0">
              <w:rPr>
                <w:rFonts w:ascii="Times New Roman" w:hAnsi="Times New Roman"/>
                <w:sz w:val="21"/>
                <w:szCs w:val="21"/>
              </w:rPr>
              <w:t> </w:t>
            </w:r>
            <w:r w:rsidR="007741FC">
              <w:rPr>
                <w:rFonts w:ascii="Times New Roman" w:hAnsi="Times New Roman"/>
                <w:sz w:val="21"/>
                <w:szCs w:val="21"/>
              </w:rPr>
              <w:t xml:space="preserve">47 </w:t>
            </w:r>
            <w:r w:rsidR="0072677A">
              <w:rPr>
                <w:rFonts w:ascii="Times New Roman" w:hAnsi="Times New Roman"/>
                <w:sz w:val="21"/>
                <w:szCs w:val="21"/>
              </w:rPr>
              <w:t>weeks</w:t>
            </w:r>
            <w:r w:rsidRPr="00DD6FA2">
              <w:rPr>
                <w:rFonts w:ascii="Times New Roman" w:hAnsi="Times New Roman"/>
                <w:sz w:val="21"/>
                <w:szCs w:val="21"/>
              </w:rPr>
              <w:t xml:space="preserve"> </w:t>
            </w:r>
          </w:p>
          <w:p w:rsidR="00DD6FA2" w:rsidRPr="00DD6FA2" w:rsidRDefault="00DD6FA2" w:rsidP="00DD6FA2">
            <w:pPr>
              <w:spacing w:before="120" w:after="120"/>
              <w:jc w:val="center"/>
              <w:rPr>
                <w:rFonts w:ascii="Times New Roman" w:hAnsi="Times New Roman"/>
                <w:sz w:val="21"/>
                <w:szCs w:val="21"/>
              </w:rPr>
            </w:pPr>
          </w:p>
        </w:tc>
        <w:tc>
          <w:tcPr>
            <w:tcW w:w="993" w:type="dxa"/>
            <w:vAlign w:val="center"/>
          </w:tcPr>
          <w:p w:rsidR="00DD6FA2" w:rsidRPr="00DD6FA2" w:rsidRDefault="00DD6FA2" w:rsidP="007741FC">
            <w:pPr>
              <w:spacing w:before="120" w:after="120"/>
              <w:jc w:val="center"/>
              <w:rPr>
                <w:rFonts w:ascii="Times New Roman" w:hAnsi="Times New Roman"/>
                <w:sz w:val="21"/>
                <w:szCs w:val="21"/>
              </w:rPr>
            </w:pPr>
            <w:r w:rsidRPr="00DD6FA2">
              <w:rPr>
                <w:rFonts w:ascii="Times New Roman" w:hAnsi="Times New Roman"/>
                <w:sz w:val="21"/>
                <w:szCs w:val="21"/>
              </w:rPr>
              <w:t>$</w:t>
            </w:r>
            <w:r w:rsidR="007741FC">
              <w:rPr>
                <w:rFonts w:ascii="Times New Roman" w:hAnsi="Times New Roman"/>
                <w:sz w:val="21"/>
                <w:szCs w:val="21"/>
              </w:rPr>
              <w:t>991</w:t>
            </w:r>
          </w:p>
        </w:tc>
        <w:tc>
          <w:tcPr>
            <w:tcW w:w="1842"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t>E</w:t>
            </w:r>
            <w:r>
              <w:rPr>
                <w:rFonts w:ascii="Times New Roman" w:hAnsi="Times New Roman"/>
                <w:sz w:val="21"/>
                <w:szCs w:val="21"/>
              </w:rPr>
              <w:t xml:space="preserve">mployer contributions; </w:t>
            </w:r>
            <w:r w:rsidRPr="00DD6FA2">
              <w:rPr>
                <w:rFonts w:ascii="Times New Roman" w:hAnsi="Times New Roman"/>
                <w:sz w:val="21"/>
                <w:szCs w:val="21"/>
              </w:rPr>
              <w:t>shortfall covered by Government</w:t>
            </w:r>
          </w:p>
        </w:tc>
        <w:tc>
          <w:tcPr>
            <w:tcW w:w="1276" w:type="dxa"/>
            <w:vAlign w:val="center"/>
          </w:tcPr>
          <w:p w:rsidR="00DD6FA2" w:rsidRPr="00DD6FA2" w:rsidRDefault="00B4210F"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4F"/>
            </w:r>
          </w:p>
        </w:tc>
        <w:tc>
          <w:tcPr>
            <w:tcW w:w="1276" w:type="dxa"/>
            <w:vAlign w:val="center"/>
          </w:tcPr>
          <w:p w:rsidR="00DD6FA2" w:rsidRPr="00DD6FA2" w:rsidRDefault="00DD6FA2" w:rsidP="00DD6FA2">
            <w:pPr>
              <w:spacing w:before="120" w:after="120"/>
              <w:jc w:val="center"/>
              <w:rPr>
                <w:rFonts w:ascii="Times New Roman" w:hAnsi="Times New Roman"/>
                <w:sz w:val="21"/>
                <w:szCs w:val="21"/>
              </w:rPr>
            </w:pPr>
            <w:r w:rsidRPr="00DD6FA2">
              <w:rPr>
                <w:rFonts w:ascii="Times New Roman" w:hAnsi="Times New Roman"/>
                <w:sz w:val="21"/>
                <w:szCs w:val="21"/>
              </w:rPr>
              <w:sym w:font="Wingdings 2" w:char="F050"/>
            </w:r>
          </w:p>
        </w:tc>
        <w:tc>
          <w:tcPr>
            <w:tcW w:w="1276" w:type="dxa"/>
            <w:vAlign w:val="center"/>
          </w:tcPr>
          <w:p w:rsidR="00DD6FA2" w:rsidRPr="00DD6FA2" w:rsidRDefault="00B567DB" w:rsidP="00DD6FA2">
            <w:pPr>
              <w:spacing w:before="120" w:after="120"/>
              <w:jc w:val="center"/>
              <w:rPr>
                <w:rFonts w:ascii="Times New Roman" w:hAnsi="Times New Roman"/>
                <w:sz w:val="21"/>
                <w:szCs w:val="21"/>
              </w:rPr>
            </w:pPr>
            <w:r>
              <w:rPr>
                <w:rFonts w:ascii="Times New Roman" w:hAnsi="Times New Roman"/>
                <w:sz w:val="21"/>
                <w:szCs w:val="21"/>
              </w:rPr>
              <w:t>1</w:t>
            </w:r>
            <w:r w:rsidRPr="00DD6FA2">
              <w:rPr>
                <w:rFonts w:ascii="Times New Roman" w:hAnsi="Times New Roman"/>
                <w:sz w:val="21"/>
                <w:szCs w:val="21"/>
              </w:rPr>
              <w:t xml:space="preserve">0 </w:t>
            </w:r>
            <w:r w:rsidR="00DD6FA2" w:rsidRPr="00DD6FA2">
              <w:rPr>
                <w:rFonts w:ascii="Times New Roman" w:hAnsi="Times New Roman"/>
                <w:sz w:val="21"/>
                <w:szCs w:val="21"/>
              </w:rPr>
              <w:t>days</w:t>
            </w:r>
          </w:p>
        </w:tc>
      </w:tr>
    </w:tbl>
    <w:p w:rsidR="00AA6501" w:rsidRDefault="00AA6501" w:rsidP="00B73CF4">
      <w:pPr>
        <w:rPr>
          <w:lang w:eastAsia="en-AU"/>
        </w:rPr>
        <w:sectPr w:rsidR="00AA6501" w:rsidSect="009D2518">
          <w:endnotePr>
            <w:numFmt w:val="decimal"/>
          </w:endnotePr>
          <w:pgSz w:w="16839" w:h="11907" w:orient="landscape" w:code="9"/>
          <w:pgMar w:top="720" w:right="720" w:bottom="720" w:left="720" w:header="708" w:footer="708" w:gutter="0"/>
          <w:cols w:space="708"/>
          <w:docGrid w:linePitch="360"/>
        </w:sectPr>
      </w:pPr>
    </w:p>
    <w:p w:rsidR="00B73CF4" w:rsidRPr="00B73CF4" w:rsidRDefault="00B73CF4" w:rsidP="00B73CF4">
      <w:pPr>
        <w:rPr>
          <w:lang w:eastAsia="en-AU"/>
        </w:rPr>
      </w:pPr>
    </w:p>
    <w:sectPr w:rsidR="00B73CF4" w:rsidRPr="00B73CF4" w:rsidSect="00AA650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DE" w:rsidRDefault="00E96BDE" w:rsidP="00E96BDE">
      <w:pPr>
        <w:spacing w:after="0" w:line="240" w:lineRule="auto"/>
      </w:pPr>
      <w:r>
        <w:separator/>
      </w:r>
    </w:p>
  </w:endnote>
  <w:endnote w:type="continuationSeparator" w:id="0">
    <w:p w:rsidR="00E96BDE" w:rsidRDefault="00E96BDE" w:rsidP="00E96BDE">
      <w:pPr>
        <w:spacing w:after="0" w:line="240" w:lineRule="auto"/>
      </w:pPr>
      <w:r>
        <w:continuationSeparator/>
      </w:r>
    </w:p>
  </w:endnote>
  <w:endnote w:id="1">
    <w:p w:rsidR="004A67C9" w:rsidRPr="000D6CB2" w:rsidRDefault="004A67C9" w:rsidP="008B103A">
      <w:pPr>
        <w:pStyle w:val="EndnoteText"/>
        <w:spacing w:before="80" w:after="80"/>
        <w:rPr>
          <w:rFonts w:ascii="Calibri" w:hAnsi="Calibri" w:cs="Times New Roman"/>
        </w:rPr>
      </w:pPr>
      <w:r w:rsidRPr="000D6CB2">
        <w:rPr>
          <w:rStyle w:val="EndnoteReference"/>
          <w:rFonts w:ascii="Calibri" w:hAnsi="Calibri" w:cs="Times New Roman"/>
        </w:rPr>
        <w:endnoteRef/>
      </w:r>
      <w:r w:rsidRPr="000D6CB2">
        <w:rPr>
          <w:rFonts w:ascii="Calibri" w:hAnsi="Calibri" w:cs="Times New Roman"/>
        </w:rPr>
        <w:t xml:space="preserve"> This chart compares maternal employment rates (</w:t>
      </w:r>
      <w:r w:rsidR="00182BE4" w:rsidRPr="000D6CB2">
        <w:rPr>
          <w:rFonts w:ascii="Calibri" w:hAnsi="Calibri" w:cs="Times New Roman"/>
        </w:rPr>
        <w:t xml:space="preserve">mothers with a </w:t>
      </w:r>
      <w:r w:rsidRPr="000D6CB2">
        <w:rPr>
          <w:rFonts w:ascii="Calibri" w:hAnsi="Calibri" w:cs="Times New Roman"/>
        </w:rPr>
        <w:t xml:space="preserve">child under 15) </w:t>
      </w:r>
      <w:r w:rsidR="00182BE4" w:rsidRPr="000D6CB2">
        <w:rPr>
          <w:rFonts w:ascii="Calibri" w:hAnsi="Calibri" w:cs="Times New Roman"/>
        </w:rPr>
        <w:t>with</w:t>
      </w:r>
      <w:r w:rsidRPr="000D6CB2">
        <w:rPr>
          <w:rFonts w:ascii="Calibri" w:hAnsi="Calibri" w:cs="Times New Roman"/>
        </w:rPr>
        <w:t xml:space="preserve"> female employment rates (25-54 </w:t>
      </w:r>
      <w:r w:rsidR="00182BE4" w:rsidRPr="000D6CB2">
        <w:rPr>
          <w:rFonts w:ascii="Calibri" w:hAnsi="Calibri" w:cs="Times New Roman"/>
        </w:rPr>
        <w:t>year old females</w:t>
      </w:r>
      <w:r w:rsidRPr="000D6CB2">
        <w:rPr>
          <w:rFonts w:ascii="Calibri" w:hAnsi="Calibri" w:cs="Times New Roman"/>
        </w:rPr>
        <w:t xml:space="preserve">). Sources: European </w:t>
      </w:r>
      <w:r w:rsidR="00182BE4" w:rsidRPr="000D6CB2">
        <w:rPr>
          <w:rFonts w:ascii="Calibri" w:hAnsi="Calibri" w:cs="Times New Roman"/>
        </w:rPr>
        <w:t xml:space="preserve">countries: European </w:t>
      </w:r>
      <w:r w:rsidRPr="000D6CB2">
        <w:rPr>
          <w:rFonts w:ascii="Calibri" w:hAnsi="Calibri" w:cs="Times New Roman"/>
        </w:rPr>
        <w:t>Union Lab</w:t>
      </w:r>
      <w:r w:rsidR="00182BE4" w:rsidRPr="000D6CB2">
        <w:rPr>
          <w:rFonts w:ascii="Calibri" w:hAnsi="Calibri" w:cs="Times New Roman"/>
        </w:rPr>
        <w:t>our Force Surveys (EULFS) (2009</w:t>
      </w:r>
      <w:r w:rsidR="00182BE4" w:rsidRPr="000D6CB2">
        <w:rPr>
          <w:rFonts w:ascii="Calibri" w:hAnsi="Calibri" w:cs="Times New Roman"/>
        </w:rPr>
        <w:noBreakHyphen/>
      </w:r>
      <w:r w:rsidRPr="000D6CB2">
        <w:rPr>
          <w:rFonts w:ascii="Calibri" w:hAnsi="Calibri" w:cs="Times New Roman"/>
        </w:rPr>
        <w:t xml:space="preserve">10); </w:t>
      </w:r>
      <w:r w:rsidR="00182BE4" w:rsidRPr="000D6CB2">
        <w:rPr>
          <w:rFonts w:ascii="Calibri" w:hAnsi="Calibri" w:cs="Times New Roman"/>
        </w:rPr>
        <w:t xml:space="preserve">Sweden: </w:t>
      </w:r>
      <w:r w:rsidRPr="000D6CB2">
        <w:rPr>
          <w:rFonts w:ascii="Calibri" w:hAnsi="Calibri" w:cs="Times New Roman"/>
        </w:rPr>
        <w:t xml:space="preserve">EULFS-Eurostat </w:t>
      </w:r>
      <w:r w:rsidR="00182BE4" w:rsidRPr="000D6CB2">
        <w:rPr>
          <w:rFonts w:ascii="Calibri" w:hAnsi="Calibri" w:cs="Times New Roman"/>
        </w:rPr>
        <w:t>database</w:t>
      </w:r>
      <w:r w:rsidRPr="000D6CB2">
        <w:rPr>
          <w:rFonts w:ascii="Calibri" w:hAnsi="Calibri" w:cs="Times New Roman"/>
        </w:rPr>
        <w:t>; Australia: A</w:t>
      </w:r>
      <w:r w:rsidR="00182BE4" w:rsidRPr="000D6CB2">
        <w:rPr>
          <w:rFonts w:ascii="Calibri" w:hAnsi="Calibri" w:cs="Times New Roman"/>
        </w:rPr>
        <w:t>ustralian Bureau of Statistics</w:t>
      </w:r>
      <w:r w:rsidRPr="000D6CB2">
        <w:rPr>
          <w:rFonts w:ascii="Calibri" w:hAnsi="Calibri" w:cs="Times New Roman"/>
        </w:rPr>
        <w:t xml:space="preserve"> Labour Force Survey (2009); Canada: Statistics Canada (2001); New Zealand: New Zealand Household </w:t>
      </w:r>
      <w:r w:rsidR="00182BE4" w:rsidRPr="000D6CB2">
        <w:rPr>
          <w:rFonts w:ascii="Calibri" w:hAnsi="Calibri" w:cs="Times New Roman"/>
        </w:rPr>
        <w:t>L</w:t>
      </w:r>
      <w:r w:rsidRPr="000D6CB2">
        <w:rPr>
          <w:rFonts w:ascii="Calibri" w:hAnsi="Calibri" w:cs="Times New Roman"/>
        </w:rPr>
        <w:t xml:space="preserve">abour </w:t>
      </w:r>
      <w:r w:rsidR="00182BE4" w:rsidRPr="000D6CB2">
        <w:rPr>
          <w:rFonts w:ascii="Calibri" w:hAnsi="Calibri" w:cs="Times New Roman"/>
        </w:rPr>
        <w:t>Force S</w:t>
      </w:r>
      <w:r w:rsidRPr="000D6CB2">
        <w:rPr>
          <w:rFonts w:ascii="Calibri" w:hAnsi="Calibri" w:cs="Times New Roman"/>
        </w:rPr>
        <w:t xml:space="preserve">urvey </w:t>
      </w:r>
      <w:r w:rsidR="00182BE4" w:rsidRPr="000D6CB2">
        <w:rPr>
          <w:rFonts w:ascii="Calibri" w:hAnsi="Calibri" w:cs="Times New Roman"/>
        </w:rPr>
        <w:t>–</w:t>
      </w:r>
      <w:r w:rsidRPr="000D6CB2">
        <w:rPr>
          <w:rFonts w:ascii="Calibri" w:hAnsi="Calibri" w:cs="Times New Roman"/>
        </w:rPr>
        <w:t xml:space="preserve"> June quarter (20</w:t>
      </w:r>
      <w:r w:rsidR="00182BE4" w:rsidRPr="000D6CB2">
        <w:rPr>
          <w:rFonts w:ascii="Calibri" w:hAnsi="Calibri" w:cs="Times New Roman"/>
        </w:rPr>
        <w:t>09); United States: US Current Population S</w:t>
      </w:r>
      <w:r w:rsidRPr="000D6CB2">
        <w:rPr>
          <w:rFonts w:ascii="Calibri" w:hAnsi="Calibri" w:cs="Times New Roman"/>
        </w:rPr>
        <w:t>urvey (2005).</w:t>
      </w:r>
    </w:p>
  </w:endnote>
  <w:endnote w:id="2">
    <w:p w:rsidR="00786EA0" w:rsidRPr="000D6CB2" w:rsidRDefault="00786EA0" w:rsidP="008B103A">
      <w:pPr>
        <w:pStyle w:val="EndnoteText"/>
        <w:spacing w:before="80" w:after="80"/>
        <w:rPr>
          <w:rFonts w:ascii="Calibri" w:hAnsi="Calibri" w:cs="Times New Roman"/>
        </w:rPr>
      </w:pPr>
      <w:r w:rsidRPr="000D6CB2">
        <w:rPr>
          <w:rStyle w:val="EndnoteReference"/>
          <w:rFonts w:ascii="Calibri" w:hAnsi="Calibri" w:cs="Times New Roman"/>
        </w:rPr>
        <w:endnoteRef/>
      </w:r>
      <w:r w:rsidR="00182BE4" w:rsidRPr="000D6CB2">
        <w:rPr>
          <w:rFonts w:ascii="Calibri" w:hAnsi="Calibri" w:cs="Times New Roman"/>
        </w:rPr>
        <w:t xml:space="preserve"> Sources: Employment rates: </w:t>
      </w:r>
      <w:r w:rsidRPr="000D6CB2">
        <w:rPr>
          <w:rFonts w:ascii="Calibri" w:hAnsi="Calibri" w:cs="Times New Roman"/>
        </w:rPr>
        <w:t xml:space="preserve">OECD Employment Outlook </w:t>
      </w:r>
      <w:r w:rsidR="00182BE4" w:rsidRPr="000D6CB2">
        <w:rPr>
          <w:rFonts w:ascii="Calibri" w:hAnsi="Calibri" w:cs="Times New Roman"/>
        </w:rPr>
        <w:t>United Nations</w:t>
      </w:r>
      <w:r w:rsidRPr="000D6CB2">
        <w:rPr>
          <w:rFonts w:ascii="Calibri" w:hAnsi="Calibri" w:cs="Times New Roman"/>
        </w:rPr>
        <w:t xml:space="preserve"> World Statistics Po</w:t>
      </w:r>
      <w:r w:rsidR="00182BE4" w:rsidRPr="000D6CB2">
        <w:rPr>
          <w:rFonts w:ascii="Calibri" w:hAnsi="Calibri" w:cs="Times New Roman"/>
        </w:rPr>
        <w:t>cketbook, 2010. Fertility rates:</w:t>
      </w:r>
      <w:r w:rsidRPr="000D6CB2">
        <w:rPr>
          <w:rFonts w:ascii="Calibri" w:hAnsi="Calibri" w:cs="Times New Roman"/>
        </w:rPr>
        <w:t xml:space="preserve"> Nat</w:t>
      </w:r>
      <w:r w:rsidR="00182BE4" w:rsidRPr="000D6CB2">
        <w:rPr>
          <w:rFonts w:ascii="Calibri" w:hAnsi="Calibri" w:cs="Times New Roman"/>
        </w:rPr>
        <w:t>ional Statistical Offices 2010</w:t>
      </w:r>
      <w:r w:rsidRPr="000D6CB2">
        <w:rPr>
          <w:rFonts w:ascii="Calibri" w:hAnsi="Calibri" w:cs="Times New Roman"/>
        </w:rPr>
        <w:t xml:space="preserve"> and Eurostat </w:t>
      </w:r>
      <w:r w:rsidR="00182BE4" w:rsidRPr="000D6CB2">
        <w:rPr>
          <w:rFonts w:ascii="Calibri" w:hAnsi="Calibri" w:cs="Times New Roman"/>
        </w:rPr>
        <w:t>Demographic Statistics, 2010; d</w:t>
      </w:r>
      <w:r w:rsidRPr="000D6CB2">
        <w:rPr>
          <w:rFonts w:ascii="Calibri" w:hAnsi="Calibri" w:cs="Times New Roman"/>
        </w:rPr>
        <w:t xml:space="preserve">ata for Canada </w:t>
      </w:r>
      <w:r w:rsidR="00182BE4" w:rsidRPr="000D6CB2">
        <w:rPr>
          <w:rFonts w:ascii="Calibri" w:hAnsi="Calibri" w:cs="Times New Roman"/>
        </w:rPr>
        <w:t xml:space="preserve">is from </w:t>
      </w:r>
      <w:r w:rsidRPr="000D6CB2">
        <w:rPr>
          <w:rFonts w:ascii="Calibri" w:hAnsi="Calibri" w:cs="Times New Roman"/>
        </w:rPr>
        <w:t>2009.</w:t>
      </w:r>
    </w:p>
  </w:endnote>
  <w:endnote w:id="3">
    <w:p w:rsidR="004A67C9" w:rsidRPr="002F2F3C" w:rsidRDefault="004A67C9" w:rsidP="008B103A">
      <w:pPr>
        <w:pStyle w:val="EndnoteText"/>
        <w:spacing w:before="80" w:after="80"/>
        <w:rPr>
          <w:rFonts w:ascii="Calibri" w:hAnsi="Calibri" w:cs="Times New Roman"/>
        </w:rPr>
      </w:pPr>
      <w:r w:rsidRPr="000D6CB2">
        <w:rPr>
          <w:rStyle w:val="EndnoteReference"/>
          <w:rFonts w:ascii="Calibri" w:hAnsi="Calibri" w:cs="Times New Roman"/>
        </w:rPr>
        <w:endnoteRef/>
      </w:r>
      <w:r w:rsidRPr="000D6CB2">
        <w:rPr>
          <w:rFonts w:ascii="Calibri" w:hAnsi="Calibri" w:cs="Times New Roman"/>
        </w:rPr>
        <w:t xml:space="preserve"> </w:t>
      </w:r>
      <w:r w:rsidR="00182BE4" w:rsidRPr="000D6CB2">
        <w:rPr>
          <w:rFonts w:ascii="Calibri" w:hAnsi="Calibri" w:cs="Times New Roman"/>
        </w:rPr>
        <w:t>Sources: European countries: European Union Labour Force Surveys (EULFS) (1999</w:t>
      </w:r>
      <w:r w:rsidR="00182BE4" w:rsidRPr="000D6CB2">
        <w:rPr>
          <w:rFonts w:ascii="Calibri" w:hAnsi="Calibri" w:cs="Times New Roman"/>
        </w:rPr>
        <w:noBreakHyphen/>
        <w:t xml:space="preserve">2010); </w:t>
      </w:r>
      <w:r w:rsidRPr="000D6CB2">
        <w:rPr>
          <w:rFonts w:ascii="Calibri" w:hAnsi="Calibri" w:cs="Times New Roman"/>
        </w:rPr>
        <w:t xml:space="preserve">data for Sweden </w:t>
      </w:r>
      <w:r w:rsidR="00182BE4" w:rsidRPr="000D6CB2">
        <w:rPr>
          <w:rFonts w:ascii="Calibri" w:hAnsi="Calibri" w:cs="Times New Roman"/>
        </w:rPr>
        <w:t xml:space="preserve">is from </w:t>
      </w:r>
      <w:r w:rsidRPr="000D6CB2">
        <w:rPr>
          <w:rFonts w:ascii="Calibri" w:hAnsi="Calibri" w:cs="Times New Roman"/>
        </w:rPr>
        <w:t>2007; Australia: Au</w:t>
      </w:r>
      <w:r w:rsidR="00182BE4" w:rsidRPr="000D6CB2">
        <w:rPr>
          <w:rFonts w:ascii="Calibri" w:hAnsi="Calibri" w:cs="Times New Roman"/>
        </w:rPr>
        <w:t xml:space="preserve">stralian Bureau of Statistics </w:t>
      </w:r>
      <w:r w:rsidRPr="000D6CB2">
        <w:rPr>
          <w:rFonts w:ascii="Calibri" w:hAnsi="Calibri" w:cs="Times New Roman"/>
        </w:rPr>
        <w:t xml:space="preserve">Labour Force Survey (2009); Canada: Statistics Canada (2001); New </w:t>
      </w:r>
      <w:r w:rsidR="00182BE4" w:rsidRPr="000D6CB2">
        <w:rPr>
          <w:rFonts w:ascii="Calibri" w:hAnsi="Calibri" w:cs="Times New Roman"/>
        </w:rPr>
        <w:t>Zealand: New Zealand Household Labour Fo</w:t>
      </w:r>
      <w:r w:rsidRPr="000D6CB2">
        <w:rPr>
          <w:rFonts w:ascii="Calibri" w:hAnsi="Calibri" w:cs="Times New Roman"/>
        </w:rPr>
        <w:t xml:space="preserve">rce </w:t>
      </w:r>
      <w:r w:rsidR="00182BE4" w:rsidRPr="000D6CB2">
        <w:rPr>
          <w:rFonts w:ascii="Calibri" w:hAnsi="Calibri" w:cs="Times New Roman"/>
        </w:rPr>
        <w:t>S</w:t>
      </w:r>
      <w:r w:rsidRPr="000D6CB2">
        <w:rPr>
          <w:rFonts w:ascii="Calibri" w:hAnsi="Calibri" w:cs="Times New Roman"/>
        </w:rPr>
        <w:t>urvey - June quarter (2009); United State</w:t>
      </w:r>
      <w:r w:rsidR="00182BE4" w:rsidRPr="000D6CB2">
        <w:rPr>
          <w:rFonts w:ascii="Calibri" w:hAnsi="Calibri" w:cs="Times New Roman"/>
        </w:rPr>
        <w:t>s: US Current Population S</w:t>
      </w:r>
      <w:r w:rsidRPr="000D6CB2">
        <w:rPr>
          <w:rFonts w:ascii="Calibri" w:hAnsi="Calibri" w:cs="Times New Roman"/>
        </w:rPr>
        <w:t xml:space="preserve">urvey (2005). </w:t>
      </w:r>
      <w:r w:rsidR="00BB1764" w:rsidRPr="000D6CB2">
        <w:rPr>
          <w:rFonts w:ascii="Calibri" w:hAnsi="Calibri" w:cs="Times New Roman"/>
        </w:rPr>
        <w:t>D</w:t>
      </w:r>
      <w:r w:rsidR="00182BE4" w:rsidRPr="000D6CB2">
        <w:rPr>
          <w:rFonts w:ascii="Calibri" w:hAnsi="Calibri" w:cs="Times New Roman"/>
        </w:rPr>
        <w:t xml:space="preserve">ata for </w:t>
      </w:r>
      <w:r w:rsidR="00182BE4" w:rsidRPr="002F2F3C">
        <w:rPr>
          <w:rFonts w:ascii="Calibri" w:hAnsi="Calibri" w:cs="Times New Roman"/>
        </w:rPr>
        <w:t>‘6</w:t>
      </w:r>
      <w:r w:rsidR="00182BE4" w:rsidRPr="002F2F3C">
        <w:rPr>
          <w:rFonts w:ascii="Calibri" w:hAnsi="Calibri" w:cs="Times New Roman"/>
        </w:rPr>
        <w:noBreakHyphen/>
      </w:r>
      <w:r w:rsidRPr="002F2F3C">
        <w:rPr>
          <w:rFonts w:ascii="Calibri" w:hAnsi="Calibri" w:cs="Times New Roman"/>
        </w:rPr>
        <w:t>14 years</w:t>
      </w:r>
      <w:r w:rsidR="00182BE4" w:rsidRPr="002F2F3C">
        <w:rPr>
          <w:rFonts w:ascii="Calibri" w:hAnsi="Calibri" w:cs="Times New Roman"/>
        </w:rPr>
        <w:t>’</w:t>
      </w:r>
      <w:r w:rsidRPr="002F2F3C">
        <w:rPr>
          <w:rFonts w:ascii="Calibri" w:hAnsi="Calibri" w:cs="Times New Roman"/>
        </w:rPr>
        <w:t xml:space="preserve"> group for Canada, Sweden and the United States refer to mothers with a youngest child aged between 6 and 16.</w:t>
      </w:r>
    </w:p>
  </w:endnote>
  <w:endnote w:id="4">
    <w:p w:rsidR="006567D0" w:rsidRDefault="006567D0">
      <w:pPr>
        <w:pStyle w:val="EndnoteText"/>
      </w:pPr>
      <w:r>
        <w:rPr>
          <w:rStyle w:val="EndnoteReference"/>
        </w:rPr>
        <w:endnoteRef/>
      </w:r>
      <w:r>
        <w:t xml:space="preserve"> </w:t>
      </w:r>
      <w:r w:rsidRPr="006567D0">
        <w:rPr>
          <w:rFonts w:ascii="Calibri" w:hAnsi="Calibri" w:cs="Times New Roman"/>
        </w:rPr>
        <w:t xml:space="preserve">Sources: GOV.UK (www.gov.uk); Service Canada, (www.servicecanada.gc.ca); New Zealand Ministry of Business, Innovation and Employment (www.dol.govt.nz) and </w:t>
      </w:r>
      <w:proofErr w:type="spellStart"/>
      <w:r w:rsidRPr="006567D0">
        <w:rPr>
          <w:rFonts w:ascii="Calibri" w:hAnsi="Calibri" w:cs="Times New Roman"/>
        </w:rPr>
        <w:t>Försäkringskassan</w:t>
      </w:r>
      <w:proofErr w:type="spellEnd"/>
      <w:r w:rsidRPr="006567D0">
        <w:rPr>
          <w:rFonts w:ascii="Calibri" w:hAnsi="Calibri" w:cs="Times New Roman"/>
        </w:rPr>
        <w:t xml:space="preserve"> (Swedish Social Insurance Agency) (</w:t>
      </w:r>
      <w:hyperlink r:id="rId1" w:history="1">
        <w:r w:rsidRPr="006567D0">
          <w:rPr>
            <w:rFonts w:ascii="Calibri" w:hAnsi="Calibri" w:cs="Times New Roman"/>
          </w:rPr>
          <w:t>www.försäkringskassan.se</w:t>
        </w:r>
      </w:hyperlink>
      <w:r w:rsidRPr="006567D0">
        <w:rPr>
          <w:rFonts w:ascii="Calibri" w:hAnsi="Calibri" w:cs="Times New Roman"/>
        </w:rPr>
        <w:t>). Reserve Bank of Australia exchange rates (15 May 2013).</w:t>
      </w:r>
    </w:p>
  </w:endnote>
  <w:endnote w:id="5">
    <w:p w:rsidR="00DD6FA2" w:rsidRPr="002F2F3C" w:rsidRDefault="00DD6FA2" w:rsidP="008B103A">
      <w:pPr>
        <w:pStyle w:val="EndnoteText"/>
        <w:spacing w:before="80" w:after="80"/>
        <w:rPr>
          <w:rFonts w:ascii="Calibri" w:hAnsi="Calibri" w:cs="Times New Roman"/>
        </w:rPr>
      </w:pPr>
      <w:r w:rsidRPr="002F2F3C">
        <w:rPr>
          <w:rStyle w:val="EndnoteReference"/>
          <w:rFonts w:ascii="Calibri" w:hAnsi="Calibri" w:cs="Times New Roman"/>
        </w:rPr>
        <w:endnoteRef/>
      </w:r>
      <w:r w:rsidRPr="002F2F3C">
        <w:rPr>
          <w:rFonts w:ascii="Calibri" w:hAnsi="Calibri" w:cs="Times New Roman"/>
        </w:rPr>
        <w:t xml:space="preserve"> This include</w:t>
      </w:r>
      <w:r w:rsidR="00DA2485" w:rsidRPr="002F2F3C">
        <w:rPr>
          <w:rFonts w:ascii="Calibri" w:hAnsi="Calibri" w:cs="Times New Roman"/>
        </w:rPr>
        <w:t>s</w:t>
      </w:r>
      <w:r w:rsidRPr="002F2F3C">
        <w:rPr>
          <w:rFonts w:ascii="Calibri" w:hAnsi="Calibri" w:cs="Times New Roman"/>
        </w:rPr>
        <w:t xml:space="preserve"> paid leave period.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WT">
    <w:panose1 w:val="020B0502000000000004"/>
    <w:charset w:val="80"/>
    <w:family w:val="swiss"/>
    <w:pitch w:val="variable"/>
    <w:sig w:usb0="8300AAEF"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DE" w:rsidRDefault="00E9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DE" w:rsidRDefault="00E96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DE" w:rsidRDefault="00E9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DE" w:rsidRDefault="00E96BDE" w:rsidP="00E96BDE">
      <w:pPr>
        <w:spacing w:after="0" w:line="240" w:lineRule="auto"/>
      </w:pPr>
      <w:r>
        <w:separator/>
      </w:r>
    </w:p>
  </w:footnote>
  <w:footnote w:type="continuationSeparator" w:id="0">
    <w:p w:rsidR="00E96BDE" w:rsidRDefault="00E96BDE" w:rsidP="00E96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DE" w:rsidRDefault="00E9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DE" w:rsidRDefault="00E96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DE" w:rsidRDefault="00E96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575"/>
    <w:multiLevelType w:val="hybridMultilevel"/>
    <w:tmpl w:val="770C7D44"/>
    <w:lvl w:ilvl="0" w:tplc="3842C358">
      <w:start w:val="1"/>
      <w:numFmt w:val="decimal"/>
      <w:lvlText w:val="%1."/>
      <w:lvlJc w:val="left"/>
      <w:pPr>
        <w:ind w:left="720" w:hanging="360"/>
      </w:pPr>
      <w:rPr>
        <w:rFonts w:ascii="Verdana" w:eastAsia="Times New Roman" w:hAnsi="Verdana"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DE"/>
    <w:rsid w:val="0000171E"/>
    <w:rsid w:val="00011798"/>
    <w:rsid w:val="000152A6"/>
    <w:rsid w:val="000479A0"/>
    <w:rsid w:val="00064C2C"/>
    <w:rsid w:val="00065B6B"/>
    <w:rsid w:val="00074D23"/>
    <w:rsid w:val="00087FA2"/>
    <w:rsid w:val="000B71E6"/>
    <w:rsid w:val="000D0B9E"/>
    <w:rsid w:val="000D4960"/>
    <w:rsid w:val="000D6CB2"/>
    <w:rsid w:val="000E527E"/>
    <w:rsid w:val="00100DD7"/>
    <w:rsid w:val="001015A8"/>
    <w:rsid w:val="00166AED"/>
    <w:rsid w:val="00182BE4"/>
    <w:rsid w:val="00185CEF"/>
    <w:rsid w:val="00193452"/>
    <w:rsid w:val="0019572F"/>
    <w:rsid w:val="001A1B53"/>
    <w:rsid w:val="001E630D"/>
    <w:rsid w:val="00212B3C"/>
    <w:rsid w:val="00215094"/>
    <w:rsid w:val="002436DD"/>
    <w:rsid w:val="00255C64"/>
    <w:rsid w:val="002634DD"/>
    <w:rsid w:val="0029406C"/>
    <w:rsid w:val="002A3E8A"/>
    <w:rsid w:val="002A5CB7"/>
    <w:rsid w:val="002A67DE"/>
    <w:rsid w:val="002A6DBA"/>
    <w:rsid w:val="002D7EC8"/>
    <w:rsid w:val="002E09C1"/>
    <w:rsid w:val="002F2F3C"/>
    <w:rsid w:val="00315E8B"/>
    <w:rsid w:val="0035322B"/>
    <w:rsid w:val="00367F8E"/>
    <w:rsid w:val="00370754"/>
    <w:rsid w:val="003A10BB"/>
    <w:rsid w:val="003A1F77"/>
    <w:rsid w:val="003B1590"/>
    <w:rsid w:val="003B2BB8"/>
    <w:rsid w:val="003B6BE7"/>
    <w:rsid w:val="003D34FF"/>
    <w:rsid w:val="003D4AF4"/>
    <w:rsid w:val="003D6127"/>
    <w:rsid w:val="003E63DB"/>
    <w:rsid w:val="003F23E7"/>
    <w:rsid w:val="003F28D6"/>
    <w:rsid w:val="003F41F5"/>
    <w:rsid w:val="004A571F"/>
    <w:rsid w:val="004A67C9"/>
    <w:rsid w:val="004B54CA"/>
    <w:rsid w:val="004E5CBF"/>
    <w:rsid w:val="004E7BD6"/>
    <w:rsid w:val="004F1B57"/>
    <w:rsid w:val="00500A3B"/>
    <w:rsid w:val="0051157D"/>
    <w:rsid w:val="005211FC"/>
    <w:rsid w:val="005423B3"/>
    <w:rsid w:val="00552A19"/>
    <w:rsid w:val="0055605E"/>
    <w:rsid w:val="00556808"/>
    <w:rsid w:val="00585933"/>
    <w:rsid w:val="0058766C"/>
    <w:rsid w:val="00590B08"/>
    <w:rsid w:val="00592B6A"/>
    <w:rsid w:val="005A26C1"/>
    <w:rsid w:val="005A5611"/>
    <w:rsid w:val="005B1ABF"/>
    <w:rsid w:val="005C2F5A"/>
    <w:rsid w:val="005C3AA9"/>
    <w:rsid w:val="0061054D"/>
    <w:rsid w:val="00613BB0"/>
    <w:rsid w:val="006173E9"/>
    <w:rsid w:val="00624B7B"/>
    <w:rsid w:val="00640FDE"/>
    <w:rsid w:val="00647A19"/>
    <w:rsid w:val="006567D0"/>
    <w:rsid w:val="00677559"/>
    <w:rsid w:val="00695DD4"/>
    <w:rsid w:val="006A4CE7"/>
    <w:rsid w:val="006A7254"/>
    <w:rsid w:val="006C2EDB"/>
    <w:rsid w:val="006E21A0"/>
    <w:rsid w:val="0070567C"/>
    <w:rsid w:val="00705BFD"/>
    <w:rsid w:val="00711D21"/>
    <w:rsid w:val="00714988"/>
    <w:rsid w:val="0072677A"/>
    <w:rsid w:val="00726C36"/>
    <w:rsid w:val="00727ED5"/>
    <w:rsid w:val="007345A0"/>
    <w:rsid w:val="00737403"/>
    <w:rsid w:val="0074608C"/>
    <w:rsid w:val="007576FA"/>
    <w:rsid w:val="00761989"/>
    <w:rsid w:val="00774072"/>
    <w:rsid w:val="007741FC"/>
    <w:rsid w:val="00785261"/>
    <w:rsid w:val="00786EA0"/>
    <w:rsid w:val="007A3261"/>
    <w:rsid w:val="007B0256"/>
    <w:rsid w:val="007B79C8"/>
    <w:rsid w:val="007F4B6C"/>
    <w:rsid w:val="00845C30"/>
    <w:rsid w:val="0087603D"/>
    <w:rsid w:val="00884376"/>
    <w:rsid w:val="008B103A"/>
    <w:rsid w:val="008C7404"/>
    <w:rsid w:val="008C798B"/>
    <w:rsid w:val="008D1CFA"/>
    <w:rsid w:val="008D55EE"/>
    <w:rsid w:val="008F1A74"/>
    <w:rsid w:val="008F2DB7"/>
    <w:rsid w:val="008F66FB"/>
    <w:rsid w:val="00912885"/>
    <w:rsid w:val="0091330C"/>
    <w:rsid w:val="009225F0"/>
    <w:rsid w:val="00947B8E"/>
    <w:rsid w:val="00956D8E"/>
    <w:rsid w:val="00957880"/>
    <w:rsid w:val="009609EB"/>
    <w:rsid w:val="00961442"/>
    <w:rsid w:val="0097291B"/>
    <w:rsid w:val="0098747C"/>
    <w:rsid w:val="009D244D"/>
    <w:rsid w:val="009D2518"/>
    <w:rsid w:val="009F0CA3"/>
    <w:rsid w:val="00A239CB"/>
    <w:rsid w:val="00A25686"/>
    <w:rsid w:val="00A57F5F"/>
    <w:rsid w:val="00A76426"/>
    <w:rsid w:val="00A824A1"/>
    <w:rsid w:val="00AA329F"/>
    <w:rsid w:val="00AA6031"/>
    <w:rsid w:val="00AA6501"/>
    <w:rsid w:val="00AD0909"/>
    <w:rsid w:val="00AF68C9"/>
    <w:rsid w:val="00B00D58"/>
    <w:rsid w:val="00B105F5"/>
    <w:rsid w:val="00B150AD"/>
    <w:rsid w:val="00B254B5"/>
    <w:rsid w:val="00B35F44"/>
    <w:rsid w:val="00B4210F"/>
    <w:rsid w:val="00B567DB"/>
    <w:rsid w:val="00B6541B"/>
    <w:rsid w:val="00B67727"/>
    <w:rsid w:val="00B73CF4"/>
    <w:rsid w:val="00B76694"/>
    <w:rsid w:val="00BA2DB9"/>
    <w:rsid w:val="00BB1764"/>
    <w:rsid w:val="00BB6E38"/>
    <w:rsid w:val="00BD7ACB"/>
    <w:rsid w:val="00BE7148"/>
    <w:rsid w:val="00C32E90"/>
    <w:rsid w:val="00C70245"/>
    <w:rsid w:val="00C91500"/>
    <w:rsid w:val="00CC084C"/>
    <w:rsid w:val="00CF2997"/>
    <w:rsid w:val="00CF3909"/>
    <w:rsid w:val="00D00016"/>
    <w:rsid w:val="00D26BFA"/>
    <w:rsid w:val="00D46550"/>
    <w:rsid w:val="00D51D72"/>
    <w:rsid w:val="00D632FE"/>
    <w:rsid w:val="00D700CF"/>
    <w:rsid w:val="00D80C5F"/>
    <w:rsid w:val="00D81FE6"/>
    <w:rsid w:val="00DA0811"/>
    <w:rsid w:val="00DA2485"/>
    <w:rsid w:val="00DC250F"/>
    <w:rsid w:val="00DC7F19"/>
    <w:rsid w:val="00DD6FA2"/>
    <w:rsid w:val="00DF7D8C"/>
    <w:rsid w:val="00E209B7"/>
    <w:rsid w:val="00E20FA9"/>
    <w:rsid w:val="00E50003"/>
    <w:rsid w:val="00E5527E"/>
    <w:rsid w:val="00E62309"/>
    <w:rsid w:val="00E90A83"/>
    <w:rsid w:val="00E96BDE"/>
    <w:rsid w:val="00EA4EB5"/>
    <w:rsid w:val="00ED2388"/>
    <w:rsid w:val="00EF7612"/>
    <w:rsid w:val="00F114E6"/>
    <w:rsid w:val="00F15E3E"/>
    <w:rsid w:val="00F21D8C"/>
    <w:rsid w:val="00F448DB"/>
    <w:rsid w:val="00F4653D"/>
    <w:rsid w:val="00FA0410"/>
    <w:rsid w:val="00FB2E20"/>
    <w:rsid w:val="00FC2D80"/>
    <w:rsid w:val="00FC5AFC"/>
    <w:rsid w:val="00FD41A9"/>
    <w:rsid w:val="00FD6C25"/>
    <w:rsid w:val="00FE4B10"/>
    <w:rsid w:val="00FF5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9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DE"/>
    <w:rPr>
      <w:rFonts w:ascii="Arial" w:hAnsi="Arial"/>
    </w:rPr>
  </w:style>
  <w:style w:type="paragraph" w:styleId="Footer">
    <w:name w:val="footer"/>
    <w:basedOn w:val="Normal"/>
    <w:link w:val="FooterChar"/>
    <w:uiPriority w:val="99"/>
    <w:unhideWhenUsed/>
    <w:rsid w:val="00E9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DE"/>
    <w:rPr>
      <w:rFonts w:ascii="Arial" w:hAnsi="Arial"/>
    </w:rPr>
  </w:style>
  <w:style w:type="paragraph" w:styleId="BalloonText">
    <w:name w:val="Balloon Text"/>
    <w:basedOn w:val="Normal"/>
    <w:link w:val="BalloonTextChar"/>
    <w:uiPriority w:val="99"/>
    <w:semiHidden/>
    <w:unhideWhenUsed/>
    <w:rsid w:val="00D8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E6"/>
    <w:rPr>
      <w:rFonts w:ascii="Tahoma" w:hAnsi="Tahoma" w:cs="Tahoma"/>
      <w:sz w:val="16"/>
      <w:szCs w:val="16"/>
    </w:rPr>
  </w:style>
  <w:style w:type="paragraph" w:styleId="FootnoteText">
    <w:name w:val="footnote text"/>
    <w:basedOn w:val="Normal"/>
    <w:link w:val="FootnoteTextChar"/>
    <w:uiPriority w:val="99"/>
    <w:semiHidden/>
    <w:unhideWhenUsed/>
    <w:rsid w:val="00705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67C"/>
    <w:rPr>
      <w:rFonts w:ascii="Arial" w:hAnsi="Arial"/>
      <w:sz w:val="20"/>
      <w:szCs w:val="20"/>
    </w:rPr>
  </w:style>
  <w:style w:type="character" w:styleId="FootnoteReference">
    <w:name w:val="footnote reference"/>
    <w:basedOn w:val="DefaultParagraphFont"/>
    <w:uiPriority w:val="99"/>
    <w:semiHidden/>
    <w:unhideWhenUsed/>
    <w:rsid w:val="0070567C"/>
    <w:rPr>
      <w:vertAlign w:val="superscript"/>
    </w:rPr>
  </w:style>
  <w:style w:type="character" w:styleId="Hyperlink">
    <w:name w:val="Hyperlink"/>
    <w:basedOn w:val="DefaultParagraphFont"/>
    <w:uiPriority w:val="99"/>
    <w:unhideWhenUsed/>
    <w:rsid w:val="008C798B"/>
    <w:rPr>
      <w:color w:val="0000FF" w:themeColor="hyperlink"/>
      <w:u w:val="single"/>
    </w:rPr>
  </w:style>
  <w:style w:type="table" w:styleId="TableGrid">
    <w:name w:val="Table Grid"/>
    <w:basedOn w:val="TableNormal"/>
    <w:uiPriority w:val="59"/>
    <w:rsid w:val="009729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291B"/>
    <w:rPr>
      <w:sz w:val="16"/>
      <w:szCs w:val="16"/>
    </w:rPr>
  </w:style>
  <w:style w:type="paragraph" w:styleId="CommentText">
    <w:name w:val="annotation text"/>
    <w:basedOn w:val="Normal"/>
    <w:link w:val="CommentTextChar"/>
    <w:uiPriority w:val="99"/>
    <w:semiHidden/>
    <w:unhideWhenUsed/>
    <w:rsid w:val="0097291B"/>
    <w:pPr>
      <w:spacing w:before="240"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7291B"/>
    <w:rPr>
      <w:rFonts w:ascii="Verdana" w:eastAsia="Times New Roman" w:hAnsi="Verdana" w:cs="Times New Roman"/>
      <w:sz w:val="20"/>
      <w:szCs w:val="20"/>
    </w:rPr>
  </w:style>
  <w:style w:type="table" w:customStyle="1" w:styleId="TableGrid1">
    <w:name w:val="Table Grid1"/>
    <w:basedOn w:val="TableNormal"/>
    <w:next w:val="TableGrid"/>
    <w:uiPriority w:val="59"/>
    <w:rsid w:val="00705B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A3E8A"/>
    <w:pPr>
      <w:spacing w:before="0"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2A3E8A"/>
    <w:rPr>
      <w:rFonts w:ascii="Arial" w:eastAsia="Times New Roman" w:hAnsi="Arial" w:cs="Times New Roman"/>
      <w:b/>
      <w:bCs/>
      <w:sz w:val="20"/>
      <w:szCs w:val="20"/>
    </w:rPr>
  </w:style>
  <w:style w:type="paragraph" w:styleId="Revision">
    <w:name w:val="Revision"/>
    <w:hidden/>
    <w:uiPriority w:val="99"/>
    <w:semiHidden/>
    <w:rsid w:val="00D46550"/>
    <w:pPr>
      <w:spacing w:after="0" w:line="240" w:lineRule="auto"/>
    </w:pPr>
    <w:rPr>
      <w:rFonts w:ascii="Arial" w:hAnsi="Arial"/>
    </w:rPr>
  </w:style>
  <w:style w:type="paragraph" w:styleId="EndnoteText">
    <w:name w:val="endnote text"/>
    <w:basedOn w:val="Normal"/>
    <w:link w:val="EndnoteTextChar"/>
    <w:uiPriority w:val="99"/>
    <w:semiHidden/>
    <w:unhideWhenUsed/>
    <w:rsid w:val="004A67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7C9"/>
    <w:rPr>
      <w:rFonts w:ascii="Arial" w:hAnsi="Arial"/>
      <w:sz w:val="20"/>
      <w:szCs w:val="20"/>
    </w:rPr>
  </w:style>
  <w:style w:type="character" w:styleId="EndnoteReference">
    <w:name w:val="endnote reference"/>
    <w:basedOn w:val="DefaultParagraphFont"/>
    <w:uiPriority w:val="99"/>
    <w:semiHidden/>
    <w:unhideWhenUsed/>
    <w:rsid w:val="004A67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96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DE"/>
    <w:rPr>
      <w:rFonts w:ascii="Arial" w:hAnsi="Arial"/>
    </w:rPr>
  </w:style>
  <w:style w:type="paragraph" w:styleId="Footer">
    <w:name w:val="footer"/>
    <w:basedOn w:val="Normal"/>
    <w:link w:val="FooterChar"/>
    <w:uiPriority w:val="99"/>
    <w:unhideWhenUsed/>
    <w:rsid w:val="00E96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DE"/>
    <w:rPr>
      <w:rFonts w:ascii="Arial" w:hAnsi="Arial"/>
    </w:rPr>
  </w:style>
  <w:style w:type="paragraph" w:styleId="BalloonText">
    <w:name w:val="Balloon Text"/>
    <w:basedOn w:val="Normal"/>
    <w:link w:val="BalloonTextChar"/>
    <w:uiPriority w:val="99"/>
    <w:semiHidden/>
    <w:unhideWhenUsed/>
    <w:rsid w:val="00D8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E6"/>
    <w:rPr>
      <w:rFonts w:ascii="Tahoma" w:hAnsi="Tahoma" w:cs="Tahoma"/>
      <w:sz w:val="16"/>
      <w:szCs w:val="16"/>
    </w:rPr>
  </w:style>
  <w:style w:type="paragraph" w:styleId="FootnoteText">
    <w:name w:val="footnote text"/>
    <w:basedOn w:val="Normal"/>
    <w:link w:val="FootnoteTextChar"/>
    <w:uiPriority w:val="99"/>
    <w:semiHidden/>
    <w:unhideWhenUsed/>
    <w:rsid w:val="00705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67C"/>
    <w:rPr>
      <w:rFonts w:ascii="Arial" w:hAnsi="Arial"/>
      <w:sz w:val="20"/>
      <w:szCs w:val="20"/>
    </w:rPr>
  </w:style>
  <w:style w:type="character" w:styleId="FootnoteReference">
    <w:name w:val="footnote reference"/>
    <w:basedOn w:val="DefaultParagraphFont"/>
    <w:uiPriority w:val="99"/>
    <w:semiHidden/>
    <w:unhideWhenUsed/>
    <w:rsid w:val="0070567C"/>
    <w:rPr>
      <w:vertAlign w:val="superscript"/>
    </w:rPr>
  </w:style>
  <w:style w:type="character" w:styleId="Hyperlink">
    <w:name w:val="Hyperlink"/>
    <w:basedOn w:val="DefaultParagraphFont"/>
    <w:uiPriority w:val="99"/>
    <w:unhideWhenUsed/>
    <w:rsid w:val="008C798B"/>
    <w:rPr>
      <w:color w:val="0000FF" w:themeColor="hyperlink"/>
      <w:u w:val="single"/>
    </w:rPr>
  </w:style>
  <w:style w:type="table" w:styleId="TableGrid">
    <w:name w:val="Table Grid"/>
    <w:basedOn w:val="TableNormal"/>
    <w:uiPriority w:val="59"/>
    <w:rsid w:val="009729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291B"/>
    <w:rPr>
      <w:sz w:val="16"/>
      <w:szCs w:val="16"/>
    </w:rPr>
  </w:style>
  <w:style w:type="paragraph" w:styleId="CommentText">
    <w:name w:val="annotation text"/>
    <w:basedOn w:val="Normal"/>
    <w:link w:val="CommentTextChar"/>
    <w:uiPriority w:val="99"/>
    <w:semiHidden/>
    <w:unhideWhenUsed/>
    <w:rsid w:val="0097291B"/>
    <w:pPr>
      <w:spacing w:before="240"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7291B"/>
    <w:rPr>
      <w:rFonts w:ascii="Verdana" w:eastAsia="Times New Roman" w:hAnsi="Verdana" w:cs="Times New Roman"/>
      <w:sz w:val="20"/>
      <w:szCs w:val="20"/>
    </w:rPr>
  </w:style>
  <w:style w:type="table" w:customStyle="1" w:styleId="TableGrid1">
    <w:name w:val="Table Grid1"/>
    <w:basedOn w:val="TableNormal"/>
    <w:next w:val="TableGrid"/>
    <w:uiPriority w:val="59"/>
    <w:rsid w:val="00705B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73C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A3E8A"/>
    <w:pPr>
      <w:spacing w:before="0"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2A3E8A"/>
    <w:rPr>
      <w:rFonts w:ascii="Arial" w:eastAsia="Times New Roman" w:hAnsi="Arial" w:cs="Times New Roman"/>
      <w:b/>
      <w:bCs/>
      <w:sz w:val="20"/>
      <w:szCs w:val="20"/>
    </w:rPr>
  </w:style>
  <w:style w:type="paragraph" w:styleId="Revision">
    <w:name w:val="Revision"/>
    <w:hidden/>
    <w:uiPriority w:val="99"/>
    <w:semiHidden/>
    <w:rsid w:val="00D46550"/>
    <w:pPr>
      <w:spacing w:after="0" w:line="240" w:lineRule="auto"/>
    </w:pPr>
    <w:rPr>
      <w:rFonts w:ascii="Arial" w:hAnsi="Arial"/>
    </w:rPr>
  </w:style>
  <w:style w:type="paragraph" w:styleId="EndnoteText">
    <w:name w:val="endnote text"/>
    <w:basedOn w:val="Normal"/>
    <w:link w:val="EndnoteTextChar"/>
    <w:uiPriority w:val="99"/>
    <w:semiHidden/>
    <w:unhideWhenUsed/>
    <w:rsid w:val="004A67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7C9"/>
    <w:rPr>
      <w:rFonts w:ascii="Arial" w:hAnsi="Arial"/>
      <w:sz w:val="20"/>
      <w:szCs w:val="20"/>
    </w:rPr>
  </w:style>
  <w:style w:type="character" w:styleId="EndnoteReference">
    <w:name w:val="endnote reference"/>
    <w:basedOn w:val="DefaultParagraphFont"/>
    <w:uiPriority w:val="99"/>
    <w:semiHidden/>
    <w:unhideWhenUsed/>
    <w:rsid w:val="004A6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f&#246;rs&#228;kringskassan.s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0010\AppData\Local\FileSiteCache\NRPortbl\CURRENT\SH0010\23201987_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sh0010\AppData\Local\FileSiteCache\NRPortbl\CURRENT\SH0010\23222577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Sheet1!$C$3</c:f>
              <c:strCache>
                <c:ptCount val="1"/>
                <c:pt idx="0">
                  <c:v>Females</c:v>
                </c:pt>
              </c:strCache>
            </c:strRef>
          </c:tx>
          <c:invertIfNegative val="0"/>
          <c:cat>
            <c:strRef>
              <c:f>Sheet1!$B$4:$B$10</c:f>
              <c:strCache>
                <c:ptCount val="7"/>
                <c:pt idx="0">
                  <c:v>Sweden</c:v>
                </c:pt>
                <c:pt idx="1">
                  <c:v>Canada</c:v>
                </c:pt>
                <c:pt idx="2">
                  <c:v>United Kingdom</c:v>
                </c:pt>
                <c:pt idx="3">
                  <c:v>United States</c:v>
                </c:pt>
                <c:pt idx="4">
                  <c:v>New Zealand</c:v>
                </c:pt>
                <c:pt idx="5">
                  <c:v>Australia</c:v>
                </c:pt>
                <c:pt idx="6">
                  <c:v>OECD average</c:v>
                </c:pt>
              </c:strCache>
            </c:strRef>
          </c:cat>
          <c:val>
            <c:numRef>
              <c:f>Sheet1!$C$4:$C$10</c:f>
              <c:numCache>
                <c:formatCode>General</c:formatCode>
                <c:ptCount val="7"/>
                <c:pt idx="0">
                  <c:v>81.917392824673044</c:v>
                </c:pt>
                <c:pt idx="1">
                  <c:v>74.300188160370539</c:v>
                </c:pt>
                <c:pt idx="2">
                  <c:v>74.380924133230678</c:v>
                </c:pt>
                <c:pt idx="3">
                  <c:v>71.963537034684293</c:v>
                </c:pt>
                <c:pt idx="4">
                  <c:v>74.163934426229503</c:v>
                </c:pt>
                <c:pt idx="5">
                  <c:v>72.088696269290352</c:v>
                </c:pt>
                <c:pt idx="6">
                  <c:v>70.850657691439665</c:v>
                </c:pt>
              </c:numCache>
            </c:numRef>
          </c:val>
        </c:ser>
        <c:ser>
          <c:idx val="1"/>
          <c:order val="1"/>
          <c:tx>
            <c:strRef>
              <c:f>Sheet1!$D$3</c:f>
              <c:strCache>
                <c:ptCount val="1"/>
                <c:pt idx="0">
                  <c:v>Mothers</c:v>
                </c:pt>
              </c:strCache>
            </c:strRef>
          </c:tx>
          <c:invertIfNegative val="0"/>
          <c:cat>
            <c:strRef>
              <c:f>Sheet1!$B$4:$B$10</c:f>
              <c:strCache>
                <c:ptCount val="7"/>
                <c:pt idx="0">
                  <c:v>Sweden</c:v>
                </c:pt>
                <c:pt idx="1">
                  <c:v>Canada</c:v>
                </c:pt>
                <c:pt idx="2">
                  <c:v>United Kingdom</c:v>
                </c:pt>
                <c:pt idx="3">
                  <c:v>United States</c:v>
                </c:pt>
                <c:pt idx="4">
                  <c:v>New Zealand</c:v>
                </c:pt>
                <c:pt idx="5">
                  <c:v>Australia</c:v>
                </c:pt>
                <c:pt idx="6">
                  <c:v>OECD average</c:v>
                </c:pt>
              </c:strCache>
            </c:strRef>
          </c:cat>
          <c:val>
            <c:numRef>
              <c:f>Sheet1!$D$4:$D$10</c:f>
              <c:numCache>
                <c:formatCode>General</c:formatCode>
                <c:ptCount val="7"/>
                <c:pt idx="0">
                  <c:v>80.300458326260383</c:v>
                </c:pt>
                <c:pt idx="1">
                  <c:v>70.5</c:v>
                </c:pt>
                <c:pt idx="2">
                  <c:v>67.114735653060748</c:v>
                </c:pt>
                <c:pt idx="3">
                  <c:v>66.7</c:v>
                </c:pt>
                <c:pt idx="4">
                  <c:v>62.23235527359239</c:v>
                </c:pt>
                <c:pt idx="5">
                  <c:v>61.890583000158117</c:v>
                </c:pt>
                <c:pt idx="6">
                  <c:v>66.17987089947043</c:v>
                </c:pt>
              </c:numCache>
            </c:numRef>
          </c:val>
        </c:ser>
        <c:dLbls>
          <c:showLegendKey val="0"/>
          <c:showVal val="0"/>
          <c:showCatName val="0"/>
          <c:showSerName val="0"/>
          <c:showPercent val="0"/>
          <c:showBubbleSize val="0"/>
        </c:dLbls>
        <c:gapWidth val="150"/>
        <c:axId val="48231936"/>
        <c:axId val="50454912"/>
      </c:barChart>
      <c:catAx>
        <c:axId val="48231936"/>
        <c:scaling>
          <c:orientation val="minMax"/>
        </c:scaling>
        <c:delete val="0"/>
        <c:axPos val="b"/>
        <c:majorTickMark val="out"/>
        <c:minorTickMark val="none"/>
        <c:tickLblPos val="nextTo"/>
        <c:txPr>
          <a:bodyPr/>
          <a:lstStyle/>
          <a:p>
            <a:pPr>
              <a:defRPr sz="1100" baseline="0"/>
            </a:pPr>
            <a:endParaRPr lang="en-US"/>
          </a:p>
        </c:txPr>
        <c:crossAx val="50454912"/>
        <c:crosses val="autoZero"/>
        <c:auto val="1"/>
        <c:lblAlgn val="ctr"/>
        <c:lblOffset val="100"/>
        <c:noMultiLvlLbl val="0"/>
      </c:catAx>
      <c:valAx>
        <c:axId val="50454912"/>
        <c:scaling>
          <c:orientation val="minMax"/>
          <c:max val="100"/>
          <c:min val="0"/>
        </c:scaling>
        <c:delete val="0"/>
        <c:axPos val="l"/>
        <c:majorGridlines/>
        <c:numFmt formatCode="General" sourceLinked="1"/>
        <c:majorTickMark val="out"/>
        <c:minorTickMark val="none"/>
        <c:tickLblPos val="nextTo"/>
        <c:txPr>
          <a:bodyPr/>
          <a:lstStyle/>
          <a:p>
            <a:pPr>
              <a:defRPr sz="1100" baseline="0"/>
            </a:pPr>
            <a:endParaRPr lang="en-US"/>
          </a:p>
        </c:txPr>
        <c:crossAx val="48231936"/>
        <c:crosses val="autoZero"/>
        <c:crossBetween val="between"/>
      </c:valAx>
    </c:plotArea>
    <c:legend>
      <c:legendPos val="r"/>
      <c:layout/>
      <c:overlay val="0"/>
      <c:txPr>
        <a:bodyPr/>
        <a:lstStyle/>
        <a:p>
          <a:pPr>
            <a:defRPr sz="11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2053148144899"/>
          <c:y val="7.0380739444606447E-2"/>
          <c:w val="0.61119002663642541"/>
          <c:h val="0.73187583033602277"/>
        </c:manualLayout>
      </c:layout>
      <c:scatterChart>
        <c:scatterStyle val="lineMarker"/>
        <c:varyColors val="0"/>
        <c:ser>
          <c:idx val="0"/>
          <c:order val="0"/>
          <c:tx>
            <c:strRef>
              <c:f>Sheet2!$B$4</c:f>
              <c:strCache>
                <c:ptCount val="1"/>
                <c:pt idx="0">
                  <c:v>Australia</c:v>
                </c:pt>
              </c:strCache>
            </c:strRef>
          </c:tx>
          <c:spPr>
            <a:ln w="28575">
              <a:noFill/>
            </a:ln>
          </c:spPr>
          <c:xVal>
            <c:numRef>
              <c:f>Sheet2!$A$5:$A$10</c:f>
              <c:numCache>
                <c:formatCode>0.0</c:formatCode>
                <c:ptCount val="6"/>
                <c:pt idx="0">
                  <c:v>1.89</c:v>
                </c:pt>
                <c:pt idx="1">
                  <c:v>1.6679999999999999</c:v>
                </c:pt>
                <c:pt idx="2">
                  <c:v>2.15</c:v>
                </c:pt>
                <c:pt idx="3">
                  <c:v>1.98</c:v>
                </c:pt>
                <c:pt idx="4">
                  <c:v>1.98</c:v>
                </c:pt>
                <c:pt idx="5">
                  <c:v>1.9319999999999999</c:v>
                </c:pt>
              </c:numCache>
            </c:numRef>
          </c:xVal>
          <c:yVal>
            <c:numRef>
              <c:f>Sheet2!$B$5:$B$10</c:f>
              <c:numCache>
                <c:formatCode>General</c:formatCode>
                <c:ptCount val="6"/>
                <c:pt idx="0" formatCode="0">
                  <c:v>71.882303866245152</c:v>
                </c:pt>
              </c:numCache>
            </c:numRef>
          </c:yVal>
          <c:smooth val="0"/>
        </c:ser>
        <c:ser>
          <c:idx val="1"/>
          <c:order val="1"/>
          <c:tx>
            <c:strRef>
              <c:f>Sheet2!$C$4</c:f>
              <c:strCache>
                <c:ptCount val="1"/>
                <c:pt idx="0">
                  <c:v>Canada</c:v>
                </c:pt>
              </c:strCache>
            </c:strRef>
          </c:tx>
          <c:spPr>
            <a:ln w="28575">
              <a:noFill/>
            </a:ln>
          </c:spPr>
          <c:xVal>
            <c:numRef>
              <c:f>Sheet2!$A$5:$A$10</c:f>
              <c:numCache>
                <c:formatCode>0.0</c:formatCode>
                <c:ptCount val="6"/>
                <c:pt idx="0">
                  <c:v>1.89</c:v>
                </c:pt>
                <c:pt idx="1">
                  <c:v>1.6679999999999999</c:v>
                </c:pt>
                <c:pt idx="2">
                  <c:v>2.15</c:v>
                </c:pt>
                <c:pt idx="3">
                  <c:v>1.98</c:v>
                </c:pt>
                <c:pt idx="4">
                  <c:v>1.98</c:v>
                </c:pt>
                <c:pt idx="5">
                  <c:v>1.9319999999999999</c:v>
                </c:pt>
              </c:numCache>
            </c:numRef>
          </c:xVal>
          <c:yVal>
            <c:numRef>
              <c:f>Sheet2!$C$5:$C$10</c:f>
              <c:numCache>
                <c:formatCode>0</c:formatCode>
                <c:ptCount val="6"/>
                <c:pt idx="1">
                  <c:v>77.161299278178802</c:v>
                </c:pt>
              </c:numCache>
            </c:numRef>
          </c:yVal>
          <c:smooth val="0"/>
        </c:ser>
        <c:ser>
          <c:idx val="2"/>
          <c:order val="2"/>
          <c:tx>
            <c:strRef>
              <c:f>Sheet2!$D$4</c:f>
              <c:strCache>
                <c:ptCount val="1"/>
                <c:pt idx="0">
                  <c:v>New Zealand</c:v>
                </c:pt>
              </c:strCache>
            </c:strRef>
          </c:tx>
          <c:spPr>
            <a:ln w="28575">
              <a:noFill/>
            </a:ln>
          </c:spPr>
          <c:xVal>
            <c:numRef>
              <c:f>Sheet2!$A$5:$A$10</c:f>
              <c:numCache>
                <c:formatCode>0.0</c:formatCode>
                <c:ptCount val="6"/>
                <c:pt idx="0">
                  <c:v>1.89</c:v>
                </c:pt>
                <c:pt idx="1">
                  <c:v>1.6679999999999999</c:v>
                </c:pt>
                <c:pt idx="2">
                  <c:v>2.15</c:v>
                </c:pt>
                <c:pt idx="3">
                  <c:v>1.98</c:v>
                </c:pt>
                <c:pt idx="4">
                  <c:v>1.98</c:v>
                </c:pt>
                <c:pt idx="5">
                  <c:v>1.9319999999999999</c:v>
                </c:pt>
              </c:numCache>
            </c:numRef>
          </c:xVal>
          <c:yVal>
            <c:numRef>
              <c:f>Sheet2!$D$5:$D$10</c:f>
              <c:numCache>
                <c:formatCode>General</c:formatCode>
                <c:ptCount val="6"/>
                <c:pt idx="2" formatCode="0">
                  <c:v>72.80339277946932</c:v>
                </c:pt>
              </c:numCache>
            </c:numRef>
          </c:yVal>
          <c:smooth val="0"/>
        </c:ser>
        <c:ser>
          <c:idx val="3"/>
          <c:order val="3"/>
          <c:tx>
            <c:strRef>
              <c:f>Sheet2!$E$4</c:f>
              <c:strCache>
                <c:ptCount val="1"/>
                <c:pt idx="0">
                  <c:v>Sweden</c:v>
                </c:pt>
              </c:strCache>
            </c:strRef>
          </c:tx>
          <c:spPr>
            <a:ln w="28575">
              <a:noFill/>
            </a:ln>
          </c:spPr>
          <c:xVal>
            <c:numRef>
              <c:f>Sheet2!$A$5:$A$10</c:f>
              <c:numCache>
                <c:formatCode>0.0</c:formatCode>
                <c:ptCount val="6"/>
                <c:pt idx="0">
                  <c:v>1.89</c:v>
                </c:pt>
                <c:pt idx="1">
                  <c:v>1.6679999999999999</c:v>
                </c:pt>
                <c:pt idx="2">
                  <c:v>2.15</c:v>
                </c:pt>
                <c:pt idx="3">
                  <c:v>1.98</c:v>
                </c:pt>
                <c:pt idx="4">
                  <c:v>1.98</c:v>
                </c:pt>
                <c:pt idx="5">
                  <c:v>1.9319999999999999</c:v>
                </c:pt>
              </c:numCache>
            </c:numRef>
          </c:xVal>
          <c:yVal>
            <c:numRef>
              <c:f>Sheet2!$E$5:$E$10</c:f>
              <c:numCache>
                <c:formatCode>General</c:formatCode>
                <c:ptCount val="6"/>
                <c:pt idx="3" formatCode="0">
                  <c:v>81.954176398620859</c:v>
                </c:pt>
              </c:numCache>
            </c:numRef>
          </c:yVal>
          <c:smooth val="0"/>
        </c:ser>
        <c:ser>
          <c:idx val="4"/>
          <c:order val="4"/>
          <c:tx>
            <c:strRef>
              <c:f>Sheet2!$F$4</c:f>
              <c:strCache>
                <c:ptCount val="1"/>
                <c:pt idx="0">
                  <c:v>Great Britain</c:v>
                </c:pt>
              </c:strCache>
            </c:strRef>
          </c:tx>
          <c:spPr>
            <a:ln w="28575">
              <a:noFill/>
            </a:ln>
          </c:spPr>
          <c:xVal>
            <c:numRef>
              <c:f>Sheet2!$A$5:$A$10</c:f>
              <c:numCache>
                <c:formatCode>0.0</c:formatCode>
                <c:ptCount val="6"/>
                <c:pt idx="0">
                  <c:v>1.89</c:v>
                </c:pt>
                <c:pt idx="1">
                  <c:v>1.6679999999999999</c:v>
                </c:pt>
                <c:pt idx="2">
                  <c:v>2.15</c:v>
                </c:pt>
                <c:pt idx="3">
                  <c:v>1.98</c:v>
                </c:pt>
                <c:pt idx="4">
                  <c:v>1.98</c:v>
                </c:pt>
                <c:pt idx="5">
                  <c:v>1.9319999999999999</c:v>
                </c:pt>
              </c:numCache>
            </c:numRef>
          </c:xVal>
          <c:yVal>
            <c:numRef>
              <c:f>Sheet2!$F$5:$F$10</c:f>
              <c:numCache>
                <c:formatCode>General</c:formatCode>
                <c:ptCount val="6"/>
                <c:pt idx="4" formatCode="0">
                  <c:v>74.380877742946709</c:v>
                </c:pt>
              </c:numCache>
            </c:numRef>
          </c:yVal>
          <c:smooth val="0"/>
        </c:ser>
        <c:ser>
          <c:idx val="5"/>
          <c:order val="5"/>
          <c:tx>
            <c:strRef>
              <c:f>Sheet2!$G$4</c:f>
              <c:strCache>
                <c:ptCount val="1"/>
                <c:pt idx="0">
                  <c:v>USA</c:v>
                </c:pt>
              </c:strCache>
            </c:strRef>
          </c:tx>
          <c:spPr>
            <a:ln w="28575">
              <a:noFill/>
            </a:ln>
          </c:spPr>
          <c:xVal>
            <c:numRef>
              <c:f>Sheet2!$A$5:$A$10</c:f>
              <c:numCache>
                <c:formatCode>0.0</c:formatCode>
                <c:ptCount val="6"/>
                <c:pt idx="0">
                  <c:v>1.89</c:v>
                </c:pt>
                <c:pt idx="1">
                  <c:v>1.6679999999999999</c:v>
                </c:pt>
                <c:pt idx="2">
                  <c:v>2.15</c:v>
                </c:pt>
                <c:pt idx="3">
                  <c:v>1.98</c:v>
                </c:pt>
                <c:pt idx="4">
                  <c:v>1.98</c:v>
                </c:pt>
                <c:pt idx="5">
                  <c:v>1.9319999999999999</c:v>
                </c:pt>
              </c:numCache>
            </c:numRef>
          </c:xVal>
          <c:yVal>
            <c:numRef>
              <c:f>Sheet2!$G$5:$G$10</c:f>
              <c:numCache>
                <c:formatCode>General</c:formatCode>
                <c:ptCount val="6"/>
                <c:pt idx="5" formatCode="0">
                  <c:v>69.343653739830984</c:v>
                </c:pt>
              </c:numCache>
            </c:numRef>
          </c:yVal>
          <c:smooth val="0"/>
        </c:ser>
        <c:dLbls>
          <c:showLegendKey val="0"/>
          <c:showVal val="0"/>
          <c:showCatName val="0"/>
          <c:showSerName val="0"/>
          <c:showPercent val="0"/>
          <c:showBubbleSize val="0"/>
        </c:dLbls>
        <c:axId val="256327680"/>
        <c:axId val="256330752"/>
      </c:scatterChart>
      <c:valAx>
        <c:axId val="256327680"/>
        <c:scaling>
          <c:orientation val="minMax"/>
          <c:min val="1"/>
        </c:scaling>
        <c:delete val="0"/>
        <c:axPos val="b"/>
        <c:title>
          <c:tx>
            <c:rich>
              <a:bodyPr/>
              <a:lstStyle/>
              <a:p>
                <a:pPr>
                  <a:defRPr sz="1200" b="0"/>
                </a:pPr>
                <a:r>
                  <a:rPr lang="en-US" sz="1200" b="0"/>
                  <a:t>Total</a:t>
                </a:r>
                <a:r>
                  <a:rPr lang="en-US" sz="1200" b="0" baseline="0"/>
                  <a:t> birth</a:t>
                </a:r>
                <a:r>
                  <a:rPr lang="en-US" sz="1200" b="0"/>
                  <a:t> rate</a:t>
                </a:r>
              </a:p>
            </c:rich>
          </c:tx>
          <c:layout/>
          <c:overlay val="0"/>
        </c:title>
        <c:numFmt formatCode="0.0" sourceLinked="1"/>
        <c:majorTickMark val="out"/>
        <c:minorTickMark val="none"/>
        <c:tickLblPos val="nextTo"/>
        <c:txPr>
          <a:bodyPr/>
          <a:lstStyle/>
          <a:p>
            <a:pPr>
              <a:defRPr sz="1100" baseline="0"/>
            </a:pPr>
            <a:endParaRPr lang="en-US"/>
          </a:p>
        </c:txPr>
        <c:crossAx val="256330752"/>
        <c:crosses val="autoZero"/>
        <c:crossBetween val="midCat"/>
        <c:majorUnit val="0.5"/>
        <c:minorUnit val="0.5"/>
      </c:valAx>
      <c:valAx>
        <c:axId val="256330752"/>
        <c:scaling>
          <c:orientation val="minMax"/>
        </c:scaling>
        <c:delete val="0"/>
        <c:axPos val="l"/>
        <c:majorGridlines>
          <c:spPr>
            <a:ln>
              <a:noFill/>
            </a:ln>
          </c:spPr>
        </c:majorGridlines>
        <c:title>
          <c:tx>
            <c:rich>
              <a:bodyPr rot="-5400000" vert="horz"/>
              <a:lstStyle/>
              <a:p>
                <a:pPr>
                  <a:defRPr sz="1200" b="0"/>
                </a:pPr>
                <a:r>
                  <a:rPr lang="en-AU" sz="1200" b="0"/>
                  <a:t>Female employment rate</a:t>
                </a:r>
              </a:p>
            </c:rich>
          </c:tx>
          <c:layout>
            <c:manualLayout>
              <c:xMode val="edge"/>
              <c:yMode val="edge"/>
              <c:x val="3.3182516996065912E-2"/>
              <c:y val="0.17228573280191828"/>
            </c:manualLayout>
          </c:layout>
          <c:overlay val="0"/>
        </c:title>
        <c:numFmt formatCode="0" sourceLinked="1"/>
        <c:majorTickMark val="out"/>
        <c:minorTickMark val="none"/>
        <c:tickLblPos val="nextTo"/>
        <c:txPr>
          <a:bodyPr/>
          <a:lstStyle/>
          <a:p>
            <a:pPr>
              <a:defRPr sz="1100" baseline="0"/>
            </a:pPr>
            <a:endParaRPr lang="en-US"/>
          </a:p>
        </c:txPr>
        <c:crossAx val="256327680"/>
        <c:crossesAt val="1"/>
        <c:crossBetween val="midCat"/>
      </c:valAx>
    </c:plotArea>
    <c:legend>
      <c:legendPos val="r"/>
      <c:layout/>
      <c:overlay val="0"/>
      <c:txPr>
        <a:bodyPr/>
        <a:lstStyle/>
        <a:p>
          <a:pPr>
            <a:defRPr sz="12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Sheet1!$C$4</c:f>
              <c:strCache>
                <c:ptCount val="1"/>
                <c:pt idx="0">
                  <c:v>0-5 years </c:v>
                </c:pt>
              </c:strCache>
            </c:strRef>
          </c:tx>
          <c:invertIfNegative val="0"/>
          <c:cat>
            <c:strRef>
              <c:f>Sheet1!$A$5:$A$11</c:f>
              <c:strCache>
                <c:ptCount val="7"/>
                <c:pt idx="0">
                  <c:v>Sweden</c:v>
                </c:pt>
                <c:pt idx="1">
                  <c:v>Canada</c:v>
                </c:pt>
                <c:pt idx="2">
                  <c:v>OECD average</c:v>
                </c:pt>
                <c:pt idx="3">
                  <c:v>United States</c:v>
                </c:pt>
                <c:pt idx="4">
                  <c:v>New Zealand</c:v>
                </c:pt>
                <c:pt idx="5">
                  <c:v>United Kingdom</c:v>
                </c:pt>
                <c:pt idx="6">
                  <c:v>Australia</c:v>
                </c:pt>
              </c:strCache>
            </c:strRef>
          </c:cat>
          <c:val>
            <c:numRef>
              <c:f>Sheet1!$C$5:$C$11</c:f>
              <c:numCache>
                <c:formatCode>General</c:formatCode>
                <c:ptCount val="7"/>
                <c:pt idx="0">
                  <c:v>81.3</c:v>
                </c:pt>
                <c:pt idx="1">
                  <c:v>68.099999999999994</c:v>
                </c:pt>
                <c:pt idx="2">
                  <c:v>64.335712520462124</c:v>
                </c:pt>
                <c:pt idx="3">
                  <c:v>62.8</c:v>
                </c:pt>
                <c:pt idx="4">
                  <c:v>61.277033985581873</c:v>
                </c:pt>
                <c:pt idx="5">
                  <c:v>58.235091094704941</c:v>
                </c:pt>
                <c:pt idx="6">
                  <c:v>48.695785640993599</c:v>
                </c:pt>
              </c:numCache>
            </c:numRef>
          </c:val>
        </c:ser>
        <c:ser>
          <c:idx val="1"/>
          <c:order val="1"/>
          <c:tx>
            <c:strRef>
              <c:f>Sheet1!$D$4</c:f>
              <c:strCache>
                <c:ptCount val="1"/>
                <c:pt idx="0">
                  <c:v>6-14 years </c:v>
                </c:pt>
              </c:strCache>
            </c:strRef>
          </c:tx>
          <c:invertIfNegative val="0"/>
          <c:cat>
            <c:strRef>
              <c:f>Sheet1!$A$5:$A$11</c:f>
              <c:strCache>
                <c:ptCount val="7"/>
                <c:pt idx="0">
                  <c:v>Sweden</c:v>
                </c:pt>
                <c:pt idx="1">
                  <c:v>Canada</c:v>
                </c:pt>
                <c:pt idx="2">
                  <c:v>OECD average</c:v>
                </c:pt>
                <c:pt idx="3">
                  <c:v>United States</c:v>
                </c:pt>
                <c:pt idx="4">
                  <c:v>New Zealand</c:v>
                </c:pt>
                <c:pt idx="5">
                  <c:v>United Kingdom</c:v>
                </c:pt>
                <c:pt idx="6">
                  <c:v>Australia</c:v>
                </c:pt>
              </c:strCache>
            </c:strRef>
          </c:cat>
          <c:val>
            <c:numRef>
              <c:f>Sheet1!$D$5:$D$11</c:f>
              <c:numCache>
                <c:formatCode>General</c:formatCode>
                <c:ptCount val="7"/>
                <c:pt idx="0">
                  <c:v>76.099999999999994</c:v>
                </c:pt>
                <c:pt idx="1">
                  <c:v>71.099999999999994</c:v>
                </c:pt>
                <c:pt idx="2">
                  <c:v>72.729916710372194</c:v>
                </c:pt>
                <c:pt idx="3">
                  <c:v>73.2</c:v>
                </c:pt>
                <c:pt idx="4">
                  <c:v>78.038194444444443</c:v>
                </c:pt>
                <c:pt idx="5">
                  <c:v>73.780572139710742</c:v>
                </c:pt>
                <c:pt idx="6">
                  <c:v>73.916122018466694</c:v>
                </c:pt>
              </c:numCache>
            </c:numRef>
          </c:val>
        </c:ser>
        <c:dLbls>
          <c:showLegendKey val="0"/>
          <c:showVal val="0"/>
          <c:showCatName val="0"/>
          <c:showSerName val="0"/>
          <c:showPercent val="0"/>
          <c:showBubbleSize val="0"/>
        </c:dLbls>
        <c:gapWidth val="150"/>
        <c:axId val="311433856"/>
        <c:axId val="312299904"/>
      </c:barChart>
      <c:catAx>
        <c:axId val="311433856"/>
        <c:scaling>
          <c:orientation val="minMax"/>
        </c:scaling>
        <c:delete val="0"/>
        <c:axPos val="b"/>
        <c:majorTickMark val="out"/>
        <c:minorTickMark val="none"/>
        <c:tickLblPos val="nextTo"/>
        <c:txPr>
          <a:bodyPr/>
          <a:lstStyle/>
          <a:p>
            <a:pPr>
              <a:defRPr sz="1100" baseline="0"/>
            </a:pPr>
            <a:endParaRPr lang="en-US"/>
          </a:p>
        </c:txPr>
        <c:crossAx val="312299904"/>
        <c:crosses val="autoZero"/>
        <c:auto val="1"/>
        <c:lblAlgn val="ctr"/>
        <c:lblOffset val="100"/>
        <c:noMultiLvlLbl val="0"/>
      </c:catAx>
      <c:valAx>
        <c:axId val="312299904"/>
        <c:scaling>
          <c:orientation val="minMax"/>
        </c:scaling>
        <c:delete val="0"/>
        <c:axPos val="l"/>
        <c:majorGridlines/>
        <c:numFmt formatCode="General" sourceLinked="1"/>
        <c:majorTickMark val="out"/>
        <c:minorTickMark val="none"/>
        <c:tickLblPos val="nextTo"/>
        <c:txPr>
          <a:bodyPr/>
          <a:lstStyle/>
          <a:p>
            <a:pPr>
              <a:defRPr sz="1100" baseline="0"/>
            </a:pPr>
            <a:endParaRPr lang="en-US"/>
          </a:p>
        </c:txPr>
        <c:crossAx val="311433856"/>
        <c:crosses val="autoZero"/>
        <c:crossBetween val="between"/>
      </c:valAx>
    </c:plotArea>
    <c:legend>
      <c:legendPos val="r"/>
      <c:legendEntry>
        <c:idx val="0"/>
        <c:txPr>
          <a:bodyPr/>
          <a:lstStyle/>
          <a:p>
            <a:pPr>
              <a:defRPr sz="1100" baseline="0"/>
            </a:pPr>
            <a:endParaRPr lang="en-US"/>
          </a:p>
        </c:txPr>
      </c:legendEntry>
      <c:legendEntry>
        <c:idx val="1"/>
        <c:txPr>
          <a:bodyPr/>
          <a:lstStyle/>
          <a:p>
            <a:pPr>
              <a:defRPr sz="1100" baseline="0"/>
            </a:pPr>
            <a:endParaRPr lang="en-US"/>
          </a:p>
        </c:txPr>
      </c:legendEntry>
      <c:layout/>
      <c:overlay val="0"/>
      <c:txPr>
        <a:bodyPr/>
        <a:lstStyle/>
        <a:p>
          <a:pPr>
            <a:defRPr sz="12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4CAB-A79D-4FB5-8142-5F5AF13F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6323</Characters>
  <Application>Microsoft Office Word</Application>
  <DocSecurity>4</DocSecurity>
  <Lines>114</Lines>
  <Paragraphs>49</Paragraphs>
  <ScaleCrop>false</ScaleCrop>
  <HeadingPairs>
    <vt:vector size="2" baseType="variant">
      <vt:variant>
        <vt:lpstr>Title</vt:lpstr>
      </vt:variant>
      <vt:variant>
        <vt:i4>1</vt:i4>
      </vt:variant>
    </vt:vector>
  </HeadingPairs>
  <TitlesOfParts>
    <vt:vector size="1" baseType="lpstr">
      <vt:lpstr>International examples of paid parental leave schemes</vt:lpstr>
    </vt:vector>
  </TitlesOfParts>
  <Company>FaHCSIA</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examples of paid parental leave schemes</dc:title>
  <dc:creator>rm0008</dc:creator>
  <cp:lastModifiedBy>Fahcsia</cp:lastModifiedBy>
  <cp:revision>2</cp:revision>
  <cp:lastPrinted>2013-05-17T00:16:00Z</cp:lastPrinted>
  <dcterms:created xsi:type="dcterms:W3CDTF">2013-06-05T06:54:00Z</dcterms:created>
  <dcterms:modified xsi:type="dcterms:W3CDTF">2013-06-05T06:54:00Z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