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ED6A" w14:textId="77777777" w:rsidR="00484EB1" w:rsidRPr="00BC5FD7" w:rsidRDefault="003E655E" w:rsidP="00BC5FD7">
      <w:pPr>
        <w:pStyle w:val="Titlepage"/>
      </w:pPr>
      <w:r w:rsidRPr="00BC5FD7">
        <w:t>Community Mental Health Activity</w:t>
      </w:r>
    </w:p>
    <w:p w14:paraId="2D6DA0D3" w14:textId="77777777" w:rsidR="00484EB1" w:rsidRPr="00BC5FD7" w:rsidRDefault="00484EB1" w:rsidP="00BC5FD7">
      <w:pPr>
        <w:pStyle w:val="Titlepage"/>
      </w:pPr>
    </w:p>
    <w:p w14:paraId="61BF83A9" w14:textId="77777777" w:rsidR="003E655E" w:rsidRPr="00074DE8" w:rsidRDefault="003E655E" w:rsidP="00BC5FD7">
      <w:pPr>
        <w:pStyle w:val="Titlepage"/>
      </w:pPr>
      <w:r w:rsidRPr="00074DE8">
        <w:t>Family Mental Health Support Services</w:t>
      </w:r>
    </w:p>
    <w:p w14:paraId="0B2AE668" w14:textId="77777777" w:rsidR="008A5029" w:rsidRDefault="008A5029" w:rsidP="00BC5FD7">
      <w:pPr>
        <w:pStyle w:val="Titlepage"/>
      </w:pPr>
    </w:p>
    <w:p w14:paraId="07D5C880" w14:textId="77777777" w:rsidR="009D1C88" w:rsidRPr="00BC5FD7" w:rsidRDefault="002339D2" w:rsidP="00BC5FD7">
      <w:pPr>
        <w:pStyle w:val="Titlepage"/>
      </w:pPr>
      <w:r w:rsidRPr="00BC5FD7">
        <w:t>Operational </w:t>
      </w:r>
      <w:r w:rsidR="007B19C7" w:rsidRPr="00BC5FD7">
        <w:t>Guidelines</w:t>
      </w:r>
    </w:p>
    <w:p w14:paraId="2F798A20" w14:textId="6502DB1A" w:rsidR="005C6FB1" w:rsidRPr="007400E6" w:rsidRDefault="00D91D22" w:rsidP="007400E6">
      <w:pPr>
        <w:pStyle w:val="Pullouttext"/>
        <w:sectPr w:rsidR="005C6FB1" w:rsidRPr="007400E6" w:rsidSect="00BF0FE6">
          <w:footerReference w:type="default" r:id="rId8"/>
          <w:headerReference w:type="first" r:id="rId9"/>
          <w:footerReference w:type="first" r:id="rId10"/>
          <w:pgSz w:w="11906" w:h="16838"/>
          <w:pgMar w:top="1440" w:right="1440" w:bottom="1440" w:left="1440" w:header="283" w:footer="0" w:gutter="0"/>
          <w:cols w:space="708"/>
          <w:titlePg/>
          <w:docGrid w:linePitch="360"/>
          <w15:footnoteColumns w:val="1"/>
        </w:sectPr>
      </w:pPr>
      <w:bookmarkStart w:id="0" w:name="_Toc70413813"/>
      <w:bookmarkStart w:id="1" w:name="_Toc70417864"/>
      <w:bookmarkStart w:id="2" w:name="_Toc70507104"/>
      <w:r w:rsidRPr="007400E6">
        <w:t>Effective 1 July 2021</w:t>
      </w:r>
      <w:bookmarkEnd w:id="0"/>
      <w:bookmarkEnd w:id="1"/>
      <w:bookmarkEnd w:id="2"/>
    </w:p>
    <w:p w14:paraId="64B4CD3B" w14:textId="77777777" w:rsidR="006B202E" w:rsidRDefault="006F2C4C" w:rsidP="0024421E">
      <w:pPr>
        <w:pStyle w:val="SubTitle0"/>
        <w:rPr>
          <w:rFonts w:ascii="Arial" w:hAnsi="Arial"/>
          <w:bCs w:val="0"/>
          <w:color w:val="auto"/>
          <w:kern w:val="0"/>
          <w:sz w:val="22"/>
          <w:szCs w:val="22"/>
        </w:rPr>
      </w:pPr>
      <w:bookmarkStart w:id="3" w:name="_Toc70417865"/>
      <w:bookmarkStart w:id="4" w:name="_Toc70507105"/>
      <w:bookmarkStart w:id="5" w:name="_Toc70599652"/>
      <w:r>
        <w:lastRenderedPageBreak/>
        <w:t>Version Control</w:t>
      </w:r>
      <w:bookmarkEnd w:id="3"/>
      <w:bookmarkEnd w:id="4"/>
      <w:bookmarkEnd w:id="5"/>
    </w:p>
    <w:p w14:paraId="073247F3" w14:textId="77777777" w:rsidR="00CE556C" w:rsidRPr="00156E05" w:rsidRDefault="00CE556C" w:rsidP="0024421E">
      <w:pPr>
        <w:pStyle w:val="Caption"/>
      </w:pPr>
      <w:r>
        <w:t>This table confirms timing of revisions and endorsement of these Operational Guidelines.</w:t>
      </w:r>
    </w:p>
    <w:tbl>
      <w:tblPr>
        <w:tblStyle w:val="TableGrid"/>
        <w:tblW w:w="0" w:type="auto"/>
        <w:tblLook w:val="04A0" w:firstRow="1" w:lastRow="0" w:firstColumn="1" w:lastColumn="0" w:noHBand="0" w:noVBand="1"/>
      </w:tblPr>
      <w:tblGrid>
        <w:gridCol w:w="1555"/>
        <w:gridCol w:w="4961"/>
        <w:gridCol w:w="2500"/>
      </w:tblGrid>
      <w:tr w:rsidR="00CE556C" w:rsidRPr="00076826" w14:paraId="6BD821F8" w14:textId="77777777" w:rsidTr="00472906">
        <w:tc>
          <w:tcPr>
            <w:tcW w:w="1555" w:type="dxa"/>
            <w:shd w:val="clear" w:color="auto" w:fill="D9D9D9" w:themeFill="background1" w:themeFillShade="D9"/>
          </w:tcPr>
          <w:p w14:paraId="2EFEDDE4" w14:textId="77777777" w:rsidR="00CE556C" w:rsidRPr="00076826" w:rsidRDefault="00CE556C" w:rsidP="00421943">
            <w:pPr>
              <w:spacing w:after="240"/>
              <w:rPr>
                <w:b/>
                <w:sz w:val="20"/>
              </w:rPr>
            </w:pPr>
            <w:r w:rsidRPr="00076826">
              <w:rPr>
                <w:b/>
                <w:sz w:val="20"/>
              </w:rPr>
              <w:t>Version</w:t>
            </w:r>
          </w:p>
        </w:tc>
        <w:tc>
          <w:tcPr>
            <w:tcW w:w="4961" w:type="dxa"/>
            <w:shd w:val="clear" w:color="auto" w:fill="D9D9D9" w:themeFill="background1" w:themeFillShade="D9"/>
          </w:tcPr>
          <w:p w14:paraId="0293388B" w14:textId="77777777" w:rsidR="00CE556C" w:rsidRPr="00076826" w:rsidRDefault="00CE556C" w:rsidP="00421943">
            <w:pPr>
              <w:spacing w:after="240"/>
              <w:rPr>
                <w:b/>
                <w:sz w:val="20"/>
              </w:rPr>
            </w:pPr>
            <w:r w:rsidRPr="00076826">
              <w:rPr>
                <w:b/>
                <w:sz w:val="20"/>
              </w:rPr>
              <w:t>Changes</w:t>
            </w:r>
          </w:p>
        </w:tc>
        <w:tc>
          <w:tcPr>
            <w:tcW w:w="2500" w:type="dxa"/>
            <w:shd w:val="clear" w:color="auto" w:fill="D9D9D9" w:themeFill="background1" w:themeFillShade="D9"/>
          </w:tcPr>
          <w:p w14:paraId="64ECCF43" w14:textId="77777777" w:rsidR="00CE556C" w:rsidRPr="00076826" w:rsidRDefault="00CE556C" w:rsidP="00421943">
            <w:pPr>
              <w:spacing w:after="240"/>
              <w:rPr>
                <w:b/>
                <w:sz w:val="20"/>
              </w:rPr>
            </w:pPr>
            <w:r w:rsidRPr="00076826">
              <w:rPr>
                <w:b/>
                <w:sz w:val="20"/>
              </w:rPr>
              <w:t>Date</w:t>
            </w:r>
          </w:p>
        </w:tc>
      </w:tr>
      <w:tr w:rsidR="00CE556C" w:rsidRPr="00472906" w14:paraId="07167A88" w14:textId="77777777" w:rsidTr="00421943">
        <w:tc>
          <w:tcPr>
            <w:tcW w:w="1555" w:type="dxa"/>
          </w:tcPr>
          <w:p w14:paraId="5D9C15C3" w14:textId="77777777" w:rsidR="00CE556C" w:rsidRPr="00076826" w:rsidRDefault="00CE556C" w:rsidP="00421943">
            <w:pPr>
              <w:spacing w:after="240"/>
              <w:rPr>
                <w:sz w:val="20"/>
              </w:rPr>
            </w:pPr>
            <w:r>
              <w:rPr>
                <w:sz w:val="20"/>
              </w:rPr>
              <w:t>1.0</w:t>
            </w:r>
          </w:p>
        </w:tc>
        <w:tc>
          <w:tcPr>
            <w:tcW w:w="4961" w:type="dxa"/>
          </w:tcPr>
          <w:p w14:paraId="47FBBE9E" w14:textId="77777777" w:rsidR="00CE556C" w:rsidRPr="00076826" w:rsidRDefault="00CE556C" w:rsidP="00421943">
            <w:pPr>
              <w:spacing w:after="240"/>
              <w:rPr>
                <w:sz w:val="20"/>
              </w:rPr>
            </w:pPr>
            <w:r>
              <w:rPr>
                <w:sz w:val="20"/>
              </w:rPr>
              <w:t>Approved Operational Guidelines</w:t>
            </w:r>
          </w:p>
        </w:tc>
        <w:tc>
          <w:tcPr>
            <w:tcW w:w="2500" w:type="dxa"/>
          </w:tcPr>
          <w:p w14:paraId="1FCC9901" w14:textId="77777777" w:rsidR="00CE556C" w:rsidRDefault="00CE556C" w:rsidP="00421943">
            <w:pPr>
              <w:spacing w:after="240"/>
              <w:rPr>
                <w:sz w:val="20"/>
              </w:rPr>
            </w:pPr>
            <w:r>
              <w:rPr>
                <w:sz w:val="20"/>
              </w:rPr>
              <w:t>1 June 2015</w:t>
            </w:r>
          </w:p>
        </w:tc>
      </w:tr>
      <w:tr w:rsidR="00CE556C" w:rsidRPr="00472906" w14:paraId="68A08AC9" w14:textId="77777777" w:rsidTr="00421943">
        <w:tc>
          <w:tcPr>
            <w:tcW w:w="1555" w:type="dxa"/>
          </w:tcPr>
          <w:p w14:paraId="04676B9B" w14:textId="77777777" w:rsidR="00CE556C" w:rsidRPr="00076826" w:rsidRDefault="00CE556C" w:rsidP="00421943">
            <w:pPr>
              <w:spacing w:after="240"/>
              <w:rPr>
                <w:sz w:val="20"/>
              </w:rPr>
            </w:pPr>
            <w:r>
              <w:rPr>
                <w:sz w:val="20"/>
              </w:rPr>
              <w:t>2.0</w:t>
            </w:r>
          </w:p>
        </w:tc>
        <w:tc>
          <w:tcPr>
            <w:tcW w:w="4961" w:type="dxa"/>
          </w:tcPr>
          <w:p w14:paraId="0E97D5A1" w14:textId="77777777" w:rsidR="00CE556C" w:rsidRPr="00076826" w:rsidRDefault="00CE556C" w:rsidP="00421943">
            <w:pPr>
              <w:spacing w:after="240"/>
              <w:rPr>
                <w:sz w:val="20"/>
              </w:rPr>
            </w:pPr>
            <w:r>
              <w:rPr>
                <w:sz w:val="20"/>
              </w:rPr>
              <w:t>Update to multiple sections to reflect new grant agreements</w:t>
            </w:r>
          </w:p>
        </w:tc>
        <w:tc>
          <w:tcPr>
            <w:tcW w:w="2500" w:type="dxa"/>
          </w:tcPr>
          <w:p w14:paraId="71EB3D6E" w14:textId="40B64CC5" w:rsidR="00CE556C" w:rsidRDefault="00CE556C" w:rsidP="00180E53">
            <w:pPr>
              <w:spacing w:after="240"/>
              <w:rPr>
                <w:sz w:val="20"/>
              </w:rPr>
            </w:pPr>
            <w:r>
              <w:rPr>
                <w:sz w:val="20"/>
              </w:rPr>
              <w:t xml:space="preserve">3 </w:t>
            </w:r>
            <w:r w:rsidR="00180E53">
              <w:rPr>
                <w:sz w:val="20"/>
              </w:rPr>
              <w:t>May</w:t>
            </w:r>
            <w:r>
              <w:rPr>
                <w:sz w:val="20"/>
              </w:rPr>
              <w:t xml:space="preserve"> 2021</w:t>
            </w:r>
          </w:p>
        </w:tc>
      </w:tr>
    </w:tbl>
    <w:p w14:paraId="71F93B86" w14:textId="77777777" w:rsidR="006F2C4C" w:rsidRDefault="006F2C4C" w:rsidP="006F2C4C"/>
    <w:p w14:paraId="016D8336" w14:textId="77777777" w:rsidR="007B19C7" w:rsidRPr="003A6046" w:rsidRDefault="007B19C7" w:rsidP="007B19C7">
      <w:pPr>
        <w:spacing w:before="800"/>
        <w:ind w:left="-709"/>
        <w:rPr>
          <w:rFonts w:cs="Arial"/>
          <w:i/>
          <w:iCs/>
          <w:smallCaps/>
        </w:rPr>
        <w:sectPr w:rsidR="007B19C7" w:rsidRPr="003A6046" w:rsidSect="0024421E">
          <w:headerReference w:type="first" r:id="rId11"/>
          <w:footerReference w:type="first" r:id="rId12"/>
          <w:pgSz w:w="11906" w:h="16838"/>
          <w:pgMar w:top="1135" w:right="1440" w:bottom="1440" w:left="1440" w:header="283" w:footer="0" w:gutter="0"/>
          <w:cols w:space="708"/>
          <w:titlePg/>
          <w:docGrid w:linePitch="360"/>
          <w15:footnoteColumns w:val="1"/>
        </w:sectPr>
      </w:pPr>
    </w:p>
    <w:bookmarkStart w:id="6" w:name="_Toc70417866" w:displacedByCustomXml="next"/>
    <w:bookmarkStart w:id="7" w:name="_Toc70507106" w:displacedByCustomXml="next"/>
    <w:bookmarkStart w:id="8" w:name="_Toc70599653" w:displacedByCustomXml="next"/>
    <w:sdt>
      <w:sdtPr>
        <w:rPr>
          <w:rFonts w:ascii="Arial" w:hAnsi="Arial" w:cs="Times New Roman"/>
          <w:bCs w:val="0"/>
          <w:color w:val="auto"/>
          <w:kern w:val="0"/>
          <w:sz w:val="24"/>
          <w:szCs w:val="24"/>
        </w:rPr>
        <w:id w:val="-1651893883"/>
        <w:docPartObj>
          <w:docPartGallery w:val="Table of Contents"/>
          <w:docPartUnique/>
        </w:docPartObj>
      </w:sdtPr>
      <w:sdtEndPr>
        <w:rPr>
          <w:rFonts w:cs="Arial"/>
          <w:noProof/>
          <w:sz w:val="22"/>
          <w:szCs w:val="22"/>
        </w:rPr>
      </w:sdtEndPr>
      <w:sdtContent>
        <w:p w14:paraId="5B923E37" w14:textId="77777777" w:rsidR="005D3464" w:rsidRPr="002C1108" w:rsidRDefault="007B19C7" w:rsidP="007400E6">
          <w:pPr>
            <w:pStyle w:val="SubTitle0"/>
            <w:spacing w:before="0" w:after="0" w:line="276" w:lineRule="auto"/>
            <w:rPr>
              <w:rFonts w:ascii="Arial" w:hAnsi="Arial"/>
              <w:noProof/>
              <w:sz w:val="22"/>
              <w:szCs w:val="22"/>
            </w:rPr>
          </w:pPr>
          <w:r w:rsidRPr="00EC3FB0">
            <w:t>Table of Contents</w:t>
          </w:r>
          <w:bookmarkEnd w:id="8"/>
          <w:bookmarkEnd w:id="7"/>
          <w:bookmarkEnd w:id="6"/>
          <w:r w:rsidRPr="002C1108">
            <w:rPr>
              <w:rStyle w:val="Hyperlink"/>
              <w:rFonts w:eastAsiaTheme="majorEastAsia"/>
              <w:noProof/>
              <w:szCs w:val="22"/>
            </w:rPr>
            <w:fldChar w:fldCharType="begin"/>
          </w:r>
          <w:r w:rsidRPr="002C1108">
            <w:rPr>
              <w:rStyle w:val="Hyperlink"/>
              <w:rFonts w:eastAsiaTheme="majorEastAsia"/>
              <w:noProof/>
              <w:szCs w:val="22"/>
            </w:rPr>
            <w:instrText xml:space="preserve"> TOC \o "1-3" \h \z \u </w:instrText>
          </w:r>
          <w:r w:rsidRPr="002C1108">
            <w:rPr>
              <w:rStyle w:val="Hyperlink"/>
              <w:rFonts w:eastAsiaTheme="majorEastAsia"/>
              <w:szCs w:val="22"/>
            </w:rPr>
            <w:fldChar w:fldCharType="separate"/>
          </w:r>
        </w:p>
        <w:p w14:paraId="34E59036" w14:textId="3B05B9A2" w:rsidR="005D3464" w:rsidRPr="002C1108" w:rsidRDefault="007036AE" w:rsidP="007400E6">
          <w:pPr>
            <w:pStyle w:val="TOC1"/>
            <w:spacing w:before="0" w:after="0" w:line="276" w:lineRule="auto"/>
            <w:rPr>
              <w:rFonts w:eastAsiaTheme="minorEastAsia" w:cs="Arial"/>
              <w:noProof/>
              <w:spacing w:val="0"/>
              <w:sz w:val="22"/>
              <w:szCs w:val="22"/>
            </w:rPr>
          </w:pPr>
          <w:hyperlink w:anchor="_Toc70599652" w:history="1">
            <w:r w:rsidR="005D3464" w:rsidRPr="002C1108">
              <w:rPr>
                <w:rStyle w:val="Hyperlink"/>
                <w:rFonts w:eastAsiaTheme="majorEastAsia" w:cs="Arial"/>
                <w:noProof/>
                <w:szCs w:val="22"/>
              </w:rPr>
              <w:t>Version Control</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w:t>
            </w:r>
            <w:r w:rsidR="005D3464" w:rsidRPr="002C1108">
              <w:rPr>
                <w:rFonts w:cs="Arial"/>
                <w:noProof/>
                <w:webHidden/>
                <w:sz w:val="22"/>
                <w:szCs w:val="22"/>
              </w:rPr>
              <w:fldChar w:fldCharType="end"/>
            </w:r>
          </w:hyperlink>
        </w:p>
        <w:p w14:paraId="65DA45F3" w14:textId="403CF21B" w:rsidR="005D3464" w:rsidRPr="002C1108" w:rsidRDefault="007036AE" w:rsidP="007400E6">
          <w:pPr>
            <w:pStyle w:val="TOC1"/>
            <w:spacing w:before="0" w:after="0" w:line="276" w:lineRule="auto"/>
            <w:rPr>
              <w:rFonts w:eastAsiaTheme="minorEastAsia" w:cs="Arial"/>
              <w:noProof/>
              <w:spacing w:val="0"/>
              <w:sz w:val="22"/>
              <w:szCs w:val="22"/>
            </w:rPr>
          </w:pPr>
          <w:hyperlink w:anchor="_Toc70599653" w:history="1">
            <w:r w:rsidR="005D3464" w:rsidRPr="002C1108">
              <w:rPr>
                <w:rStyle w:val="Hyperlink"/>
                <w:rFonts w:eastAsiaTheme="majorEastAsia" w:cs="Arial"/>
                <w:noProof/>
                <w:szCs w:val="22"/>
              </w:rPr>
              <w:t>Table of Contents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w:t>
            </w:r>
            <w:r w:rsidR="005D3464" w:rsidRPr="002C1108">
              <w:rPr>
                <w:rFonts w:cs="Arial"/>
                <w:noProof/>
                <w:webHidden/>
                <w:sz w:val="22"/>
                <w:szCs w:val="22"/>
              </w:rPr>
              <w:fldChar w:fldCharType="end"/>
            </w:r>
          </w:hyperlink>
        </w:p>
        <w:p w14:paraId="01BA6F6C" w14:textId="6F605E40" w:rsidR="005D3464" w:rsidRPr="002C1108" w:rsidRDefault="007036AE" w:rsidP="007400E6">
          <w:pPr>
            <w:pStyle w:val="TOC2"/>
            <w:spacing w:before="0" w:after="0" w:line="276" w:lineRule="auto"/>
            <w:rPr>
              <w:rFonts w:eastAsiaTheme="minorEastAsia" w:cs="Arial"/>
              <w:noProof/>
              <w:spacing w:val="0"/>
              <w:sz w:val="22"/>
              <w:szCs w:val="22"/>
            </w:rPr>
          </w:pPr>
          <w:hyperlink w:anchor="_Toc70599654" w:history="1">
            <w:r w:rsidR="005D3464" w:rsidRPr="002C1108">
              <w:rPr>
                <w:rStyle w:val="Hyperlink"/>
                <w:rFonts w:eastAsiaTheme="majorEastAsia" w:cs="Arial"/>
                <w:noProof/>
                <w:szCs w:val="22"/>
              </w:rPr>
              <w:t>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Preface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5</w:t>
            </w:r>
            <w:r w:rsidR="005D3464" w:rsidRPr="002C1108">
              <w:rPr>
                <w:rFonts w:cs="Arial"/>
                <w:noProof/>
                <w:webHidden/>
                <w:sz w:val="22"/>
                <w:szCs w:val="22"/>
              </w:rPr>
              <w:fldChar w:fldCharType="end"/>
            </w:r>
          </w:hyperlink>
        </w:p>
        <w:p w14:paraId="6851242D" w14:textId="03630435" w:rsidR="005D3464" w:rsidRPr="002C1108" w:rsidRDefault="007036AE" w:rsidP="007400E6">
          <w:pPr>
            <w:pStyle w:val="TOC2"/>
            <w:spacing w:before="0" w:after="0" w:line="276" w:lineRule="auto"/>
            <w:rPr>
              <w:rFonts w:eastAsiaTheme="minorEastAsia" w:cs="Arial"/>
              <w:noProof/>
              <w:spacing w:val="0"/>
              <w:sz w:val="22"/>
              <w:szCs w:val="22"/>
            </w:rPr>
          </w:pPr>
          <w:hyperlink w:anchor="_Toc70599655" w:history="1">
            <w:r w:rsidR="005D3464" w:rsidRPr="002C1108">
              <w:rPr>
                <w:rStyle w:val="Hyperlink"/>
                <w:rFonts w:eastAsiaTheme="majorEastAsia" w:cs="Arial"/>
                <w:noProof/>
                <w:szCs w:val="22"/>
              </w:rPr>
              <w:t>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Community Mental Health – Family Mental Health Support Services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6</w:t>
            </w:r>
            <w:r w:rsidR="005D3464" w:rsidRPr="002C1108">
              <w:rPr>
                <w:rFonts w:cs="Arial"/>
                <w:noProof/>
                <w:webHidden/>
                <w:sz w:val="22"/>
                <w:szCs w:val="22"/>
              </w:rPr>
              <w:fldChar w:fldCharType="end"/>
            </w:r>
          </w:hyperlink>
        </w:p>
        <w:p w14:paraId="0BE5B70F" w14:textId="3FB2BB1E" w:rsidR="005D3464" w:rsidRPr="002C1108" w:rsidRDefault="007036AE" w:rsidP="007400E6">
          <w:pPr>
            <w:pStyle w:val="TOC1"/>
            <w:spacing w:before="0" w:after="0" w:line="276" w:lineRule="auto"/>
            <w:rPr>
              <w:rFonts w:eastAsiaTheme="minorEastAsia" w:cs="Arial"/>
              <w:noProof/>
              <w:spacing w:val="0"/>
              <w:sz w:val="22"/>
              <w:szCs w:val="22"/>
            </w:rPr>
          </w:pPr>
          <w:hyperlink w:anchor="_Toc70599656" w:history="1">
            <w:r w:rsidR="005D3464" w:rsidRPr="002C1108">
              <w:rPr>
                <w:rStyle w:val="Hyperlink"/>
                <w:rFonts w:eastAsiaTheme="majorEastAsia" w:cs="Arial"/>
                <w:noProof/>
                <w:szCs w:val="22"/>
              </w:rPr>
              <w:t>2.1.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Overview</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6</w:t>
            </w:r>
            <w:r w:rsidR="005D3464" w:rsidRPr="002C1108">
              <w:rPr>
                <w:rFonts w:cs="Arial"/>
                <w:noProof/>
                <w:webHidden/>
                <w:sz w:val="22"/>
                <w:szCs w:val="22"/>
              </w:rPr>
              <w:fldChar w:fldCharType="end"/>
            </w:r>
          </w:hyperlink>
        </w:p>
        <w:p w14:paraId="06AC635D" w14:textId="7D51ED34" w:rsidR="005D3464" w:rsidRPr="002C1108" w:rsidRDefault="007036AE" w:rsidP="007400E6">
          <w:pPr>
            <w:pStyle w:val="TOC1"/>
            <w:spacing w:before="0" w:after="0" w:line="276" w:lineRule="auto"/>
            <w:rPr>
              <w:rFonts w:eastAsiaTheme="minorEastAsia" w:cs="Arial"/>
              <w:noProof/>
              <w:spacing w:val="0"/>
              <w:sz w:val="22"/>
              <w:szCs w:val="22"/>
            </w:rPr>
          </w:pPr>
          <w:hyperlink w:anchor="_Toc70599657" w:history="1">
            <w:r w:rsidR="005D3464" w:rsidRPr="002C1108">
              <w:rPr>
                <w:rStyle w:val="Hyperlink"/>
                <w:rFonts w:eastAsiaTheme="majorEastAsia" w:cs="Arial"/>
                <w:noProof/>
                <w:szCs w:val="22"/>
              </w:rPr>
              <w:t>2.2.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Aims and Objectives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6</w:t>
            </w:r>
            <w:r w:rsidR="005D3464" w:rsidRPr="002C1108">
              <w:rPr>
                <w:rFonts w:cs="Arial"/>
                <w:noProof/>
                <w:webHidden/>
                <w:sz w:val="22"/>
                <w:szCs w:val="22"/>
              </w:rPr>
              <w:fldChar w:fldCharType="end"/>
            </w:r>
          </w:hyperlink>
        </w:p>
        <w:p w14:paraId="1E6CA102" w14:textId="3AE9EB9A" w:rsidR="005D3464" w:rsidRPr="002C1108" w:rsidRDefault="007036AE" w:rsidP="007400E6">
          <w:pPr>
            <w:pStyle w:val="TOC2"/>
            <w:spacing w:before="0" w:after="0" w:line="276" w:lineRule="auto"/>
            <w:rPr>
              <w:rFonts w:eastAsiaTheme="minorEastAsia" w:cs="Arial"/>
              <w:noProof/>
              <w:spacing w:val="0"/>
              <w:sz w:val="22"/>
              <w:szCs w:val="22"/>
            </w:rPr>
          </w:pPr>
          <w:hyperlink w:anchor="_Toc70599658" w:history="1">
            <w:r w:rsidR="005D3464" w:rsidRPr="002C1108">
              <w:rPr>
                <w:rStyle w:val="Hyperlink"/>
                <w:rFonts w:eastAsiaTheme="majorEastAsia" w:cs="Arial"/>
                <w:noProof/>
                <w:szCs w:val="22"/>
              </w:rPr>
              <w:t>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Service Delivery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7</w:t>
            </w:r>
            <w:r w:rsidR="005D3464" w:rsidRPr="002C1108">
              <w:rPr>
                <w:rFonts w:cs="Arial"/>
                <w:noProof/>
                <w:webHidden/>
                <w:sz w:val="22"/>
                <w:szCs w:val="22"/>
              </w:rPr>
              <w:fldChar w:fldCharType="end"/>
            </w:r>
          </w:hyperlink>
        </w:p>
        <w:p w14:paraId="4869825F" w14:textId="16B69F60" w:rsidR="005D3464" w:rsidRPr="002C1108" w:rsidRDefault="007036AE" w:rsidP="007400E6">
          <w:pPr>
            <w:pStyle w:val="TOC1"/>
            <w:spacing w:before="0" w:after="0" w:line="276" w:lineRule="auto"/>
            <w:rPr>
              <w:rFonts w:eastAsiaTheme="minorEastAsia" w:cs="Arial"/>
              <w:noProof/>
              <w:spacing w:val="0"/>
              <w:sz w:val="22"/>
              <w:szCs w:val="22"/>
            </w:rPr>
          </w:pPr>
          <w:hyperlink w:anchor="_Toc70599659" w:history="1">
            <w:r w:rsidR="005D3464" w:rsidRPr="002C1108">
              <w:rPr>
                <w:rStyle w:val="Hyperlink"/>
                <w:rFonts w:eastAsiaTheme="majorEastAsia" w:cs="Arial"/>
                <w:noProof/>
                <w:szCs w:val="22"/>
              </w:rPr>
              <w:t>3.1.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Service delivery model</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_Toc70599659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7</w:t>
            </w:r>
            <w:r w:rsidR="005D3464" w:rsidRPr="002C1108">
              <w:rPr>
                <w:rFonts w:cs="Arial"/>
                <w:noProof/>
                <w:webHidden/>
                <w:sz w:val="22"/>
                <w:szCs w:val="22"/>
              </w:rPr>
              <w:fldChar w:fldCharType="end"/>
            </w:r>
          </w:hyperlink>
        </w:p>
        <w:p w14:paraId="12BB5CA4" w14:textId="428B0869" w:rsidR="005D3464" w:rsidRPr="002C1108" w:rsidRDefault="007036AE" w:rsidP="007400E6">
          <w:pPr>
            <w:pStyle w:val="TOC1"/>
            <w:spacing w:before="0" w:after="0" w:line="276" w:lineRule="auto"/>
            <w:rPr>
              <w:rFonts w:eastAsiaTheme="minorEastAsia" w:cs="Arial"/>
              <w:noProof/>
              <w:spacing w:val="0"/>
              <w:sz w:val="22"/>
              <w:szCs w:val="22"/>
            </w:rPr>
          </w:pPr>
          <w:hyperlink w:anchor="_Toc70599660" w:history="1">
            <w:r w:rsidR="005D3464" w:rsidRPr="002C1108">
              <w:rPr>
                <w:rStyle w:val="Hyperlink"/>
                <w:rFonts w:eastAsiaTheme="majorEastAsia" w:cs="Arial"/>
                <w:noProof/>
                <w:szCs w:val="22"/>
              </w:rPr>
              <w:t>3.2.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Service delivery principles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8</w:t>
            </w:r>
            <w:r w:rsidR="005D3464" w:rsidRPr="002C1108">
              <w:rPr>
                <w:rFonts w:cs="Arial"/>
                <w:noProof/>
                <w:webHidden/>
                <w:sz w:val="22"/>
                <w:szCs w:val="22"/>
              </w:rPr>
              <w:fldChar w:fldCharType="end"/>
            </w:r>
          </w:hyperlink>
        </w:p>
        <w:p w14:paraId="38DDC929" w14:textId="0FCC7253" w:rsidR="005D3464" w:rsidRPr="002C1108" w:rsidRDefault="007036AE" w:rsidP="007400E6">
          <w:pPr>
            <w:pStyle w:val="TOC1"/>
            <w:spacing w:before="0" w:after="0" w:line="360" w:lineRule="auto"/>
            <w:rPr>
              <w:rFonts w:eastAsiaTheme="minorEastAsia" w:cs="Arial"/>
              <w:noProof/>
              <w:spacing w:val="0"/>
              <w:sz w:val="22"/>
              <w:szCs w:val="22"/>
            </w:rPr>
          </w:pPr>
          <w:hyperlink w:anchor="_Toc70599661" w:history="1">
            <w:r w:rsidR="005D3464" w:rsidRPr="002C1108">
              <w:rPr>
                <w:rStyle w:val="Hyperlink"/>
                <w:rFonts w:eastAsiaTheme="majorEastAsia" w:cs="Arial"/>
                <w:noProof/>
                <w:szCs w:val="22"/>
              </w:rPr>
              <w:t>3.3.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Service Area</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9</w:t>
            </w:r>
            <w:r w:rsidR="005D3464" w:rsidRPr="002C1108">
              <w:rPr>
                <w:rFonts w:cs="Arial"/>
                <w:noProof/>
                <w:webHidden/>
                <w:sz w:val="22"/>
                <w:szCs w:val="22"/>
              </w:rPr>
              <w:fldChar w:fldCharType="end"/>
            </w:r>
          </w:hyperlink>
        </w:p>
        <w:p w14:paraId="2F7AEB9C" w14:textId="14C923EC" w:rsidR="005D3464" w:rsidRPr="002C1108" w:rsidRDefault="007036AE" w:rsidP="007400E6">
          <w:pPr>
            <w:pStyle w:val="TOC1"/>
            <w:spacing w:before="0" w:after="0" w:line="276" w:lineRule="auto"/>
            <w:rPr>
              <w:rFonts w:eastAsiaTheme="minorEastAsia" w:cs="Arial"/>
              <w:noProof/>
              <w:spacing w:val="0"/>
              <w:sz w:val="22"/>
              <w:szCs w:val="22"/>
            </w:rPr>
          </w:pPr>
          <w:hyperlink w:anchor="_Toc70599662" w:history="1">
            <w:r w:rsidR="005D3464" w:rsidRPr="002C1108">
              <w:rPr>
                <w:rStyle w:val="Hyperlink"/>
                <w:rFonts w:eastAsiaTheme="majorEastAsia" w:cs="Arial"/>
                <w:noProof/>
                <w:szCs w:val="22"/>
              </w:rPr>
              <w:t>3.4.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Flexibility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10</w:t>
            </w:r>
            <w:r w:rsidR="005D3464" w:rsidRPr="002C1108">
              <w:rPr>
                <w:rFonts w:cs="Arial"/>
                <w:noProof/>
                <w:webHidden/>
                <w:sz w:val="22"/>
                <w:szCs w:val="22"/>
              </w:rPr>
              <w:fldChar w:fldCharType="end"/>
            </w:r>
          </w:hyperlink>
        </w:p>
        <w:p w14:paraId="19AD7E9D" w14:textId="0BAC531A" w:rsidR="005D3464" w:rsidRPr="002C1108" w:rsidRDefault="007036AE" w:rsidP="007400E6">
          <w:pPr>
            <w:pStyle w:val="TOC1"/>
            <w:spacing w:before="0" w:after="0" w:line="276" w:lineRule="auto"/>
            <w:rPr>
              <w:rFonts w:eastAsiaTheme="minorEastAsia" w:cs="Arial"/>
              <w:noProof/>
              <w:spacing w:val="0"/>
              <w:sz w:val="22"/>
              <w:szCs w:val="22"/>
            </w:rPr>
          </w:pPr>
          <w:hyperlink w:anchor="_Toc70599663" w:history="1">
            <w:r w:rsidR="005D3464" w:rsidRPr="002C1108">
              <w:rPr>
                <w:rStyle w:val="Hyperlink"/>
                <w:rFonts w:eastAsiaTheme="majorEastAsia" w:cs="Arial"/>
                <w:noProof/>
                <w:szCs w:val="22"/>
              </w:rPr>
              <w:t>3.5.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Using grant funding</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10</w:t>
            </w:r>
            <w:r w:rsidR="005D3464" w:rsidRPr="002C1108">
              <w:rPr>
                <w:rFonts w:cs="Arial"/>
                <w:noProof/>
                <w:webHidden/>
                <w:sz w:val="22"/>
                <w:szCs w:val="22"/>
              </w:rPr>
              <w:fldChar w:fldCharType="end"/>
            </w:r>
          </w:hyperlink>
        </w:p>
        <w:p w14:paraId="2FDF16B1" w14:textId="3A2FF1D1" w:rsidR="005D3464" w:rsidRPr="002C1108" w:rsidRDefault="007036AE" w:rsidP="007400E6">
          <w:pPr>
            <w:pStyle w:val="TOC1"/>
            <w:spacing w:before="0" w:after="0" w:line="276" w:lineRule="auto"/>
            <w:rPr>
              <w:rFonts w:eastAsiaTheme="minorEastAsia" w:cs="Arial"/>
              <w:noProof/>
              <w:spacing w:val="0"/>
              <w:sz w:val="22"/>
              <w:szCs w:val="22"/>
            </w:rPr>
          </w:pPr>
          <w:hyperlink w:anchor="_Toc70599664" w:history="1">
            <w:r w:rsidR="005D3464" w:rsidRPr="002C1108">
              <w:rPr>
                <w:rStyle w:val="Hyperlink"/>
                <w:rFonts w:eastAsiaTheme="majorEastAsia" w:cs="Arial"/>
                <w:noProof/>
                <w:szCs w:val="22"/>
              </w:rPr>
              <w:t>3.6.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Subcontracting</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11</w:t>
            </w:r>
            <w:r w:rsidR="005D3464" w:rsidRPr="002C1108">
              <w:rPr>
                <w:rFonts w:cs="Arial"/>
                <w:noProof/>
                <w:webHidden/>
                <w:sz w:val="22"/>
                <w:szCs w:val="22"/>
              </w:rPr>
              <w:fldChar w:fldCharType="end"/>
            </w:r>
          </w:hyperlink>
        </w:p>
        <w:p w14:paraId="1C764CFC" w14:textId="6BB60E0C" w:rsidR="005D3464" w:rsidRPr="002C1108" w:rsidRDefault="007036AE" w:rsidP="007400E6">
          <w:pPr>
            <w:pStyle w:val="TOC1"/>
            <w:spacing w:before="0" w:after="0" w:line="276" w:lineRule="auto"/>
            <w:rPr>
              <w:rFonts w:eastAsiaTheme="minorEastAsia" w:cs="Arial"/>
              <w:noProof/>
              <w:spacing w:val="0"/>
              <w:sz w:val="22"/>
              <w:szCs w:val="22"/>
            </w:rPr>
          </w:pPr>
          <w:hyperlink w:anchor="_Toc70599665" w:history="1">
            <w:r w:rsidR="005D3464" w:rsidRPr="002C1108">
              <w:rPr>
                <w:rStyle w:val="Hyperlink"/>
                <w:rFonts w:eastAsiaTheme="majorEastAsia" w:cs="Arial"/>
                <w:noProof/>
                <w:szCs w:val="22"/>
              </w:rPr>
              <w:t>3.7.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Collaboration with other agencies and services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11</w:t>
            </w:r>
            <w:r w:rsidR="005D3464" w:rsidRPr="002C1108">
              <w:rPr>
                <w:rFonts w:cs="Arial"/>
                <w:noProof/>
                <w:webHidden/>
                <w:sz w:val="22"/>
                <w:szCs w:val="22"/>
              </w:rPr>
              <w:fldChar w:fldCharType="end"/>
            </w:r>
          </w:hyperlink>
        </w:p>
        <w:p w14:paraId="01741A5F" w14:textId="09F56F65" w:rsidR="005D3464" w:rsidRPr="002C1108" w:rsidRDefault="007036AE" w:rsidP="007400E6">
          <w:pPr>
            <w:pStyle w:val="TOC1"/>
            <w:spacing w:before="0" w:after="0" w:line="276" w:lineRule="auto"/>
            <w:rPr>
              <w:rFonts w:eastAsiaTheme="minorEastAsia" w:cs="Arial"/>
              <w:noProof/>
              <w:spacing w:val="0"/>
              <w:sz w:val="22"/>
              <w:szCs w:val="22"/>
            </w:rPr>
          </w:pPr>
          <w:hyperlink w:anchor="_Toc70599666" w:history="1">
            <w:r w:rsidR="005D3464" w:rsidRPr="002C1108">
              <w:rPr>
                <w:rStyle w:val="Hyperlink"/>
                <w:rFonts w:eastAsiaTheme="majorEastAsia" w:cs="Arial"/>
                <w:noProof/>
                <w:szCs w:val="22"/>
              </w:rPr>
              <w:t>3.8.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Communication and Promotion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12</w:t>
            </w:r>
            <w:r w:rsidR="005D3464" w:rsidRPr="002C1108">
              <w:rPr>
                <w:rFonts w:cs="Arial"/>
                <w:noProof/>
                <w:webHidden/>
                <w:sz w:val="22"/>
                <w:szCs w:val="22"/>
              </w:rPr>
              <w:fldChar w:fldCharType="end"/>
            </w:r>
          </w:hyperlink>
        </w:p>
        <w:p w14:paraId="5E24522D" w14:textId="6E66E817" w:rsidR="005D3464" w:rsidRPr="002C1108" w:rsidRDefault="007036AE" w:rsidP="007400E6">
          <w:pPr>
            <w:pStyle w:val="TOC2"/>
            <w:spacing w:before="0" w:after="0" w:line="276" w:lineRule="auto"/>
            <w:rPr>
              <w:rFonts w:eastAsiaTheme="minorEastAsia" w:cs="Arial"/>
              <w:noProof/>
              <w:spacing w:val="0"/>
              <w:sz w:val="22"/>
              <w:szCs w:val="22"/>
            </w:rPr>
          </w:pPr>
          <w:hyperlink w:anchor="_Toc70599667" w:history="1">
            <w:r w:rsidR="005D3464" w:rsidRPr="002C1108">
              <w:rPr>
                <w:rStyle w:val="Hyperlink"/>
                <w:rFonts w:eastAsiaTheme="majorEastAsia" w:cs="Arial"/>
                <w:noProof/>
                <w:szCs w:val="22"/>
              </w:rPr>
              <w:t>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Working with Clients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13</w:t>
            </w:r>
            <w:r w:rsidR="005D3464" w:rsidRPr="002C1108">
              <w:rPr>
                <w:rFonts w:cs="Arial"/>
                <w:noProof/>
                <w:webHidden/>
                <w:sz w:val="22"/>
                <w:szCs w:val="22"/>
              </w:rPr>
              <w:fldChar w:fldCharType="end"/>
            </w:r>
          </w:hyperlink>
        </w:p>
        <w:p w14:paraId="327173DF" w14:textId="1CBDA415" w:rsidR="005D3464" w:rsidRPr="002C1108" w:rsidRDefault="007036AE" w:rsidP="007400E6">
          <w:pPr>
            <w:pStyle w:val="TOC1"/>
            <w:spacing w:before="0" w:after="0" w:line="276" w:lineRule="auto"/>
            <w:rPr>
              <w:rFonts w:eastAsiaTheme="minorEastAsia" w:cs="Arial"/>
              <w:noProof/>
              <w:spacing w:val="0"/>
              <w:sz w:val="22"/>
              <w:szCs w:val="22"/>
            </w:rPr>
          </w:pPr>
          <w:hyperlink w:anchor="_Toc70599668" w:history="1">
            <w:r w:rsidR="005D3464" w:rsidRPr="002C1108">
              <w:rPr>
                <w:rStyle w:val="Hyperlink"/>
                <w:rFonts w:eastAsiaTheme="majorEastAsia" w:cs="Arial"/>
                <w:noProof/>
                <w:szCs w:val="22"/>
              </w:rPr>
              <w:t>4.1.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Participant eligibility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13</w:t>
            </w:r>
            <w:r w:rsidR="005D3464" w:rsidRPr="002C1108">
              <w:rPr>
                <w:rFonts w:cs="Arial"/>
                <w:noProof/>
                <w:webHidden/>
                <w:sz w:val="22"/>
                <w:szCs w:val="22"/>
              </w:rPr>
              <w:fldChar w:fldCharType="end"/>
            </w:r>
          </w:hyperlink>
        </w:p>
        <w:p w14:paraId="45770A0D" w14:textId="39D16D2B" w:rsidR="005D3464" w:rsidRPr="002C1108" w:rsidRDefault="007036AE" w:rsidP="007400E6">
          <w:pPr>
            <w:pStyle w:val="TOC1"/>
            <w:spacing w:before="0" w:after="0" w:line="276" w:lineRule="auto"/>
            <w:rPr>
              <w:rFonts w:eastAsiaTheme="minorEastAsia" w:cs="Arial"/>
              <w:noProof/>
              <w:spacing w:val="0"/>
              <w:sz w:val="22"/>
              <w:szCs w:val="22"/>
            </w:rPr>
          </w:pPr>
          <w:hyperlink w:anchor="_Toc70599669" w:history="1">
            <w:r w:rsidR="005D3464" w:rsidRPr="002C1108">
              <w:rPr>
                <w:rStyle w:val="Hyperlink"/>
                <w:rFonts w:eastAsiaTheme="majorEastAsia" w:cs="Arial"/>
                <w:noProof/>
                <w:szCs w:val="22"/>
              </w:rPr>
              <w:t>4.2.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Accessibility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_Toc70599669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14</w:t>
            </w:r>
            <w:r w:rsidR="005D3464" w:rsidRPr="002C1108">
              <w:rPr>
                <w:rFonts w:cs="Arial"/>
                <w:noProof/>
                <w:webHidden/>
                <w:sz w:val="22"/>
                <w:szCs w:val="22"/>
              </w:rPr>
              <w:fldChar w:fldCharType="end"/>
            </w:r>
          </w:hyperlink>
        </w:p>
        <w:p w14:paraId="02C97EFA" w14:textId="25A003BB" w:rsidR="005D3464" w:rsidRPr="002C1108" w:rsidRDefault="007036AE" w:rsidP="007400E6">
          <w:pPr>
            <w:pStyle w:val="TOC1"/>
            <w:spacing w:before="0" w:after="0" w:line="276" w:lineRule="auto"/>
            <w:rPr>
              <w:rFonts w:eastAsiaTheme="minorEastAsia" w:cs="Arial"/>
              <w:noProof/>
              <w:spacing w:val="0"/>
              <w:sz w:val="22"/>
              <w:szCs w:val="22"/>
            </w:rPr>
          </w:pPr>
          <w:hyperlink w:anchor="_Toc70599670" w:history="1">
            <w:r w:rsidR="005D3464" w:rsidRPr="002C1108">
              <w:rPr>
                <w:rStyle w:val="Hyperlink"/>
                <w:rFonts w:eastAsiaTheme="majorEastAsia" w:cs="Arial"/>
                <w:noProof/>
                <w:szCs w:val="22"/>
              </w:rPr>
              <w:t>4.3.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Priority target groups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14</w:t>
            </w:r>
            <w:r w:rsidR="005D3464" w:rsidRPr="002C1108">
              <w:rPr>
                <w:rFonts w:cs="Arial"/>
                <w:noProof/>
                <w:webHidden/>
                <w:sz w:val="22"/>
                <w:szCs w:val="22"/>
              </w:rPr>
              <w:fldChar w:fldCharType="end"/>
            </w:r>
          </w:hyperlink>
        </w:p>
        <w:p w14:paraId="0718DFAA" w14:textId="6E599C43" w:rsidR="005D3464" w:rsidRPr="002C1108" w:rsidRDefault="007036AE" w:rsidP="007400E6">
          <w:pPr>
            <w:pStyle w:val="TOC1"/>
            <w:spacing w:before="0" w:after="0" w:line="276" w:lineRule="auto"/>
            <w:rPr>
              <w:rFonts w:eastAsiaTheme="minorEastAsia" w:cs="Arial"/>
              <w:noProof/>
              <w:spacing w:val="0"/>
              <w:sz w:val="22"/>
              <w:szCs w:val="22"/>
            </w:rPr>
          </w:pPr>
          <w:hyperlink w:anchor="_Toc70599671" w:history="1">
            <w:r w:rsidR="005D3464" w:rsidRPr="002C1108">
              <w:rPr>
                <w:rStyle w:val="Hyperlink"/>
                <w:rFonts w:eastAsiaTheme="majorEastAsia" w:cs="Arial"/>
                <w:noProof/>
                <w:szCs w:val="22"/>
              </w:rPr>
              <w:t>4.4.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Assessing need</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15</w:t>
            </w:r>
            <w:r w:rsidR="005D3464" w:rsidRPr="002C1108">
              <w:rPr>
                <w:rFonts w:cs="Arial"/>
                <w:noProof/>
                <w:webHidden/>
                <w:sz w:val="22"/>
                <w:szCs w:val="22"/>
              </w:rPr>
              <w:fldChar w:fldCharType="end"/>
            </w:r>
          </w:hyperlink>
        </w:p>
        <w:p w14:paraId="604941FE" w14:textId="0CC9182A" w:rsidR="005D3464" w:rsidRPr="002C1108" w:rsidRDefault="007036AE" w:rsidP="007400E6">
          <w:pPr>
            <w:pStyle w:val="TOC1"/>
            <w:spacing w:before="0" w:after="0" w:line="276" w:lineRule="auto"/>
            <w:rPr>
              <w:rFonts w:eastAsiaTheme="minorEastAsia" w:cs="Arial"/>
              <w:noProof/>
              <w:spacing w:val="0"/>
              <w:sz w:val="22"/>
              <w:szCs w:val="22"/>
            </w:rPr>
          </w:pPr>
          <w:hyperlink w:anchor="_Toc70599672" w:history="1">
            <w:r w:rsidR="005D3464" w:rsidRPr="002C1108">
              <w:rPr>
                <w:rStyle w:val="Hyperlink"/>
                <w:rFonts w:eastAsiaTheme="majorEastAsia" w:cs="Arial"/>
                <w:noProof/>
                <w:szCs w:val="22"/>
              </w:rPr>
              <w:t>4.5.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Referral practices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15</w:t>
            </w:r>
            <w:r w:rsidR="005D3464" w:rsidRPr="002C1108">
              <w:rPr>
                <w:rFonts w:cs="Arial"/>
                <w:noProof/>
                <w:webHidden/>
                <w:sz w:val="22"/>
                <w:szCs w:val="22"/>
              </w:rPr>
              <w:fldChar w:fldCharType="end"/>
            </w:r>
          </w:hyperlink>
        </w:p>
        <w:p w14:paraId="757597CF" w14:textId="29BB6EDA" w:rsidR="005D3464" w:rsidRPr="002C1108" w:rsidRDefault="007036AE" w:rsidP="007400E6">
          <w:pPr>
            <w:pStyle w:val="TOC1"/>
            <w:spacing w:before="0" w:after="0" w:line="276" w:lineRule="auto"/>
            <w:rPr>
              <w:rFonts w:eastAsiaTheme="minorEastAsia" w:cs="Arial"/>
              <w:noProof/>
              <w:spacing w:val="0"/>
              <w:sz w:val="22"/>
              <w:szCs w:val="22"/>
            </w:rPr>
          </w:pPr>
          <w:hyperlink w:anchor="_Toc70599673" w:history="1">
            <w:r w:rsidR="005D3464" w:rsidRPr="002C1108">
              <w:rPr>
                <w:rStyle w:val="Hyperlink"/>
                <w:rFonts w:eastAsiaTheme="majorEastAsia" w:cs="Arial"/>
                <w:noProof/>
                <w:szCs w:val="22"/>
              </w:rPr>
              <w:t>4.6.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Required qualifications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15</w:t>
            </w:r>
            <w:r w:rsidR="005D3464" w:rsidRPr="002C1108">
              <w:rPr>
                <w:rFonts w:cs="Arial"/>
                <w:noProof/>
                <w:webHidden/>
                <w:sz w:val="22"/>
                <w:szCs w:val="22"/>
              </w:rPr>
              <w:fldChar w:fldCharType="end"/>
            </w:r>
          </w:hyperlink>
        </w:p>
        <w:p w14:paraId="3B4DDC5B" w14:textId="70D1EFAA" w:rsidR="005D3464" w:rsidRPr="002C1108" w:rsidRDefault="007036AE" w:rsidP="007400E6">
          <w:pPr>
            <w:pStyle w:val="TOC1"/>
            <w:spacing w:before="0" w:after="0" w:line="276" w:lineRule="auto"/>
            <w:rPr>
              <w:rFonts w:eastAsiaTheme="minorEastAsia" w:cs="Arial"/>
              <w:noProof/>
              <w:spacing w:val="0"/>
              <w:sz w:val="22"/>
              <w:szCs w:val="22"/>
            </w:rPr>
          </w:pPr>
          <w:hyperlink w:anchor="_Toc70599674" w:history="1">
            <w:r w:rsidR="005D3464" w:rsidRPr="002C1108">
              <w:rPr>
                <w:rStyle w:val="Hyperlink"/>
                <w:rFonts w:eastAsiaTheme="majorEastAsia" w:cs="Arial"/>
                <w:noProof/>
                <w:szCs w:val="22"/>
              </w:rPr>
              <w:t>4.7.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Clients Exiting FMHSS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16</w:t>
            </w:r>
            <w:r w:rsidR="005D3464" w:rsidRPr="002C1108">
              <w:rPr>
                <w:rFonts w:cs="Arial"/>
                <w:noProof/>
                <w:webHidden/>
                <w:sz w:val="22"/>
                <w:szCs w:val="22"/>
              </w:rPr>
              <w:fldChar w:fldCharType="end"/>
            </w:r>
          </w:hyperlink>
        </w:p>
        <w:p w14:paraId="350B6826" w14:textId="119D08CA" w:rsidR="005D3464" w:rsidRPr="002C1108" w:rsidRDefault="007036AE" w:rsidP="007400E6">
          <w:pPr>
            <w:pStyle w:val="TOC1"/>
            <w:spacing w:before="0" w:after="0" w:line="276" w:lineRule="auto"/>
            <w:rPr>
              <w:rFonts w:eastAsiaTheme="minorEastAsia" w:cs="Arial"/>
              <w:noProof/>
              <w:spacing w:val="0"/>
              <w:sz w:val="22"/>
              <w:szCs w:val="22"/>
            </w:rPr>
          </w:pPr>
          <w:hyperlink w:anchor="_Toc70599675" w:history="1">
            <w:r w:rsidR="005D3464" w:rsidRPr="002C1108">
              <w:rPr>
                <w:rStyle w:val="Hyperlink"/>
                <w:rFonts w:eastAsiaTheme="majorEastAsia" w:cs="Arial"/>
                <w:noProof/>
                <w:szCs w:val="22"/>
              </w:rPr>
              <w:t>4.8.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Refusal of service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16</w:t>
            </w:r>
            <w:r w:rsidR="005D3464" w:rsidRPr="002C1108">
              <w:rPr>
                <w:rFonts w:cs="Arial"/>
                <w:noProof/>
                <w:webHidden/>
                <w:sz w:val="22"/>
                <w:szCs w:val="22"/>
              </w:rPr>
              <w:fldChar w:fldCharType="end"/>
            </w:r>
          </w:hyperlink>
        </w:p>
        <w:p w14:paraId="11A75286" w14:textId="1728F9F3" w:rsidR="005D3464" w:rsidRPr="002C1108" w:rsidRDefault="007036AE" w:rsidP="007400E6">
          <w:pPr>
            <w:pStyle w:val="TOC1"/>
            <w:spacing w:before="0" w:after="0" w:line="276" w:lineRule="auto"/>
            <w:rPr>
              <w:rFonts w:eastAsiaTheme="minorEastAsia" w:cs="Arial"/>
              <w:noProof/>
              <w:spacing w:val="0"/>
              <w:sz w:val="22"/>
              <w:szCs w:val="22"/>
            </w:rPr>
          </w:pPr>
          <w:hyperlink w:anchor="_Toc70599676" w:history="1">
            <w:r w:rsidR="005D3464" w:rsidRPr="002C1108">
              <w:rPr>
                <w:rStyle w:val="Hyperlink"/>
                <w:rFonts w:eastAsiaTheme="majorEastAsia" w:cs="Arial"/>
                <w:noProof/>
                <w:szCs w:val="22"/>
              </w:rPr>
              <w:t>4.9.</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Safety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16</w:t>
            </w:r>
            <w:r w:rsidR="005D3464" w:rsidRPr="002C1108">
              <w:rPr>
                <w:rFonts w:cs="Arial"/>
                <w:noProof/>
                <w:webHidden/>
                <w:sz w:val="22"/>
                <w:szCs w:val="22"/>
              </w:rPr>
              <w:fldChar w:fldCharType="end"/>
            </w:r>
          </w:hyperlink>
        </w:p>
        <w:p w14:paraId="5B15948D" w14:textId="7C41686E" w:rsidR="005D3464" w:rsidRPr="002C1108" w:rsidRDefault="007036AE" w:rsidP="007400E6">
          <w:pPr>
            <w:pStyle w:val="TOC1"/>
            <w:spacing w:before="0" w:after="0" w:line="276" w:lineRule="auto"/>
            <w:rPr>
              <w:rFonts w:eastAsiaTheme="minorEastAsia" w:cs="Arial"/>
              <w:noProof/>
              <w:spacing w:val="0"/>
              <w:sz w:val="22"/>
              <w:szCs w:val="22"/>
            </w:rPr>
          </w:pPr>
          <w:hyperlink w:anchor="_Toc70599677" w:history="1">
            <w:r w:rsidR="005D3464" w:rsidRPr="002C1108">
              <w:rPr>
                <w:rStyle w:val="Hyperlink"/>
                <w:rFonts w:eastAsiaTheme="majorEastAsia" w:cs="Arial"/>
                <w:noProof/>
                <w:szCs w:val="22"/>
              </w:rPr>
              <w:t>4.10.</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Commonwealth Child Safe Framework</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16</w:t>
            </w:r>
            <w:r w:rsidR="005D3464" w:rsidRPr="002C1108">
              <w:rPr>
                <w:rFonts w:cs="Arial"/>
                <w:noProof/>
                <w:webHidden/>
                <w:sz w:val="22"/>
                <w:szCs w:val="22"/>
              </w:rPr>
              <w:fldChar w:fldCharType="end"/>
            </w:r>
          </w:hyperlink>
        </w:p>
        <w:p w14:paraId="65F0D610" w14:textId="4399505B" w:rsidR="005D3464" w:rsidRPr="002C1108" w:rsidRDefault="007036AE" w:rsidP="007400E6">
          <w:pPr>
            <w:pStyle w:val="TOC1"/>
            <w:spacing w:before="0" w:after="0" w:line="276" w:lineRule="auto"/>
            <w:rPr>
              <w:rFonts w:eastAsiaTheme="minorEastAsia" w:cs="Arial"/>
              <w:noProof/>
              <w:spacing w:val="0"/>
              <w:sz w:val="22"/>
              <w:szCs w:val="22"/>
            </w:rPr>
          </w:pPr>
          <w:hyperlink w:anchor="_Toc70599678" w:history="1">
            <w:r w:rsidR="005D3464" w:rsidRPr="002C1108">
              <w:rPr>
                <w:rStyle w:val="Hyperlink"/>
                <w:rFonts w:eastAsiaTheme="majorEastAsia" w:cs="Arial"/>
                <w:noProof/>
                <w:szCs w:val="22"/>
              </w:rPr>
              <w:t>4.11.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Fees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17</w:t>
            </w:r>
            <w:r w:rsidR="005D3464" w:rsidRPr="002C1108">
              <w:rPr>
                <w:rFonts w:cs="Arial"/>
                <w:noProof/>
                <w:webHidden/>
                <w:sz w:val="22"/>
                <w:szCs w:val="22"/>
              </w:rPr>
              <w:fldChar w:fldCharType="end"/>
            </w:r>
          </w:hyperlink>
        </w:p>
        <w:p w14:paraId="635112C8" w14:textId="56301F05" w:rsidR="005D3464" w:rsidRPr="002C1108" w:rsidRDefault="007036AE" w:rsidP="007400E6">
          <w:pPr>
            <w:pStyle w:val="TOC1"/>
            <w:spacing w:before="0" w:after="0" w:line="276" w:lineRule="auto"/>
            <w:rPr>
              <w:rFonts w:eastAsiaTheme="minorEastAsia" w:cs="Arial"/>
              <w:noProof/>
              <w:spacing w:val="0"/>
              <w:sz w:val="22"/>
              <w:szCs w:val="22"/>
            </w:rPr>
          </w:pPr>
          <w:hyperlink w:anchor="_Toc70599679" w:history="1">
            <w:r w:rsidR="005D3464" w:rsidRPr="002C1108">
              <w:rPr>
                <w:rStyle w:val="Hyperlink"/>
                <w:rFonts w:eastAsiaTheme="majorEastAsia" w:cs="Arial"/>
                <w:noProof/>
                <w:szCs w:val="22"/>
              </w:rPr>
              <w:t>4.12.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Staff training and development</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_Toc70599679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17</w:t>
            </w:r>
            <w:r w:rsidR="005D3464" w:rsidRPr="002C1108">
              <w:rPr>
                <w:rFonts w:cs="Arial"/>
                <w:noProof/>
                <w:webHidden/>
                <w:sz w:val="22"/>
                <w:szCs w:val="22"/>
              </w:rPr>
              <w:fldChar w:fldCharType="end"/>
            </w:r>
          </w:hyperlink>
        </w:p>
        <w:p w14:paraId="384A5CDF" w14:textId="46867591" w:rsidR="005D3464" w:rsidRPr="002C1108" w:rsidRDefault="007036AE" w:rsidP="007400E6">
          <w:pPr>
            <w:pStyle w:val="TOC2"/>
            <w:spacing w:before="0" w:after="0" w:line="276" w:lineRule="auto"/>
            <w:rPr>
              <w:rFonts w:eastAsiaTheme="minorEastAsia" w:cs="Arial"/>
              <w:noProof/>
              <w:spacing w:val="0"/>
              <w:sz w:val="22"/>
              <w:szCs w:val="22"/>
            </w:rPr>
          </w:pPr>
          <w:hyperlink w:anchor="_Toc70599680" w:history="1">
            <w:r w:rsidR="005D3464" w:rsidRPr="002C1108">
              <w:rPr>
                <w:rStyle w:val="Hyperlink"/>
                <w:rFonts w:eastAsiaTheme="majorEastAsia" w:cs="Arial"/>
                <w:noProof/>
                <w:szCs w:val="22"/>
              </w:rPr>
              <w:t>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Governance and Support</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18</w:t>
            </w:r>
            <w:r w:rsidR="005D3464" w:rsidRPr="002C1108">
              <w:rPr>
                <w:rFonts w:cs="Arial"/>
                <w:noProof/>
                <w:webHidden/>
                <w:sz w:val="22"/>
                <w:szCs w:val="22"/>
              </w:rPr>
              <w:fldChar w:fldCharType="end"/>
            </w:r>
          </w:hyperlink>
        </w:p>
        <w:p w14:paraId="17D9A52A" w14:textId="07AC79DA" w:rsidR="005D3464" w:rsidRPr="002C1108" w:rsidRDefault="007036AE" w:rsidP="007400E6">
          <w:pPr>
            <w:pStyle w:val="TOC1"/>
            <w:spacing w:before="0" w:after="0" w:line="276" w:lineRule="auto"/>
            <w:rPr>
              <w:rFonts w:eastAsiaTheme="minorEastAsia" w:cs="Arial"/>
              <w:noProof/>
              <w:spacing w:val="0"/>
              <w:sz w:val="22"/>
              <w:szCs w:val="22"/>
            </w:rPr>
          </w:pPr>
          <w:hyperlink w:anchor="_Toc70599681" w:history="1">
            <w:r w:rsidR="005D3464" w:rsidRPr="002C1108">
              <w:rPr>
                <w:rStyle w:val="Hyperlink"/>
                <w:rFonts w:eastAsiaTheme="majorEastAsia" w:cs="Arial"/>
                <w:noProof/>
                <w:szCs w:val="22"/>
              </w:rPr>
              <w:t>5.1.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Support available to providers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18</w:t>
            </w:r>
            <w:r w:rsidR="005D3464" w:rsidRPr="002C1108">
              <w:rPr>
                <w:rFonts w:cs="Arial"/>
                <w:noProof/>
                <w:webHidden/>
                <w:sz w:val="22"/>
                <w:szCs w:val="22"/>
              </w:rPr>
              <w:fldChar w:fldCharType="end"/>
            </w:r>
          </w:hyperlink>
        </w:p>
        <w:p w14:paraId="13A2010C" w14:textId="5B4FA865" w:rsidR="005D3464" w:rsidRPr="002C1108" w:rsidRDefault="007036AE" w:rsidP="007400E6">
          <w:pPr>
            <w:pStyle w:val="TOC1"/>
            <w:spacing w:before="0" w:after="0" w:line="276" w:lineRule="auto"/>
            <w:rPr>
              <w:rFonts w:eastAsiaTheme="minorEastAsia" w:cs="Arial"/>
              <w:noProof/>
              <w:spacing w:val="0"/>
              <w:sz w:val="22"/>
              <w:szCs w:val="22"/>
            </w:rPr>
          </w:pPr>
          <w:hyperlink w:anchor="_Toc70599682" w:history="1">
            <w:r w:rsidR="005D3464" w:rsidRPr="002C1108">
              <w:rPr>
                <w:rStyle w:val="Hyperlink"/>
                <w:rFonts w:eastAsiaTheme="majorEastAsia" w:cs="Arial"/>
                <w:noProof/>
                <w:szCs w:val="22"/>
              </w:rPr>
              <w:t>5.2.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Compliance with Activity requirements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19</w:t>
            </w:r>
            <w:r w:rsidR="005D3464" w:rsidRPr="002C1108">
              <w:rPr>
                <w:rFonts w:cs="Arial"/>
                <w:noProof/>
                <w:webHidden/>
                <w:sz w:val="22"/>
                <w:szCs w:val="22"/>
              </w:rPr>
              <w:fldChar w:fldCharType="end"/>
            </w:r>
          </w:hyperlink>
        </w:p>
        <w:p w14:paraId="490ED318" w14:textId="74C52163" w:rsidR="005D3464" w:rsidRPr="002C1108" w:rsidRDefault="007036AE" w:rsidP="007400E6">
          <w:pPr>
            <w:pStyle w:val="TOC2"/>
            <w:spacing w:before="0" w:after="0" w:line="276" w:lineRule="auto"/>
            <w:rPr>
              <w:rFonts w:eastAsiaTheme="minorEastAsia" w:cs="Arial"/>
              <w:noProof/>
              <w:spacing w:val="0"/>
              <w:sz w:val="22"/>
              <w:szCs w:val="22"/>
            </w:rPr>
          </w:pPr>
          <w:hyperlink w:anchor="_Toc70599683" w:history="1">
            <w:r w:rsidR="005D3464" w:rsidRPr="002C1108">
              <w:rPr>
                <w:rStyle w:val="Hyperlink"/>
                <w:rFonts w:eastAsiaTheme="majorEastAsia" w:cs="Arial"/>
                <w:noProof/>
                <w:szCs w:val="22"/>
              </w:rPr>
              <w:t>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Funding</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20</w:t>
            </w:r>
            <w:r w:rsidR="005D3464" w:rsidRPr="002C1108">
              <w:rPr>
                <w:rFonts w:cs="Arial"/>
                <w:noProof/>
                <w:webHidden/>
                <w:sz w:val="22"/>
                <w:szCs w:val="22"/>
              </w:rPr>
              <w:fldChar w:fldCharType="end"/>
            </w:r>
          </w:hyperlink>
        </w:p>
        <w:p w14:paraId="58C5203A" w14:textId="68D95B40" w:rsidR="005D3464" w:rsidRPr="002C1108" w:rsidRDefault="007036AE" w:rsidP="007400E6">
          <w:pPr>
            <w:pStyle w:val="TOC1"/>
            <w:spacing w:before="0" w:after="0" w:line="276" w:lineRule="auto"/>
            <w:rPr>
              <w:rFonts w:eastAsiaTheme="minorEastAsia" w:cs="Arial"/>
              <w:noProof/>
              <w:spacing w:val="0"/>
              <w:sz w:val="22"/>
              <w:szCs w:val="22"/>
            </w:rPr>
          </w:pPr>
          <w:hyperlink w:anchor="_Toc70599684" w:history="1">
            <w:r w:rsidR="005D3464" w:rsidRPr="002C1108">
              <w:rPr>
                <w:rStyle w:val="Hyperlink"/>
                <w:rFonts w:eastAsiaTheme="majorEastAsia" w:cs="Arial"/>
                <w:noProof/>
                <w:szCs w:val="22"/>
              </w:rPr>
              <w:t>6.1.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Eligible and ineligible expenses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20</w:t>
            </w:r>
            <w:r w:rsidR="005D3464" w:rsidRPr="002C1108">
              <w:rPr>
                <w:rFonts w:cs="Arial"/>
                <w:noProof/>
                <w:webHidden/>
                <w:sz w:val="22"/>
                <w:szCs w:val="22"/>
              </w:rPr>
              <w:fldChar w:fldCharType="end"/>
            </w:r>
          </w:hyperlink>
        </w:p>
        <w:p w14:paraId="1D72291D" w14:textId="7B49F0AF" w:rsidR="005D3464" w:rsidRPr="002C1108" w:rsidRDefault="007036AE" w:rsidP="007400E6">
          <w:pPr>
            <w:pStyle w:val="TOC1"/>
            <w:spacing w:before="0" w:after="0" w:line="276" w:lineRule="auto"/>
            <w:rPr>
              <w:rFonts w:eastAsiaTheme="minorEastAsia" w:cs="Arial"/>
              <w:noProof/>
              <w:spacing w:val="0"/>
              <w:sz w:val="22"/>
              <w:szCs w:val="22"/>
            </w:rPr>
          </w:pPr>
          <w:hyperlink w:anchor="_Toc70599685" w:history="1">
            <w:r w:rsidR="005D3464" w:rsidRPr="002C1108">
              <w:rPr>
                <w:rStyle w:val="Hyperlink"/>
                <w:rFonts w:eastAsiaTheme="majorEastAsia" w:cs="Arial"/>
                <w:noProof/>
                <w:szCs w:val="22"/>
              </w:rPr>
              <w:t>6.2.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Funding innovation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21</w:t>
            </w:r>
            <w:r w:rsidR="005D3464" w:rsidRPr="002C1108">
              <w:rPr>
                <w:rFonts w:cs="Arial"/>
                <w:noProof/>
                <w:webHidden/>
                <w:sz w:val="22"/>
                <w:szCs w:val="22"/>
              </w:rPr>
              <w:fldChar w:fldCharType="end"/>
            </w:r>
          </w:hyperlink>
        </w:p>
        <w:p w14:paraId="3FA0016C" w14:textId="3A57F47E" w:rsidR="005D3464" w:rsidRPr="002C1108" w:rsidRDefault="007036AE" w:rsidP="007400E6">
          <w:pPr>
            <w:pStyle w:val="TOC1"/>
            <w:spacing w:before="0" w:after="0" w:line="276" w:lineRule="auto"/>
            <w:rPr>
              <w:rFonts w:eastAsiaTheme="minorEastAsia" w:cs="Arial"/>
              <w:noProof/>
              <w:spacing w:val="0"/>
              <w:sz w:val="22"/>
              <w:szCs w:val="22"/>
            </w:rPr>
          </w:pPr>
          <w:hyperlink w:anchor="_Toc70599686" w:history="1">
            <w:r w:rsidR="005D3464" w:rsidRPr="002C1108">
              <w:rPr>
                <w:rStyle w:val="Hyperlink"/>
                <w:rFonts w:eastAsiaTheme="majorEastAsia" w:cs="Arial"/>
                <w:noProof/>
                <w:szCs w:val="22"/>
              </w:rPr>
              <w:t>6.3.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Funding for practical and material assistance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21</w:t>
            </w:r>
            <w:r w:rsidR="005D3464" w:rsidRPr="002C1108">
              <w:rPr>
                <w:rFonts w:cs="Arial"/>
                <w:noProof/>
                <w:webHidden/>
                <w:sz w:val="22"/>
                <w:szCs w:val="22"/>
              </w:rPr>
              <w:fldChar w:fldCharType="end"/>
            </w:r>
          </w:hyperlink>
        </w:p>
        <w:p w14:paraId="78635570" w14:textId="7723EA3F" w:rsidR="005D3464" w:rsidRPr="002C1108" w:rsidRDefault="007036AE" w:rsidP="007400E6">
          <w:pPr>
            <w:pStyle w:val="TOC1"/>
            <w:spacing w:before="0" w:after="0" w:line="276" w:lineRule="auto"/>
            <w:rPr>
              <w:rFonts w:eastAsiaTheme="minorEastAsia" w:cs="Arial"/>
              <w:noProof/>
              <w:spacing w:val="0"/>
              <w:sz w:val="22"/>
              <w:szCs w:val="22"/>
            </w:rPr>
          </w:pPr>
          <w:hyperlink w:anchor="_Toc70599687" w:history="1">
            <w:r w:rsidR="005D3464" w:rsidRPr="002C1108">
              <w:rPr>
                <w:rStyle w:val="Hyperlink"/>
                <w:rFonts w:eastAsiaTheme="majorEastAsia" w:cs="Arial"/>
                <w:noProof/>
                <w:szCs w:val="22"/>
              </w:rPr>
              <w:t>6.4.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Long-term sustainability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21</w:t>
            </w:r>
            <w:r w:rsidR="005D3464" w:rsidRPr="002C1108">
              <w:rPr>
                <w:rFonts w:cs="Arial"/>
                <w:noProof/>
                <w:webHidden/>
                <w:sz w:val="22"/>
                <w:szCs w:val="22"/>
              </w:rPr>
              <w:fldChar w:fldCharType="end"/>
            </w:r>
          </w:hyperlink>
        </w:p>
        <w:p w14:paraId="15D1954A" w14:textId="68FE0D0A" w:rsidR="005D3464" w:rsidRPr="002C1108" w:rsidRDefault="007036AE" w:rsidP="007400E6">
          <w:pPr>
            <w:pStyle w:val="TOC2"/>
            <w:spacing w:before="0" w:after="0" w:line="276" w:lineRule="auto"/>
            <w:rPr>
              <w:rFonts w:eastAsiaTheme="minorEastAsia" w:cs="Arial"/>
              <w:noProof/>
              <w:spacing w:val="0"/>
              <w:sz w:val="22"/>
              <w:szCs w:val="22"/>
            </w:rPr>
          </w:pPr>
          <w:hyperlink w:anchor="_Toc70599688" w:history="1">
            <w:r w:rsidR="005D3464" w:rsidRPr="002C1108">
              <w:rPr>
                <w:rStyle w:val="Hyperlink"/>
                <w:rFonts w:eastAsiaTheme="majorEastAsia" w:cs="Arial"/>
                <w:noProof/>
                <w:szCs w:val="22"/>
              </w:rPr>
              <w:t>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Reporting</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22</w:t>
            </w:r>
            <w:r w:rsidR="005D3464" w:rsidRPr="002C1108">
              <w:rPr>
                <w:rFonts w:cs="Arial"/>
                <w:noProof/>
                <w:webHidden/>
                <w:sz w:val="22"/>
                <w:szCs w:val="22"/>
              </w:rPr>
              <w:fldChar w:fldCharType="end"/>
            </w:r>
          </w:hyperlink>
        </w:p>
        <w:p w14:paraId="2458E511" w14:textId="43FE0DB9" w:rsidR="005D3464" w:rsidRPr="002C1108" w:rsidRDefault="007036AE" w:rsidP="007400E6">
          <w:pPr>
            <w:pStyle w:val="TOC1"/>
            <w:spacing w:before="0" w:after="0" w:line="276" w:lineRule="auto"/>
            <w:rPr>
              <w:rFonts w:eastAsiaTheme="minorEastAsia" w:cs="Arial"/>
              <w:noProof/>
              <w:spacing w:val="0"/>
              <w:sz w:val="22"/>
              <w:szCs w:val="22"/>
            </w:rPr>
          </w:pPr>
          <w:hyperlink w:anchor="_Toc70599689" w:history="1">
            <w:r w:rsidR="005D3464" w:rsidRPr="002C1108">
              <w:rPr>
                <w:rStyle w:val="Hyperlink"/>
                <w:rFonts w:eastAsiaTheme="majorEastAsia" w:cs="Arial"/>
                <w:noProof/>
                <w:szCs w:val="22"/>
              </w:rPr>
              <w:t>7.1.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Data reporting</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_Toc70599689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22</w:t>
            </w:r>
            <w:r w:rsidR="005D3464" w:rsidRPr="002C1108">
              <w:rPr>
                <w:rFonts w:cs="Arial"/>
                <w:noProof/>
                <w:webHidden/>
                <w:sz w:val="22"/>
                <w:szCs w:val="22"/>
              </w:rPr>
              <w:fldChar w:fldCharType="end"/>
            </w:r>
          </w:hyperlink>
        </w:p>
        <w:p w14:paraId="015884F6" w14:textId="226788C7" w:rsidR="005D3464" w:rsidRPr="002C1108" w:rsidRDefault="007036AE" w:rsidP="007400E6">
          <w:pPr>
            <w:pStyle w:val="TOC1"/>
            <w:spacing w:before="0" w:after="0" w:line="276" w:lineRule="auto"/>
            <w:rPr>
              <w:rFonts w:eastAsiaTheme="minorEastAsia" w:cs="Arial"/>
              <w:noProof/>
              <w:spacing w:val="0"/>
              <w:sz w:val="22"/>
              <w:szCs w:val="22"/>
            </w:rPr>
          </w:pPr>
          <w:hyperlink w:anchor="_Toc70599690" w:history="1">
            <w:r w:rsidR="005D3464" w:rsidRPr="002C1108">
              <w:rPr>
                <w:rStyle w:val="Hyperlink"/>
                <w:rFonts w:eastAsiaTheme="majorEastAsia" w:cs="Arial"/>
                <w:noProof/>
                <w:szCs w:val="22"/>
              </w:rPr>
              <w:t>7.2.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Data Exchange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22</w:t>
            </w:r>
            <w:r w:rsidR="005D3464" w:rsidRPr="002C1108">
              <w:rPr>
                <w:rFonts w:cs="Arial"/>
                <w:noProof/>
                <w:webHidden/>
                <w:sz w:val="22"/>
                <w:szCs w:val="22"/>
              </w:rPr>
              <w:fldChar w:fldCharType="end"/>
            </w:r>
          </w:hyperlink>
        </w:p>
        <w:p w14:paraId="3BF1854B" w14:textId="356560B8" w:rsidR="005D3464" w:rsidRPr="002C1108" w:rsidRDefault="007036AE" w:rsidP="007400E6">
          <w:pPr>
            <w:pStyle w:val="TOC1"/>
            <w:spacing w:before="0" w:after="0" w:line="276" w:lineRule="auto"/>
            <w:rPr>
              <w:rFonts w:eastAsiaTheme="minorEastAsia" w:cs="Arial"/>
              <w:noProof/>
              <w:spacing w:val="0"/>
              <w:sz w:val="22"/>
              <w:szCs w:val="22"/>
            </w:rPr>
          </w:pPr>
          <w:hyperlink w:anchor="_Toc70599691" w:history="1">
            <w:r w:rsidR="005D3464" w:rsidRPr="002C1108">
              <w:rPr>
                <w:rStyle w:val="Hyperlink"/>
                <w:rFonts w:eastAsiaTheme="majorEastAsia" w:cs="Arial"/>
                <w:noProof/>
                <w:szCs w:val="22"/>
              </w:rPr>
              <w:t>7.3.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Data Exchange Partnership Approach</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22</w:t>
            </w:r>
            <w:r w:rsidR="005D3464" w:rsidRPr="002C1108">
              <w:rPr>
                <w:rFonts w:cs="Arial"/>
                <w:noProof/>
                <w:webHidden/>
                <w:sz w:val="22"/>
                <w:szCs w:val="22"/>
              </w:rPr>
              <w:fldChar w:fldCharType="end"/>
            </w:r>
          </w:hyperlink>
        </w:p>
        <w:p w14:paraId="3B93635E" w14:textId="5DEC2085" w:rsidR="005D3464" w:rsidRPr="002C1108" w:rsidRDefault="007036AE" w:rsidP="007400E6">
          <w:pPr>
            <w:pStyle w:val="TOC1"/>
            <w:spacing w:before="0" w:after="0" w:line="276" w:lineRule="auto"/>
            <w:rPr>
              <w:rFonts w:eastAsiaTheme="minorEastAsia" w:cs="Arial"/>
              <w:noProof/>
              <w:spacing w:val="0"/>
              <w:sz w:val="22"/>
              <w:szCs w:val="22"/>
            </w:rPr>
          </w:pPr>
          <w:hyperlink w:anchor="_Toc70599692" w:history="1">
            <w:r w:rsidR="005D3464" w:rsidRPr="002C1108">
              <w:rPr>
                <w:rStyle w:val="Hyperlink"/>
                <w:rFonts w:eastAsiaTheme="majorEastAsia" w:cs="Arial"/>
                <w:noProof/>
                <w:szCs w:val="22"/>
              </w:rPr>
              <w:t>7.4.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Guidance on measuring client and community outcomes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23</w:t>
            </w:r>
            <w:r w:rsidR="005D3464" w:rsidRPr="002C1108">
              <w:rPr>
                <w:rFonts w:cs="Arial"/>
                <w:noProof/>
                <w:webHidden/>
                <w:sz w:val="22"/>
                <w:szCs w:val="22"/>
              </w:rPr>
              <w:fldChar w:fldCharType="end"/>
            </w:r>
          </w:hyperlink>
        </w:p>
        <w:p w14:paraId="2057D947" w14:textId="4800BD90" w:rsidR="005D3464" w:rsidRPr="002C1108" w:rsidRDefault="007036AE" w:rsidP="007400E6">
          <w:pPr>
            <w:pStyle w:val="TOC1"/>
            <w:spacing w:before="0" w:after="0" w:line="276" w:lineRule="auto"/>
            <w:rPr>
              <w:rFonts w:eastAsiaTheme="minorEastAsia" w:cs="Arial"/>
              <w:noProof/>
              <w:spacing w:val="0"/>
              <w:sz w:val="22"/>
              <w:szCs w:val="22"/>
            </w:rPr>
          </w:pPr>
          <w:hyperlink w:anchor="_Toc70599693" w:history="1">
            <w:r w:rsidR="005D3464" w:rsidRPr="002C1108">
              <w:rPr>
                <w:rStyle w:val="Hyperlink"/>
                <w:rFonts w:eastAsiaTheme="majorEastAsia" w:cs="Arial"/>
                <w:noProof/>
                <w:szCs w:val="22"/>
              </w:rPr>
              <w:t>7.5.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Activity Work Plans (AWP) and AWP reports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23</w:t>
            </w:r>
            <w:r w:rsidR="005D3464" w:rsidRPr="002C1108">
              <w:rPr>
                <w:rFonts w:cs="Arial"/>
                <w:noProof/>
                <w:webHidden/>
                <w:sz w:val="22"/>
                <w:szCs w:val="22"/>
              </w:rPr>
              <w:fldChar w:fldCharType="end"/>
            </w:r>
          </w:hyperlink>
        </w:p>
        <w:p w14:paraId="6537413F" w14:textId="29370E27" w:rsidR="005D3464" w:rsidRPr="002C1108" w:rsidRDefault="007036AE" w:rsidP="007400E6">
          <w:pPr>
            <w:pStyle w:val="TOC1"/>
            <w:spacing w:before="0" w:after="0" w:line="276" w:lineRule="auto"/>
            <w:rPr>
              <w:rFonts w:eastAsiaTheme="minorEastAsia" w:cs="Arial"/>
              <w:noProof/>
              <w:spacing w:val="0"/>
              <w:sz w:val="22"/>
              <w:szCs w:val="22"/>
            </w:rPr>
          </w:pPr>
          <w:hyperlink w:anchor="_Toc70599694" w:history="1">
            <w:r w:rsidR="005D3464" w:rsidRPr="002C1108">
              <w:rPr>
                <w:rStyle w:val="Hyperlink"/>
                <w:rFonts w:eastAsiaTheme="majorEastAsia" w:cs="Arial"/>
                <w:noProof/>
                <w:szCs w:val="22"/>
              </w:rPr>
              <w:t>7.6.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Program logics and theories of change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24</w:t>
            </w:r>
            <w:r w:rsidR="005D3464" w:rsidRPr="002C1108">
              <w:rPr>
                <w:rFonts w:cs="Arial"/>
                <w:noProof/>
                <w:webHidden/>
                <w:sz w:val="22"/>
                <w:szCs w:val="22"/>
              </w:rPr>
              <w:fldChar w:fldCharType="end"/>
            </w:r>
          </w:hyperlink>
        </w:p>
        <w:p w14:paraId="13CF0088" w14:textId="293B98C4" w:rsidR="005D3464" w:rsidRPr="002C1108" w:rsidRDefault="007036AE" w:rsidP="007400E6">
          <w:pPr>
            <w:pStyle w:val="TOC1"/>
            <w:spacing w:before="0" w:after="0" w:line="276" w:lineRule="auto"/>
            <w:rPr>
              <w:rFonts w:eastAsiaTheme="minorEastAsia" w:cs="Arial"/>
              <w:noProof/>
              <w:spacing w:val="0"/>
              <w:sz w:val="22"/>
              <w:szCs w:val="22"/>
            </w:rPr>
          </w:pPr>
          <w:hyperlink w:anchor="_Toc70599695" w:history="1">
            <w:r w:rsidR="005D3464" w:rsidRPr="002C1108">
              <w:rPr>
                <w:rStyle w:val="Hyperlink"/>
                <w:rFonts w:eastAsiaTheme="majorEastAsia" w:cs="Arial"/>
                <w:noProof/>
                <w:szCs w:val="22"/>
              </w:rPr>
              <w:t>7.7.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Financial acquittal reports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24</w:t>
            </w:r>
            <w:r w:rsidR="005D3464" w:rsidRPr="002C1108">
              <w:rPr>
                <w:rFonts w:cs="Arial"/>
                <w:noProof/>
                <w:webHidden/>
                <w:sz w:val="22"/>
                <w:szCs w:val="22"/>
              </w:rPr>
              <w:fldChar w:fldCharType="end"/>
            </w:r>
          </w:hyperlink>
        </w:p>
        <w:p w14:paraId="07541170" w14:textId="008236DA" w:rsidR="005D3464" w:rsidRPr="002C1108" w:rsidRDefault="007036AE" w:rsidP="007400E6">
          <w:pPr>
            <w:pStyle w:val="TOC1"/>
            <w:spacing w:before="0" w:after="0" w:line="276" w:lineRule="auto"/>
            <w:rPr>
              <w:rFonts w:eastAsiaTheme="minorEastAsia" w:cs="Arial"/>
              <w:noProof/>
              <w:spacing w:val="0"/>
              <w:sz w:val="22"/>
              <w:szCs w:val="22"/>
            </w:rPr>
          </w:pPr>
          <w:hyperlink w:anchor="_Toc70599696" w:history="1">
            <w:r w:rsidR="005D3464" w:rsidRPr="002C1108">
              <w:rPr>
                <w:rStyle w:val="Hyperlink"/>
                <w:rFonts w:eastAsiaTheme="majorEastAsia" w:cs="Arial"/>
                <w:noProof/>
                <w:szCs w:val="22"/>
              </w:rPr>
              <w:t>7.8.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Unexpended funds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24</w:t>
            </w:r>
            <w:r w:rsidR="005D3464" w:rsidRPr="002C1108">
              <w:rPr>
                <w:rFonts w:cs="Arial"/>
                <w:noProof/>
                <w:webHidden/>
                <w:sz w:val="22"/>
                <w:szCs w:val="22"/>
              </w:rPr>
              <w:fldChar w:fldCharType="end"/>
            </w:r>
          </w:hyperlink>
        </w:p>
        <w:p w14:paraId="3F2DB9B9" w14:textId="06CD39E3" w:rsidR="005D3464" w:rsidRPr="002C1108" w:rsidRDefault="007036AE" w:rsidP="007400E6">
          <w:pPr>
            <w:pStyle w:val="TOC1"/>
            <w:spacing w:before="0" w:after="0" w:line="276" w:lineRule="auto"/>
            <w:rPr>
              <w:rFonts w:eastAsiaTheme="minorEastAsia" w:cs="Arial"/>
              <w:noProof/>
              <w:spacing w:val="0"/>
              <w:sz w:val="22"/>
              <w:szCs w:val="22"/>
            </w:rPr>
          </w:pPr>
          <w:hyperlink w:anchor="_Toc70599697" w:history="1">
            <w:r w:rsidR="005D3464" w:rsidRPr="002C1108">
              <w:rPr>
                <w:rStyle w:val="Hyperlink"/>
                <w:rFonts w:eastAsiaTheme="majorEastAsia" w:cs="Arial"/>
                <w:noProof/>
                <w:szCs w:val="22"/>
              </w:rPr>
              <w:t>7.9.</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Review point</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24</w:t>
            </w:r>
            <w:r w:rsidR="005D3464" w:rsidRPr="002C1108">
              <w:rPr>
                <w:rFonts w:cs="Arial"/>
                <w:noProof/>
                <w:webHidden/>
                <w:sz w:val="22"/>
                <w:szCs w:val="22"/>
              </w:rPr>
              <w:fldChar w:fldCharType="end"/>
            </w:r>
          </w:hyperlink>
        </w:p>
        <w:p w14:paraId="583AC559" w14:textId="4D77250B" w:rsidR="005D3464" w:rsidRPr="002C1108" w:rsidRDefault="007036AE" w:rsidP="007400E6">
          <w:pPr>
            <w:pStyle w:val="TOC2"/>
            <w:spacing w:before="0" w:after="0" w:line="276" w:lineRule="auto"/>
            <w:rPr>
              <w:rFonts w:eastAsiaTheme="minorEastAsia" w:cs="Arial"/>
              <w:noProof/>
              <w:spacing w:val="0"/>
              <w:sz w:val="22"/>
              <w:szCs w:val="22"/>
            </w:rPr>
          </w:pPr>
          <w:hyperlink w:anchor="_Toc70599698" w:history="1">
            <w:r w:rsidR="005D3464" w:rsidRPr="002C1108">
              <w:rPr>
                <w:rStyle w:val="Hyperlink"/>
                <w:rFonts w:eastAsiaTheme="majorEastAsia" w:cs="Arial"/>
                <w:noProof/>
                <w:szCs w:val="22"/>
              </w:rPr>
              <w:t>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Grant Administration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26</w:t>
            </w:r>
            <w:r w:rsidR="005D3464" w:rsidRPr="002C1108">
              <w:rPr>
                <w:rFonts w:cs="Arial"/>
                <w:noProof/>
                <w:webHidden/>
                <w:sz w:val="22"/>
                <w:szCs w:val="22"/>
              </w:rPr>
              <w:fldChar w:fldCharType="end"/>
            </w:r>
          </w:hyperlink>
        </w:p>
        <w:p w14:paraId="61B1CAAF" w14:textId="7A885F1E" w:rsidR="005D3464" w:rsidRPr="002C1108" w:rsidRDefault="007036AE" w:rsidP="007400E6">
          <w:pPr>
            <w:pStyle w:val="TOC1"/>
            <w:spacing w:before="0" w:after="0" w:line="276" w:lineRule="auto"/>
            <w:rPr>
              <w:rFonts w:eastAsiaTheme="minorEastAsia" w:cs="Arial"/>
              <w:noProof/>
              <w:spacing w:val="0"/>
              <w:sz w:val="22"/>
              <w:szCs w:val="22"/>
            </w:rPr>
          </w:pPr>
          <w:hyperlink w:anchor="_Toc70599699" w:history="1">
            <w:r w:rsidR="005D3464" w:rsidRPr="002C1108">
              <w:rPr>
                <w:rStyle w:val="Hyperlink"/>
                <w:rFonts w:eastAsiaTheme="majorEastAsia" w:cs="Arial"/>
                <w:noProof/>
                <w:szCs w:val="22"/>
              </w:rPr>
              <w:t>8.1.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Grant recipients’ responsibilities and accountabilities under the Activity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_Toc70599699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26</w:t>
            </w:r>
            <w:r w:rsidR="005D3464" w:rsidRPr="002C1108">
              <w:rPr>
                <w:rFonts w:cs="Arial"/>
                <w:noProof/>
                <w:webHidden/>
                <w:sz w:val="22"/>
                <w:szCs w:val="22"/>
              </w:rPr>
              <w:fldChar w:fldCharType="end"/>
            </w:r>
          </w:hyperlink>
        </w:p>
        <w:p w14:paraId="7CB9963A" w14:textId="4A849355" w:rsidR="005D3464" w:rsidRPr="002C1108" w:rsidRDefault="007036AE" w:rsidP="007400E6">
          <w:pPr>
            <w:pStyle w:val="TOC1"/>
            <w:spacing w:before="0" w:after="0" w:line="276" w:lineRule="auto"/>
            <w:rPr>
              <w:rFonts w:eastAsiaTheme="minorEastAsia" w:cs="Arial"/>
              <w:noProof/>
              <w:spacing w:val="0"/>
              <w:sz w:val="22"/>
              <w:szCs w:val="22"/>
            </w:rPr>
          </w:pPr>
          <w:hyperlink w:anchor="_Toc70599700" w:history="1">
            <w:r w:rsidR="005D3464" w:rsidRPr="002C1108">
              <w:rPr>
                <w:rStyle w:val="Hyperlink"/>
                <w:rFonts w:eastAsiaTheme="majorEastAsia" w:cs="Arial"/>
                <w:noProof/>
                <w:szCs w:val="22"/>
              </w:rPr>
              <w:t>8.2.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Other key requirements, policies, information and factsheets for service providers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27</w:t>
            </w:r>
            <w:r w:rsidR="005D3464" w:rsidRPr="002C1108">
              <w:rPr>
                <w:rFonts w:cs="Arial"/>
                <w:noProof/>
                <w:webHidden/>
                <w:sz w:val="22"/>
                <w:szCs w:val="22"/>
              </w:rPr>
              <w:fldChar w:fldCharType="end"/>
            </w:r>
          </w:hyperlink>
        </w:p>
        <w:p w14:paraId="76C53C88" w14:textId="52614A78" w:rsidR="005D3464" w:rsidRPr="002C1108" w:rsidRDefault="007036AE" w:rsidP="007400E6">
          <w:pPr>
            <w:pStyle w:val="TOC1"/>
            <w:spacing w:before="0" w:after="0" w:line="276" w:lineRule="auto"/>
            <w:rPr>
              <w:rFonts w:eastAsiaTheme="minorEastAsia" w:cs="Arial"/>
              <w:noProof/>
              <w:spacing w:val="0"/>
              <w:sz w:val="22"/>
              <w:szCs w:val="22"/>
            </w:rPr>
          </w:pPr>
          <w:hyperlink w:anchor="_Toc70599701" w:history="1">
            <w:r w:rsidR="005D3464" w:rsidRPr="002C1108">
              <w:rPr>
                <w:rStyle w:val="Hyperlink"/>
                <w:rFonts w:eastAsiaTheme="majorEastAsia" w:cs="Arial"/>
                <w:noProof/>
                <w:szCs w:val="22"/>
              </w:rPr>
              <w:t>8.3.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Privacy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27</w:t>
            </w:r>
            <w:r w:rsidR="005D3464" w:rsidRPr="002C1108">
              <w:rPr>
                <w:rFonts w:cs="Arial"/>
                <w:noProof/>
                <w:webHidden/>
                <w:sz w:val="22"/>
                <w:szCs w:val="22"/>
              </w:rPr>
              <w:fldChar w:fldCharType="end"/>
            </w:r>
          </w:hyperlink>
        </w:p>
        <w:p w14:paraId="07B02B37" w14:textId="403ED725" w:rsidR="005D3464" w:rsidRPr="002C1108" w:rsidRDefault="007036AE" w:rsidP="007400E6">
          <w:pPr>
            <w:pStyle w:val="TOC1"/>
            <w:spacing w:before="0" w:after="0" w:line="276" w:lineRule="auto"/>
            <w:rPr>
              <w:rFonts w:eastAsiaTheme="minorEastAsia" w:cs="Arial"/>
              <w:noProof/>
              <w:spacing w:val="0"/>
              <w:sz w:val="22"/>
              <w:szCs w:val="22"/>
            </w:rPr>
          </w:pPr>
          <w:hyperlink w:anchor="_Toc70599702" w:history="1">
            <w:r w:rsidR="005D3464" w:rsidRPr="002C1108">
              <w:rPr>
                <w:rStyle w:val="Hyperlink"/>
                <w:rFonts w:eastAsiaTheme="majorEastAsia" w:cs="Arial"/>
                <w:noProof/>
                <w:szCs w:val="22"/>
              </w:rPr>
              <w:t>8.4.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Grant Recipient Portal</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27</w:t>
            </w:r>
            <w:r w:rsidR="005D3464" w:rsidRPr="002C1108">
              <w:rPr>
                <w:rFonts w:cs="Arial"/>
                <w:noProof/>
                <w:webHidden/>
                <w:sz w:val="22"/>
                <w:szCs w:val="22"/>
              </w:rPr>
              <w:fldChar w:fldCharType="end"/>
            </w:r>
          </w:hyperlink>
        </w:p>
        <w:p w14:paraId="0C768F8F" w14:textId="6971ABDD" w:rsidR="005D3464" w:rsidRPr="002C1108" w:rsidRDefault="007036AE" w:rsidP="007400E6">
          <w:pPr>
            <w:pStyle w:val="TOC1"/>
            <w:spacing w:before="0" w:after="0" w:line="276" w:lineRule="auto"/>
            <w:rPr>
              <w:rFonts w:eastAsiaTheme="minorEastAsia" w:cs="Arial"/>
              <w:noProof/>
              <w:spacing w:val="0"/>
              <w:sz w:val="22"/>
              <w:szCs w:val="22"/>
            </w:rPr>
          </w:pPr>
          <w:hyperlink w:anchor="_Toc70599703" w:history="1">
            <w:r w:rsidR="005D3464" w:rsidRPr="002C1108">
              <w:rPr>
                <w:rStyle w:val="Hyperlink"/>
                <w:rFonts w:eastAsiaTheme="majorEastAsia" w:cs="Arial"/>
                <w:noProof/>
                <w:szCs w:val="22"/>
              </w:rPr>
              <w:t>8.5.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Primary contact person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28</w:t>
            </w:r>
            <w:r w:rsidR="005D3464" w:rsidRPr="002C1108">
              <w:rPr>
                <w:rFonts w:cs="Arial"/>
                <w:noProof/>
                <w:webHidden/>
                <w:sz w:val="22"/>
                <w:szCs w:val="22"/>
              </w:rPr>
              <w:fldChar w:fldCharType="end"/>
            </w:r>
          </w:hyperlink>
        </w:p>
        <w:p w14:paraId="3B6E2BBA" w14:textId="19D923DE" w:rsidR="005D3464" w:rsidRPr="002C1108" w:rsidRDefault="007036AE" w:rsidP="007400E6">
          <w:pPr>
            <w:pStyle w:val="TOC1"/>
            <w:spacing w:before="0" w:after="0" w:line="276" w:lineRule="auto"/>
            <w:rPr>
              <w:rFonts w:eastAsiaTheme="minorEastAsia" w:cs="Arial"/>
              <w:noProof/>
              <w:spacing w:val="0"/>
              <w:sz w:val="22"/>
              <w:szCs w:val="22"/>
            </w:rPr>
          </w:pPr>
          <w:hyperlink w:anchor="_Toc70599704" w:history="1">
            <w:r w:rsidR="005D3464" w:rsidRPr="002C1108">
              <w:rPr>
                <w:rStyle w:val="Hyperlink"/>
                <w:rFonts w:eastAsiaTheme="majorEastAsia" w:cs="Arial"/>
                <w:noProof/>
                <w:szCs w:val="22"/>
              </w:rPr>
              <w:t>8.6.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Changes to your organisation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28</w:t>
            </w:r>
            <w:r w:rsidR="005D3464" w:rsidRPr="002C1108">
              <w:rPr>
                <w:rFonts w:cs="Arial"/>
                <w:noProof/>
                <w:webHidden/>
                <w:sz w:val="22"/>
                <w:szCs w:val="22"/>
              </w:rPr>
              <w:fldChar w:fldCharType="end"/>
            </w:r>
          </w:hyperlink>
        </w:p>
        <w:p w14:paraId="0C90630D" w14:textId="04FF2F44" w:rsidR="005D3464" w:rsidRPr="002C1108" w:rsidRDefault="007036AE" w:rsidP="007400E6">
          <w:pPr>
            <w:pStyle w:val="TOC1"/>
            <w:spacing w:before="0" w:after="0" w:line="276" w:lineRule="auto"/>
            <w:rPr>
              <w:rFonts w:eastAsiaTheme="minorEastAsia" w:cs="Arial"/>
              <w:noProof/>
              <w:spacing w:val="0"/>
              <w:sz w:val="22"/>
              <w:szCs w:val="22"/>
            </w:rPr>
          </w:pPr>
          <w:hyperlink w:anchor="_Toc70599705" w:history="1">
            <w:r w:rsidR="005D3464" w:rsidRPr="002C1108">
              <w:rPr>
                <w:rStyle w:val="Hyperlink"/>
                <w:rFonts w:eastAsiaTheme="majorEastAsia" w:cs="Arial"/>
                <w:noProof/>
                <w:szCs w:val="22"/>
              </w:rPr>
              <w:t>8.7.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Disclosure of personnel and personnel changes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28</w:t>
            </w:r>
            <w:r w:rsidR="005D3464" w:rsidRPr="002C1108">
              <w:rPr>
                <w:rFonts w:cs="Arial"/>
                <w:noProof/>
                <w:webHidden/>
                <w:sz w:val="22"/>
                <w:szCs w:val="22"/>
              </w:rPr>
              <w:fldChar w:fldCharType="end"/>
            </w:r>
          </w:hyperlink>
        </w:p>
        <w:p w14:paraId="1A34B374" w14:textId="3C0928D9" w:rsidR="005D3464" w:rsidRPr="002C1108" w:rsidRDefault="007036AE" w:rsidP="007400E6">
          <w:pPr>
            <w:pStyle w:val="TOC1"/>
            <w:spacing w:before="0" w:after="0" w:line="276" w:lineRule="auto"/>
            <w:rPr>
              <w:rFonts w:eastAsiaTheme="minorEastAsia" w:cs="Arial"/>
              <w:noProof/>
              <w:spacing w:val="0"/>
              <w:sz w:val="22"/>
              <w:szCs w:val="22"/>
            </w:rPr>
          </w:pPr>
          <w:hyperlink w:anchor="_Toc70599706" w:history="1">
            <w:r w:rsidR="005D3464" w:rsidRPr="002C1108">
              <w:rPr>
                <w:rStyle w:val="Hyperlink"/>
                <w:rFonts w:eastAsiaTheme="majorEastAsia" w:cs="Arial"/>
                <w:noProof/>
                <w:szCs w:val="22"/>
              </w:rPr>
              <w:t>8.8.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Complaints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28</w:t>
            </w:r>
            <w:r w:rsidR="005D3464" w:rsidRPr="002C1108">
              <w:rPr>
                <w:rFonts w:cs="Arial"/>
                <w:noProof/>
                <w:webHidden/>
                <w:sz w:val="22"/>
                <w:szCs w:val="22"/>
              </w:rPr>
              <w:fldChar w:fldCharType="end"/>
            </w:r>
          </w:hyperlink>
        </w:p>
        <w:p w14:paraId="72D538C9" w14:textId="73B8ACE1" w:rsidR="005D3464" w:rsidRPr="002C1108" w:rsidRDefault="007036AE" w:rsidP="007400E6">
          <w:pPr>
            <w:pStyle w:val="TOC1"/>
            <w:spacing w:before="0" w:after="0" w:line="276" w:lineRule="auto"/>
            <w:rPr>
              <w:rFonts w:eastAsiaTheme="minorEastAsia" w:cs="Arial"/>
              <w:noProof/>
              <w:spacing w:val="0"/>
              <w:sz w:val="22"/>
              <w:szCs w:val="22"/>
            </w:rPr>
          </w:pPr>
          <w:hyperlink w:anchor="_Toc70599707" w:history="1">
            <w:r w:rsidR="005D3464" w:rsidRPr="002C1108">
              <w:rPr>
                <w:rStyle w:val="Hyperlink"/>
                <w:rFonts w:eastAsiaTheme="majorEastAsia" w:cs="Arial"/>
                <w:noProof/>
                <w:szCs w:val="22"/>
              </w:rPr>
              <w:t>8.9.</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Hot Issues and Media</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28</w:t>
            </w:r>
            <w:r w:rsidR="005D3464" w:rsidRPr="002C1108">
              <w:rPr>
                <w:rFonts w:cs="Arial"/>
                <w:noProof/>
                <w:webHidden/>
                <w:sz w:val="22"/>
                <w:szCs w:val="22"/>
              </w:rPr>
              <w:fldChar w:fldCharType="end"/>
            </w:r>
          </w:hyperlink>
        </w:p>
        <w:p w14:paraId="78F07A71" w14:textId="6EDBD27D" w:rsidR="005D3464" w:rsidRPr="002C1108" w:rsidRDefault="007036AE" w:rsidP="007400E6">
          <w:pPr>
            <w:pStyle w:val="TOC1"/>
            <w:spacing w:before="0" w:after="0" w:line="276" w:lineRule="auto"/>
            <w:rPr>
              <w:rFonts w:eastAsiaTheme="minorEastAsia" w:cs="Arial"/>
              <w:noProof/>
              <w:spacing w:val="0"/>
              <w:sz w:val="22"/>
              <w:szCs w:val="22"/>
            </w:rPr>
          </w:pPr>
          <w:hyperlink w:anchor="_Toc70599708" w:history="1">
            <w:r w:rsidR="005D3464" w:rsidRPr="002C1108">
              <w:rPr>
                <w:rStyle w:val="Hyperlink"/>
                <w:rFonts w:eastAsiaTheme="majorEastAsia" w:cs="Arial"/>
                <w:noProof/>
                <w:szCs w:val="22"/>
              </w:rPr>
              <w:t>8.10.</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Critical Incidents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29</w:t>
            </w:r>
            <w:r w:rsidR="005D3464" w:rsidRPr="002C1108">
              <w:rPr>
                <w:rFonts w:cs="Arial"/>
                <w:noProof/>
                <w:webHidden/>
                <w:sz w:val="22"/>
                <w:szCs w:val="22"/>
              </w:rPr>
              <w:fldChar w:fldCharType="end"/>
            </w:r>
          </w:hyperlink>
        </w:p>
        <w:p w14:paraId="3C9631F8" w14:textId="2BB0A4FF" w:rsidR="005D3464" w:rsidRPr="002C1108" w:rsidRDefault="007036AE" w:rsidP="007400E6">
          <w:pPr>
            <w:pStyle w:val="TOC2"/>
            <w:spacing w:before="0" w:after="0" w:line="276" w:lineRule="auto"/>
            <w:rPr>
              <w:rFonts w:eastAsiaTheme="minorEastAsia" w:cs="Arial"/>
              <w:noProof/>
              <w:spacing w:val="0"/>
              <w:sz w:val="22"/>
              <w:szCs w:val="22"/>
            </w:rPr>
          </w:pPr>
          <w:hyperlink w:anchor="_Toc70599709" w:history="1">
            <w:r w:rsidR="005D3464" w:rsidRPr="002C1108">
              <w:rPr>
                <w:rStyle w:val="Hyperlink"/>
                <w:rFonts w:eastAsiaTheme="majorEastAsia" w:cs="Arial"/>
                <w:noProof/>
                <w:szCs w:val="22"/>
              </w:rPr>
              <w:t>9.</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Glossary</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_Toc70599709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30</w:t>
            </w:r>
            <w:r w:rsidR="005D3464" w:rsidRPr="002C1108">
              <w:rPr>
                <w:rFonts w:cs="Arial"/>
                <w:noProof/>
                <w:webHidden/>
                <w:sz w:val="22"/>
                <w:szCs w:val="22"/>
              </w:rPr>
              <w:fldChar w:fldCharType="end"/>
            </w:r>
          </w:hyperlink>
        </w:p>
        <w:p w14:paraId="6907C6BE" w14:textId="21D3FBE3" w:rsidR="005D3464" w:rsidRPr="002C1108" w:rsidRDefault="007036AE" w:rsidP="007400E6">
          <w:pPr>
            <w:pStyle w:val="TOC2"/>
            <w:spacing w:before="0" w:after="0" w:line="276" w:lineRule="auto"/>
            <w:rPr>
              <w:rFonts w:eastAsiaTheme="minorEastAsia" w:cs="Arial"/>
              <w:noProof/>
              <w:spacing w:val="0"/>
              <w:sz w:val="22"/>
              <w:szCs w:val="22"/>
            </w:rPr>
          </w:pPr>
          <w:hyperlink w:anchor="_Toc70599710" w:history="1">
            <w:r w:rsidR="005D3464" w:rsidRPr="002C1108">
              <w:rPr>
                <w:rStyle w:val="Hyperlink"/>
                <w:rFonts w:eastAsiaTheme="majorEastAsia" w:cs="Arial"/>
                <w:noProof/>
                <w:szCs w:val="22"/>
              </w:rPr>
              <w:t>10.</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Appendices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32</w:t>
            </w:r>
            <w:r w:rsidR="005D3464" w:rsidRPr="002C1108">
              <w:rPr>
                <w:rFonts w:cs="Arial"/>
                <w:noProof/>
                <w:webHidden/>
                <w:sz w:val="22"/>
                <w:szCs w:val="22"/>
              </w:rPr>
              <w:fldChar w:fldCharType="end"/>
            </w:r>
          </w:hyperlink>
        </w:p>
        <w:p w14:paraId="6A604415" w14:textId="43794A87" w:rsidR="005D3464" w:rsidRPr="002C1108" w:rsidRDefault="007036AE" w:rsidP="007400E6">
          <w:pPr>
            <w:pStyle w:val="TOC1"/>
            <w:spacing w:before="0" w:after="0" w:line="276" w:lineRule="auto"/>
            <w:rPr>
              <w:rFonts w:eastAsiaTheme="minorEastAsia" w:cs="Arial"/>
              <w:noProof/>
              <w:spacing w:val="0"/>
              <w:sz w:val="22"/>
              <w:szCs w:val="22"/>
            </w:rPr>
          </w:pPr>
          <w:hyperlink w:anchor="_Toc70599711" w:history="1">
            <w:r w:rsidR="005D3464" w:rsidRPr="002C1108">
              <w:rPr>
                <w:rStyle w:val="Hyperlink"/>
                <w:rFonts w:eastAsiaTheme="majorEastAsia" w:cs="Arial"/>
                <w:noProof/>
                <w:szCs w:val="22"/>
              </w:rPr>
              <w:t>10.1.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A – Family Action Plan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32</w:t>
            </w:r>
            <w:r w:rsidR="005D3464" w:rsidRPr="002C1108">
              <w:rPr>
                <w:rFonts w:cs="Arial"/>
                <w:noProof/>
                <w:webHidden/>
                <w:sz w:val="22"/>
                <w:szCs w:val="22"/>
              </w:rPr>
              <w:fldChar w:fldCharType="end"/>
            </w:r>
          </w:hyperlink>
        </w:p>
        <w:p w14:paraId="0A20CA66" w14:textId="1A55D5CB" w:rsidR="005D3464" w:rsidRPr="002C1108" w:rsidRDefault="007036AE" w:rsidP="007400E6">
          <w:pPr>
            <w:pStyle w:val="TOC1"/>
            <w:tabs>
              <w:tab w:val="left" w:pos="1100"/>
            </w:tabs>
            <w:spacing w:before="0" w:after="0" w:line="276" w:lineRule="auto"/>
            <w:rPr>
              <w:rFonts w:eastAsiaTheme="minorEastAsia" w:cs="Arial"/>
              <w:noProof/>
              <w:spacing w:val="0"/>
              <w:sz w:val="22"/>
              <w:szCs w:val="22"/>
            </w:rPr>
          </w:pPr>
          <w:hyperlink w:anchor="_Toc70599712" w:history="1">
            <w:r w:rsidR="005D3464" w:rsidRPr="002C1108">
              <w:rPr>
                <w:rStyle w:val="Hyperlink"/>
                <w:rFonts w:eastAsiaTheme="majorEastAsia" w:cs="Arial"/>
                <w:noProof/>
                <w:szCs w:val="22"/>
              </w:rPr>
              <w:t>10.1.1.</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What is a Family Action Plan?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_Toc70599712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32</w:t>
            </w:r>
            <w:r w:rsidR="005D3464" w:rsidRPr="002C1108">
              <w:rPr>
                <w:rFonts w:cs="Arial"/>
                <w:noProof/>
                <w:webHidden/>
                <w:sz w:val="22"/>
                <w:szCs w:val="22"/>
              </w:rPr>
              <w:fldChar w:fldCharType="end"/>
            </w:r>
          </w:hyperlink>
        </w:p>
        <w:p w14:paraId="27016CB2" w14:textId="5AB93171" w:rsidR="005D3464" w:rsidRPr="002C1108" w:rsidRDefault="007036AE" w:rsidP="007400E6">
          <w:pPr>
            <w:pStyle w:val="TOC1"/>
            <w:tabs>
              <w:tab w:val="left" w:pos="1100"/>
            </w:tabs>
            <w:spacing w:before="0" w:after="0" w:line="276" w:lineRule="auto"/>
            <w:rPr>
              <w:rFonts w:eastAsiaTheme="minorEastAsia" w:cs="Arial"/>
              <w:noProof/>
              <w:spacing w:val="0"/>
              <w:sz w:val="22"/>
              <w:szCs w:val="22"/>
            </w:rPr>
          </w:pPr>
          <w:hyperlink w:anchor="_Toc70599713" w:history="1">
            <w:r w:rsidR="005D3464" w:rsidRPr="002C1108">
              <w:rPr>
                <w:rStyle w:val="Hyperlink"/>
                <w:rFonts w:eastAsiaTheme="majorEastAsia" w:cs="Arial"/>
                <w:noProof/>
                <w:szCs w:val="22"/>
              </w:rPr>
              <w:t>10.1.2.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Developing a Family Action Plan</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_Toc70599713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32</w:t>
            </w:r>
            <w:r w:rsidR="005D3464" w:rsidRPr="002C1108">
              <w:rPr>
                <w:rFonts w:cs="Arial"/>
                <w:noProof/>
                <w:webHidden/>
                <w:sz w:val="22"/>
                <w:szCs w:val="22"/>
              </w:rPr>
              <w:fldChar w:fldCharType="end"/>
            </w:r>
          </w:hyperlink>
        </w:p>
        <w:p w14:paraId="7CB3A0A2" w14:textId="66224808" w:rsidR="005D3464" w:rsidRPr="002C1108" w:rsidRDefault="007036AE" w:rsidP="007400E6">
          <w:pPr>
            <w:pStyle w:val="TOC1"/>
            <w:tabs>
              <w:tab w:val="left" w:pos="1100"/>
            </w:tabs>
            <w:spacing w:before="0" w:after="0" w:line="276" w:lineRule="auto"/>
            <w:rPr>
              <w:rFonts w:eastAsiaTheme="minorEastAsia" w:cs="Arial"/>
              <w:noProof/>
              <w:spacing w:val="0"/>
              <w:sz w:val="22"/>
              <w:szCs w:val="22"/>
            </w:rPr>
          </w:pPr>
          <w:hyperlink w:anchor="_Toc70599714" w:history="1">
            <w:r w:rsidR="005D3464" w:rsidRPr="002C1108">
              <w:rPr>
                <w:rStyle w:val="Hyperlink"/>
                <w:rFonts w:eastAsiaTheme="majorEastAsia" w:cs="Arial"/>
                <w:noProof/>
                <w:szCs w:val="22"/>
              </w:rPr>
              <w:t>10.1.3.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Family Action Plan Principles</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_Toc70599714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33</w:t>
            </w:r>
            <w:r w:rsidR="005D3464" w:rsidRPr="002C1108">
              <w:rPr>
                <w:rFonts w:cs="Arial"/>
                <w:noProof/>
                <w:webHidden/>
                <w:sz w:val="22"/>
                <w:szCs w:val="22"/>
              </w:rPr>
              <w:fldChar w:fldCharType="end"/>
            </w:r>
          </w:hyperlink>
        </w:p>
        <w:p w14:paraId="12265AFE" w14:textId="3E044AB7" w:rsidR="005D3464" w:rsidRPr="002C1108" w:rsidRDefault="007036AE" w:rsidP="007400E6">
          <w:pPr>
            <w:pStyle w:val="TOC1"/>
            <w:spacing w:before="0" w:after="0" w:line="276" w:lineRule="auto"/>
            <w:rPr>
              <w:rFonts w:eastAsiaTheme="minorEastAsia" w:cs="Arial"/>
              <w:noProof/>
              <w:spacing w:val="0"/>
              <w:sz w:val="22"/>
              <w:szCs w:val="22"/>
            </w:rPr>
          </w:pPr>
          <w:hyperlink w:anchor="_Toc70599715" w:history="1">
            <w:r w:rsidR="005D3464" w:rsidRPr="002C1108">
              <w:rPr>
                <w:rStyle w:val="Hyperlink"/>
                <w:rFonts w:eastAsiaTheme="majorEastAsia" w:cs="Arial"/>
                <w:noProof/>
                <w:szCs w:val="22"/>
              </w:rPr>
              <w:t>10.2.</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B – Family Action Plan template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_Toc70599715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34</w:t>
            </w:r>
            <w:r w:rsidR="005D3464" w:rsidRPr="002C1108">
              <w:rPr>
                <w:rFonts w:cs="Arial"/>
                <w:noProof/>
                <w:webHidden/>
                <w:sz w:val="22"/>
                <w:szCs w:val="22"/>
              </w:rPr>
              <w:fldChar w:fldCharType="end"/>
            </w:r>
          </w:hyperlink>
        </w:p>
        <w:p w14:paraId="647D8ABA" w14:textId="01A38B8E" w:rsidR="005D3464" w:rsidRPr="002C1108" w:rsidRDefault="007036AE" w:rsidP="007400E6">
          <w:pPr>
            <w:pStyle w:val="TOC1"/>
            <w:spacing w:before="0" w:after="0" w:line="276" w:lineRule="auto"/>
            <w:rPr>
              <w:rFonts w:eastAsiaTheme="minorEastAsia" w:cs="Arial"/>
              <w:noProof/>
              <w:spacing w:val="0"/>
              <w:sz w:val="22"/>
              <w:szCs w:val="22"/>
            </w:rPr>
          </w:pPr>
          <w:hyperlink w:anchor="_Toc70599716" w:history="1">
            <w:r w:rsidR="005D3464" w:rsidRPr="002C1108">
              <w:rPr>
                <w:rStyle w:val="Hyperlink"/>
                <w:rFonts w:eastAsiaTheme="majorEastAsia" w:cs="Arial"/>
                <w:noProof/>
                <w:szCs w:val="22"/>
              </w:rPr>
              <w:t>10.3.</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C – Screening template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_Toc70599716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43</w:t>
            </w:r>
            <w:r w:rsidR="005D3464" w:rsidRPr="002C1108">
              <w:rPr>
                <w:rFonts w:cs="Arial"/>
                <w:noProof/>
                <w:webHidden/>
                <w:sz w:val="22"/>
                <w:szCs w:val="22"/>
              </w:rPr>
              <w:fldChar w:fldCharType="end"/>
            </w:r>
          </w:hyperlink>
        </w:p>
        <w:p w14:paraId="3F3FF436" w14:textId="3F59F658" w:rsidR="005D3464" w:rsidRPr="002C1108" w:rsidRDefault="007036AE" w:rsidP="007400E6">
          <w:pPr>
            <w:pStyle w:val="TOC1"/>
            <w:spacing w:before="0" w:after="0" w:line="276" w:lineRule="auto"/>
            <w:rPr>
              <w:rFonts w:eastAsiaTheme="minorEastAsia" w:cs="Arial"/>
              <w:noProof/>
              <w:spacing w:val="0"/>
              <w:sz w:val="22"/>
              <w:szCs w:val="22"/>
            </w:rPr>
          </w:pPr>
          <w:hyperlink w:anchor="_Toc70599717" w:history="1">
            <w:r w:rsidR="005D3464" w:rsidRPr="002C1108">
              <w:rPr>
                <w:rStyle w:val="Hyperlink"/>
                <w:rFonts w:eastAsiaTheme="majorEastAsia" w:cs="Arial"/>
                <w:noProof/>
                <w:szCs w:val="22"/>
              </w:rPr>
              <w:t>10.4.</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D – Referral practice table</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_Toc70599717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45</w:t>
            </w:r>
            <w:r w:rsidR="005D3464" w:rsidRPr="002C1108">
              <w:rPr>
                <w:rFonts w:cs="Arial"/>
                <w:noProof/>
                <w:webHidden/>
                <w:sz w:val="22"/>
                <w:szCs w:val="22"/>
              </w:rPr>
              <w:fldChar w:fldCharType="end"/>
            </w:r>
          </w:hyperlink>
        </w:p>
        <w:p w14:paraId="13889203" w14:textId="05762803" w:rsidR="005D3464" w:rsidRPr="002C1108" w:rsidRDefault="007036AE" w:rsidP="007400E6">
          <w:pPr>
            <w:pStyle w:val="TOC1"/>
            <w:spacing w:before="0" w:after="0" w:line="276" w:lineRule="auto"/>
            <w:rPr>
              <w:rFonts w:eastAsiaTheme="minorEastAsia" w:cs="Arial"/>
              <w:noProof/>
              <w:spacing w:val="0"/>
              <w:sz w:val="22"/>
              <w:szCs w:val="22"/>
            </w:rPr>
          </w:pPr>
          <w:hyperlink w:anchor="_Toc70599718" w:history="1">
            <w:r w:rsidR="005D3464" w:rsidRPr="002C1108">
              <w:rPr>
                <w:rStyle w:val="Hyperlink"/>
                <w:rFonts w:eastAsiaTheme="majorEastAsia" w:cs="Arial"/>
                <w:noProof/>
                <w:szCs w:val="22"/>
              </w:rPr>
              <w:t>10.5.</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E – Referrals checklist</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_Toc70599718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47</w:t>
            </w:r>
            <w:r w:rsidR="005D3464" w:rsidRPr="002C1108">
              <w:rPr>
                <w:rFonts w:cs="Arial"/>
                <w:noProof/>
                <w:webHidden/>
                <w:sz w:val="22"/>
                <w:szCs w:val="22"/>
              </w:rPr>
              <w:fldChar w:fldCharType="end"/>
            </w:r>
          </w:hyperlink>
        </w:p>
        <w:p w14:paraId="7956411F" w14:textId="3D0662F0" w:rsidR="005D3464" w:rsidRPr="002C1108" w:rsidRDefault="007036AE" w:rsidP="007400E6">
          <w:pPr>
            <w:pStyle w:val="TOC1"/>
            <w:spacing w:before="0" w:after="0" w:line="276" w:lineRule="auto"/>
            <w:rPr>
              <w:rFonts w:eastAsiaTheme="minorEastAsia" w:cs="Arial"/>
              <w:noProof/>
              <w:spacing w:val="0"/>
              <w:sz w:val="22"/>
              <w:szCs w:val="22"/>
            </w:rPr>
          </w:pPr>
          <w:hyperlink w:anchor="_Toc70599719" w:history="1">
            <w:r w:rsidR="005D3464" w:rsidRPr="002C1108">
              <w:rPr>
                <w:rStyle w:val="Hyperlink"/>
                <w:rFonts w:eastAsiaTheme="majorEastAsia" w:cs="Arial"/>
                <w:noProof/>
                <w:szCs w:val="22"/>
              </w:rPr>
              <w:t>10.6.</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F – Review Point Assessment Criteria</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_Toc70599719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48</w:t>
            </w:r>
            <w:r w:rsidR="005D3464" w:rsidRPr="002C1108">
              <w:rPr>
                <w:rFonts w:cs="Arial"/>
                <w:noProof/>
                <w:webHidden/>
                <w:sz w:val="22"/>
                <w:szCs w:val="22"/>
              </w:rPr>
              <w:fldChar w:fldCharType="end"/>
            </w:r>
          </w:hyperlink>
        </w:p>
        <w:p w14:paraId="7D0D3FC3" w14:textId="7982F955" w:rsidR="005D3464" w:rsidRPr="002C1108" w:rsidRDefault="007036AE" w:rsidP="007400E6">
          <w:pPr>
            <w:pStyle w:val="TOC1"/>
            <w:spacing w:before="0" w:after="0" w:line="276" w:lineRule="auto"/>
            <w:rPr>
              <w:rFonts w:eastAsiaTheme="minorEastAsia" w:cs="Arial"/>
              <w:noProof/>
              <w:spacing w:val="0"/>
              <w:sz w:val="22"/>
              <w:szCs w:val="22"/>
            </w:rPr>
          </w:pPr>
          <w:hyperlink w:anchor="_Toc70599720" w:history="1">
            <w:r w:rsidR="005D3464" w:rsidRPr="002C1108">
              <w:rPr>
                <w:rStyle w:val="Hyperlink"/>
                <w:rFonts w:eastAsiaTheme="majorEastAsia" w:cs="Arial"/>
                <w:noProof/>
                <w:szCs w:val="22"/>
              </w:rPr>
              <w:t>10.7.</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G – Outcomes Framework</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_Toc70599720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52</w:t>
            </w:r>
            <w:r w:rsidR="005D3464" w:rsidRPr="002C1108">
              <w:rPr>
                <w:rFonts w:cs="Arial"/>
                <w:noProof/>
                <w:webHidden/>
                <w:sz w:val="22"/>
                <w:szCs w:val="22"/>
              </w:rPr>
              <w:fldChar w:fldCharType="end"/>
            </w:r>
          </w:hyperlink>
        </w:p>
        <w:p w14:paraId="005425A3" w14:textId="24C930E6" w:rsidR="005D3464" w:rsidRPr="002C1108" w:rsidRDefault="007036AE" w:rsidP="007400E6">
          <w:pPr>
            <w:pStyle w:val="TOC1"/>
            <w:spacing w:before="0" w:after="0" w:line="276" w:lineRule="auto"/>
            <w:rPr>
              <w:rFonts w:eastAsiaTheme="minorEastAsia" w:cs="Arial"/>
              <w:noProof/>
              <w:spacing w:val="0"/>
              <w:sz w:val="22"/>
              <w:szCs w:val="22"/>
            </w:rPr>
          </w:pPr>
          <w:hyperlink w:anchor="_Toc70599721" w:history="1">
            <w:r w:rsidR="005D3464" w:rsidRPr="002C1108">
              <w:rPr>
                <w:rStyle w:val="Hyperlink"/>
                <w:rFonts w:eastAsiaTheme="majorEastAsia" w:cs="Arial"/>
                <w:noProof/>
                <w:szCs w:val="22"/>
              </w:rPr>
              <w:t>10.8.</w:t>
            </w:r>
            <w:r w:rsidR="005D3464" w:rsidRPr="002C1108">
              <w:rPr>
                <w:rFonts w:eastAsiaTheme="minorEastAsia" w:cs="Arial"/>
                <w:noProof/>
                <w:spacing w:val="0"/>
                <w:sz w:val="22"/>
                <w:szCs w:val="22"/>
              </w:rPr>
              <w:tab/>
            </w:r>
            <w:r w:rsidR="005D3464" w:rsidRPr="002C1108">
              <w:rPr>
                <w:rStyle w:val="Hyperlink"/>
                <w:rFonts w:eastAsiaTheme="majorEastAsia" w:cs="Arial"/>
                <w:noProof/>
                <w:szCs w:val="22"/>
              </w:rPr>
              <w:t>Appendix H – Incident Report Form</w:t>
            </w:r>
            <w:r w:rsidR="005D3464" w:rsidRPr="002C1108">
              <w:rPr>
                <w:rFonts w:cs="Arial"/>
                <w:noProof/>
                <w:webHidden/>
                <w:sz w:val="22"/>
                <w:szCs w:val="22"/>
              </w:rPr>
              <w:tab/>
            </w:r>
            <w:r w:rsidR="005D3464" w:rsidRPr="002C1108">
              <w:rPr>
                <w:rFonts w:cs="Arial"/>
                <w:noProof/>
                <w:webHidden/>
                <w:sz w:val="22"/>
                <w:szCs w:val="22"/>
              </w:rPr>
              <w:fldChar w:fldCharType="begin"/>
            </w:r>
            <w:r w:rsidR="005D3464" w:rsidRPr="002C1108">
              <w:rPr>
                <w:rFonts w:cs="Arial"/>
                <w:noProof/>
                <w:webHidden/>
                <w:sz w:val="22"/>
                <w:szCs w:val="22"/>
              </w:rPr>
              <w:instrText xml:space="preserve"> PAGEREF _Toc70599721 \h </w:instrText>
            </w:r>
            <w:r w:rsidR="005D3464" w:rsidRPr="002C1108">
              <w:rPr>
                <w:rFonts w:cs="Arial"/>
                <w:noProof/>
                <w:webHidden/>
                <w:sz w:val="22"/>
                <w:szCs w:val="22"/>
              </w:rPr>
            </w:r>
            <w:r w:rsidR="005D3464" w:rsidRPr="002C1108">
              <w:rPr>
                <w:rFonts w:cs="Arial"/>
                <w:noProof/>
                <w:webHidden/>
                <w:sz w:val="22"/>
                <w:szCs w:val="22"/>
              </w:rPr>
              <w:fldChar w:fldCharType="separate"/>
            </w:r>
            <w:r>
              <w:rPr>
                <w:rFonts w:cs="Arial"/>
                <w:noProof/>
                <w:webHidden/>
                <w:sz w:val="22"/>
                <w:szCs w:val="22"/>
              </w:rPr>
              <w:t>54</w:t>
            </w:r>
            <w:r w:rsidR="005D3464" w:rsidRPr="002C1108">
              <w:rPr>
                <w:rFonts w:cs="Arial"/>
                <w:noProof/>
                <w:webHidden/>
                <w:sz w:val="22"/>
                <w:szCs w:val="22"/>
              </w:rPr>
              <w:fldChar w:fldCharType="end"/>
            </w:r>
          </w:hyperlink>
        </w:p>
        <w:p w14:paraId="02A50187" w14:textId="4F3100C5" w:rsidR="007B19C7" w:rsidRPr="002C1108" w:rsidRDefault="007B19C7" w:rsidP="0024421E">
          <w:pPr>
            <w:spacing w:before="0" w:after="200" w:line="276" w:lineRule="auto"/>
            <w:rPr>
              <w:rFonts w:cs="Arial"/>
              <w:sz w:val="22"/>
              <w:szCs w:val="22"/>
            </w:rPr>
          </w:pPr>
          <w:r w:rsidRPr="002C1108">
            <w:rPr>
              <w:rStyle w:val="Hyperlink"/>
              <w:rFonts w:eastAsiaTheme="majorEastAsia" w:cs="Arial"/>
              <w:szCs w:val="22"/>
            </w:rPr>
            <w:fldChar w:fldCharType="end"/>
          </w:r>
        </w:p>
      </w:sdtContent>
    </w:sdt>
    <w:p w14:paraId="0F38550A" w14:textId="77777777" w:rsidR="009D1C88" w:rsidRDefault="009D1C88">
      <w:pPr>
        <w:spacing w:before="0" w:after="200" w:line="276" w:lineRule="auto"/>
        <w:rPr>
          <w:rFonts w:ascii="Georgia" w:hAnsi="Georgia" w:cs="Arial"/>
          <w:bCs/>
          <w:color w:val="500778"/>
          <w:kern w:val="32"/>
          <w:sz w:val="36"/>
          <w:szCs w:val="32"/>
        </w:rPr>
      </w:pPr>
      <w:r>
        <w:br w:type="page"/>
      </w:r>
    </w:p>
    <w:p w14:paraId="7F230E90" w14:textId="77777777" w:rsidR="002A7944" w:rsidRPr="00A21E38" w:rsidRDefault="002A7944" w:rsidP="000D72FB">
      <w:pPr>
        <w:pStyle w:val="Heading2"/>
      </w:pPr>
      <w:bookmarkStart w:id="9" w:name="_Toc70599654"/>
      <w:r w:rsidRPr="00A21E38">
        <w:lastRenderedPageBreak/>
        <w:t>Pref</w:t>
      </w:r>
      <w:r w:rsidR="003E0CF0" w:rsidRPr="00A21E38">
        <w:t>a</w:t>
      </w:r>
      <w:r w:rsidRPr="00A21E38">
        <w:t>ce</w:t>
      </w:r>
      <w:bookmarkEnd w:id="9"/>
    </w:p>
    <w:p w14:paraId="7EF2A86A" w14:textId="77777777" w:rsidR="00CE556C" w:rsidRDefault="00CE556C" w:rsidP="00CE556C">
      <w:pPr>
        <w:rPr>
          <w:sz w:val="22"/>
          <w:szCs w:val="22"/>
        </w:rPr>
      </w:pPr>
      <w:r w:rsidRPr="00A10A27">
        <w:rPr>
          <w:sz w:val="22"/>
          <w:szCs w:val="22"/>
        </w:rPr>
        <w:t xml:space="preserve">These </w:t>
      </w:r>
      <w:r>
        <w:rPr>
          <w:sz w:val="22"/>
          <w:szCs w:val="22"/>
        </w:rPr>
        <w:t xml:space="preserve">Operational Guidelines relate to </w:t>
      </w:r>
      <w:r w:rsidRPr="00A10A27">
        <w:rPr>
          <w:sz w:val="22"/>
          <w:szCs w:val="22"/>
        </w:rPr>
        <w:t>Family Mental Health Support Service</w:t>
      </w:r>
      <w:r>
        <w:rPr>
          <w:sz w:val="22"/>
          <w:szCs w:val="22"/>
        </w:rPr>
        <w:t>s</w:t>
      </w:r>
      <w:r w:rsidRPr="00A10A27">
        <w:rPr>
          <w:sz w:val="22"/>
          <w:szCs w:val="22"/>
        </w:rPr>
        <w:t xml:space="preserve"> (FMHSS) funded by the Department of Social Services (</w:t>
      </w:r>
      <w:r>
        <w:rPr>
          <w:sz w:val="22"/>
          <w:szCs w:val="22"/>
        </w:rPr>
        <w:t>the department</w:t>
      </w:r>
      <w:r w:rsidRPr="00A10A27">
        <w:rPr>
          <w:sz w:val="22"/>
          <w:szCs w:val="22"/>
        </w:rPr>
        <w:t>).</w:t>
      </w:r>
    </w:p>
    <w:p w14:paraId="3E33DF52" w14:textId="0AD38A50" w:rsidR="00CE556C" w:rsidRDefault="00CE556C" w:rsidP="00CE556C">
      <w:pPr>
        <w:rPr>
          <w:sz w:val="22"/>
          <w:szCs w:val="22"/>
        </w:rPr>
      </w:pPr>
      <w:r w:rsidRPr="00A10A27">
        <w:rPr>
          <w:sz w:val="22"/>
          <w:szCs w:val="22"/>
        </w:rPr>
        <w:t>The primary purpose of th</w:t>
      </w:r>
      <w:r>
        <w:rPr>
          <w:sz w:val="22"/>
          <w:szCs w:val="22"/>
        </w:rPr>
        <w:t>e Operational Guidelines</w:t>
      </w:r>
      <w:r w:rsidRPr="00A10A27">
        <w:rPr>
          <w:sz w:val="22"/>
          <w:szCs w:val="22"/>
        </w:rPr>
        <w:t xml:space="preserve"> is to assist </w:t>
      </w:r>
      <w:r>
        <w:rPr>
          <w:sz w:val="22"/>
          <w:szCs w:val="22"/>
        </w:rPr>
        <w:t xml:space="preserve">funded </w:t>
      </w:r>
      <w:r w:rsidRPr="00A10A27">
        <w:rPr>
          <w:sz w:val="22"/>
          <w:szCs w:val="22"/>
        </w:rPr>
        <w:t>providers to work in a nationally consistent, co</w:t>
      </w:r>
      <w:r>
        <w:rPr>
          <w:sz w:val="22"/>
          <w:szCs w:val="22"/>
        </w:rPr>
        <w:t>-</w:t>
      </w:r>
      <w:r w:rsidRPr="00A10A27">
        <w:rPr>
          <w:sz w:val="22"/>
          <w:szCs w:val="22"/>
        </w:rPr>
        <w:t>ordinated and co</w:t>
      </w:r>
      <w:r>
        <w:rPr>
          <w:sz w:val="22"/>
          <w:szCs w:val="22"/>
        </w:rPr>
        <w:t>-</w:t>
      </w:r>
      <w:r w:rsidRPr="00A10A27">
        <w:rPr>
          <w:sz w:val="22"/>
          <w:szCs w:val="22"/>
        </w:rPr>
        <w:t xml:space="preserve">operative </w:t>
      </w:r>
      <w:r>
        <w:rPr>
          <w:sz w:val="22"/>
          <w:szCs w:val="22"/>
        </w:rPr>
        <w:t>manner</w:t>
      </w:r>
      <w:r w:rsidRPr="00A10A27">
        <w:rPr>
          <w:sz w:val="22"/>
          <w:szCs w:val="22"/>
        </w:rPr>
        <w:t>.</w:t>
      </w:r>
    </w:p>
    <w:p w14:paraId="670B2D85" w14:textId="6F75A98C" w:rsidR="00CE556C" w:rsidRPr="00A10A27" w:rsidRDefault="00CE556C" w:rsidP="00CE556C">
      <w:pPr>
        <w:rPr>
          <w:sz w:val="22"/>
          <w:szCs w:val="22"/>
        </w:rPr>
      </w:pPr>
      <w:r w:rsidRPr="00A10A27">
        <w:rPr>
          <w:sz w:val="22"/>
          <w:szCs w:val="22"/>
        </w:rPr>
        <w:t xml:space="preserve">This document outlines </w:t>
      </w:r>
      <w:r>
        <w:rPr>
          <w:sz w:val="22"/>
          <w:szCs w:val="22"/>
        </w:rPr>
        <w:t xml:space="preserve">some </w:t>
      </w:r>
      <w:r w:rsidRPr="00A10A27">
        <w:rPr>
          <w:sz w:val="22"/>
          <w:szCs w:val="22"/>
        </w:rPr>
        <w:t>key elements of</w:t>
      </w:r>
      <w:r>
        <w:rPr>
          <w:sz w:val="22"/>
          <w:szCs w:val="22"/>
        </w:rPr>
        <w:t xml:space="preserve"> FMHSS</w:t>
      </w:r>
      <w:r w:rsidRPr="00A10A27">
        <w:rPr>
          <w:sz w:val="22"/>
          <w:szCs w:val="22"/>
        </w:rPr>
        <w:t xml:space="preserve"> service delivery, and seeks to</w:t>
      </w:r>
      <w:r w:rsidR="00EE562E">
        <w:rPr>
          <w:sz w:val="22"/>
          <w:szCs w:val="22"/>
        </w:rPr>
        <w:t> </w:t>
      </w:r>
      <w:r w:rsidRPr="00A10A27">
        <w:rPr>
          <w:sz w:val="22"/>
          <w:szCs w:val="22"/>
        </w:rPr>
        <w:t xml:space="preserve">clarify policy and process questions that may arise during the delivery of </w:t>
      </w:r>
      <w:r>
        <w:rPr>
          <w:sz w:val="22"/>
          <w:szCs w:val="22"/>
        </w:rPr>
        <w:t>services</w:t>
      </w:r>
      <w:r w:rsidRPr="00A10A27">
        <w:rPr>
          <w:sz w:val="22"/>
          <w:szCs w:val="22"/>
        </w:rPr>
        <w:t>.</w:t>
      </w:r>
    </w:p>
    <w:p w14:paraId="32DE3443" w14:textId="1E372E27" w:rsidR="00CE556C" w:rsidRPr="00A10A27" w:rsidRDefault="00CE556C" w:rsidP="00CE556C">
      <w:pPr>
        <w:rPr>
          <w:sz w:val="22"/>
          <w:szCs w:val="22"/>
        </w:rPr>
      </w:pPr>
      <w:r w:rsidRPr="00A10A27">
        <w:rPr>
          <w:sz w:val="22"/>
          <w:szCs w:val="22"/>
        </w:rPr>
        <w:t xml:space="preserve">The </w:t>
      </w:r>
      <w:r>
        <w:rPr>
          <w:sz w:val="22"/>
          <w:szCs w:val="22"/>
        </w:rPr>
        <w:t>Operational Guidelines</w:t>
      </w:r>
      <w:r w:rsidRPr="00A10A27">
        <w:rPr>
          <w:sz w:val="22"/>
          <w:szCs w:val="22"/>
        </w:rPr>
        <w:t xml:space="preserve"> are a living document</w:t>
      </w:r>
      <w:r>
        <w:rPr>
          <w:sz w:val="22"/>
          <w:szCs w:val="22"/>
        </w:rPr>
        <w:t xml:space="preserve"> </w:t>
      </w:r>
      <w:r w:rsidRPr="003F5670">
        <w:rPr>
          <w:sz w:val="22"/>
          <w:szCs w:val="22"/>
        </w:rPr>
        <w:t xml:space="preserve">– </w:t>
      </w:r>
      <w:r>
        <w:rPr>
          <w:sz w:val="22"/>
          <w:szCs w:val="22"/>
        </w:rPr>
        <w:t>a</w:t>
      </w:r>
      <w:r w:rsidRPr="00A10A27">
        <w:rPr>
          <w:sz w:val="22"/>
          <w:szCs w:val="22"/>
        </w:rPr>
        <w:t xml:space="preserve">s </w:t>
      </w:r>
      <w:r>
        <w:rPr>
          <w:sz w:val="22"/>
          <w:szCs w:val="22"/>
        </w:rPr>
        <w:t xml:space="preserve">any </w:t>
      </w:r>
      <w:r w:rsidRPr="00A10A27">
        <w:rPr>
          <w:sz w:val="22"/>
          <w:szCs w:val="22"/>
        </w:rPr>
        <w:t>additional issues</w:t>
      </w:r>
      <w:r>
        <w:rPr>
          <w:sz w:val="22"/>
          <w:szCs w:val="22"/>
        </w:rPr>
        <w:t xml:space="preserve"> become evident</w:t>
      </w:r>
      <w:r w:rsidRPr="00A10A27">
        <w:rPr>
          <w:sz w:val="22"/>
          <w:szCs w:val="22"/>
        </w:rPr>
        <w:t>, and</w:t>
      </w:r>
      <w:r>
        <w:rPr>
          <w:sz w:val="22"/>
          <w:szCs w:val="22"/>
        </w:rPr>
        <w:t>/or</w:t>
      </w:r>
      <w:r w:rsidRPr="00A10A27">
        <w:rPr>
          <w:sz w:val="22"/>
          <w:szCs w:val="22"/>
        </w:rPr>
        <w:t xml:space="preserve"> policy clarifications are </w:t>
      </w:r>
      <w:r>
        <w:rPr>
          <w:sz w:val="22"/>
          <w:szCs w:val="22"/>
        </w:rPr>
        <w:t>refined</w:t>
      </w:r>
      <w:r w:rsidRPr="00A10A27">
        <w:rPr>
          <w:sz w:val="22"/>
          <w:szCs w:val="22"/>
        </w:rPr>
        <w:t xml:space="preserve">, </w:t>
      </w:r>
      <w:r>
        <w:rPr>
          <w:sz w:val="22"/>
          <w:szCs w:val="22"/>
        </w:rPr>
        <w:t xml:space="preserve">changes will </w:t>
      </w:r>
      <w:r w:rsidRPr="00A10A27">
        <w:rPr>
          <w:sz w:val="22"/>
          <w:szCs w:val="22"/>
        </w:rPr>
        <w:t xml:space="preserve">be included in an updated version of the </w:t>
      </w:r>
      <w:r>
        <w:rPr>
          <w:sz w:val="22"/>
          <w:szCs w:val="22"/>
        </w:rPr>
        <w:t>Operational Guidelines</w:t>
      </w:r>
      <w:r w:rsidRPr="00A10A27">
        <w:rPr>
          <w:sz w:val="22"/>
          <w:szCs w:val="22"/>
        </w:rPr>
        <w:t>.</w:t>
      </w:r>
    </w:p>
    <w:p w14:paraId="1187CC3A" w14:textId="39F9D1A6" w:rsidR="00CE556C" w:rsidRPr="005C4668" w:rsidRDefault="00CE556C" w:rsidP="00CE556C">
      <w:pPr>
        <w:rPr>
          <w:sz w:val="22"/>
          <w:szCs w:val="22"/>
        </w:rPr>
      </w:pPr>
      <w:r w:rsidRPr="00A10A27">
        <w:rPr>
          <w:sz w:val="22"/>
          <w:szCs w:val="22"/>
        </w:rPr>
        <w:t xml:space="preserve">Updates to the </w:t>
      </w:r>
      <w:r>
        <w:rPr>
          <w:sz w:val="22"/>
          <w:szCs w:val="22"/>
        </w:rPr>
        <w:t>Operational Guidelines</w:t>
      </w:r>
      <w:r w:rsidRPr="00A10A27">
        <w:rPr>
          <w:sz w:val="22"/>
          <w:szCs w:val="22"/>
        </w:rPr>
        <w:t xml:space="preserve"> will be emailed to the </w:t>
      </w:r>
      <w:r>
        <w:rPr>
          <w:sz w:val="22"/>
          <w:szCs w:val="22"/>
        </w:rPr>
        <w:t>program schedule level</w:t>
      </w:r>
      <w:r w:rsidRPr="00A10A27">
        <w:rPr>
          <w:sz w:val="22"/>
          <w:szCs w:val="22"/>
        </w:rPr>
        <w:t xml:space="preserve"> contact listed in the</w:t>
      </w:r>
      <w:r>
        <w:rPr>
          <w:sz w:val="22"/>
          <w:szCs w:val="22"/>
        </w:rPr>
        <w:t xml:space="preserve"> department’s</w:t>
      </w:r>
      <w:r w:rsidRPr="00A10A27">
        <w:rPr>
          <w:sz w:val="22"/>
          <w:szCs w:val="22"/>
        </w:rPr>
        <w:t xml:space="preserve"> Grant Payment System (GPS)</w:t>
      </w:r>
      <w:r>
        <w:rPr>
          <w:sz w:val="22"/>
          <w:szCs w:val="22"/>
        </w:rPr>
        <w:t xml:space="preserve">. </w:t>
      </w:r>
      <w:r w:rsidRPr="00A10A27">
        <w:rPr>
          <w:sz w:val="22"/>
          <w:szCs w:val="22"/>
        </w:rPr>
        <w:t>Please</w:t>
      </w:r>
      <w:r>
        <w:rPr>
          <w:sz w:val="22"/>
          <w:szCs w:val="22"/>
        </w:rPr>
        <w:t xml:space="preserve"> ensure</w:t>
      </w:r>
      <w:r w:rsidRPr="00A10A27">
        <w:rPr>
          <w:sz w:val="22"/>
          <w:szCs w:val="22"/>
        </w:rPr>
        <w:t xml:space="preserve"> </w:t>
      </w:r>
      <w:r>
        <w:rPr>
          <w:sz w:val="22"/>
          <w:szCs w:val="22"/>
        </w:rPr>
        <w:t xml:space="preserve">this contact detail is </w:t>
      </w:r>
      <w:r w:rsidRPr="00A10A27">
        <w:rPr>
          <w:sz w:val="22"/>
          <w:szCs w:val="22"/>
        </w:rPr>
        <w:t>kept up-to-date with your Funding Arrangement Manager (FAM</w:t>
      </w:r>
      <w:r w:rsidRPr="005C4668">
        <w:rPr>
          <w:sz w:val="22"/>
          <w:szCs w:val="22"/>
        </w:rPr>
        <w:t xml:space="preserve">). </w:t>
      </w:r>
      <w:r w:rsidR="005C4668" w:rsidRPr="005C4668">
        <w:rPr>
          <w:sz w:val="22"/>
          <w:szCs w:val="22"/>
        </w:rPr>
        <w:t xml:space="preserve">Copies of the most current Operational Guidelines can be found on the </w:t>
      </w:r>
      <w:hyperlink r:id="rId13" w:history="1">
        <w:r w:rsidR="005C4668" w:rsidRPr="00A9042F">
          <w:rPr>
            <w:rStyle w:val="Hyperlink"/>
            <w:szCs w:val="22"/>
          </w:rPr>
          <w:t>Families and Children</w:t>
        </w:r>
      </w:hyperlink>
      <w:r w:rsidR="005C4668" w:rsidRPr="005C4668">
        <w:rPr>
          <w:rStyle w:val="Hyperlink"/>
          <w:szCs w:val="22"/>
        </w:rPr>
        <w:t xml:space="preserve"> Activity</w:t>
      </w:r>
      <w:r w:rsidR="005C4668" w:rsidRPr="005C4668">
        <w:rPr>
          <w:sz w:val="22"/>
          <w:szCs w:val="22"/>
        </w:rPr>
        <w:t xml:space="preserve"> pages on the department’s website.</w:t>
      </w:r>
    </w:p>
    <w:p w14:paraId="21B29767" w14:textId="77777777" w:rsidR="00CE556C" w:rsidRPr="00EE5C17" w:rsidRDefault="00CE556C" w:rsidP="00CE556C">
      <w:pPr>
        <w:rPr>
          <w:sz w:val="22"/>
          <w:szCs w:val="22"/>
        </w:rPr>
      </w:pPr>
      <w:r w:rsidRPr="00111A5C">
        <w:rPr>
          <w:sz w:val="22"/>
          <w:szCs w:val="22"/>
        </w:rPr>
        <w:t>F</w:t>
      </w:r>
      <w:r w:rsidRPr="00EE5C17">
        <w:rPr>
          <w:sz w:val="22"/>
          <w:szCs w:val="22"/>
        </w:rPr>
        <w:t>MHSS providers have a responsibility to ensure they are familiar with all contractual obligations including where these may change as the Operational Guidelines are amended.</w:t>
      </w:r>
    </w:p>
    <w:p w14:paraId="5B670516" w14:textId="77777777" w:rsidR="00CE556C" w:rsidRPr="0008275D" w:rsidRDefault="00CE556C" w:rsidP="00CE556C">
      <w:pPr>
        <w:rPr>
          <w:sz w:val="22"/>
          <w:szCs w:val="22"/>
        </w:rPr>
      </w:pPr>
      <w:r>
        <w:rPr>
          <w:sz w:val="22"/>
          <w:szCs w:val="22"/>
        </w:rPr>
        <w:t xml:space="preserve">FMHSS </w:t>
      </w:r>
      <w:r w:rsidRPr="0008275D">
        <w:rPr>
          <w:sz w:val="22"/>
          <w:szCs w:val="22"/>
        </w:rPr>
        <w:t>providers should engage with their FAM as the first point of contact with the department. The FAM will provide guidance and assist you with reporting, accountability and contractual obligations.</w:t>
      </w:r>
    </w:p>
    <w:p w14:paraId="1A3AFF73" w14:textId="77777777" w:rsidR="00CE556C" w:rsidRPr="005850F5" w:rsidRDefault="00CE556C" w:rsidP="00CE556C">
      <w:pPr>
        <w:spacing w:after="0"/>
        <w:rPr>
          <w:sz w:val="22"/>
          <w:szCs w:val="22"/>
        </w:rPr>
      </w:pPr>
      <w:r>
        <w:rPr>
          <w:sz w:val="22"/>
          <w:szCs w:val="22"/>
        </w:rPr>
        <w:t>The Operational Guidelines should be read in conjunction with the:</w:t>
      </w:r>
    </w:p>
    <w:p w14:paraId="6466AC2D" w14:textId="77777777" w:rsidR="00CE556C" w:rsidRPr="005850F5" w:rsidRDefault="007036AE" w:rsidP="00CE556C">
      <w:pPr>
        <w:pStyle w:val="ListParagraph"/>
        <w:numPr>
          <w:ilvl w:val="0"/>
          <w:numId w:val="61"/>
        </w:numPr>
        <w:spacing w:before="0" w:after="0" w:line="276" w:lineRule="auto"/>
        <w:rPr>
          <w:rFonts w:cs="Arial"/>
          <w:sz w:val="22"/>
          <w:szCs w:val="22"/>
        </w:rPr>
      </w:pPr>
      <w:hyperlink r:id="rId14" w:history="1">
        <w:r w:rsidR="00CE556C" w:rsidRPr="00EA3CD3">
          <w:rPr>
            <w:rStyle w:val="Hyperlink"/>
            <w:szCs w:val="22"/>
          </w:rPr>
          <w:t>Community Mental Health (CMH) Program Guidelines</w:t>
        </w:r>
      </w:hyperlink>
      <w:r w:rsidR="00CE556C">
        <w:rPr>
          <w:rStyle w:val="Hyperlink"/>
          <w:szCs w:val="22"/>
        </w:rPr>
        <w:t xml:space="preserve"> </w:t>
      </w:r>
    </w:p>
    <w:p w14:paraId="51E82C8A" w14:textId="77777777" w:rsidR="00CE556C" w:rsidRPr="00047957" w:rsidRDefault="00CE556C" w:rsidP="00CE556C">
      <w:pPr>
        <w:numPr>
          <w:ilvl w:val="0"/>
          <w:numId w:val="61"/>
        </w:numPr>
        <w:spacing w:before="0" w:after="200" w:line="276" w:lineRule="auto"/>
        <w:contextualSpacing/>
        <w:rPr>
          <w:rFonts w:eastAsia="Calibri"/>
          <w:spacing w:val="0"/>
          <w:sz w:val="22"/>
          <w:szCs w:val="22"/>
          <w:lang w:eastAsia="en-US"/>
        </w:rPr>
      </w:pPr>
      <w:r w:rsidRPr="00047957">
        <w:rPr>
          <w:rFonts w:eastAsia="Calibri"/>
          <w:spacing w:val="0"/>
          <w:sz w:val="22"/>
          <w:szCs w:val="22"/>
          <w:lang w:eastAsia="en-US"/>
        </w:rPr>
        <w:t>Commonwealth Standard Grant Agreement/s</w:t>
      </w:r>
    </w:p>
    <w:p w14:paraId="53017D14" w14:textId="77777777" w:rsidR="00CE556C" w:rsidRPr="00047957" w:rsidRDefault="00CE556C" w:rsidP="00CE556C">
      <w:pPr>
        <w:numPr>
          <w:ilvl w:val="0"/>
          <w:numId w:val="61"/>
        </w:numPr>
        <w:spacing w:before="0" w:after="200" w:line="276" w:lineRule="auto"/>
        <w:contextualSpacing/>
        <w:rPr>
          <w:rFonts w:eastAsia="Calibri"/>
          <w:spacing w:val="0"/>
          <w:sz w:val="22"/>
          <w:szCs w:val="22"/>
          <w:lang w:eastAsia="en-US"/>
        </w:rPr>
      </w:pPr>
      <w:r w:rsidRPr="00047957">
        <w:rPr>
          <w:rFonts w:eastAsia="Calibri"/>
          <w:spacing w:val="0"/>
          <w:sz w:val="22"/>
          <w:szCs w:val="22"/>
          <w:lang w:eastAsia="en-US"/>
        </w:rPr>
        <w:t>Commonwealth Standard Grant Conditions (Schedule 1)</w:t>
      </w:r>
    </w:p>
    <w:p w14:paraId="7B284506" w14:textId="77777777" w:rsidR="00CE556C" w:rsidRPr="00047957" w:rsidRDefault="00CE556C" w:rsidP="00CE556C">
      <w:pPr>
        <w:numPr>
          <w:ilvl w:val="0"/>
          <w:numId w:val="61"/>
        </w:numPr>
        <w:spacing w:before="0" w:after="200" w:line="276" w:lineRule="auto"/>
        <w:contextualSpacing/>
        <w:rPr>
          <w:rFonts w:eastAsia="Calibri"/>
          <w:spacing w:val="0"/>
          <w:sz w:val="22"/>
          <w:szCs w:val="22"/>
          <w:lang w:eastAsia="en-US"/>
        </w:rPr>
      </w:pPr>
      <w:r w:rsidRPr="00047957">
        <w:rPr>
          <w:rFonts w:eastAsia="Calibri"/>
          <w:spacing w:val="0"/>
          <w:sz w:val="22"/>
          <w:szCs w:val="22"/>
          <w:lang w:eastAsia="en-US"/>
        </w:rPr>
        <w:t>Commonwealth Standard Grant Agreement Supplementary Provisions</w:t>
      </w:r>
    </w:p>
    <w:p w14:paraId="52ECF270" w14:textId="77777777" w:rsidR="00CE556C" w:rsidRPr="005850F5" w:rsidRDefault="007036AE" w:rsidP="00CE556C">
      <w:pPr>
        <w:numPr>
          <w:ilvl w:val="0"/>
          <w:numId w:val="61"/>
        </w:numPr>
        <w:spacing w:before="0" w:after="200" w:line="276" w:lineRule="auto"/>
        <w:contextualSpacing/>
        <w:rPr>
          <w:rFonts w:eastAsia="Calibri"/>
          <w:spacing w:val="0"/>
          <w:sz w:val="22"/>
          <w:szCs w:val="22"/>
          <w:lang w:eastAsia="en-US"/>
        </w:rPr>
      </w:pPr>
      <w:hyperlink r:id="rId15" w:history="1">
        <w:r w:rsidR="00CE556C" w:rsidRPr="00047957">
          <w:rPr>
            <w:rFonts w:eastAsia="Calibri" w:cs="Arial"/>
            <w:color w:val="0000FF"/>
            <w:spacing w:val="0"/>
            <w:sz w:val="22"/>
            <w:szCs w:val="22"/>
            <w:u w:val="single"/>
            <w:lang w:eastAsia="en-US"/>
          </w:rPr>
          <w:t>Families and Children Administrative Approval Requirements</w:t>
        </w:r>
      </w:hyperlink>
      <w:r w:rsidR="00CE556C" w:rsidRPr="00047957">
        <w:rPr>
          <w:rFonts w:eastAsia="Calibri" w:cs="Arial"/>
          <w:spacing w:val="0"/>
          <w:sz w:val="22"/>
          <w:szCs w:val="22"/>
          <w:lang w:eastAsia="en-US"/>
        </w:rPr>
        <w:t>.</w:t>
      </w:r>
      <w:bookmarkStart w:id="10" w:name="_Toc67998913"/>
      <w:bookmarkEnd w:id="10"/>
    </w:p>
    <w:p w14:paraId="671D84E2" w14:textId="77777777" w:rsidR="002A7944" w:rsidRDefault="002A7944" w:rsidP="004C3752">
      <w:pPr>
        <w:ind w:left="360"/>
        <w:rPr>
          <w:b/>
        </w:rPr>
      </w:pPr>
      <w:r>
        <w:rPr>
          <w:b/>
        </w:rPr>
        <w:br w:type="page"/>
      </w:r>
    </w:p>
    <w:p w14:paraId="28725D06" w14:textId="3E60F592" w:rsidR="007B19C7" w:rsidRPr="00A21E38" w:rsidRDefault="004C278E" w:rsidP="004C278E">
      <w:pPr>
        <w:pStyle w:val="Heading2"/>
      </w:pPr>
      <w:bookmarkStart w:id="11" w:name="_Toc70416156"/>
      <w:bookmarkStart w:id="12" w:name="_Toc70417868"/>
      <w:bookmarkStart w:id="13" w:name="_Toc70494328"/>
      <w:bookmarkStart w:id="14" w:name="_Toc70494831"/>
      <w:bookmarkStart w:id="15" w:name="_Toc70499390"/>
      <w:bookmarkStart w:id="16" w:name="_Toc70506060"/>
      <w:bookmarkStart w:id="17" w:name="_Toc70506139"/>
      <w:bookmarkStart w:id="18" w:name="_Toc70506218"/>
      <w:bookmarkStart w:id="19" w:name="_Toc70506300"/>
      <w:bookmarkStart w:id="20" w:name="_Toc70506957"/>
      <w:bookmarkStart w:id="21" w:name="_Toc70507108"/>
      <w:bookmarkStart w:id="22" w:name="_Toc70599655"/>
      <w:bookmarkEnd w:id="11"/>
      <w:bookmarkEnd w:id="12"/>
      <w:bookmarkEnd w:id="13"/>
      <w:bookmarkEnd w:id="14"/>
      <w:bookmarkEnd w:id="15"/>
      <w:bookmarkEnd w:id="16"/>
      <w:bookmarkEnd w:id="17"/>
      <w:bookmarkEnd w:id="18"/>
      <w:bookmarkEnd w:id="19"/>
      <w:bookmarkEnd w:id="20"/>
      <w:bookmarkEnd w:id="21"/>
      <w:r>
        <w:lastRenderedPageBreak/>
        <w:t>Community Mental Health</w:t>
      </w:r>
      <w:r w:rsidR="007B19C7" w:rsidRPr="00A21E38">
        <w:t xml:space="preserve"> – </w:t>
      </w:r>
      <w:r>
        <w:t>Family Mental Health Support Services</w:t>
      </w:r>
      <w:bookmarkEnd w:id="22"/>
    </w:p>
    <w:p w14:paraId="46677DA1" w14:textId="77777777" w:rsidR="007B19C7" w:rsidRPr="003A6046" w:rsidRDefault="007B19C7" w:rsidP="000D72FB">
      <w:pPr>
        <w:pStyle w:val="Heading1"/>
      </w:pPr>
      <w:bookmarkStart w:id="23" w:name="_Toc70599656"/>
      <w:r w:rsidRPr="003A6046">
        <w:t>Overview</w:t>
      </w:r>
      <w:bookmarkEnd w:id="23"/>
    </w:p>
    <w:p w14:paraId="0B4B6A26" w14:textId="77777777" w:rsidR="00CE556C" w:rsidRPr="006647BE" w:rsidRDefault="00CE556C" w:rsidP="00CE556C">
      <w:pPr>
        <w:spacing w:after="0"/>
        <w:rPr>
          <w:sz w:val="22"/>
          <w:szCs w:val="22"/>
        </w:rPr>
      </w:pPr>
      <w:bookmarkStart w:id="24" w:name="_Toc395536190"/>
      <w:r w:rsidRPr="006647BE">
        <w:rPr>
          <w:sz w:val="22"/>
          <w:szCs w:val="22"/>
        </w:rPr>
        <w:t xml:space="preserve">Family Mental Health Support Services (FMHSS) is a </w:t>
      </w:r>
      <w:r w:rsidRPr="00A10A27">
        <w:rPr>
          <w:sz w:val="22"/>
          <w:szCs w:val="22"/>
        </w:rPr>
        <w:t xml:space="preserve">component of the </w:t>
      </w:r>
      <w:hyperlink r:id="rId16" w:history="1">
        <w:r w:rsidRPr="00A10A27">
          <w:rPr>
            <w:rStyle w:val="Hyperlink"/>
          </w:rPr>
          <w:t xml:space="preserve">Community Mental Health </w:t>
        </w:r>
        <w:r w:rsidRPr="008E66B6">
          <w:rPr>
            <w:rStyle w:val="Hyperlink"/>
            <w:szCs w:val="22"/>
          </w:rPr>
          <w:t xml:space="preserve">(CMH) </w:t>
        </w:r>
        <w:r w:rsidRPr="00A10A27">
          <w:rPr>
            <w:rStyle w:val="Hyperlink"/>
          </w:rPr>
          <w:t>Activity</w:t>
        </w:r>
      </w:hyperlink>
      <w:r>
        <w:rPr>
          <w:sz w:val="22"/>
          <w:szCs w:val="22"/>
        </w:rPr>
        <w:t>. The CMH Activity is a sub-activity o</w:t>
      </w:r>
      <w:r w:rsidRPr="006647BE">
        <w:rPr>
          <w:sz w:val="22"/>
          <w:szCs w:val="22"/>
        </w:rPr>
        <w:t>f the</w:t>
      </w:r>
      <w:r w:rsidRPr="00A10A27">
        <w:rPr>
          <w:sz w:val="22"/>
          <w:szCs w:val="22"/>
        </w:rPr>
        <w:t xml:space="preserve"> </w:t>
      </w:r>
      <w:hyperlink r:id="rId17" w:history="1">
        <w:r w:rsidRPr="00A10A27">
          <w:rPr>
            <w:rStyle w:val="Hyperlink"/>
          </w:rPr>
          <w:t>Disability, Mental Health and Carers Program</w:t>
        </w:r>
      </w:hyperlink>
      <w:r w:rsidRPr="00A10A27">
        <w:rPr>
          <w:sz w:val="22"/>
          <w:szCs w:val="22"/>
        </w:rPr>
        <w:t>.</w:t>
      </w:r>
    </w:p>
    <w:p w14:paraId="4F0E31E0" w14:textId="377E4289" w:rsidR="00CE556C" w:rsidRDefault="00CE556C" w:rsidP="00CE556C">
      <w:pPr>
        <w:pStyle w:val="ListParagraph"/>
        <w:ind w:left="0"/>
        <w:rPr>
          <w:sz w:val="22"/>
          <w:szCs w:val="22"/>
        </w:rPr>
      </w:pPr>
      <w:r w:rsidRPr="00A10A27">
        <w:rPr>
          <w:sz w:val="22"/>
          <w:szCs w:val="22"/>
        </w:rPr>
        <w:t xml:space="preserve">The </w:t>
      </w:r>
      <w:r>
        <w:rPr>
          <w:sz w:val="22"/>
          <w:szCs w:val="22"/>
        </w:rPr>
        <w:t xml:space="preserve">CMH </w:t>
      </w:r>
      <w:r w:rsidRPr="00A10A27">
        <w:rPr>
          <w:sz w:val="22"/>
          <w:szCs w:val="22"/>
        </w:rPr>
        <w:t xml:space="preserve">Activity </w:t>
      </w:r>
      <w:r>
        <w:rPr>
          <w:sz w:val="22"/>
          <w:szCs w:val="22"/>
        </w:rPr>
        <w:t xml:space="preserve">aims to support the provision of </w:t>
      </w:r>
      <w:r w:rsidRPr="00A10A27">
        <w:rPr>
          <w:sz w:val="22"/>
          <w:szCs w:val="22"/>
        </w:rPr>
        <w:t>accessible, responsive, high-quality and integrated community mental health services</w:t>
      </w:r>
      <w:r>
        <w:rPr>
          <w:sz w:val="22"/>
          <w:szCs w:val="22"/>
        </w:rPr>
        <w:t xml:space="preserve">. These services should </w:t>
      </w:r>
      <w:r w:rsidRPr="00A10A27">
        <w:rPr>
          <w:sz w:val="22"/>
          <w:szCs w:val="22"/>
        </w:rPr>
        <w:t>improve the lives of people with a mental illness and</w:t>
      </w:r>
      <w:r>
        <w:rPr>
          <w:sz w:val="22"/>
          <w:szCs w:val="22"/>
        </w:rPr>
        <w:t>/or</w:t>
      </w:r>
      <w:r w:rsidRPr="00A10A27">
        <w:rPr>
          <w:sz w:val="22"/>
          <w:szCs w:val="22"/>
        </w:rPr>
        <w:t xml:space="preserve"> intervene early to assist families with children and young people affected by, or at risk of, mental illness.</w:t>
      </w:r>
    </w:p>
    <w:p w14:paraId="6E9C4EB1" w14:textId="77777777" w:rsidR="00CE556C" w:rsidRPr="00100D72" w:rsidRDefault="00CE556C" w:rsidP="00CE556C">
      <w:pPr>
        <w:spacing w:after="0"/>
        <w:rPr>
          <w:sz w:val="22"/>
          <w:szCs w:val="22"/>
        </w:rPr>
      </w:pPr>
      <w:r w:rsidRPr="00100D72">
        <w:rPr>
          <w:sz w:val="22"/>
          <w:szCs w:val="22"/>
        </w:rPr>
        <w:t xml:space="preserve">The objectives of the </w:t>
      </w:r>
      <w:r w:rsidRPr="00DC6CD0">
        <w:rPr>
          <w:sz w:val="22"/>
          <w:szCs w:val="22"/>
        </w:rPr>
        <w:t xml:space="preserve">CMH Activity </w:t>
      </w:r>
      <w:r w:rsidRPr="00100D72">
        <w:rPr>
          <w:sz w:val="22"/>
          <w:szCs w:val="22"/>
        </w:rPr>
        <w:t>align with objectives described in the:</w:t>
      </w:r>
    </w:p>
    <w:p w14:paraId="7D83C0DA" w14:textId="77777777" w:rsidR="00CE556C" w:rsidRPr="00100D72" w:rsidRDefault="007036AE" w:rsidP="00CE556C">
      <w:pPr>
        <w:pStyle w:val="ListParagraph"/>
        <w:numPr>
          <w:ilvl w:val="0"/>
          <w:numId w:val="48"/>
        </w:numPr>
        <w:spacing w:before="0" w:after="0" w:line="276" w:lineRule="auto"/>
        <w:ind w:left="720"/>
        <w:rPr>
          <w:sz w:val="22"/>
          <w:szCs w:val="22"/>
        </w:rPr>
      </w:pPr>
      <w:hyperlink r:id="rId18" w:history="1">
        <w:r w:rsidR="00CE556C" w:rsidRPr="00100D72">
          <w:rPr>
            <w:rStyle w:val="Hyperlink"/>
            <w:szCs w:val="22"/>
          </w:rPr>
          <w:t>National Agreement on Closing the Gap</w:t>
        </w:r>
      </w:hyperlink>
      <w:r w:rsidR="00CE556C" w:rsidRPr="00100D72">
        <w:rPr>
          <w:rStyle w:val="Hyperlink"/>
          <w:szCs w:val="22"/>
        </w:rPr>
        <w:t>,</w:t>
      </w:r>
    </w:p>
    <w:p w14:paraId="428A6268" w14:textId="77777777" w:rsidR="00CE556C" w:rsidRPr="00100D72" w:rsidRDefault="007036AE" w:rsidP="00CE556C">
      <w:pPr>
        <w:pStyle w:val="ListParagraph"/>
        <w:numPr>
          <w:ilvl w:val="0"/>
          <w:numId w:val="48"/>
        </w:numPr>
        <w:spacing w:before="0" w:after="0" w:line="276" w:lineRule="auto"/>
        <w:ind w:left="720"/>
        <w:rPr>
          <w:sz w:val="22"/>
          <w:szCs w:val="22"/>
        </w:rPr>
      </w:pPr>
      <w:hyperlink r:id="rId19" w:history="1">
        <w:r w:rsidR="00CE556C" w:rsidRPr="00100D72">
          <w:rPr>
            <w:rStyle w:val="Hyperlink"/>
            <w:szCs w:val="22"/>
          </w:rPr>
          <w:t>National Framework for Protecting Australia's Children</w:t>
        </w:r>
      </w:hyperlink>
      <w:r w:rsidR="00CE556C" w:rsidRPr="00100D72">
        <w:rPr>
          <w:rStyle w:val="Hyperlink"/>
          <w:szCs w:val="22"/>
        </w:rPr>
        <w:t>,</w:t>
      </w:r>
    </w:p>
    <w:p w14:paraId="51EE0952" w14:textId="77777777" w:rsidR="00CE556C" w:rsidRPr="00100D72" w:rsidRDefault="007036AE" w:rsidP="00CE556C">
      <w:pPr>
        <w:pStyle w:val="ListParagraph"/>
        <w:numPr>
          <w:ilvl w:val="0"/>
          <w:numId w:val="48"/>
        </w:numPr>
        <w:spacing w:before="0" w:after="0" w:line="276" w:lineRule="auto"/>
        <w:ind w:left="720"/>
        <w:rPr>
          <w:sz w:val="22"/>
          <w:szCs w:val="22"/>
        </w:rPr>
      </w:pPr>
      <w:hyperlink r:id="rId20" w:history="1">
        <w:r w:rsidR="00CE556C" w:rsidRPr="00632738">
          <w:rPr>
            <w:rStyle w:val="Hyperlink"/>
            <w:szCs w:val="22"/>
          </w:rPr>
          <w:t>National Plan to Reduce Violence against Women and Their Children 2010-2022</w:t>
        </w:r>
      </w:hyperlink>
      <w:r w:rsidR="00CE556C" w:rsidRPr="00632738">
        <w:rPr>
          <w:rStyle w:val="Hyperlink"/>
          <w:szCs w:val="22"/>
        </w:rPr>
        <w:t>,</w:t>
      </w:r>
      <w:r w:rsidR="00CE556C" w:rsidRPr="00100D72">
        <w:rPr>
          <w:rStyle w:val="Hyperlink"/>
          <w:szCs w:val="22"/>
        </w:rPr>
        <w:t xml:space="preserve"> and</w:t>
      </w:r>
    </w:p>
    <w:p w14:paraId="33E86AF4" w14:textId="77777777" w:rsidR="00CE556C" w:rsidRPr="00100D72" w:rsidRDefault="007036AE" w:rsidP="00CE556C">
      <w:pPr>
        <w:pStyle w:val="ListParagraph"/>
        <w:numPr>
          <w:ilvl w:val="0"/>
          <w:numId w:val="48"/>
        </w:numPr>
        <w:spacing w:before="0" w:after="0" w:line="276" w:lineRule="auto"/>
        <w:ind w:left="720"/>
        <w:rPr>
          <w:sz w:val="22"/>
          <w:szCs w:val="22"/>
        </w:rPr>
      </w:pPr>
      <w:hyperlink r:id="rId21" w:history="1">
        <w:r w:rsidR="00CE556C" w:rsidRPr="00DC6CD0">
          <w:rPr>
            <w:rStyle w:val="Hyperlink"/>
            <w:szCs w:val="22"/>
          </w:rPr>
          <w:t>The National Children’s Mental Health and Wellbeing Strategy</w:t>
        </w:r>
      </w:hyperlink>
      <w:r w:rsidR="00CE556C" w:rsidRPr="00DC6CD0">
        <w:rPr>
          <w:sz w:val="22"/>
          <w:szCs w:val="22"/>
        </w:rPr>
        <w:t xml:space="preserve"> (draft).</w:t>
      </w:r>
    </w:p>
    <w:p w14:paraId="765BD626" w14:textId="4E3D00F2" w:rsidR="00CE556C" w:rsidRPr="00CD3282" w:rsidRDefault="00CE556C" w:rsidP="00CE556C">
      <w:pPr>
        <w:rPr>
          <w:sz w:val="22"/>
          <w:szCs w:val="22"/>
        </w:rPr>
      </w:pPr>
      <w:r w:rsidRPr="00CD3282">
        <w:rPr>
          <w:sz w:val="22"/>
          <w:szCs w:val="22"/>
        </w:rPr>
        <w:t xml:space="preserve">The department strongly encourages </w:t>
      </w:r>
      <w:r w:rsidRPr="008E66B6">
        <w:rPr>
          <w:sz w:val="22"/>
          <w:szCs w:val="22"/>
        </w:rPr>
        <w:t>FMHSS</w:t>
      </w:r>
      <w:r w:rsidRPr="008E66B6" w:rsidDel="008E66B6">
        <w:rPr>
          <w:sz w:val="22"/>
          <w:szCs w:val="22"/>
        </w:rPr>
        <w:t xml:space="preserve"> </w:t>
      </w:r>
      <w:r>
        <w:rPr>
          <w:sz w:val="22"/>
          <w:szCs w:val="22"/>
        </w:rPr>
        <w:t xml:space="preserve">funded </w:t>
      </w:r>
      <w:r w:rsidRPr="00CD3282">
        <w:rPr>
          <w:sz w:val="22"/>
          <w:szCs w:val="22"/>
        </w:rPr>
        <w:t xml:space="preserve">providers to understand </w:t>
      </w:r>
      <w:r>
        <w:rPr>
          <w:sz w:val="22"/>
          <w:szCs w:val="22"/>
        </w:rPr>
        <w:t xml:space="preserve">these </w:t>
      </w:r>
      <w:r w:rsidRPr="00CD3282">
        <w:rPr>
          <w:sz w:val="22"/>
          <w:szCs w:val="22"/>
        </w:rPr>
        <w:t>initiatives</w:t>
      </w:r>
      <w:r w:rsidR="00880B3F">
        <w:rPr>
          <w:sz w:val="22"/>
          <w:szCs w:val="22"/>
        </w:rPr>
        <w:t xml:space="preserve"> and their successor plans</w:t>
      </w:r>
      <w:r w:rsidRPr="00CD3282">
        <w:rPr>
          <w:sz w:val="22"/>
          <w:szCs w:val="22"/>
        </w:rPr>
        <w:t xml:space="preserve"> and consider how the design and delivery of their services can contribute to</w:t>
      </w:r>
      <w:r w:rsidR="00EE562E">
        <w:rPr>
          <w:sz w:val="22"/>
          <w:szCs w:val="22"/>
        </w:rPr>
        <w:t> </w:t>
      </w:r>
      <w:r>
        <w:rPr>
          <w:sz w:val="22"/>
          <w:szCs w:val="22"/>
        </w:rPr>
        <w:t>achieving the aims and o</w:t>
      </w:r>
      <w:r w:rsidRPr="00CB350D">
        <w:rPr>
          <w:sz w:val="22"/>
          <w:szCs w:val="22"/>
        </w:rPr>
        <w:t>utcomes</w:t>
      </w:r>
      <w:r>
        <w:rPr>
          <w:sz w:val="22"/>
          <w:szCs w:val="22"/>
        </w:rPr>
        <w:t xml:space="preserve"> articulated in them</w:t>
      </w:r>
      <w:r w:rsidRPr="00CD3282">
        <w:rPr>
          <w:sz w:val="22"/>
          <w:szCs w:val="22"/>
        </w:rPr>
        <w:t>.</w:t>
      </w:r>
    </w:p>
    <w:p w14:paraId="3C3362E5" w14:textId="77777777" w:rsidR="007B19C7" w:rsidRPr="003A6046" w:rsidRDefault="007B19C7" w:rsidP="004C278E">
      <w:pPr>
        <w:pStyle w:val="Heading1"/>
      </w:pPr>
      <w:bookmarkStart w:id="25" w:name="_Toc70494331"/>
      <w:bookmarkStart w:id="26" w:name="_Toc70494332"/>
      <w:bookmarkStart w:id="27" w:name="_Toc70494333"/>
      <w:bookmarkStart w:id="28" w:name="_Toc70494334"/>
      <w:bookmarkStart w:id="29" w:name="_Toc70494335"/>
      <w:bookmarkStart w:id="30" w:name="_Toc70494336"/>
      <w:bookmarkStart w:id="31" w:name="_Toc70494337"/>
      <w:bookmarkStart w:id="32" w:name="_Toc70599657"/>
      <w:bookmarkEnd w:id="24"/>
      <w:bookmarkEnd w:id="25"/>
      <w:bookmarkEnd w:id="26"/>
      <w:bookmarkEnd w:id="27"/>
      <w:bookmarkEnd w:id="28"/>
      <w:bookmarkEnd w:id="29"/>
      <w:bookmarkEnd w:id="30"/>
      <w:bookmarkEnd w:id="31"/>
      <w:r w:rsidRPr="003A6046">
        <w:t>Aims and Objectives</w:t>
      </w:r>
      <w:bookmarkEnd w:id="32"/>
    </w:p>
    <w:p w14:paraId="1A65C508" w14:textId="77777777" w:rsidR="00CE556C" w:rsidRPr="00A10A27" w:rsidRDefault="00CE556C" w:rsidP="00CE556C">
      <w:pPr>
        <w:spacing w:after="0" w:line="240" w:lineRule="auto"/>
        <w:rPr>
          <w:sz w:val="22"/>
          <w:szCs w:val="22"/>
        </w:rPr>
      </w:pPr>
      <w:r w:rsidRPr="00A10A27">
        <w:rPr>
          <w:sz w:val="22"/>
          <w:szCs w:val="22"/>
        </w:rPr>
        <w:t>FMHSS provide early intervention and non-clinical community mental health support for children and young people, aged up to 18 years, who are showing signs of, or are at risk of</w:t>
      </w:r>
      <w:r>
        <w:rPr>
          <w:sz w:val="22"/>
          <w:szCs w:val="22"/>
        </w:rPr>
        <w:t>,</w:t>
      </w:r>
      <w:r w:rsidRPr="00A10A27">
        <w:rPr>
          <w:sz w:val="22"/>
          <w:szCs w:val="22"/>
        </w:rPr>
        <w:t xml:space="preserve"> developing mental illness.</w:t>
      </w:r>
    </w:p>
    <w:p w14:paraId="4D449594" w14:textId="77777777" w:rsidR="00CE556C" w:rsidRPr="00A10A27" w:rsidRDefault="00CE556C" w:rsidP="00CE556C">
      <w:pPr>
        <w:spacing w:after="0" w:line="240" w:lineRule="auto"/>
        <w:rPr>
          <w:sz w:val="22"/>
          <w:szCs w:val="22"/>
        </w:rPr>
      </w:pPr>
      <w:r w:rsidRPr="00A10A27">
        <w:rPr>
          <w:sz w:val="22"/>
          <w:szCs w:val="22"/>
        </w:rPr>
        <w:t>FMHSS should be accessible, flexible, high-quality, integrated and responsive to the needs of children, young people, their families and carers.</w:t>
      </w:r>
    </w:p>
    <w:p w14:paraId="5B2B2827" w14:textId="77777777" w:rsidR="00CE556C" w:rsidRPr="00A10A27" w:rsidRDefault="00CE556C" w:rsidP="004C278E">
      <w:pPr>
        <w:rPr>
          <w:sz w:val="22"/>
          <w:szCs w:val="22"/>
        </w:rPr>
      </w:pPr>
      <w:r w:rsidRPr="000E44BF">
        <w:rPr>
          <w:sz w:val="22"/>
          <w:szCs w:val="22"/>
        </w:rPr>
        <w:t>The department</w:t>
      </w:r>
      <w:r w:rsidRPr="00A10A27">
        <w:rPr>
          <w:sz w:val="22"/>
          <w:szCs w:val="22"/>
        </w:rPr>
        <w:t xml:space="preserve"> seeks the following </w:t>
      </w:r>
      <w:r>
        <w:rPr>
          <w:sz w:val="22"/>
          <w:szCs w:val="22"/>
        </w:rPr>
        <w:t>o</w:t>
      </w:r>
      <w:r w:rsidRPr="00A10A27">
        <w:rPr>
          <w:sz w:val="22"/>
          <w:szCs w:val="22"/>
        </w:rPr>
        <w:t>utcomes through FMHSS:</w:t>
      </w:r>
    </w:p>
    <w:p w14:paraId="21B054C2" w14:textId="77777777" w:rsidR="00CE556C" w:rsidRPr="00A10A27" w:rsidRDefault="00CE556C" w:rsidP="00CE556C">
      <w:pPr>
        <w:pStyle w:val="ListParagraph"/>
        <w:numPr>
          <w:ilvl w:val="0"/>
          <w:numId w:val="62"/>
        </w:numPr>
        <w:spacing w:before="0" w:after="0" w:line="276" w:lineRule="auto"/>
        <w:rPr>
          <w:sz w:val="22"/>
          <w:szCs w:val="22"/>
        </w:rPr>
      </w:pPr>
      <w:r w:rsidRPr="00A10A27">
        <w:rPr>
          <w:rFonts w:cs="Arial"/>
          <w:sz w:val="22"/>
          <w:szCs w:val="22"/>
        </w:rPr>
        <w:t xml:space="preserve">Children and young people </w:t>
      </w:r>
    </w:p>
    <w:p w14:paraId="04B0623C" w14:textId="38BB4C9A" w:rsidR="00CE556C" w:rsidRPr="00A10A27" w:rsidRDefault="00CE556C" w:rsidP="00CE556C">
      <w:pPr>
        <w:pStyle w:val="ListParagraph"/>
        <w:numPr>
          <w:ilvl w:val="4"/>
          <w:numId w:val="63"/>
        </w:numPr>
        <w:spacing w:before="0" w:after="0" w:line="276" w:lineRule="auto"/>
        <w:rPr>
          <w:sz w:val="22"/>
          <w:szCs w:val="22"/>
        </w:rPr>
      </w:pPr>
      <w:r w:rsidRPr="00A10A27">
        <w:rPr>
          <w:rFonts w:cs="Arial"/>
          <w:sz w:val="22"/>
          <w:szCs w:val="22"/>
        </w:rPr>
        <w:t>have improved mental health and well-being</w:t>
      </w:r>
      <w:r w:rsidR="00EE562E">
        <w:rPr>
          <w:rFonts w:cs="Arial"/>
          <w:sz w:val="22"/>
          <w:szCs w:val="22"/>
        </w:rPr>
        <w:t>; and</w:t>
      </w:r>
    </w:p>
    <w:p w14:paraId="7DB53D68" w14:textId="311FD2F5" w:rsidR="00CE556C" w:rsidRPr="00A10A27" w:rsidRDefault="00CE556C" w:rsidP="00CE556C">
      <w:pPr>
        <w:pStyle w:val="ListParagraph"/>
        <w:numPr>
          <w:ilvl w:val="4"/>
          <w:numId w:val="63"/>
        </w:numPr>
        <w:spacing w:before="0" w:after="0" w:line="276" w:lineRule="auto"/>
        <w:rPr>
          <w:sz w:val="22"/>
          <w:szCs w:val="22"/>
        </w:rPr>
      </w:pPr>
      <w:r w:rsidRPr="00A10A27">
        <w:rPr>
          <w:rFonts w:cs="Arial"/>
          <w:sz w:val="22"/>
          <w:szCs w:val="22"/>
        </w:rPr>
        <w:t>are better able to manage any negative impacts of mental health</w:t>
      </w:r>
      <w:r>
        <w:rPr>
          <w:rFonts w:cs="Arial"/>
          <w:sz w:val="22"/>
          <w:szCs w:val="22"/>
        </w:rPr>
        <w:t>/</w:t>
      </w:r>
      <w:r w:rsidRPr="00A10A27">
        <w:rPr>
          <w:rFonts w:cs="Arial"/>
          <w:sz w:val="22"/>
          <w:szCs w:val="22"/>
        </w:rPr>
        <w:t>well-being matters on their lives, and reach their full potential</w:t>
      </w:r>
      <w:r w:rsidR="00EE562E">
        <w:rPr>
          <w:rFonts w:cs="Arial"/>
          <w:sz w:val="22"/>
          <w:szCs w:val="22"/>
        </w:rPr>
        <w:t>;</w:t>
      </w:r>
      <w:r w:rsidRPr="00A10A27">
        <w:rPr>
          <w:rFonts w:cs="Arial"/>
          <w:sz w:val="22"/>
          <w:szCs w:val="22"/>
        </w:rPr>
        <w:t xml:space="preserve"> </w:t>
      </w:r>
    </w:p>
    <w:p w14:paraId="2D01C607" w14:textId="79740B8A" w:rsidR="00CE556C" w:rsidRPr="00A10A27" w:rsidRDefault="00CE556C" w:rsidP="00CE556C">
      <w:pPr>
        <w:pStyle w:val="ListParagraph"/>
        <w:numPr>
          <w:ilvl w:val="0"/>
          <w:numId w:val="62"/>
        </w:numPr>
        <w:spacing w:before="0" w:after="0" w:line="276" w:lineRule="auto"/>
        <w:rPr>
          <w:sz w:val="22"/>
          <w:szCs w:val="22"/>
        </w:rPr>
      </w:pPr>
      <w:r w:rsidRPr="00A10A27">
        <w:rPr>
          <w:rFonts w:cs="Arial"/>
          <w:sz w:val="22"/>
          <w:szCs w:val="22"/>
        </w:rPr>
        <w:t xml:space="preserve">Families and carers are better able to understand and support </w:t>
      </w:r>
      <w:r>
        <w:rPr>
          <w:rFonts w:cs="Arial"/>
          <w:sz w:val="22"/>
          <w:szCs w:val="22"/>
        </w:rPr>
        <w:t xml:space="preserve">eligible </w:t>
      </w:r>
      <w:r w:rsidRPr="00A10A27">
        <w:rPr>
          <w:rFonts w:cs="Arial"/>
          <w:sz w:val="22"/>
          <w:szCs w:val="22"/>
        </w:rPr>
        <w:t>children and young people</w:t>
      </w:r>
      <w:r w:rsidR="0009465C">
        <w:rPr>
          <w:rFonts w:cs="Arial"/>
          <w:sz w:val="22"/>
          <w:szCs w:val="22"/>
        </w:rPr>
        <w:t>;</w:t>
      </w:r>
      <w:r w:rsidRPr="00A10A27">
        <w:rPr>
          <w:rFonts w:cs="Arial"/>
          <w:sz w:val="22"/>
          <w:szCs w:val="22"/>
        </w:rPr>
        <w:t xml:space="preserve"> and</w:t>
      </w:r>
    </w:p>
    <w:p w14:paraId="3816CF23" w14:textId="1D38B841" w:rsidR="00CE556C" w:rsidRPr="00DB2913" w:rsidRDefault="00CE556C" w:rsidP="00CE556C">
      <w:pPr>
        <w:pStyle w:val="ListParagraph"/>
        <w:numPr>
          <w:ilvl w:val="0"/>
          <w:numId w:val="62"/>
        </w:numPr>
        <w:spacing w:before="0" w:after="0" w:line="276" w:lineRule="auto"/>
        <w:rPr>
          <w:sz w:val="22"/>
          <w:szCs w:val="22"/>
        </w:rPr>
      </w:pPr>
      <w:r w:rsidRPr="00A10A27">
        <w:rPr>
          <w:rFonts w:cs="Arial"/>
          <w:sz w:val="22"/>
          <w:szCs w:val="22"/>
        </w:rPr>
        <w:t xml:space="preserve">Communities develop knowledge </w:t>
      </w:r>
      <w:r>
        <w:rPr>
          <w:rFonts w:cs="Arial"/>
          <w:sz w:val="22"/>
          <w:szCs w:val="22"/>
        </w:rPr>
        <w:t xml:space="preserve">surrounding </w:t>
      </w:r>
      <w:r w:rsidRPr="00A10A27">
        <w:rPr>
          <w:rFonts w:cs="Arial"/>
          <w:sz w:val="22"/>
          <w:szCs w:val="22"/>
        </w:rPr>
        <w:t>mental health matters and are more able to respond to issues that impact well-being.</w:t>
      </w:r>
    </w:p>
    <w:p w14:paraId="5E154E53" w14:textId="77777777" w:rsidR="00CE556C" w:rsidRPr="00A10A27" w:rsidRDefault="00CE556C" w:rsidP="00CE556C">
      <w:pPr>
        <w:spacing w:after="0"/>
        <w:rPr>
          <w:sz w:val="22"/>
          <w:szCs w:val="22"/>
        </w:rPr>
      </w:pPr>
      <w:r>
        <w:rPr>
          <w:sz w:val="22"/>
          <w:szCs w:val="22"/>
        </w:rPr>
        <w:t xml:space="preserve">FMHSS outcomes should be achieved by adhering to the </w:t>
      </w:r>
      <w:r w:rsidRPr="00CB350D">
        <w:rPr>
          <w:sz w:val="22"/>
          <w:szCs w:val="22"/>
        </w:rPr>
        <w:t>FMHSS delivery model</w:t>
      </w:r>
      <w:r>
        <w:rPr>
          <w:sz w:val="22"/>
          <w:szCs w:val="22"/>
        </w:rPr>
        <w:t>.</w:t>
      </w:r>
    </w:p>
    <w:p w14:paraId="726AB378" w14:textId="77777777" w:rsidR="007B19C7" w:rsidRPr="00A21E38" w:rsidRDefault="007B19C7" w:rsidP="004C278E">
      <w:pPr>
        <w:pStyle w:val="Heading2"/>
      </w:pPr>
      <w:bookmarkStart w:id="33" w:name="_Toc70494339"/>
      <w:bookmarkStart w:id="34" w:name="_Toc70494340"/>
      <w:bookmarkStart w:id="35" w:name="_Toc70494341"/>
      <w:bookmarkStart w:id="36" w:name="_Toc70494342"/>
      <w:bookmarkStart w:id="37" w:name="_Toc70494343"/>
      <w:bookmarkStart w:id="38" w:name="_Toc35850939"/>
      <w:bookmarkStart w:id="39" w:name="_Toc36199654"/>
      <w:bookmarkStart w:id="40" w:name="_Toc70599658"/>
      <w:bookmarkEnd w:id="33"/>
      <w:bookmarkEnd w:id="34"/>
      <w:bookmarkEnd w:id="35"/>
      <w:bookmarkEnd w:id="36"/>
      <w:bookmarkEnd w:id="37"/>
      <w:r w:rsidRPr="00A21E38">
        <w:lastRenderedPageBreak/>
        <w:t>Service Delivery</w:t>
      </w:r>
      <w:bookmarkEnd w:id="38"/>
      <w:bookmarkEnd w:id="39"/>
      <w:bookmarkEnd w:id="40"/>
      <w:r w:rsidRPr="00A21E38">
        <w:t xml:space="preserve"> </w:t>
      </w:r>
    </w:p>
    <w:p w14:paraId="02740353" w14:textId="62A7A0E2" w:rsidR="007B19C7" w:rsidRPr="003A6046" w:rsidRDefault="007036AE" w:rsidP="004C278E">
      <w:pPr>
        <w:pStyle w:val="Heading1"/>
      </w:pPr>
      <w:hyperlink w:anchor="_Toc501461276" w:history="1">
        <w:bookmarkStart w:id="41" w:name="_Toc70599659"/>
        <w:r w:rsidR="001D0ED7">
          <w:t>Service</w:t>
        </w:r>
        <w:r w:rsidR="001D0ED7" w:rsidRPr="003A6046">
          <w:t xml:space="preserve"> </w:t>
        </w:r>
        <w:r w:rsidR="00CE556C">
          <w:t>delivery model</w:t>
        </w:r>
        <w:bookmarkEnd w:id="41"/>
      </w:hyperlink>
    </w:p>
    <w:p w14:paraId="37B03D07" w14:textId="77777777" w:rsidR="00CE556C" w:rsidRPr="00A10A27" w:rsidRDefault="00CE556C" w:rsidP="004C278E">
      <w:pPr>
        <w:keepNext/>
        <w:rPr>
          <w:rFonts w:cs="Arial"/>
          <w:sz w:val="22"/>
          <w:szCs w:val="22"/>
        </w:rPr>
      </w:pPr>
      <w:r w:rsidRPr="00A10A27">
        <w:rPr>
          <w:rFonts w:cs="Arial"/>
          <w:sz w:val="22"/>
          <w:szCs w:val="22"/>
        </w:rPr>
        <w:t xml:space="preserve">The FMHSS </w:t>
      </w:r>
      <w:r w:rsidRPr="00A10A27">
        <w:rPr>
          <w:rFonts w:cs="Arial"/>
          <w:bCs/>
          <w:sz w:val="22"/>
          <w:szCs w:val="22"/>
        </w:rPr>
        <w:t>delivery</w:t>
      </w:r>
      <w:r w:rsidRPr="00A10A27">
        <w:rPr>
          <w:rFonts w:cs="Arial"/>
          <w:sz w:val="22"/>
          <w:szCs w:val="22"/>
        </w:rPr>
        <w:t xml:space="preserve"> model </w:t>
      </w:r>
      <w:r>
        <w:rPr>
          <w:rFonts w:cs="Arial"/>
          <w:sz w:val="22"/>
          <w:szCs w:val="22"/>
        </w:rPr>
        <w:t xml:space="preserve">describes </w:t>
      </w:r>
      <w:r w:rsidRPr="00A10A27">
        <w:rPr>
          <w:rFonts w:cs="Arial"/>
          <w:sz w:val="22"/>
          <w:szCs w:val="22"/>
        </w:rPr>
        <w:t>three levels of in-scope support</w:t>
      </w:r>
      <w:r>
        <w:rPr>
          <w:rFonts w:cs="Arial"/>
          <w:sz w:val="22"/>
          <w:szCs w:val="22"/>
        </w:rPr>
        <w:t xml:space="preserve">. </w:t>
      </w:r>
      <w:r w:rsidRPr="00A10A27">
        <w:rPr>
          <w:rFonts w:cs="Arial"/>
          <w:sz w:val="22"/>
          <w:szCs w:val="22"/>
        </w:rPr>
        <w:t>The FMHSS provider should deliver:</w:t>
      </w:r>
    </w:p>
    <w:p w14:paraId="7F220005" w14:textId="77777777" w:rsidR="00CE556C" w:rsidRDefault="00CE556C" w:rsidP="004C278E">
      <w:pPr>
        <w:numPr>
          <w:ilvl w:val="0"/>
          <w:numId w:val="64"/>
        </w:numPr>
        <w:spacing w:before="0" w:line="240" w:lineRule="auto"/>
        <w:ind w:left="360"/>
        <w:contextualSpacing/>
        <w:rPr>
          <w:rFonts w:eastAsia="Calibri" w:cs="Arial"/>
          <w:spacing w:val="0"/>
          <w:sz w:val="22"/>
          <w:szCs w:val="22"/>
          <w:lang w:eastAsia="en-US"/>
        </w:rPr>
      </w:pPr>
      <w:r w:rsidRPr="00A10A27">
        <w:rPr>
          <w:rFonts w:eastAsia="Calibri" w:cs="Arial"/>
          <w:b/>
          <w:spacing w:val="0"/>
          <w:sz w:val="22"/>
          <w:szCs w:val="22"/>
          <w:lang w:eastAsia="en-US"/>
        </w:rPr>
        <w:t xml:space="preserve">Intensive, early intervention support </w:t>
      </w:r>
      <w:r>
        <w:rPr>
          <w:rFonts w:eastAsia="Calibri" w:cs="Arial"/>
          <w:b/>
          <w:spacing w:val="0"/>
          <w:sz w:val="22"/>
          <w:szCs w:val="22"/>
          <w:lang w:eastAsia="en-US"/>
        </w:rPr>
        <w:t xml:space="preserve">to </w:t>
      </w:r>
      <w:r w:rsidRPr="00A10A27">
        <w:rPr>
          <w:rFonts w:eastAsia="Calibri" w:cs="Arial"/>
          <w:b/>
          <w:spacing w:val="0"/>
          <w:sz w:val="22"/>
          <w:szCs w:val="22"/>
          <w:lang w:eastAsia="en-US"/>
        </w:rPr>
        <w:t>children and young people (with the support of their families or carers)</w:t>
      </w:r>
      <w:r>
        <w:rPr>
          <w:rFonts w:eastAsia="Calibri" w:cs="Arial"/>
          <w:b/>
          <w:spacing w:val="0"/>
          <w:sz w:val="22"/>
          <w:szCs w:val="22"/>
          <w:lang w:eastAsia="en-US"/>
        </w:rPr>
        <w:t xml:space="preserve"> </w:t>
      </w:r>
      <w:r w:rsidRPr="00155AE3">
        <w:rPr>
          <w:rFonts w:eastAsia="Calibri" w:cs="Arial"/>
          <w:b/>
          <w:spacing w:val="0"/>
          <w:sz w:val="22"/>
          <w:szCs w:val="22"/>
          <w:lang w:eastAsia="en-US"/>
        </w:rPr>
        <w:t>which may include</w:t>
      </w:r>
      <w:r>
        <w:rPr>
          <w:rFonts w:eastAsia="Calibri" w:cs="Arial"/>
          <w:b/>
          <w:spacing w:val="0"/>
          <w:sz w:val="22"/>
          <w:szCs w:val="22"/>
          <w:lang w:eastAsia="en-US"/>
        </w:rPr>
        <w:t>:</w:t>
      </w:r>
    </w:p>
    <w:p w14:paraId="661BA787" w14:textId="77777777" w:rsidR="00CE556C" w:rsidRPr="00A10A27" w:rsidRDefault="00CE556C" w:rsidP="004C278E">
      <w:pPr>
        <w:pStyle w:val="ListParagraph"/>
        <w:numPr>
          <w:ilvl w:val="0"/>
          <w:numId w:val="68"/>
        </w:numPr>
        <w:spacing w:before="0" w:after="0" w:line="276" w:lineRule="auto"/>
        <w:ind w:left="870" w:hanging="357"/>
        <w:contextualSpacing w:val="0"/>
        <w:rPr>
          <w:rFonts w:cs="Arial"/>
          <w:sz w:val="22"/>
          <w:szCs w:val="22"/>
        </w:rPr>
      </w:pPr>
      <w:r w:rsidRPr="00A10A27">
        <w:rPr>
          <w:rFonts w:cs="Arial"/>
          <w:sz w:val="22"/>
          <w:szCs w:val="22"/>
        </w:rPr>
        <w:t>assessment of the child or young person to identify</w:t>
      </w:r>
    </w:p>
    <w:p w14:paraId="4DF6DB61" w14:textId="68D49328" w:rsidR="00CE556C" w:rsidRPr="00A10A27" w:rsidRDefault="00CE556C" w:rsidP="004C278E">
      <w:pPr>
        <w:pStyle w:val="ListParagraph"/>
        <w:numPr>
          <w:ilvl w:val="4"/>
          <w:numId w:val="65"/>
        </w:numPr>
        <w:spacing w:before="0" w:after="0" w:line="276" w:lineRule="auto"/>
        <w:ind w:left="1590" w:hanging="357"/>
        <w:contextualSpacing w:val="0"/>
        <w:rPr>
          <w:rFonts w:cs="Arial"/>
          <w:sz w:val="22"/>
          <w:szCs w:val="22"/>
        </w:rPr>
      </w:pPr>
      <w:r w:rsidRPr="00A10A27">
        <w:rPr>
          <w:rFonts w:cs="Arial"/>
          <w:sz w:val="22"/>
          <w:szCs w:val="22"/>
        </w:rPr>
        <w:t xml:space="preserve">mental health and </w:t>
      </w:r>
      <w:r>
        <w:rPr>
          <w:rFonts w:cs="Arial"/>
          <w:sz w:val="22"/>
          <w:szCs w:val="22"/>
        </w:rPr>
        <w:t xml:space="preserve">any </w:t>
      </w:r>
      <w:r w:rsidRPr="00A10A27">
        <w:rPr>
          <w:rFonts w:cs="Arial"/>
          <w:sz w:val="22"/>
          <w:szCs w:val="22"/>
        </w:rPr>
        <w:t>well-being requirements</w:t>
      </w:r>
      <w:r w:rsidR="00EE562E">
        <w:rPr>
          <w:rFonts w:cs="Arial"/>
          <w:sz w:val="22"/>
          <w:szCs w:val="22"/>
        </w:rPr>
        <w:t>;</w:t>
      </w:r>
    </w:p>
    <w:p w14:paraId="124B0350" w14:textId="326FA9AB" w:rsidR="00CE556C" w:rsidRPr="00A10A27" w:rsidRDefault="00CE556C" w:rsidP="004C278E">
      <w:pPr>
        <w:pStyle w:val="ListParagraph"/>
        <w:numPr>
          <w:ilvl w:val="4"/>
          <w:numId w:val="65"/>
        </w:numPr>
        <w:spacing w:before="0" w:after="0" w:line="276" w:lineRule="auto"/>
        <w:ind w:left="1590" w:hanging="357"/>
        <w:contextualSpacing w:val="0"/>
        <w:rPr>
          <w:rFonts w:cs="Arial"/>
          <w:sz w:val="22"/>
          <w:szCs w:val="22"/>
        </w:rPr>
      </w:pPr>
      <w:r w:rsidRPr="00A10A27">
        <w:rPr>
          <w:rFonts w:cs="Arial"/>
          <w:sz w:val="22"/>
          <w:szCs w:val="22"/>
        </w:rPr>
        <w:t>risk factors</w:t>
      </w:r>
      <w:r w:rsidR="00EE562E">
        <w:rPr>
          <w:rFonts w:cs="Arial"/>
          <w:sz w:val="22"/>
          <w:szCs w:val="22"/>
        </w:rPr>
        <w:t>;</w:t>
      </w:r>
      <w:r>
        <w:rPr>
          <w:rFonts w:cs="Arial"/>
          <w:sz w:val="22"/>
          <w:szCs w:val="22"/>
        </w:rPr>
        <w:t xml:space="preserve"> and</w:t>
      </w:r>
    </w:p>
    <w:p w14:paraId="62CADD31" w14:textId="77777777" w:rsidR="00CE556C" w:rsidRDefault="00CE556C" w:rsidP="004C278E">
      <w:pPr>
        <w:pStyle w:val="ListParagraph"/>
        <w:numPr>
          <w:ilvl w:val="4"/>
          <w:numId w:val="65"/>
        </w:numPr>
        <w:spacing w:before="0" w:line="276" w:lineRule="auto"/>
        <w:ind w:left="1590" w:hanging="357"/>
        <w:contextualSpacing w:val="0"/>
        <w:rPr>
          <w:rFonts w:cs="Arial"/>
          <w:sz w:val="22"/>
          <w:szCs w:val="22"/>
        </w:rPr>
      </w:pPr>
      <w:r w:rsidRPr="00A10A27">
        <w:rPr>
          <w:rFonts w:cs="Arial"/>
          <w:sz w:val="22"/>
          <w:szCs w:val="22"/>
        </w:rPr>
        <w:t>protective factors</w:t>
      </w:r>
      <w:r>
        <w:rPr>
          <w:rFonts w:cs="Arial"/>
          <w:sz w:val="22"/>
          <w:szCs w:val="22"/>
        </w:rPr>
        <w:t>.</w:t>
      </w:r>
    </w:p>
    <w:p w14:paraId="1B94856F" w14:textId="77777777" w:rsidR="00CE556C" w:rsidRPr="00A10A27" w:rsidRDefault="00CE556C" w:rsidP="004C278E">
      <w:pPr>
        <w:pStyle w:val="ListParagraph"/>
        <w:numPr>
          <w:ilvl w:val="0"/>
          <w:numId w:val="68"/>
        </w:numPr>
        <w:spacing w:before="0" w:after="0" w:line="276" w:lineRule="auto"/>
        <w:ind w:left="870" w:hanging="357"/>
        <w:contextualSpacing w:val="0"/>
        <w:rPr>
          <w:rFonts w:cs="Arial"/>
          <w:sz w:val="22"/>
          <w:szCs w:val="22"/>
        </w:rPr>
      </w:pPr>
      <w:r w:rsidRPr="00A10A27">
        <w:rPr>
          <w:rFonts w:cs="Arial"/>
          <w:sz w:val="22"/>
          <w:szCs w:val="22"/>
        </w:rPr>
        <w:t>identification of</w:t>
      </w:r>
      <w:r>
        <w:rPr>
          <w:rFonts w:cs="Arial"/>
          <w:sz w:val="22"/>
          <w:szCs w:val="22"/>
        </w:rPr>
        <w:t xml:space="preserve"> </w:t>
      </w:r>
      <w:r w:rsidRPr="00A10A27">
        <w:rPr>
          <w:rFonts w:cs="Arial"/>
          <w:sz w:val="22"/>
          <w:szCs w:val="22"/>
        </w:rPr>
        <w:t>goals</w:t>
      </w:r>
    </w:p>
    <w:p w14:paraId="2BCFA4A1" w14:textId="468A5E3D" w:rsidR="00CE556C" w:rsidRPr="00A10A27" w:rsidRDefault="00CE556C" w:rsidP="004C278E">
      <w:pPr>
        <w:pStyle w:val="ListParagraph"/>
        <w:numPr>
          <w:ilvl w:val="4"/>
          <w:numId w:val="66"/>
        </w:numPr>
        <w:spacing w:before="0" w:after="0" w:line="276" w:lineRule="auto"/>
        <w:ind w:left="1590" w:hanging="357"/>
        <w:contextualSpacing w:val="0"/>
        <w:rPr>
          <w:rFonts w:cs="Arial"/>
          <w:sz w:val="22"/>
          <w:szCs w:val="22"/>
        </w:rPr>
      </w:pPr>
      <w:r>
        <w:rPr>
          <w:rFonts w:cs="Arial"/>
          <w:sz w:val="22"/>
          <w:szCs w:val="22"/>
        </w:rPr>
        <w:t xml:space="preserve">a </w:t>
      </w:r>
      <w:r w:rsidRPr="00A10A27">
        <w:rPr>
          <w:rFonts w:cs="Arial"/>
          <w:sz w:val="22"/>
          <w:szCs w:val="22"/>
        </w:rPr>
        <w:t>Family Action Plan (F</w:t>
      </w:r>
      <w:r>
        <w:rPr>
          <w:rFonts w:cs="Arial"/>
          <w:sz w:val="22"/>
          <w:szCs w:val="22"/>
        </w:rPr>
        <w:t>A</w:t>
      </w:r>
      <w:r w:rsidRPr="00A10A27">
        <w:rPr>
          <w:rFonts w:cs="Arial"/>
          <w:sz w:val="22"/>
          <w:szCs w:val="22"/>
        </w:rPr>
        <w:t>P) should be developed for on-going participants</w:t>
      </w:r>
      <w:r>
        <w:rPr>
          <w:rFonts w:cs="Arial"/>
          <w:sz w:val="22"/>
          <w:szCs w:val="22"/>
        </w:rPr>
        <w:t xml:space="preserve"> to map goal direction and achievement</w:t>
      </w:r>
      <w:r w:rsidR="00EE562E">
        <w:rPr>
          <w:rFonts w:cs="Arial"/>
          <w:sz w:val="22"/>
          <w:szCs w:val="22"/>
        </w:rPr>
        <w:t>;</w:t>
      </w:r>
      <w:r>
        <w:rPr>
          <w:rFonts w:cs="Arial"/>
          <w:sz w:val="22"/>
          <w:szCs w:val="22"/>
        </w:rPr>
        <w:t xml:space="preserve"> and </w:t>
      </w:r>
    </w:p>
    <w:p w14:paraId="57EB7BE5" w14:textId="77777777" w:rsidR="00CE556C" w:rsidRDefault="00CE556C" w:rsidP="004C278E">
      <w:pPr>
        <w:pStyle w:val="ListParagraph"/>
        <w:numPr>
          <w:ilvl w:val="4"/>
          <w:numId w:val="66"/>
        </w:numPr>
        <w:spacing w:before="0" w:after="0" w:line="276" w:lineRule="auto"/>
        <w:ind w:left="1590" w:hanging="357"/>
        <w:contextualSpacing w:val="0"/>
        <w:rPr>
          <w:rFonts w:cs="Arial"/>
          <w:sz w:val="22"/>
          <w:szCs w:val="22"/>
        </w:rPr>
      </w:pPr>
      <w:r w:rsidRPr="001E0938">
        <w:rPr>
          <w:rFonts w:cs="Arial"/>
          <w:sz w:val="22"/>
          <w:szCs w:val="22"/>
        </w:rPr>
        <w:t xml:space="preserve">FAPs should be reviewed and revised quarterly (see </w:t>
      </w:r>
      <w:r>
        <w:rPr>
          <w:rFonts w:cs="Arial"/>
          <w:b/>
          <w:sz w:val="22"/>
          <w:szCs w:val="22"/>
        </w:rPr>
        <w:t>Appendix</w:t>
      </w:r>
      <w:r w:rsidRPr="00100D72">
        <w:rPr>
          <w:rFonts w:cs="Arial"/>
          <w:b/>
          <w:sz w:val="22"/>
          <w:szCs w:val="22"/>
        </w:rPr>
        <w:t xml:space="preserve"> </w:t>
      </w:r>
      <w:r>
        <w:rPr>
          <w:rFonts w:cs="Arial"/>
          <w:b/>
          <w:sz w:val="22"/>
          <w:szCs w:val="22"/>
        </w:rPr>
        <w:t>A</w:t>
      </w:r>
      <w:r w:rsidRPr="001E0938">
        <w:rPr>
          <w:rFonts w:cs="Arial"/>
          <w:sz w:val="22"/>
          <w:szCs w:val="22"/>
        </w:rPr>
        <w:t xml:space="preserve"> for </w:t>
      </w:r>
      <w:r>
        <w:rPr>
          <w:rFonts w:cs="Arial"/>
          <w:sz w:val="22"/>
          <w:szCs w:val="22"/>
        </w:rPr>
        <w:t xml:space="preserve">information on the </w:t>
      </w:r>
      <w:r w:rsidRPr="001E0938">
        <w:rPr>
          <w:rFonts w:cs="Arial"/>
          <w:sz w:val="22"/>
          <w:szCs w:val="22"/>
        </w:rPr>
        <w:t>FAP</w:t>
      </w:r>
      <w:r>
        <w:rPr>
          <w:rFonts w:cs="Arial"/>
          <w:sz w:val="22"/>
          <w:szCs w:val="22"/>
        </w:rPr>
        <w:t xml:space="preserve"> and </w:t>
      </w:r>
      <w:r w:rsidRPr="00C72755">
        <w:rPr>
          <w:rFonts w:cs="Arial"/>
          <w:b/>
          <w:sz w:val="22"/>
          <w:szCs w:val="22"/>
        </w:rPr>
        <w:t>Appendix B</w:t>
      </w:r>
      <w:r>
        <w:rPr>
          <w:rFonts w:cs="Arial"/>
          <w:sz w:val="22"/>
          <w:szCs w:val="22"/>
        </w:rPr>
        <w:t xml:space="preserve"> for the FAP</w:t>
      </w:r>
      <w:r w:rsidRPr="001E0938">
        <w:rPr>
          <w:rFonts w:cs="Arial"/>
          <w:sz w:val="22"/>
          <w:szCs w:val="22"/>
        </w:rPr>
        <w:t xml:space="preserve"> template)</w:t>
      </w:r>
      <w:r>
        <w:rPr>
          <w:rFonts w:cs="Arial"/>
          <w:sz w:val="22"/>
          <w:szCs w:val="22"/>
        </w:rPr>
        <w:t>.</w:t>
      </w:r>
    </w:p>
    <w:p w14:paraId="7FFCDE00" w14:textId="77777777" w:rsidR="00CE556C" w:rsidRPr="00A10A27" w:rsidRDefault="00CE556C" w:rsidP="004C278E">
      <w:pPr>
        <w:pStyle w:val="ListParagraph"/>
        <w:numPr>
          <w:ilvl w:val="0"/>
          <w:numId w:val="68"/>
        </w:numPr>
        <w:spacing w:after="0" w:line="276" w:lineRule="auto"/>
        <w:ind w:left="870" w:hanging="357"/>
        <w:contextualSpacing w:val="0"/>
        <w:rPr>
          <w:rFonts w:cs="Arial"/>
          <w:sz w:val="22"/>
          <w:szCs w:val="22"/>
        </w:rPr>
      </w:pPr>
      <w:r w:rsidRPr="00A10A27">
        <w:rPr>
          <w:rFonts w:cs="Arial"/>
          <w:sz w:val="22"/>
          <w:szCs w:val="22"/>
        </w:rPr>
        <w:t>ongoing support</w:t>
      </w:r>
    </w:p>
    <w:p w14:paraId="22DD8FBA" w14:textId="237B0E19"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supportive counselling and/or family interventions</w:t>
      </w:r>
      <w:r w:rsidR="00EE562E">
        <w:rPr>
          <w:rFonts w:cs="Arial"/>
          <w:sz w:val="22"/>
          <w:szCs w:val="22"/>
        </w:rPr>
        <w:t>;</w:t>
      </w:r>
    </w:p>
    <w:p w14:paraId="28DF9170" w14:textId="6F64AC36"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targeted, therapeutic groups for children, young people, their families and carers</w:t>
      </w:r>
      <w:r w:rsidR="00EE562E">
        <w:rPr>
          <w:rFonts w:cs="Arial"/>
          <w:sz w:val="22"/>
          <w:szCs w:val="22"/>
        </w:rPr>
        <w:t>;</w:t>
      </w:r>
    </w:p>
    <w:p w14:paraId="23DB3860" w14:textId="52E0E499"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practical assistance and home-based support for the child or young person (e.g. developing familial resources and routines)</w:t>
      </w:r>
      <w:r w:rsidR="00EE562E">
        <w:rPr>
          <w:rFonts w:cs="Arial"/>
          <w:sz w:val="22"/>
          <w:szCs w:val="22"/>
        </w:rPr>
        <w:t>;</w:t>
      </w:r>
    </w:p>
    <w:p w14:paraId="2C0E87AE" w14:textId="4A05A328"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advocacy</w:t>
      </w:r>
      <w:r w:rsidR="00EE562E">
        <w:rPr>
          <w:rFonts w:cs="Arial"/>
          <w:sz w:val="22"/>
          <w:szCs w:val="22"/>
        </w:rPr>
        <w:t>;</w:t>
      </w:r>
    </w:p>
    <w:p w14:paraId="4477D8A8" w14:textId="3A5CBE4B"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referrals to relevant service streams</w:t>
      </w:r>
      <w:r w:rsidR="00EE562E">
        <w:rPr>
          <w:rFonts w:cs="Arial"/>
          <w:sz w:val="22"/>
          <w:szCs w:val="22"/>
        </w:rPr>
        <w:t>;</w:t>
      </w:r>
      <w:r w:rsidRPr="00A10A27">
        <w:rPr>
          <w:rFonts w:cs="Arial"/>
          <w:sz w:val="22"/>
          <w:szCs w:val="22"/>
        </w:rPr>
        <w:t xml:space="preserve"> and</w:t>
      </w:r>
    </w:p>
    <w:p w14:paraId="44BF7295" w14:textId="77777777" w:rsidR="00CE556C" w:rsidRPr="00A10A27" w:rsidRDefault="00CE556C" w:rsidP="004C278E">
      <w:pPr>
        <w:pStyle w:val="ListParagraph"/>
        <w:numPr>
          <w:ilvl w:val="4"/>
          <w:numId w:val="67"/>
        </w:numPr>
        <w:spacing w:before="0" w:after="0" w:line="276" w:lineRule="auto"/>
        <w:ind w:left="1590" w:hanging="357"/>
        <w:contextualSpacing w:val="0"/>
        <w:rPr>
          <w:rFonts w:cs="Arial"/>
          <w:sz w:val="22"/>
          <w:szCs w:val="22"/>
        </w:rPr>
      </w:pPr>
      <w:r w:rsidRPr="00A10A27">
        <w:rPr>
          <w:rFonts w:cs="Arial"/>
          <w:sz w:val="22"/>
          <w:szCs w:val="22"/>
        </w:rPr>
        <w:t>co-ordination and/or collaborative practice with relevant service</w:t>
      </w:r>
      <w:r>
        <w:rPr>
          <w:rFonts w:cs="Arial"/>
          <w:sz w:val="22"/>
          <w:szCs w:val="22"/>
        </w:rPr>
        <w:t xml:space="preserve"> streams or</w:t>
      </w:r>
      <w:r w:rsidRPr="00A10A27">
        <w:rPr>
          <w:rFonts w:cs="Arial"/>
          <w:sz w:val="22"/>
          <w:szCs w:val="22"/>
        </w:rPr>
        <w:t xml:space="preserve"> agencies to ensure a holistic and integrated response </w:t>
      </w:r>
      <w:r>
        <w:rPr>
          <w:rFonts w:cs="Arial"/>
          <w:sz w:val="22"/>
          <w:szCs w:val="22"/>
        </w:rPr>
        <w:t xml:space="preserve">to </w:t>
      </w:r>
      <w:r w:rsidRPr="00A10A27">
        <w:rPr>
          <w:rFonts w:cs="Arial"/>
          <w:sz w:val="22"/>
          <w:szCs w:val="22"/>
        </w:rPr>
        <w:t>any identified mental health and well-being requirements.</w:t>
      </w:r>
    </w:p>
    <w:p w14:paraId="7F9B97E4" w14:textId="36A2EF10" w:rsidR="00CE556C" w:rsidRPr="00A10A27" w:rsidRDefault="00CE556C" w:rsidP="00CE556C">
      <w:pPr>
        <w:spacing w:after="0"/>
        <w:rPr>
          <w:sz w:val="22"/>
          <w:szCs w:val="22"/>
        </w:rPr>
      </w:pPr>
      <w:r w:rsidRPr="00A10A27">
        <w:rPr>
          <w:sz w:val="22"/>
          <w:szCs w:val="22"/>
        </w:rPr>
        <w:t xml:space="preserve">FMHSS providers should aim to deliver </w:t>
      </w:r>
      <w:r>
        <w:rPr>
          <w:sz w:val="22"/>
          <w:szCs w:val="22"/>
        </w:rPr>
        <w:t xml:space="preserve">at least </w:t>
      </w:r>
      <w:r w:rsidRPr="00A10A27">
        <w:rPr>
          <w:sz w:val="22"/>
          <w:szCs w:val="22"/>
        </w:rPr>
        <w:t xml:space="preserve">weekly support to children or young people </w:t>
      </w:r>
      <w:r>
        <w:rPr>
          <w:sz w:val="22"/>
          <w:szCs w:val="22"/>
        </w:rPr>
        <w:t>following identification as meeting ongoing participant requirements. It</w:t>
      </w:r>
      <w:r w:rsidR="00EE562E">
        <w:rPr>
          <w:sz w:val="22"/>
          <w:szCs w:val="22"/>
        </w:rPr>
        <w:t> </w:t>
      </w:r>
      <w:r>
        <w:rPr>
          <w:sz w:val="22"/>
          <w:szCs w:val="22"/>
        </w:rPr>
        <w:t>is</w:t>
      </w:r>
      <w:r w:rsidR="00EE562E">
        <w:rPr>
          <w:sz w:val="22"/>
          <w:szCs w:val="22"/>
        </w:rPr>
        <w:t> </w:t>
      </w:r>
      <w:r>
        <w:rPr>
          <w:sz w:val="22"/>
          <w:szCs w:val="22"/>
        </w:rPr>
        <w:t xml:space="preserve">anticipated the majority of clients will require less than 12 months support, however, </w:t>
      </w:r>
      <w:r w:rsidRPr="00A10A27">
        <w:rPr>
          <w:sz w:val="22"/>
          <w:szCs w:val="22"/>
        </w:rPr>
        <w:t>a</w:t>
      </w:r>
      <w:r>
        <w:rPr>
          <w:sz w:val="22"/>
          <w:szCs w:val="22"/>
        </w:rPr>
        <w:t> </w:t>
      </w:r>
      <w:r w:rsidRPr="00A10A27">
        <w:rPr>
          <w:sz w:val="22"/>
          <w:szCs w:val="22"/>
        </w:rPr>
        <w:t>small number of participants may require longer-term support.</w:t>
      </w:r>
    </w:p>
    <w:p w14:paraId="0F1EF6E6" w14:textId="2166C9F2" w:rsidR="00CE556C" w:rsidRPr="00A10A27" w:rsidRDefault="00CE556C" w:rsidP="004C278E">
      <w:pPr>
        <w:rPr>
          <w:sz w:val="22"/>
          <w:szCs w:val="22"/>
        </w:rPr>
      </w:pPr>
      <w:r w:rsidRPr="00A10A27">
        <w:rPr>
          <w:sz w:val="22"/>
          <w:szCs w:val="22"/>
        </w:rPr>
        <w:t>Should the child or young person require ongoing, intensive support (beyond a</w:t>
      </w:r>
      <w:r w:rsidR="00EE562E">
        <w:rPr>
          <w:sz w:val="22"/>
          <w:szCs w:val="22"/>
        </w:rPr>
        <w:t> </w:t>
      </w:r>
      <w:r w:rsidRPr="00A10A27">
        <w:rPr>
          <w:sz w:val="22"/>
          <w:szCs w:val="22"/>
        </w:rPr>
        <w:t>12</w:t>
      </w:r>
      <w:r>
        <w:rPr>
          <w:sz w:val="22"/>
          <w:szCs w:val="22"/>
        </w:rPr>
        <w:t> </w:t>
      </w:r>
      <w:r w:rsidRPr="00A10A27">
        <w:rPr>
          <w:sz w:val="22"/>
          <w:szCs w:val="22"/>
        </w:rPr>
        <w:t>months duration)</w:t>
      </w:r>
      <w:r>
        <w:rPr>
          <w:sz w:val="22"/>
          <w:szCs w:val="22"/>
        </w:rPr>
        <w:t>,</w:t>
      </w:r>
      <w:r w:rsidRPr="00A10A27">
        <w:rPr>
          <w:sz w:val="22"/>
          <w:szCs w:val="22"/>
        </w:rPr>
        <w:t xml:space="preserve"> the FMHSS provider should review the FAP and consider referring the participant to any alternate support services available</w:t>
      </w:r>
      <w:r>
        <w:rPr>
          <w:sz w:val="22"/>
          <w:szCs w:val="22"/>
        </w:rPr>
        <w:t>,</w:t>
      </w:r>
      <w:r w:rsidRPr="00A10A27">
        <w:rPr>
          <w:sz w:val="22"/>
          <w:szCs w:val="22"/>
        </w:rPr>
        <w:t xml:space="preserve"> </w:t>
      </w:r>
      <w:r>
        <w:rPr>
          <w:sz w:val="22"/>
          <w:szCs w:val="22"/>
        </w:rPr>
        <w:t xml:space="preserve">as </w:t>
      </w:r>
      <w:r w:rsidRPr="00A10A27">
        <w:rPr>
          <w:sz w:val="22"/>
          <w:szCs w:val="22"/>
        </w:rPr>
        <w:t>appropriate to the participant’s needs.</w:t>
      </w:r>
    </w:p>
    <w:p w14:paraId="31F28CC7" w14:textId="77777777" w:rsidR="00CE556C" w:rsidRPr="00A10A27" w:rsidRDefault="00CE556C" w:rsidP="004C278E">
      <w:pPr>
        <w:keepNext/>
        <w:numPr>
          <w:ilvl w:val="0"/>
          <w:numId w:val="64"/>
        </w:numPr>
        <w:spacing w:after="0" w:line="240" w:lineRule="auto"/>
        <w:ind w:left="357" w:hanging="357"/>
        <w:contextualSpacing/>
        <w:rPr>
          <w:rFonts w:eastAsia="Calibri" w:cs="Arial"/>
          <w:b/>
          <w:spacing w:val="0"/>
          <w:sz w:val="22"/>
          <w:szCs w:val="22"/>
          <w:lang w:eastAsia="en-US"/>
        </w:rPr>
      </w:pPr>
      <w:r w:rsidRPr="00A10A27">
        <w:rPr>
          <w:rFonts w:eastAsia="Calibri" w:cs="Arial"/>
          <w:b/>
          <w:spacing w:val="0"/>
          <w:sz w:val="22"/>
          <w:szCs w:val="22"/>
          <w:lang w:eastAsia="en-US"/>
        </w:rPr>
        <w:t>Short-term, immediate assistance for children and young people, with the support of their families or carers which may include:</w:t>
      </w:r>
    </w:p>
    <w:p w14:paraId="410F831D" w14:textId="7104FA91" w:rsidR="00CE556C" w:rsidRPr="009B13F0" w:rsidRDefault="00CE556C" w:rsidP="00CE556C">
      <w:pPr>
        <w:pStyle w:val="ListParagraph"/>
        <w:keepNext/>
        <w:numPr>
          <w:ilvl w:val="0"/>
          <w:numId w:val="68"/>
        </w:numPr>
        <w:spacing w:before="0" w:after="0" w:line="276" w:lineRule="auto"/>
        <w:ind w:left="867" w:hanging="357"/>
        <w:rPr>
          <w:rFonts w:cs="Arial"/>
          <w:sz w:val="22"/>
          <w:szCs w:val="22"/>
        </w:rPr>
      </w:pPr>
      <w:r w:rsidRPr="009B13F0">
        <w:rPr>
          <w:rFonts w:cs="Arial"/>
          <w:sz w:val="22"/>
          <w:szCs w:val="22"/>
        </w:rPr>
        <w:t>assessment of needs</w:t>
      </w:r>
      <w:r w:rsidR="00EE562E">
        <w:rPr>
          <w:rFonts w:cs="Arial"/>
          <w:sz w:val="22"/>
          <w:szCs w:val="22"/>
        </w:rPr>
        <w:t>;</w:t>
      </w:r>
    </w:p>
    <w:p w14:paraId="0B25BAB1" w14:textId="179182F2" w:rsidR="00CE556C" w:rsidRPr="009B13F0" w:rsidRDefault="00CE556C" w:rsidP="00CE556C">
      <w:pPr>
        <w:pStyle w:val="ListParagraph"/>
        <w:keepNext/>
        <w:numPr>
          <w:ilvl w:val="0"/>
          <w:numId w:val="68"/>
        </w:numPr>
        <w:spacing w:before="0" w:after="0" w:line="276" w:lineRule="auto"/>
        <w:ind w:left="867" w:hanging="357"/>
        <w:rPr>
          <w:rFonts w:cs="Arial"/>
          <w:sz w:val="22"/>
          <w:szCs w:val="22"/>
        </w:rPr>
      </w:pPr>
      <w:r w:rsidRPr="009B13F0">
        <w:rPr>
          <w:rFonts w:cs="Arial"/>
          <w:sz w:val="22"/>
          <w:szCs w:val="22"/>
        </w:rPr>
        <w:t>information or referrals</w:t>
      </w:r>
      <w:r w:rsidR="00EE562E">
        <w:rPr>
          <w:rFonts w:cs="Arial"/>
          <w:sz w:val="22"/>
          <w:szCs w:val="22"/>
        </w:rPr>
        <w:t>;</w:t>
      </w:r>
      <w:r w:rsidRPr="009B13F0">
        <w:rPr>
          <w:rFonts w:cs="Arial"/>
          <w:sz w:val="22"/>
          <w:szCs w:val="22"/>
        </w:rPr>
        <w:t xml:space="preserve"> and </w:t>
      </w:r>
    </w:p>
    <w:p w14:paraId="4177D2E5" w14:textId="77777777" w:rsidR="00CE556C" w:rsidRPr="009B13F0" w:rsidRDefault="00CE556C" w:rsidP="00CE556C">
      <w:pPr>
        <w:pStyle w:val="ListParagraph"/>
        <w:keepNext/>
        <w:numPr>
          <w:ilvl w:val="0"/>
          <w:numId w:val="68"/>
        </w:numPr>
        <w:spacing w:before="0" w:after="0" w:line="276" w:lineRule="auto"/>
        <w:ind w:left="867" w:hanging="357"/>
        <w:rPr>
          <w:rFonts w:cs="Arial"/>
          <w:sz w:val="22"/>
          <w:szCs w:val="22"/>
        </w:rPr>
      </w:pPr>
      <w:r w:rsidRPr="009B13F0">
        <w:rPr>
          <w:rFonts w:cs="Arial"/>
          <w:sz w:val="22"/>
          <w:szCs w:val="22"/>
        </w:rPr>
        <w:t>limited or one-off practical assistance/direct support (this should not overlap with other Government funded activities in the same region).</w:t>
      </w:r>
    </w:p>
    <w:p w14:paraId="2CE276AE" w14:textId="77777777" w:rsidR="00CE556C" w:rsidRPr="00A10A27" w:rsidRDefault="00CE556C" w:rsidP="004C278E">
      <w:pPr>
        <w:rPr>
          <w:sz w:val="22"/>
          <w:szCs w:val="22"/>
        </w:rPr>
      </w:pPr>
      <w:r w:rsidRPr="00A10A27">
        <w:rPr>
          <w:sz w:val="22"/>
          <w:szCs w:val="22"/>
        </w:rPr>
        <w:t>Short-term assistance may also be offered to children and young people (with the support of their families or carers) for up to six sessions – this form of intervention does not require a FAP.</w:t>
      </w:r>
    </w:p>
    <w:p w14:paraId="06EFC2BD" w14:textId="77777777" w:rsidR="00CE556C" w:rsidRPr="00A10A27" w:rsidRDefault="00CE556C" w:rsidP="00CE556C">
      <w:pPr>
        <w:numPr>
          <w:ilvl w:val="0"/>
          <w:numId w:val="64"/>
        </w:numPr>
        <w:spacing w:before="0" w:after="0" w:line="240" w:lineRule="auto"/>
        <w:ind w:left="360"/>
        <w:contextualSpacing/>
        <w:rPr>
          <w:rFonts w:eastAsia="Calibri" w:cs="Arial"/>
          <w:b/>
          <w:spacing w:val="0"/>
          <w:sz w:val="22"/>
          <w:szCs w:val="22"/>
          <w:lang w:eastAsia="en-US"/>
        </w:rPr>
      </w:pPr>
      <w:r w:rsidRPr="00A10A27">
        <w:rPr>
          <w:rFonts w:eastAsia="Calibri" w:cs="Arial"/>
          <w:b/>
          <w:spacing w:val="0"/>
          <w:sz w:val="22"/>
          <w:szCs w:val="22"/>
          <w:lang w:eastAsia="en-US"/>
        </w:rPr>
        <w:lastRenderedPageBreak/>
        <w:t xml:space="preserve">Community outreach, mental health education and community development activities may include: </w:t>
      </w:r>
    </w:p>
    <w:p w14:paraId="370E71C0" w14:textId="697E1E75" w:rsidR="00CE556C" w:rsidRPr="009B13F0" w:rsidRDefault="00CE556C" w:rsidP="00CE556C">
      <w:pPr>
        <w:pStyle w:val="ListParagraph"/>
        <w:numPr>
          <w:ilvl w:val="0"/>
          <w:numId w:val="68"/>
        </w:numPr>
        <w:spacing w:before="0" w:after="0" w:line="276" w:lineRule="auto"/>
        <w:ind w:left="870"/>
        <w:rPr>
          <w:rFonts w:cs="Arial"/>
          <w:sz w:val="22"/>
          <w:szCs w:val="22"/>
        </w:rPr>
      </w:pPr>
      <w:r w:rsidRPr="009B13F0">
        <w:rPr>
          <w:rFonts w:cs="Arial"/>
          <w:sz w:val="22"/>
          <w:szCs w:val="22"/>
        </w:rPr>
        <w:t>organisation of, and participation in, community events</w:t>
      </w:r>
      <w:r w:rsidR="00EE562E">
        <w:rPr>
          <w:rFonts w:cs="Arial"/>
          <w:sz w:val="22"/>
          <w:szCs w:val="22"/>
        </w:rPr>
        <w:t>;</w:t>
      </w:r>
    </w:p>
    <w:p w14:paraId="402EA938" w14:textId="3BAF1554" w:rsidR="00CE556C" w:rsidRPr="009B13F0" w:rsidRDefault="00CE556C" w:rsidP="00CE556C">
      <w:pPr>
        <w:pStyle w:val="ListParagraph"/>
        <w:numPr>
          <w:ilvl w:val="0"/>
          <w:numId w:val="68"/>
        </w:numPr>
        <w:spacing w:before="0" w:after="0" w:line="276" w:lineRule="auto"/>
        <w:ind w:left="870"/>
        <w:rPr>
          <w:rFonts w:cs="Arial"/>
          <w:sz w:val="22"/>
          <w:szCs w:val="22"/>
        </w:rPr>
      </w:pPr>
      <w:r w:rsidRPr="009B13F0">
        <w:rPr>
          <w:rFonts w:cs="Arial"/>
          <w:sz w:val="22"/>
          <w:szCs w:val="22"/>
        </w:rPr>
        <w:t>community development activities to promote mental health and wellbeing for children and young people</w:t>
      </w:r>
      <w:r w:rsidR="00EE562E">
        <w:rPr>
          <w:rFonts w:cs="Arial"/>
          <w:sz w:val="22"/>
          <w:szCs w:val="22"/>
        </w:rPr>
        <w:t>;</w:t>
      </w:r>
      <w:r w:rsidRPr="009B13F0">
        <w:rPr>
          <w:rFonts w:cs="Arial"/>
          <w:sz w:val="22"/>
          <w:szCs w:val="22"/>
        </w:rPr>
        <w:t xml:space="preserve"> and</w:t>
      </w:r>
    </w:p>
    <w:p w14:paraId="591E9459" w14:textId="77777777" w:rsidR="00CE556C" w:rsidRPr="009B13F0" w:rsidRDefault="00CE556C" w:rsidP="00CE556C">
      <w:pPr>
        <w:pStyle w:val="ListParagraph"/>
        <w:numPr>
          <w:ilvl w:val="0"/>
          <w:numId w:val="68"/>
        </w:numPr>
        <w:spacing w:before="0" w:after="0" w:line="276" w:lineRule="auto"/>
        <w:ind w:left="870"/>
        <w:rPr>
          <w:rFonts w:cs="Arial"/>
          <w:sz w:val="22"/>
          <w:szCs w:val="22"/>
        </w:rPr>
      </w:pPr>
      <w:r w:rsidRPr="009B13F0">
        <w:rPr>
          <w:rFonts w:cs="Arial"/>
          <w:sz w:val="22"/>
          <w:szCs w:val="22"/>
        </w:rPr>
        <w:t>facilitation of group work or community development with children and young people to improve knowledge on mental health matters and ensure communities are more able to respond to issues that impact well-being.</w:t>
      </w:r>
    </w:p>
    <w:p w14:paraId="052DED5B" w14:textId="77777777" w:rsidR="004D2589" w:rsidRPr="004C3752" w:rsidRDefault="00CE556C" w:rsidP="004C278E">
      <w:pPr>
        <w:pStyle w:val="Heading1"/>
      </w:pPr>
      <w:bookmarkStart w:id="42" w:name="_Toc70494346"/>
      <w:bookmarkStart w:id="43" w:name="_Toc70494347"/>
      <w:bookmarkStart w:id="44" w:name="_Toc70494348"/>
      <w:bookmarkStart w:id="45" w:name="_Toc70494349"/>
      <w:bookmarkStart w:id="46" w:name="_Toc70494350"/>
      <w:bookmarkStart w:id="47" w:name="_Toc70494351"/>
      <w:bookmarkStart w:id="48" w:name="_Toc70494352"/>
      <w:bookmarkStart w:id="49" w:name="_Toc70494353"/>
      <w:bookmarkStart w:id="50" w:name="_Toc70494354"/>
      <w:bookmarkStart w:id="51" w:name="_Toc70599660"/>
      <w:bookmarkEnd w:id="42"/>
      <w:bookmarkEnd w:id="43"/>
      <w:bookmarkEnd w:id="44"/>
      <w:bookmarkEnd w:id="45"/>
      <w:bookmarkEnd w:id="46"/>
      <w:bookmarkEnd w:id="47"/>
      <w:bookmarkEnd w:id="48"/>
      <w:bookmarkEnd w:id="49"/>
      <w:bookmarkEnd w:id="50"/>
      <w:r>
        <w:t>Service delivery principles</w:t>
      </w:r>
      <w:bookmarkEnd w:id="51"/>
    </w:p>
    <w:p w14:paraId="4DF7796D" w14:textId="6941A2B9" w:rsidR="00CE556C" w:rsidRPr="00A10A27" w:rsidRDefault="00CE556C" w:rsidP="00CE556C">
      <w:pPr>
        <w:spacing w:after="0"/>
        <w:rPr>
          <w:rFonts w:cs="Arial"/>
          <w:color w:val="000000"/>
          <w:sz w:val="22"/>
          <w:szCs w:val="22"/>
        </w:rPr>
      </w:pPr>
      <w:r w:rsidRPr="00A10A27">
        <w:rPr>
          <w:rFonts w:cs="Arial"/>
          <w:color w:val="000000"/>
          <w:sz w:val="22"/>
          <w:szCs w:val="22"/>
        </w:rPr>
        <w:t>All FMHSS providers must operate according to the principles outlined in the ‘</w:t>
      </w:r>
      <w:hyperlink r:id="rId22" w:history="1">
        <w:r w:rsidRPr="00A10A27">
          <w:rPr>
            <w:rStyle w:val="Hyperlink"/>
            <w:rFonts w:cs="Arial"/>
            <w:i/>
            <w:szCs w:val="22"/>
          </w:rPr>
          <w:t>National standards for mental health services 2010</w:t>
        </w:r>
      </w:hyperlink>
      <w:r w:rsidRPr="00A10A27">
        <w:rPr>
          <w:rFonts w:cs="Arial"/>
          <w:i/>
          <w:color w:val="000000"/>
          <w:sz w:val="22"/>
          <w:szCs w:val="22"/>
        </w:rPr>
        <w:t xml:space="preserve">’ </w:t>
      </w:r>
      <w:r w:rsidRPr="00A10A27">
        <w:rPr>
          <w:rFonts w:cs="Arial"/>
          <w:color w:val="000000"/>
          <w:sz w:val="22"/>
          <w:szCs w:val="22"/>
        </w:rPr>
        <w:t>and the ‘</w:t>
      </w:r>
      <w:hyperlink r:id="rId23" w:history="1">
        <w:r w:rsidRPr="00A10A27">
          <w:rPr>
            <w:rStyle w:val="Hyperlink"/>
            <w:rFonts w:cs="Arial"/>
            <w:i/>
            <w:szCs w:val="22"/>
          </w:rPr>
          <w:t>National practice standards for the mental health workforce 2013’</w:t>
        </w:r>
      </w:hyperlink>
      <w:r w:rsidRPr="00A10A27">
        <w:rPr>
          <w:rFonts w:cs="Arial"/>
          <w:i/>
          <w:color w:val="000000"/>
          <w:sz w:val="22"/>
          <w:szCs w:val="22"/>
        </w:rPr>
        <w:t>.</w:t>
      </w:r>
    </w:p>
    <w:p w14:paraId="29FA1B5F" w14:textId="77777777" w:rsidR="00EE562E" w:rsidRDefault="00CE556C" w:rsidP="00CE556C">
      <w:pPr>
        <w:spacing w:after="0"/>
        <w:rPr>
          <w:rFonts w:cs="Arial"/>
          <w:sz w:val="22"/>
          <w:szCs w:val="22"/>
        </w:rPr>
      </w:pPr>
      <w:r w:rsidRPr="00A10A27">
        <w:rPr>
          <w:rFonts w:cs="Arial"/>
          <w:sz w:val="22"/>
          <w:szCs w:val="22"/>
        </w:rPr>
        <w:t>To standardise service delivery, all FMHSS providers should use a tool such as the Common Approach to Assessment, Referral and Support (</w:t>
      </w:r>
      <w:hyperlink r:id="rId24" w:history="1">
        <w:r w:rsidRPr="00A10A27">
          <w:rPr>
            <w:rStyle w:val="Hyperlink"/>
            <w:rFonts w:cs="Arial"/>
            <w:szCs w:val="22"/>
          </w:rPr>
          <w:t>CAARS</w:t>
        </w:r>
      </w:hyperlink>
      <w:r w:rsidRPr="00A10A27">
        <w:rPr>
          <w:rFonts w:cs="Arial"/>
          <w:sz w:val="22"/>
          <w:szCs w:val="22"/>
        </w:rPr>
        <w:t>)</w:t>
      </w:r>
      <w:r w:rsidR="00854502">
        <w:rPr>
          <w:rStyle w:val="FootnoteReference"/>
          <w:rFonts w:cs="Arial"/>
          <w:sz w:val="22"/>
          <w:szCs w:val="22"/>
        </w:rPr>
        <w:footnoteReference w:id="1"/>
      </w:r>
      <w:r w:rsidR="004B6DD5">
        <w:rPr>
          <w:rFonts w:cs="Arial"/>
          <w:sz w:val="22"/>
          <w:szCs w:val="22"/>
        </w:rPr>
        <w:t>.</w:t>
      </w:r>
    </w:p>
    <w:p w14:paraId="7AF8DE01" w14:textId="77777777" w:rsidR="00CE556C" w:rsidRPr="00A10A27" w:rsidRDefault="00CE556C" w:rsidP="00CE556C">
      <w:pPr>
        <w:spacing w:after="0"/>
        <w:rPr>
          <w:rFonts w:cs="Arial"/>
          <w:sz w:val="22"/>
          <w:szCs w:val="22"/>
        </w:rPr>
      </w:pPr>
      <w:r w:rsidRPr="00A10A27">
        <w:rPr>
          <w:rFonts w:cs="Arial"/>
          <w:sz w:val="22"/>
          <w:szCs w:val="22"/>
        </w:rPr>
        <w:t>In addition, FMHSS services should be delivered in line with the following principles:</w:t>
      </w:r>
    </w:p>
    <w:p w14:paraId="3869CC0B" w14:textId="4F395132" w:rsidR="00CE556C" w:rsidRPr="00A10A27" w:rsidRDefault="00CE556C" w:rsidP="00CE556C">
      <w:pPr>
        <w:spacing w:after="0"/>
        <w:rPr>
          <w:rFonts w:cs="Arial"/>
          <w:sz w:val="22"/>
          <w:szCs w:val="22"/>
        </w:rPr>
      </w:pPr>
      <w:r w:rsidRPr="00A10A27">
        <w:rPr>
          <w:rFonts w:cs="Arial"/>
          <w:b/>
          <w:sz w:val="22"/>
          <w:szCs w:val="22"/>
        </w:rPr>
        <w:t>Early intervention</w:t>
      </w:r>
      <w:r w:rsidRPr="00A10A27">
        <w:rPr>
          <w:rFonts w:cs="Arial"/>
          <w:sz w:val="22"/>
          <w:szCs w:val="22"/>
        </w:rPr>
        <w:t xml:space="preserve"> –</w:t>
      </w:r>
      <w:r>
        <w:rPr>
          <w:rFonts w:cs="Arial"/>
          <w:sz w:val="22"/>
          <w:szCs w:val="22"/>
        </w:rPr>
        <w:t xml:space="preserve"> </w:t>
      </w:r>
      <w:r w:rsidRPr="00A10A27">
        <w:rPr>
          <w:rFonts w:cs="Arial"/>
          <w:sz w:val="22"/>
          <w:szCs w:val="22"/>
        </w:rPr>
        <w:t>have knowledge and understanding of the social and environmental factors as well as the risk and protective factors that impact on the development of</w:t>
      </w:r>
      <w:r w:rsidR="004B6DD5">
        <w:rPr>
          <w:rFonts w:cs="Arial"/>
          <w:sz w:val="22"/>
          <w:szCs w:val="22"/>
        </w:rPr>
        <w:t> </w:t>
      </w:r>
      <w:r w:rsidRPr="00A10A27">
        <w:rPr>
          <w:rFonts w:cs="Arial"/>
          <w:sz w:val="22"/>
          <w:szCs w:val="22"/>
        </w:rPr>
        <w:t>mental health issues in children and young people</w:t>
      </w:r>
      <w:r w:rsidR="00EE562E">
        <w:rPr>
          <w:rFonts w:cs="Arial"/>
          <w:sz w:val="22"/>
          <w:szCs w:val="22"/>
        </w:rPr>
        <w:t>;</w:t>
      </w:r>
    </w:p>
    <w:p w14:paraId="4DC58941" w14:textId="7A1C98A2" w:rsidR="00CE556C" w:rsidRPr="00A10A27" w:rsidRDefault="00CE556C" w:rsidP="00CE556C">
      <w:pPr>
        <w:spacing w:after="0"/>
        <w:rPr>
          <w:rFonts w:cs="Arial"/>
          <w:sz w:val="22"/>
          <w:szCs w:val="22"/>
        </w:rPr>
      </w:pPr>
      <w:r w:rsidRPr="00A10A27">
        <w:rPr>
          <w:rFonts w:cs="Arial"/>
          <w:b/>
          <w:sz w:val="22"/>
          <w:szCs w:val="22"/>
        </w:rPr>
        <w:t xml:space="preserve">Child and </w:t>
      </w:r>
      <w:r>
        <w:rPr>
          <w:rFonts w:cs="Arial"/>
          <w:b/>
          <w:sz w:val="22"/>
          <w:szCs w:val="22"/>
        </w:rPr>
        <w:t>y</w:t>
      </w:r>
      <w:r w:rsidRPr="00A10A27">
        <w:rPr>
          <w:rFonts w:cs="Arial"/>
          <w:b/>
          <w:sz w:val="22"/>
          <w:szCs w:val="22"/>
        </w:rPr>
        <w:t xml:space="preserve">oung </w:t>
      </w:r>
      <w:r>
        <w:rPr>
          <w:rFonts w:cs="Arial"/>
          <w:b/>
          <w:sz w:val="22"/>
          <w:szCs w:val="22"/>
        </w:rPr>
        <w:t>p</w:t>
      </w:r>
      <w:r w:rsidRPr="00A10A27">
        <w:rPr>
          <w:rFonts w:cs="Arial"/>
          <w:b/>
          <w:sz w:val="22"/>
          <w:szCs w:val="22"/>
        </w:rPr>
        <w:t>erson-</w:t>
      </w:r>
      <w:r>
        <w:rPr>
          <w:rFonts w:cs="Arial"/>
          <w:b/>
          <w:sz w:val="22"/>
          <w:szCs w:val="22"/>
        </w:rPr>
        <w:t>c</w:t>
      </w:r>
      <w:r w:rsidRPr="00A10A27">
        <w:rPr>
          <w:rFonts w:cs="Arial"/>
          <w:b/>
          <w:sz w:val="22"/>
          <w:szCs w:val="22"/>
        </w:rPr>
        <w:t xml:space="preserve">entred </w:t>
      </w:r>
      <w:r>
        <w:rPr>
          <w:rFonts w:cs="Arial"/>
          <w:b/>
          <w:sz w:val="22"/>
          <w:szCs w:val="22"/>
        </w:rPr>
        <w:t>a</w:t>
      </w:r>
      <w:r w:rsidRPr="00A10A27">
        <w:rPr>
          <w:rFonts w:cs="Arial"/>
          <w:b/>
          <w:sz w:val="22"/>
          <w:szCs w:val="22"/>
        </w:rPr>
        <w:t>pproach</w:t>
      </w:r>
      <w:r w:rsidRPr="00A10A27">
        <w:rPr>
          <w:rFonts w:cs="Arial"/>
          <w:sz w:val="22"/>
          <w:szCs w:val="22"/>
        </w:rPr>
        <w:t xml:space="preserve"> –</w:t>
      </w:r>
      <w:r w:rsidRPr="00A10A27">
        <w:rPr>
          <w:rFonts w:cs="Arial"/>
          <w:b/>
          <w:sz w:val="22"/>
          <w:szCs w:val="22"/>
        </w:rPr>
        <w:t xml:space="preserve"> </w:t>
      </w:r>
      <w:r w:rsidRPr="00A10A27">
        <w:rPr>
          <w:rFonts w:cs="Arial"/>
          <w:sz w:val="22"/>
          <w:szCs w:val="22"/>
        </w:rPr>
        <w:t>design service delivery around addressing the needs of the children and young people</w:t>
      </w:r>
      <w:r w:rsidR="00EE562E">
        <w:rPr>
          <w:rFonts w:cs="Arial"/>
          <w:sz w:val="22"/>
          <w:szCs w:val="22"/>
        </w:rPr>
        <w:t>;</w:t>
      </w:r>
    </w:p>
    <w:p w14:paraId="2E2F527D" w14:textId="3F1BC3CA" w:rsidR="00CE556C" w:rsidRPr="00A10A27" w:rsidRDefault="00CE556C" w:rsidP="00CE556C">
      <w:pPr>
        <w:widowControl w:val="0"/>
        <w:overflowPunct w:val="0"/>
        <w:autoSpaceDE w:val="0"/>
        <w:autoSpaceDN w:val="0"/>
        <w:adjustRightInd w:val="0"/>
        <w:spacing w:after="0" w:line="259" w:lineRule="auto"/>
        <w:ind w:right="278"/>
        <w:rPr>
          <w:rFonts w:cs="Arial"/>
          <w:sz w:val="22"/>
          <w:szCs w:val="22"/>
        </w:rPr>
      </w:pPr>
      <w:r w:rsidRPr="00A10A27">
        <w:rPr>
          <w:rFonts w:cs="Arial"/>
          <w:b/>
          <w:bCs/>
          <w:sz w:val="22"/>
          <w:szCs w:val="22"/>
        </w:rPr>
        <w:t xml:space="preserve">Family </w:t>
      </w:r>
      <w:r>
        <w:rPr>
          <w:rFonts w:cs="Arial"/>
          <w:b/>
          <w:bCs/>
          <w:sz w:val="22"/>
          <w:szCs w:val="22"/>
        </w:rPr>
        <w:t>f</w:t>
      </w:r>
      <w:r w:rsidRPr="00A10A27">
        <w:rPr>
          <w:rFonts w:cs="Arial"/>
          <w:b/>
          <w:bCs/>
          <w:sz w:val="22"/>
          <w:szCs w:val="22"/>
        </w:rPr>
        <w:t>ocus</w:t>
      </w:r>
      <w:r w:rsidRPr="00A10A27">
        <w:rPr>
          <w:rFonts w:cs="Arial"/>
          <w:bCs/>
          <w:sz w:val="22"/>
          <w:szCs w:val="22"/>
        </w:rPr>
        <w:t xml:space="preserve"> –</w:t>
      </w:r>
      <w:r w:rsidRPr="00A10A27">
        <w:rPr>
          <w:rFonts w:cs="Arial"/>
          <w:b/>
          <w:bCs/>
          <w:sz w:val="22"/>
          <w:szCs w:val="22"/>
        </w:rPr>
        <w:t xml:space="preserve"> </w:t>
      </w:r>
      <w:r w:rsidRPr="00A10A27">
        <w:rPr>
          <w:rFonts w:cs="Arial"/>
          <w:sz w:val="22"/>
          <w:szCs w:val="22"/>
        </w:rPr>
        <w:t>build an inclusive service where families feel comfortable</w:t>
      </w:r>
      <w:r w:rsidR="00EE562E">
        <w:rPr>
          <w:rFonts w:cs="Arial"/>
          <w:sz w:val="22"/>
          <w:szCs w:val="22"/>
        </w:rPr>
        <w:t>;</w:t>
      </w:r>
    </w:p>
    <w:p w14:paraId="687C5103" w14:textId="03954B20" w:rsidR="00CE556C" w:rsidRPr="00A10A27" w:rsidRDefault="00CE556C" w:rsidP="00CE556C">
      <w:pPr>
        <w:widowControl w:val="0"/>
        <w:overflowPunct w:val="0"/>
        <w:autoSpaceDE w:val="0"/>
        <w:autoSpaceDN w:val="0"/>
        <w:adjustRightInd w:val="0"/>
        <w:spacing w:after="0" w:line="259" w:lineRule="auto"/>
        <w:ind w:right="278"/>
        <w:rPr>
          <w:rFonts w:cs="Arial"/>
          <w:sz w:val="22"/>
          <w:szCs w:val="22"/>
        </w:rPr>
      </w:pPr>
      <w:r w:rsidRPr="00A10A27">
        <w:rPr>
          <w:rFonts w:cs="Arial"/>
          <w:b/>
          <w:sz w:val="22"/>
          <w:szCs w:val="22"/>
        </w:rPr>
        <w:t xml:space="preserve">Service </w:t>
      </w:r>
      <w:r>
        <w:rPr>
          <w:rFonts w:cs="Arial"/>
          <w:b/>
          <w:sz w:val="22"/>
          <w:szCs w:val="22"/>
        </w:rPr>
        <w:t>p</w:t>
      </w:r>
      <w:r w:rsidRPr="00A10A27">
        <w:rPr>
          <w:rFonts w:cs="Arial"/>
          <w:b/>
          <w:sz w:val="22"/>
          <w:szCs w:val="22"/>
        </w:rPr>
        <w:t>romotion</w:t>
      </w:r>
      <w:r w:rsidRPr="00A10A27">
        <w:rPr>
          <w:rFonts w:cs="Arial"/>
          <w:sz w:val="22"/>
          <w:szCs w:val="22"/>
        </w:rPr>
        <w:t xml:space="preserve"> – ensure any promotion of services clearly articulates the aim of</w:t>
      </w:r>
      <w:r w:rsidR="004B6DD5">
        <w:rPr>
          <w:rFonts w:cs="Arial"/>
          <w:sz w:val="22"/>
          <w:szCs w:val="22"/>
        </w:rPr>
        <w:t> </w:t>
      </w:r>
      <w:r w:rsidRPr="00A10A27">
        <w:rPr>
          <w:rFonts w:cs="Arial"/>
          <w:sz w:val="22"/>
          <w:szCs w:val="22"/>
        </w:rPr>
        <w:t>FMHSS is to provide early intervention and non-clinical community mental health support for children and young people, aged up to 18 years, who are showing early signs of, or are at risk of</w:t>
      </w:r>
      <w:r>
        <w:rPr>
          <w:rFonts w:cs="Arial"/>
          <w:sz w:val="22"/>
          <w:szCs w:val="22"/>
        </w:rPr>
        <w:t>,</w:t>
      </w:r>
      <w:r w:rsidRPr="00A10A27">
        <w:rPr>
          <w:rFonts w:cs="Arial"/>
          <w:sz w:val="22"/>
          <w:szCs w:val="22"/>
        </w:rPr>
        <w:t xml:space="preserve"> developing mental illness</w:t>
      </w:r>
      <w:r w:rsidR="00EE562E">
        <w:rPr>
          <w:rFonts w:cs="Arial"/>
          <w:sz w:val="22"/>
          <w:szCs w:val="22"/>
        </w:rPr>
        <w:t>;</w:t>
      </w:r>
    </w:p>
    <w:p w14:paraId="2A4AFEE6" w14:textId="5F0327AE" w:rsidR="00CE556C" w:rsidRPr="00A10A27" w:rsidRDefault="00CE556C" w:rsidP="00CE556C">
      <w:pPr>
        <w:widowControl w:val="0"/>
        <w:overflowPunct w:val="0"/>
        <w:autoSpaceDE w:val="0"/>
        <w:autoSpaceDN w:val="0"/>
        <w:adjustRightInd w:val="0"/>
        <w:spacing w:after="0" w:line="259" w:lineRule="auto"/>
        <w:ind w:right="278"/>
        <w:rPr>
          <w:rFonts w:cs="Arial"/>
          <w:sz w:val="22"/>
          <w:szCs w:val="22"/>
        </w:rPr>
      </w:pPr>
      <w:r w:rsidRPr="00A10A27">
        <w:rPr>
          <w:rFonts w:cs="Arial"/>
          <w:b/>
          <w:sz w:val="22"/>
          <w:szCs w:val="22"/>
        </w:rPr>
        <w:t xml:space="preserve">Cultural </w:t>
      </w:r>
      <w:r>
        <w:rPr>
          <w:rFonts w:cs="Arial"/>
          <w:b/>
          <w:sz w:val="22"/>
          <w:szCs w:val="22"/>
        </w:rPr>
        <w:t>a</w:t>
      </w:r>
      <w:r w:rsidRPr="00A10A27">
        <w:rPr>
          <w:rFonts w:cs="Arial"/>
          <w:b/>
          <w:sz w:val="22"/>
          <w:szCs w:val="22"/>
        </w:rPr>
        <w:t>ppropriateness</w:t>
      </w:r>
      <w:r w:rsidRPr="00A10A27">
        <w:rPr>
          <w:rFonts w:cs="Arial"/>
          <w:sz w:val="22"/>
          <w:szCs w:val="22"/>
        </w:rPr>
        <w:t xml:space="preserve"> – be aware of, and respond to, any specific cultural or</w:t>
      </w:r>
      <w:r w:rsidR="004B6DD5">
        <w:rPr>
          <w:rFonts w:cs="Arial"/>
          <w:sz w:val="22"/>
          <w:szCs w:val="22"/>
        </w:rPr>
        <w:t> </w:t>
      </w:r>
      <w:r w:rsidRPr="00A10A27">
        <w:rPr>
          <w:rFonts w:cs="Arial"/>
          <w:sz w:val="22"/>
          <w:szCs w:val="22"/>
        </w:rPr>
        <w:t>religion of families in the local area</w:t>
      </w:r>
      <w:r>
        <w:rPr>
          <w:rFonts w:cs="Arial"/>
          <w:sz w:val="22"/>
          <w:szCs w:val="22"/>
        </w:rPr>
        <w:t xml:space="preserve">. </w:t>
      </w:r>
      <w:r w:rsidRPr="00A10A27">
        <w:rPr>
          <w:rFonts w:cs="Arial"/>
          <w:sz w:val="22"/>
          <w:szCs w:val="22"/>
        </w:rPr>
        <w:t>Providers should promote tolerance and respect for different cultural or religious needs and circumstances</w:t>
      </w:r>
      <w:r w:rsidR="00EE562E">
        <w:rPr>
          <w:rFonts w:cs="Arial"/>
          <w:sz w:val="22"/>
          <w:szCs w:val="22"/>
        </w:rPr>
        <w:t>; and</w:t>
      </w:r>
    </w:p>
    <w:p w14:paraId="1A219154" w14:textId="5FDD927A" w:rsidR="00CE556C" w:rsidRPr="00A10A27" w:rsidRDefault="00CE556C" w:rsidP="00CE556C">
      <w:pPr>
        <w:spacing w:after="0" w:line="240" w:lineRule="auto"/>
        <w:rPr>
          <w:rFonts w:cs="Arial"/>
          <w:sz w:val="22"/>
          <w:szCs w:val="22"/>
        </w:rPr>
      </w:pPr>
      <w:r w:rsidRPr="00A10A27">
        <w:rPr>
          <w:rFonts w:cs="Arial"/>
          <w:b/>
          <w:bCs/>
          <w:sz w:val="22"/>
          <w:szCs w:val="22"/>
        </w:rPr>
        <w:t>Flexibility</w:t>
      </w:r>
      <w:r w:rsidRPr="00A10A27">
        <w:rPr>
          <w:rFonts w:cs="Arial"/>
          <w:bCs/>
          <w:sz w:val="22"/>
          <w:szCs w:val="22"/>
        </w:rPr>
        <w:t xml:space="preserve"> –</w:t>
      </w:r>
      <w:r w:rsidRPr="00A10A27">
        <w:rPr>
          <w:rFonts w:cs="Arial"/>
          <w:b/>
          <w:bCs/>
          <w:sz w:val="22"/>
          <w:szCs w:val="22"/>
        </w:rPr>
        <w:t xml:space="preserve"> </w:t>
      </w:r>
      <w:r w:rsidRPr="00A10A27">
        <w:rPr>
          <w:rFonts w:cs="Arial"/>
          <w:sz w:val="22"/>
          <w:szCs w:val="22"/>
        </w:rPr>
        <w:t>actively seek to tailor services to the individual including consideration of</w:t>
      </w:r>
      <w:r w:rsidR="004B6DD5">
        <w:rPr>
          <w:rFonts w:cs="Arial"/>
          <w:sz w:val="22"/>
          <w:szCs w:val="22"/>
        </w:rPr>
        <w:t> </w:t>
      </w:r>
      <w:r w:rsidRPr="00A10A27">
        <w:rPr>
          <w:rFonts w:cs="Arial"/>
          <w:sz w:val="22"/>
          <w:szCs w:val="22"/>
        </w:rPr>
        <w:t>any cultural requirements</w:t>
      </w:r>
      <w:r>
        <w:rPr>
          <w:rFonts w:cs="Arial"/>
          <w:sz w:val="22"/>
          <w:szCs w:val="22"/>
        </w:rPr>
        <w:t xml:space="preserve">. </w:t>
      </w:r>
      <w:r w:rsidRPr="00A10A27">
        <w:rPr>
          <w:rFonts w:cs="Arial"/>
          <w:sz w:val="22"/>
          <w:szCs w:val="22"/>
        </w:rPr>
        <w:t>Providers should operate any outreach service as</w:t>
      </w:r>
      <w:r w:rsidR="004B6DD5">
        <w:rPr>
          <w:rFonts w:cs="Arial"/>
          <w:sz w:val="22"/>
          <w:szCs w:val="22"/>
        </w:rPr>
        <w:t> </w:t>
      </w:r>
      <w:r w:rsidRPr="00A10A27">
        <w:rPr>
          <w:rFonts w:cs="Arial"/>
          <w:sz w:val="22"/>
          <w:szCs w:val="22"/>
        </w:rPr>
        <w:t>a</w:t>
      </w:r>
      <w:r w:rsidR="004B6DD5">
        <w:rPr>
          <w:rFonts w:cs="Arial"/>
          <w:sz w:val="22"/>
          <w:szCs w:val="22"/>
        </w:rPr>
        <w:t> </w:t>
      </w:r>
      <w:r w:rsidRPr="00A10A27">
        <w:rPr>
          <w:rFonts w:cs="Arial"/>
          <w:sz w:val="22"/>
          <w:szCs w:val="22"/>
        </w:rPr>
        <w:t>mechanism to make contact with difficult to engage with children, young people,</w:t>
      </w:r>
      <w:r>
        <w:rPr>
          <w:rFonts w:cs="Arial"/>
          <w:sz w:val="22"/>
          <w:szCs w:val="22"/>
        </w:rPr>
        <w:t xml:space="preserve"> their </w:t>
      </w:r>
      <w:r w:rsidRPr="00A10A27">
        <w:rPr>
          <w:rFonts w:cs="Arial"/>
          <w:sz w:val="22"/>
          <w:szCs w:val="22"/>
        </w:rPr>
        <w:t>families or carers</w:t>
      </w:r>
      <w:r>
        <w:rPr>
          <w:rFonts w:cs="Arial"/>
          <w:sz w:val="22"/>
          <w:szCs w:val="22"/>
        </w:rPr>
        <w:t>. Pr</w:t>
      </w:r>
      <w:r w:rsidRPr="00E677A1">
        <w:rPr>
          <w:rFonts w:cs="Arial"/>
          <w:sz w:val="22"/>
          <w:szCs w:val="22"/>
        </w:rPr>
        <w:t>oviders</w:t>
      </w:r>
      <w:r w:rsidRPr="00A10A27">
        <w:rPr>
          <w:rFonts w:cs="Arial"/>
          <w:sz w:val="22"/>
          <w:szCs w:val="22"/>
        </w:rPr>
        <w:t xml:space="preserve"> should also consider how</w:t>
      </w:r>
      <w:r w:rsidRPr="00A1658D">
        <w:rPr>
          <w:rFonts w:cs="Arial"/>
          <w:sz w:val="22"/>
          <w:szCs w:val="22"/>
        </w:rPr>
        <w:t>:</w:t>
      </w:r>
    </w:p>
    <w:p w14:paraId="14D0F9D7" w14:textId="4F7303FA"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their operating hours impact the ability to meet local needs and, if necessary, vary working hours appropriately</w:t>
      </w:r>
      <w:r w:rsidR="004B6DD5">
        <w:rPr>
          <w:rFonts w:cs="Arial"/>
          <w:sz w:val="22"/>
          <w:szCs w:val="22"/>
        </w:rPr>
        <w:t>;</w:t>
      </w:r>
      <w:r w:rsidRPr="009B13F0">
        <w:rPr>
          <w:rFonts w:cs="Arial"/>
          <w:sz w:val="22"/>
          <w:szCs w:val="22"/>
        </w:rPr>
        <w:t xml:space="preserve"> and </w:t>
      </w:r>
    </w:p>
    <w:p w14:paraId="300D7B08" w14:textId="77777777"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lastRenderedPageBreak/>
        <w:t xml:space="preserve">the use of technology and social media increases service delivery flexibility, especially in terms of working with young people. </w:t>
      </w:r>
    </w:p>
    <w:p w14:paraId="1035B827" w14:textId="5266744E" w:rsidR="00CE556C" w:rsidRPr="00A10A27" w:rsidRDefault="00CE556C" w:rsidP="00CE556C">
      <w:pPr>
        <w:spacing w:after="0" w:line="240" w:lineRule="auto"/>
        <w:rPr>
          <w:rFonts w:cs="Arial"/>
          <w:sz w:val="22"/>
          <w:szCs w:val="22"/>
        </w:rPr>
      </w:pPr>
      <w:r w:rsidRPr="00A978C8">
        <w:rPr>
          <w:rFonts w:cs="Arial"/>
          <w:sz w:val="22"/>
          <w:szCs w:val="22"/>
        </w:rPr>
        <w:t xml:space="preserve">FMHSS providers </w:t>
      </w:r>
      <w:r w:rsidRPr="00A10A27">
        <w:rPr>
          <w:rFonts w:cs="Arial"/>
          <w:sz w:val="22"/>
          <w:szCs w:val="22"/>
        </w:rPr>
        <w:t>should link with</w:t>
      </w:r>
      <w:r>
        <w:rPr>
          <w:rFonts w:cs="Arial"/>
          <w:sz w:val="22"/>
          <w:szCs w:val="22"/>
        </w:rPr>
        <w:t xml:space="preserve"> the</w:t>
      </w:r>
      <w:r w:rsidRPr="00A10A27">
        <w:rPr>
          <w:rFonts w:cs="Arial"/>
          <w:sz w:val="22"/>
          <w:szCs w:val="22"/>
        </w:rPr>
        <w:t xml:space="preserve"> local service</w:t>
      </w:r>
      <w:r>
        <w:rPr>
          <w:rFonts w:cs="Arial"/>
          <w:sz w:val="22"/>
          <w:szCs w:val="22"/>
        </w:rPr>
        <w:t xml:space="preserve"> network </w:t>
      </w:r>
      <w:r w:rsidRPr="00A10A27">
        <w:rPr>
          <w:rFonts w:cs="Arial"/>
          <w:sz w:val="22"/>
          <w:szCs w:val="22"/>
        </w:rPr>
        <w:t>to give greater flexibility to</w:t>
      </w:r>
      <w:r w:rsidR="004B6DD5">
        <w:rPr>
          <w:rFonts w:cs="Arial"/>
          <w:sz w:val="22"/>
          <w:szCs w:val="22"/>
        </w:rPr>
        <w:t> </w:t>
      </w:r>
      <w:r w:rsidRPr="00A10A27">
        <w:rPr>
          <w:rFonts w:cs="Arial"/>
          <w:sz w:val="22"/>
          <w:szCs w:val="22"/>
        </w:rPr>
        <w:t>the options offered to children, young people</w:t>
      </w:r>
      <w:r>
        <w:rPr>
          <w:rFonts w:cs="Arial"/>
          <w:sz w:val="22"/>
          <w:szCs w:val="22"/>
        </w:rPr>
        <w:t xml:space="preserve">, </w:t>
      </w:r>
      <w:r w:rsidRPr="00A10A27">
        <w:rPr>
          <w:rFonts w:cs="Arial"/>
          <w:sz w:val="22"/>
          <w:szCs w:val="22"/>
        </w:rPr>
        <w:t>their families</w:t>
      </w:r>
      <w:r>
        <w:rPr>
          <w:rFonts w:cs="Arial"/>
          <w:sz w:val="22"/>
          <w:szCs w:val="22"/>
        </w:rPr>
        <w:t xml:space="preserve"> and carers</w:t>
      </w:r>
      <w:r w:rsidRPr="00A10A27">
        <w:rPr>
          <w:rFonts w:cs="Arial"/>
          <w:sz w:val="22"/>
          <w:szCs w:val="22"/>
        </w:rPr>
        <w:t>.</w:t>
      </w:r>
    </w:p>
    <w:p w14:paraId="77E66643" w14:textId="5372D4A9" w:rsidR="00CE556C" w:rsidRPr="00A10A27" w:rsidRDefault="00CE556C" w:rsidP="004C278E">
      <w:pPr>
        <w:spacing w:line="240" w:lineRule="auto"/>
        <w:rPr>
          <w:rFonts w:cs="Arial"/>
          <w:sz w:val="22"/>
          <w:szCs w:val="22"/>
        </w:rPr>
      </w:pPr>
      <w:r w:rsidRPr="00A10A27">
        <w:rPr>
          <w:rFonts w:cs="Arial"/>
          <w:b/>
          <w:bCs/>
          <w:sz w:val="22"/>
          <w:szCs w:val="22"/>
        </w:rPr>
        <w:t xml:space="preserve">Accessibility and </w:t>
      </w:r>
      <w:r>
        <w:rPr>
          <w:rFonts w:cs="Arial"/>
          <w:b/>
          <w:bCs/>
          <w:sz w:val="22"/>
          <w:szCs w:val="22"/>
        </w:rPr>
        <w:t>r</w:t>
      </w:r>
      <w:r w:rsidRPr="00A10A27">
        <w:rPr>
          <w:rFonts w:cs="Arial"/>
          <w:b/>
          <w:bCs/>
          <w:sz w:val="22"/>
          <w:szCs w:val="22"/>
        </w:rPr>
        <w:t>esponsiveness</w:t>
      </w:r>
      <w:r w:rsidRPr="00A10A27">
        <w:rPr>
          <w:rFonts w:cs="Arial"/>
          <w:bCs/>
          <w:sz w:val="22"/>
          <w:szCs w:val="22"/>
        </w:rPr>
        <w:t xml:space="preserve"> –</w:t>
      </w:r>
      <w:r>
        <w:rPr>
          <w:rFonts w:cs="Arial"/>
          <w:bCs/>
          <w:sz w:val="22"/>
          <w:szCs w:val="22"/>
        </w:rPr>
        <w:t xml:space="preserve"> </w:t>
      </w:r>
      <w:r w:rsidRPr="00A10A27">
        <w:rPr>
          <w:rFonts w:cs="Arial"/>
          <w:sz w:val="22"/>
          <w:szCs w:val="22"/>
        </w:rPr>
        <w:t>comply with all accessibility requirements of their clients including varying information formats.</w:t>
      </w:r>
    </w:p>
    <w:p w14:paraId="360514AC" w14:textId="77777777" w:rsidR="00CE556C" w:rsidRPr="00A10A27" w:rsidRDefault="00CE556C" w:rsidP="004C278E">
      <w:pPr>
        <w:spacing w:before="0" w:after="200" w:line="276" w:lineRule="auto"/>
        <w:rPr>
          <w:rFonts w:cs="Arial"/>
          <w:sz w:val="22"/>
          <w:szCs w:val="22"/>
        </w:rPr>
      </w:pPr>
      <w:r w:rsidRPr="000E44BF">
        <w:rPr>
          <w:rFonts w:cs="Arial"/>
          <w:sz w:val="22"/>
          <w:szCs w:val="22"/>
        </w:rPr>
        <w:t>FMHSS providers</w:t>
      </w:r>
      <w:r w:rsidRPr="00A10A27">
        <w:rPr>
          <w:rFonts w:cs="Arial"/>
          <w:sz w:val="22"/>
          <w:szCs w:val="22"/>
        </w:rPr>
        <w:t xml:space="preserve"> should</w:t>
      </w:r>
      <w:r w:rsidRPr="00A1658D">
        <w:rPr>
          <w:rFonts w:cs="Arial"/>
          <w:sz w:val="22"/>
          <w:szCs w:val="22"/>
        </w:rPr>
        <w:t>:</w:t>
      </w:r>
      <w:r w:rsidRPr="00A10A27">
        <w:rPr>
          <w:rFonts w:cs="Arial"/>
          <w:sz w:val="22"/>
          <w:szCs w:val="22"/>
        </w:rPr>
        <w:t xml:space="preserve"> </w:t>
      </w:r>
    </w:p>
    <w:p w14:paraId="7BF6ECC9" w14:textId="0DBC950F"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be mindful of the range of contexts represented in the local community and design and promote their service accordingly</w:t>
      </w:r>
      <w:r w:rsidR="004B6DD5">
        <w:rPr>
          <w:rFonts w:cs="Arial"/>
          <w:sz w:val="22"/>
          <w:szCs w:val="22"/>
        </w:rPr>
        <w:t>;</w:t>
      </w:r>
      <w:r w:rsidRPr="009B13F0">
        <w:rPr>
          <w:rFonts w:cs="Arial"/>
          <w:sz w:val="22"/>
          <w:szCs w:val="22"/>
        </w:rPr>
        <w:t xml:space="preserve"> </w:t>
      </w:r>
    </w:p>
    <w:p w14:paraId="4AE6E736" w14:textId="338A88B3"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design and deliver services in such a way as to reduce the stigma of mental illness in the community</w:t>
      </w:r>
      <w:r w:rsidR="004B6DD5">
        <w:rPr>
          <w:rFonts w:cs="Arial"/>
          <w:sz w:val="22"/>
          <w:szCs w:val="22"/>
        </w:rPr>
        <w:t>;</w:t>
      </w:r>
    </w:p>
    <w:p w14:paraId="1740D6C4" w14:textId="4EB92FFD"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prominently display and make available mental health crisis information for participants and the general public</w:t>
      </w:r>
      <w:r w:rsidR="004B6DD5">
        <w:rPr>
          <w:rFonts w:cs="Arial"/>
          <w:sz w:val="22"/>
          <w:szCs w:val="22"/>
        </w:rPr>
        <w:t>;</w:t>
      </w:r>
      <w:r w:rsidRPr="009B13F0">
        <w:rPr>
          <w:rFonts w:cs="Arial"/>
          <w:sz w:val="22"/>
          <w:szCs w:val="22"/>
        </w:rPr>
        <w:t xml:space="preserve"> and</w:t>
      </w:r>
    </w:p>
    <w:p w14:paraId="2D7BD002" w14:textId="36A81FF4"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have an open-door approach, using outreach (not just drop-in or appointment services), and using community development approaches to planning and service delivery.</w:t>
      </w:r>
    </w:p>
    <w:p w14:paraId="01E7960D" w14:textId="77777777" w:rsidR="00CE556C" w:rsidRPr="00A10A27" w:rsidRDefault="00CE556C" w:rsidP="00CE556C">
      <w:pPr>
        <w:spacing w:after="0" w:line="240" w:lineRule="auto"/>
        <w:rPr>
          <w:rFonts w:cs="Arial"/>
          <w:sz w:val="22"/>
          <w:szCs w:val="22"/>
        </w:rPr>
      </w:pPr>
      <w:r w:rsidRPr="00A10A27">
        <w:rPr>
          <w:rFonts w:cs="Arial"/>
          <w:b/>
          <w:sz w:val="22"/>
          <w:szCs w:val="22"/>
        </w:rPr>
        <w:t xml:space="preserve">Hours of </w:t>
      </w:r>
      <w:r>
        <w:rPr>
          <w:rFonts w:cs="Arial"/>
          <w:b/>
          <w:sz w:val="22"/>
          <w:szCs w:val="22"/>
        </w:rPr>
        <w:t>o</w:t>
      </w:r>
      <w:r w:rsidRPr="00A10A27">
        <w:rPr>
          <w:rFonts w:cs="Arial"/>
          <w:b/>
          <w:sz w:val="22"/>
          <w:szCs w:val="22"/>
        </w:rPr>
        <w:t>peration</w:t>
      </w:r>
      <w:r w:rsidRPr="00A10A27">
        <w:rPr>
          <w:rFonts w:cs="Arial"/>
          <w:sz w:val="22"/>
          <w:szCs w:val="22"/>
        </w:rPr>
        <w:t xml:space="preserve"> – establish hours of operation </w:t>
      </w:r>
      <w:r>
        <w:rPr>
          <w:rFonts w:cs="Arial"/>
          <w:sz w:val="22"/>
          <w:szCs w:val="22"/>
        </w:rPr>
        <w:t>and be mindful,</w:t>
      </w:r>
      <w:r w:rsidRPr="00A10A27">
        <w:rPr>
          <w:rFonts w:cs="Arial"/>
          <w:sz w:val="22"/>
          <w:szCs w:val="22"/>
        </w:rPr>
        <w:t xml:space="preserve"> </w:t>
      </w:r>
      <w:r>
        <w:rPr>
          <w:rFonts w:cs="Arial"/>
          <w:sz w:val="22"/>
          <w:szCs w:val="22"/>
        </w:rPr>
        <w:t xml:space="preserve">FMHSS is not </w:t>
      </w:r>
      <w:r w:rsidRPr="00A10A27">
        <w:rPr>
          <w:rFonts w:cs="Arial"/>
          <w:sz w:val="22"/>
          <w:szCs w:val="22"/>
        </w:rPr>
        <w:t>a</w:t>
      </w:r>
      <w:r>
        <w:rPr>
          <w:rFonts w:cs="Arial"/>
          <w:sz w:val="22"/>
          <w:szCs w:val="22"/>
        </w:rPr>
        <w:t xml:space="preserve"> </w:t>
      </w:r>
      <w:r w:rsidRPr="00A10A27">
        <w:rPr>
          <w:rFonts w:cs="Arial"/>
          <w:sz w:val="22"/>
          <w:szCs w:val="22"/>
        </w:rPr>
        <w:t>crisis service</w:t>
      </w:r>
      <w:r>
        <w:rPr>
          <w:rFonts w:cs="Arial"/>
          <w:sz w:val="22"/>
          <w:szCs w:val="22"/>
        </w:rPr>
        <w:t xml:space="preserve">. </w:t>
      </w:r>
      <w:r w:rsidRPr="00A10A27">
        <w:rPr>
          <w:rFonts w:cs="Arial"/>
          <w:sz w:val="22"/>
          <w:szCs w:val="22"/>
        </w:rPr>
        <w:t>Providers will also consider how their operating hours promote or hinder flexibility in service delivery</w:t>
      </w:r>
      <w:r>
        <w:rPr>
          <w:rFonts w:cs="Arial"/>
          <w:sz w:val="22"/>
          <w:szCs w:val="22"/>
        </w:rPr>
        <w:t xml:space="preserve">. </w:t>
      </w:r>
      <w:r w:rsidRPr="00A10A27">
        <w:rPr>
          <w:rFonts w:cs="Arial"/>
          <w:sz w:val="22"/>
          <w:szCs w:val="22"/>
        </w:rPr>
        <w:t xml:space="preserve">If necessary, providers </w:t>
      </w:r>
      <w:r>
        <w:rPr>
          <w:rFonts w:cs="Arial"/>
          <w:sz w:val="22"/>
          <w:szCs w:val="22"/>
        </w:rPr>
        <w:t xml:space="preserve">can </w:t>
      </w:r>
      <w:r w:rsidRPr="00A10A27">
        <w:rPr>
          <w:rFonts w:cs="Arial"/>
          <w:sz w:val="22"/>
          <w:szCs w:val="22"/>
        </w:rPr>
        <w:t>establish variable working hours to meet local needs.</w:t>
      </w:r>
    </w:p>
    <w:p w14:paraId="2C74227A" w14:textId="77777777" w:rsidR="00CE556C" w:rsidRDefault="00CE556C" w:rsidP="00CE556C">
      <w:pPr>
        <w:spacing w:after="0" w:line="240" w:lineRule="auto"/>
        <w:rPr>
          <w:rFonts w:cs="Arial"/>
          <w:sz w:val="22"/>
          <w:szCs w:val="22"/>
        </w:rPr>
      </w:pPr>
      <w:r w:rsidRPr="00A10A27">
        <w:rPr>
          <w:rFonts w:cs="Arial"/>
          <w:b/>
          <w:sz w:val="22"/>
          <w:szCs w:val="22"/>
        </w:rPr>
        <w:t>Professional staff</w:t>
      </w:r>
      <w:r>
        <w:rPr>
          <w:rFonts w:cs="Arial"/>
          <w:b/>
          <w:sz w:val="22"/>
          <w:szCs w:val="22"/>
        </w:rPr>
        <w:t xml:space="preserve"> </w:t>
      </w:r>
      <w:r w:rsidRPr="00A10A27">
        <w:rPr>
          <w:rFonts w:cs="Arial"/>
          <w:sz w:val="22"/>
          <w:szCs w:val="22"/>
        </w:rPr>
        <w:t>–</w:t>
      </w:r>
      <w:r w:rsidRPr="000E44BF">
        <w:t xml:space="preserve"> </w:t>
      </w:r>
      <w:r w:rsidRPr="000E44BF">
        <w:rPr>
          <w:rFonts w:cs="Arial"/>
          <w:sz w:val="22"/>
          <w:szCs w:val="22"/>
        </w:rPr>
        <w:t>should ensure their staff are skilled in working with children and should support staff to remain competent and committed to an early intervention approach to service delivery.</w:t>
      </w:r>
    </w:p>
    <w:p w14:paraId="7E5B6D2C" w14:textId="77777777" w:rsidR="007B19C7" w:rsidRPr="003A6046" w:rsidRDefault="00CE556C" w:rsidP="00D860F5">
      <w:pPr>
        <w:pStyle w:val="Heading1"/>
      </w:pPr>
      <w:bookmarkStart w:id="52" w:name="_Toc70494356"/>
      <w:bookmarkStart w:id="53" w:name="_Toc68866023"/>
      <w:bookmarkStart w:id="54" w:name="_Toc68873951"/>
      <w:bookmarkStart w:id="55" w:name="_Toc68866025"/>
      <w:bookmarkStart w:id="56" w:name="_Toc68873953"/>
      <w:bookmarkStart w:id="57" w:name="_Toc43106037"/>
      <w:bookmarkStart w:id="58" w:name="_Toc43732965"/>
      <w:bookmarkStart w:id="59" w:name="_Toc49432289"/>
      <w:bookmarkStart w:id="60" w:name="_Toc49518599"/>
      <w:bookmarkStart w:id="61" w:name="_Toc68768849"/>
      <w:bookmarkStart w:id="62" w:name="_Toc68775054"/>
      <w:bookmarkStart w:id="63" w:name="_Toc68786755"/>
      <w:bookmarkStart w:id="64" w:name="_Toc68866028"/>
      <w:bookmarkStart w:id="65" w:name="_Toc68873956"/>
      <w:bookmarkStart w:id="66" w:name="_Toc43106043"/>
      <w:bookmarkStart w:id="67" w:name="_Toc43732971"/>
      <w:bookmarkStart w:id="68" w:name="_Toc49432295"/>
      <w:bookmarkStart w:id="69" w:name="_Toc49518605"/>
      <w:bookmarkStart w:id="70" w:name="_Toc68768855"/>
      <w:bookmarkStart w:id="71" w:name="_Toc68775060"/>
      <w:bookmarkStart w:id="72" w:name="_Toc68786761"/>
      <w:bookmarkStart w:id="73" w:name="_Toc68866034"/>
      <w:bookmarkStart w:id="74" w:name="_Toc68873962"/>
      <w:bookmarkStart w:id="75" w:name="_Toc7059966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Service Area</w:t>
      </w:r>
      <w:bookmarkEnd w:id="75"/>
    </w:p>
    <w:p w14:paraId="14783370" w14:textId="77777777" w:rsidR="00CE556C" w:rsidRPr="00DD6BDB" w:rsidRDefault="00CE556C" w:rsidP="00CE556C">
      <w:pPr>
        <w:rPr>
          <w:sz w:val="22"/>
          <w:szCs w:val="22"/>
        </w:rPr>
      </w:pPr>
      <w:r w:rsidRPr="00DD6BDB">
        <w:rPr>
          <w:sz w:val="22"/>
          <w:szCs w:val="22"/>
        </w:rPr>
        <w:t>FMHSS delivery must occur in the areas specified in the grant agreement</w:t>
      </w:r>
      <w:r>
        <w:rPr>
          <w:sz w:val="22"/>
          <w:szCs w:val="22"/>
        </w:rPr>
        <w:t xml:space="preserve">. </w:t>
      </w:r>
      <w:r w:rsidRPr="00A978C8">
        <w:rPr>
          <w:sz w:val="22"/>
          <w:szCs w:val="22"/>
        </w:rPr>
        <w:t>FMHSS providers can seek to change their service areas in consultation and agreement with the department</w:t>
      </w:r>
      <w:r>
        <w:rPr>
          <w:sz w:val="22"/>
          <w:szCs w:val="22"/>
        </w:rPr>
        <w:t xml:space="preserve">. </w:t>
      </w:r>
      <w:r w:rsidRPr="00DD6BDB">
        <w:rPr>
          <w:sz w:val="22"/>
          <w:szCs w:val="22"/>
        </w:rPr>
        <w:t>Providers cannot</w:t>
      </w:r>
      <w:r>
        <w:rPr>
          <w:sz w:val="22"/>
          <w:szCs w:val="22"/>
        </w:rPr>
        <w:t xml:space="preserve"> alter </w:t>
      </w:r>
      <w:r w:rsidRPr="00DD6BDB">
        <w:rPr>
          <w:sz w:val="22"/>
          <w:szCs w:val="22"/>
        </w:rPr>
        <w:t>their service areas without prior written agreement from the department.</w:t>
      </w:r>
    </w:p>
    <w:p w14:paraId="625A0C4D" w14:textId="004771FB" w:rsidR="00CE556C" w:rsidRDefault="00CE556C" w:rsidP="00CE556C">
      <w:pPr>
        <w:rPr>
          <w:sz w:val="22"/>
          <w:szCs w:val="22"/>
        </w:rPr>
      </w:pPr>
      <w:r w:rsidRPr="00DD6BDB">
        <w:rPr>
          <w:sz w:val="22"/>
          <w:szCs w:val="22"/>
        </w:rPr>
        <w:t xml:space="preserve">Providers are encouraged to monitor </w:t>
      </w:r>
      <w:r>
        <w:rPr>
          <w:sz w:val="22"/>
          <w:szCs w:val="22"/>
        </w:rPr>
        <w:t xml:space="preserve">any </w:t>
      </w:r>
      <w:r w:rsidRPr="00DD6BDB">
        <w:rPr>
          <w:sz w:val="22"/>
          <w:szCs w:val="22"/>
        </w:rPr>
        <w:t xml:space="preserve">demographic </w:t>
      </w:r>
      <w:r>
        <w:rPr>
          <w:sz w:val="22"/>
          <w:szCs w:val="22"/>
        </w:rPr>
        <w:t>shifts</w:t>
      </w:r>
      <w:r w:rsidRPr="00DD6BDB">
        <w:rPr>
          <w:sz w:val="22"/>
          <w:szCs w:val="22"/>
        </w:rPr>
        <w:t xml:space="preserve"> in their region and discuss varying </w:t>
      </w:r>
      <w:r>
        <w:rPr>
          <w:sz w:val="22"/>
          <w:szCs w:val="22"/>
        </w:rPr>
        <w:t xml:space="preserve">their </w:t>
      </w:r>
      <w:r w:rsidRPr="00DD6BDB">
        <w:rPr>
          <w:sz w:val="22"/>
          <w:szCs w:val="22"/>
        </w:rPr>
        <w:t>service areas</w:t>
      </w:r>
      <w:r>
        <w:rPr>
          <w:sz w:val="22"/>
          <w:szCs w:val="22"/>
        </w:rPr>
        <w:t xml:space="preserve"> with the department</w:t>
      </w:r>
      <w:r w:rsidRPr="00DD6BDB">
        <w:rPr>
          <w:sz w:val="22"/>
          <w:szCs w:val="22"/>
        </w:rPr>
        <w:t xml:space="preserve"> if this address</w:t>
      </w:r>
      <w:r>
        <w:rPr>
          <w:sz w:val="22"/>
          <w:szCs w:val="22"/>
        </w:rPr>
        <w:t>es</w:t>
      </w:r>
      <w:r w:rsidRPr="00DD6BDB">
        <w:rPr>
          <w:sz w:val="22"/>
          <w:szCs w:val="22"/>
        </w:rPr>
        <w:t xml:space="preserve"> </w:t>
      </w:r>
      <w:r>
        <w:rPr>
          <w:sz w:val="22"/>
          <w:szCs w:val="22"/>
        </w:rPr>
        <w:t>any</w:t>
      </w:r>
      <w:r w:rsidRPr="00DD6BDB">
        <w:rPr>
          <w:sz w:val="22"/>
          <w:szCs w:val="22"/>
        </w:rPr>
        <w:t xml:space="preserve"> emerging</w:t>
      </w:r>
      <w:r>
        <w:rPr>
          <w:sz w:val="22"/>
          <w:szCs w:val="22"/>
        </w:rPr>
        <w:t xml:space="preserve"> or</w:t>
      </w:r>
      <w:r w:rsidR="004B6DD5">
        <w:rPr>
          <w:sz w:val="22"/>
          <w:szCs w:val="22"/>
        </w:rPr>
        <w:t> </w:t>
      </w:r>
      <w:r>
        <w:rPr>
          <w:sz w:val="22"/>
          <w:szCs w:val="22"/>
        </w:rPr>
        <w:t>identified</w:t>
      </w:r>
      <w:r w:rsidRPr="00DD6BDB">
        <w:rPr>
          <w:sz w:val="22"/>
          <w:szCs w:val="22"/>
        </w:rPr>
        <w:t xml:space="preserve"> need</w:t>
      </w:r>
      <w:r>
        <w:rPr>
          <w:sz w:val="22"/>
          <w:szCs w:val="22"/>
        </w:rPr>
        <w:t xml:space="preserve"> that is not met in an area</w:t>
      </w:r>
      <w:r w:rsidRPr="00DD6BDB">
        <w:rPr>
          <w:sz w:val="22"/>
          <w:szCs w:val="22"/>
        </w:rPr>
        <w:t>.</w:t>
      </w:r>
    </w:p>
    <w:p w14:paraId="3396E427" w14:textId="22CB2079" w:rsidR="00CE556C" w:rsidRPr="00DD6BDB" w:rsidRDefault="00CE556C" w:rsidP="00CE556C">
      <w:pPr>
        <w:rPr>
          <w:sz w:val="22"/>
          <w:szCs w:val="22"/>
        </w:rPr>
      </w:pPr>
      <w:r w:rsidRPr="00DD6BDB">
        <w:rPr>
          <w:sz w:val="22"/>
          <w:szCs w:val="22"/>
        </w:rPr>
        <w:t xml:space="preserve">The department may </w:t>
      </w:r>
      <w:r>
        <w:rPr>
          <w:sz w:val="22"/>
          <w:szCs w:val="22"/>
        </w:rPr>
        <w:t xml:space="preserve">also </w:t>
      </w:r>
      <w:r w:rsidRPr="00DD6BDB">
        <w:rPr>
          <w:sz w:val="22"/>
          <w:szCs w:val="22"/>
        </w:rPr>
        <w:t xml:space="preserve">ask </w:t>
      </w:r>
      <w:r>
        <w:rPr>
          <w:sz w:val="22"/>
          <w:szCs w:val="22"/>
        </w:rPr>
        <w:t xml:space="preserve">FMHSS providers </w:t>
      </w:r>
      <w:r w:rsidRPr="00DD6BDB">
        <w:rPr>
          <w:sz w:val="22"/>
          <w:szCs w:val="22"/>
        </w:rPr>
        <w:t xml:space="preserve">to vary their existing service areas </w:t>
      </w:r>
      <w:r>
        <w:rPr>
          <w:sz w:val="22"/>
          <w:szCs w:val="22"/>
        </w:rPr>
        <w:t>in</w:t>
      </w:r>
      <w:r w:rsidR="004B6DD5">
        <w:rPr>
          <w:sz w:val="22"/>
          <w:szCs w:val="22"/>
        </w:rPr>
        <w:t> </w:t>
      </w:r>
      <w:r>
        <w:rPr>
          <w:sz w:val="22"/>
          <w:szCs w:val="22"/>
        </w:rPr>
        <w:t xml:space="preserve">order to address </w:t>
      </w:r>
      <w:r w:rsidRPr="00A978C8">
        <w:rPr>
          <w:sz w:val="22"/>
          <w:szCs w:val="22"/>
        </w:rPr>
        <w:t>emerging</w:t>
      </w:r>
      <w:r w:rsidRPr="00DD6BDB">
        <w:rPr>
          <w:sz w:val="22"/>
          <w:szCs w:val="22"/>
        </w:rPr>
        <w:t xml:space="preserve"> demands.</w:t>
      </w:r>
    </w:p>
    <w:p w14:paraId="3EBB8183" w14:textId="444ABFD9" w:rsidR="00CE556C" w:rsidRPr="00DD6BDB" w:rsidRDefault="00CE556C" w:rsidP="00CE556C">
      <w:pPr>
        <w:rPr>
          <w:sz w:val="22"/>
          <w:szCs w:val="22"/>
        </w:rPr>
      </w:pPr>
      <w:r w:rsidRPr="00DD6BDB">
        <w:rPr>
          <w:sz w:val="22"/>
          <w:szCs w:val="22"/>
        </w:rPr>
        <w:t>Each service area has a geographical boundary based on the Australian Statistical Geographical Standard</w:t>
      </w:r>
      <w:r>
        <w:rPr>
          <w:sz w:val="22"/>
          <w:szCs w:val="22"/>
        </w:rPr>
        <w:t xml:space="preserve">. </w:t>
      </w:r>
      <w:r w:rsidRPr="00DD6BDB">
        <w:rPr>
          <w:sz w:val="22"/>
          <w:szCs w:val="22"/>
        </w:rPr>
        <w:t>If the</w:t>
      </w:r>
      <w:r w:rsidR="00D860F5">
        <w:rPr>
          <w:sz w:val="22"/>
          <w:szCs w:val="22"/>
        </w:rPr>
        <w:t xml:space="preserve"> organisation seeks to change the</w:t>
      </w:r>
      <w:r w:rsidRPr="00DD6BDB">
        <w:rPr>
          <w:sz w:val="22"/>
          <w:szCs w:val="22"/>
        </w:rPr>
        <w:t xml:space="preserve"> boundary of a service area, the department expects </w:t>
      </w:r>
      <w:r>
        <w:rPr>
          <w:sz w:val="22"/>
          <w:szCs w:val="22"/>
        </w:rPr>
        <w:t xml:space="preserve">the </w:t>
      </w:r>
      <w:r w:rsidRPr="00DD6BDB">
        <w:rPr>
          <w:sz w:val="22"/>
          <w:szCs w:val="22"/>
        </w:rPr>
        <w:t>grant recipient to be able to meet the cost of delivering FMHSS in the revised area</w:t>
      </w:r>
      <w:r w:rsidR="00D860F5">
        <w:rPr>
          <w:sz w:val="22"/>
          <w:szCs w:val="22"/>
        </w:rPr>
        <w:t xml:space="preserve"> </w:t>
      </w:r>
      <w:r w:rsidRPr="00DD6BDB">
        <w:rPr>
          <w:sz w:val="22"/>
          <w:szCs w:val="22"/>
        </w:rPr>
        <w:t>within the fund</w:t>
      </w:r>
      <w:r>
        <w:rPr>
          <w:sz w:val="22"/>
          <w:szCs w:val="22"/>
        </w:rPr>
        <w:t xml:space="preserve">s </w:t>
      </w:r>
      <w:r w:rsidRPr="00DD6BDB">
        <w:rPr>
          <w:sz w:val="22"/>
          <w:szCs w:val="22"/>
        </w:rPr>
        <w:t>provided.</w:t>
      </w:r>
    </w:p>
    <w:p w14:paraId="3A645429" w14:textId="61523207" w:rsidR="00CE556C" w:rsidRDefault="004B04C0" w:rsidP="00CE556C">
      <w:pPr>
        <w:rPr>
          <w:sz w:val="22"/>
          <w:szCs w:val="22"/>
        </w:rPr>
      </w:pPr>
      <w:r>
        <w:rPr>
          <w:sz w:val="22"/>
          <w:szCs w:val="22"/>
        </w:rPr>
        <w:t xml:space="preserve">In accordance with grant agreement requirements, </w:t>
      </w:r>
      <w:r w:rsidR="00CE556C" w:rsidRPr="00DD6BDB">
        <w:rPr>
          <w:sz w:val="22"/>
          <w:szCs w:val="22"/>
        </w:rPr>
        <w:t xml:space="preserve">FMHSS providers must advise the department of </w:t>
      </w:r>
      <w:r w:rsidR="00BD66C4">
        <w:rPr>
          <w:sz w:val="22"/>
          <w:szCs w:val="22"/>
        </w:rPr>
        <w:t xml:space="preserve">their </w:t>
      </w:r>
      <w:r w:rsidR="00CE556C" w:rsidRPr="00DD6BDB">
        <w:rPr>
          <w:sz w:val="22"/>
          <w:szCs w:val="22"/>
        </w:rPr>
        <w:t xml:space="preserve">outlet locations </w:t>
      </w:r>
      <w:r w:rsidR="00BD66C4">
        <w:rPr>
          <w:sz w:val="22"/>
          <w:szCs w:val="22"/>
        </w:rPr>
        <w:t xml:space="preserve">in service areas </w:t>
      </w:r>
      <w:r w:rsidR="00CE556C" w:rsidRPr="00DD6BDB">
        <w:rPr>
          <w:sz w:val="22"/>
          <w:szCs w:val="22"/>
        </w:rPr>
        <w:t>within three months of</w:t>
      </w:r>
      <w:r w:rsidR="004B6DD5">
        <w:rPr>
          <w:sz w:val="22"/>
          <w:szCs w:val="22"/>
        </w:rPr>
        <w:t> </w:t>
      </w:r>
      <w:r w:rsidR="00CE556C" w:rsidRPr="00DD6BDB">
        <w:rPr>
          <w:sz w:val="22"/>
          <w:szCs w:val="22"/>
        </w:rPr>
        <w:t>the execution of their grant agreements</w:t>
      </w:r>
      <w:r w:rsidR="00FE356F">
        <w:rPr>
          <w:sz w:val="22"/>
          <w:szCs w:val="22"/>
        </w:rPr>
        <w:t>.</w:t>
      </w:r>
      <w:r>
        <w:rPr>
          <w:sz w:val="22"/>
          <w:szCs w:val="22"/>
        </w:rPr>
        <w:t xml:space="preserve"> Thereafter, providers must advise the department of any changes to outlet locations annually through the </w:t>
      </w:r>
      <w:r w:rsidR="009E00EE">
        <w:rPr>
          <w:sz w:val="22"/>
          <w:szCs w:val="22"/>
        </w:rPr>
        <w:t>AWP</w:t>
      </w:r>
      <w:r>
        <w:rPr>
          <w:sz w:val="22"/>
          <w:szCs w:val="22"/>
        </w:rPr>
        <w:t xml:space="preserve"> Report.</w:t>
      </w:r>
    </w:p>
    <w:p w14:paraId="5F5BB347" w14:textId="77777777" w:rsidR="00FE356F" w:rsidRPr="00FE356F" w:rsidRDefault="00FE356F" w:rsidP="004B04C0">
      <w:pPr>
        <w:keepNext/>
        <w:keepLines/>
        <w:rPr>
          <w:sz w:val="22"/>
          <w:szCs w:val="22"/>
        </w:rPr>
      </w:pPr>
      <w:r w:rsidRPr="00FE356F">
        <w:rPr>
          <w:sz w:val="22"/>
          <w:szCs w:val="22"/>
        </w:rPr>
        <w:lastRenderedPageBreak/>
        <w:t>In summary:</w:t>
      </w:r>
    </w:p>
    <w:p w14:paraId="5BF9847B" w14:textId="53CB118C" w:rsidR="00FE356F" w:rsidRPr="00FE356F" w:rsidRDefault="00FE356F" w:rsidP="004B04C0">
      <w:pPr>
        <w:pStyle w:val="ListParagraph"/>
        <w:keepNext/>
        <w:keepLines/>
        <w:numPr>
          <w:ilvl w:val="0"/>
          <w:numId w:val="68"/>
        </w:numPr>
        <w:spacing w:before="0" w:after="0" w:line="276" w:lineRule="auto"/>
        <w:rPr>
          <w:rFonts w:cs="Arial"/>
          <w:sz w:val="22"/>
          <w:szCs w:val="22"/>
        </w:rPr>
      </w:pPr>
      <w:r w:rsidRPr="00FE356F">
        <w:rPr>
          <w:rFonts w:cs="Arial"/>
          <w:sz w:val="22"/>
          <w:szCs w:val="22"/>
        </w:rPr>
        <w:t>changes to service areas cannot occur without prior written agreement from the department</w:t>
      </w:r>
      <w:r w:rsidR="00BD66C4">
        <w:rPr>
          <w:rFonts w:cs="Arial"/>
          <w:sz w:val="22"/>
          <w:szCs w:val="22"/>
        </w:rPr>
        <w:t>; and</w:t>
      </w:r>
    </w:p>
    <w:p w14:paraId="0E5C4CC9" w14:textId="12DF0137" w:rsidR="00FE356F" w:rsidRPr="00FE356F" w:rsidRDefault="00FE356F" w:rsidP="00FE356F">
      <w:pPr>
        <w:pStyle w:val="ListParagraph"/>
        <w:numPr>
          <w:ilvl w:val="0"/>
          <w:numId w:val="68"/>
        </w:numPr>
        <w:spacing w:before="0" w:after="0" w:line="276" w:lineRule="auto"/>
        <w:rPr>
          <w:rFonts w:cs="Arial"/>
          <w:sz w:val="22"/>
          <w:szCs w:val="22"/>
        </w:rPr>
      </w:pPr>
      <w:r w:rsidRPr="00FE356F">
        <w:rPr>
          <w:rFonts w:cs="Arial"/>
          <w:sz w:val="22"/>
          <w:szCs w:val="22"/>
        </w:rPr>
        <w:t>changes to outlet locations within service areas can be adjusted as r</w:t>
      </w:r>
      <w:r w:rsidR="009E00EE">
        <w:rPr>
          <w:rFonts w:cs="Arial"/>
          <w:sz w:val="22"/>
          <w:szCs w:val="22"/>
        </w:rPr>
        <w:t xml:space="preserve">equired by the organisation and updates reported annually through </w:t>
      </w:r>
      <w:r w:rsidR="00EC7F27">
        <w:rPr>
          <w:rFonts w:cs="Arial"/>
          <w:sz w:val="22"/>
          <w:szCs w:val="22"/>
        </w:rPr>
        <w:t>the AWP Report</w:t>
      </w:r>
      <w:r w:rsidRPr="00FE356F">
        <w:rPr>
          <w:rFonts w:cs="Arial"/>
          <w:sz w:val="22"/>
          <w:szCs w:val="22"/>
        </w:rPr>
        <w:t>.</w:t>
      </w:r>
    </w:p>
    <w:p w14:paraId="35FD6D01" w14:textId="407BAEE2" w:rsidR="00CE556C" w:rsidRDefault="00CE556C" w:rsidP="00CE556C">
      <w:pPr>
        <w:rPr>
          <w:sz w:val="22"/>
          <w:szCs w:val="22"/>
        </w:rPr>
      </w:pPr>
      <w:r w:rsidRPr="00DD6BDB">
        <w:rPr>
          <w:sz w:val="22"/>
          <w:szCs w:val="22"/>
        </w:rPr>
        <w:t xml:space="preserve">It is possible to assist someone living outside of the defined </w:t>
      </w:r>
      <w:r>
        <w:rPr>
          <w:sz w:val="22"/>
          <w:szCs w:val="22"/>
        </w:rPr>
        <w:t xml:space="preserve">service </w:t>
      </w:r>
      <w:r w:rsidRPr="00DD6BDB">
        <w:rPr>
          <w:sz w:val="22"/>
          <w:szCs w:val="22"/>
        </w:rPr>
        <w:t>area</w:t>
      </w:r>
      <w:r>
        <w:rPr>
          <w:sz w:val="22"/>
          <w:szCs w:val="22"/>
        </w:rPr>
        <w:t xml:space="preserve">. </w:t>
      </w:r>
      <w:r w:rsidRPr="00DD6BDB">
        <w:rPr>
          <w:sz w:val="22"/>
          <w:szCs w:val="22"/>
        </w:rPr>
        <w:t>Up</w:t>
      </w:r>
      <w:r w:rsidR="004B6DD5">
        <w:rPr>
          <w:sz w:val="22"/>
          <w:szCs w:val="22"/>
        </w:rPr>
        <w:t> </w:t>
      </w:r>
      <w:r w:rsidRPr="00DD6BDB">
        <w:rPr>
          <w:sz w:val="22"/>
          <w:szCs w:val="22"/>
        </w:rPr>
        <w:t>to</w:t>
      </w:r>
      <w:r w:rsidR="004B6DD5">
        <w:rPr>
          <w:sz w:val="22"/>
          <w:szCs w:val="22"/>
        </w:rPr>
        <w:t> </w:t>
      </w:r>
      <w:r w:rsidRPr="00DD6BDB">
        <w:rPr>
          <w:sz w:val="22"/>
          <w:szCs w:val="22"/>
        </w:rPr>
        <w:t xml:space="preserve">10 per cent of a </w:t>
      </w:r>
      <w:r w:rsidRPr="009358EC">
        <w:rPr>
          <w:sz w:val="22"/>
          <w:szCs w:val="22"/>
        </w:rPr>
        <w:t>FMHSS</w:t>
      </w:r>
      <w:r w:rsidRPr="009358EC" w:rsidDel="009358EC">
        <w:rPr>
          <w:sz w:val="22"/>
          <w:szCs w:val="22"/>
        </w:rPr>
        <w:t xml:space="preserve"> </w:t>
      </w:r>
      <w:r w:rsidRPr="00DD6BDB">
        <w:rPr>
          <w:sz w:val="22"/>
          <w:szCs w:val="22"/>
        </w:rPr>
        <w:t xml:space="preserve">provider’s participant ‘caseload’ can come from outside the service area without seeking </w:t>
      </w:r>
      <w:r>
        <w:rPr>
          <w:sz w:val="22"/>
          <w:szCs w:val="22"/>
        </w:rPr>
        <w:t xml:space="preserve">the departments </w:t>
      </w:r>
      <w:r w:rsidRPr="00DD6BDB">
        <w:rPr>
          <w:sz w:val="22"/>
          <w:szCs w:val="22"/>
        </w:rPr>
        <w:t>approval</w:t>
      </w:r>
      <w:r>
        <w:rPr>
          <w:sz w:val="22"/>
          <w:szCs w:val="22"/>
        </w:rPr>
        <w:t xml:space="preserve">. </w:t>
      </w:r>
      <w:r w:rsidRPr="00DD6BDB">
        <w:rPr>
          <w:sz w:val="22"/>
          <w:szCs w:val="22"/>
        </w:rPr>
        <w:t>Deliveri</w:t>
      </w:r>
      <w:r>
        <w:rPr>
          <w:sz w:val="22"/>
          <w:szCs w:val="22"/>
        </w:rPr>
        <w:t>ng FMHSS to an out of area</w:t>
      </w:r>
      <w:r w:rsidRPr="00DD6BDB">
        <w:rPr>
          <w:sz w:val="22"/>
          <w:szCs w:val="22"/>
        </w:rPr>
        <w:t xml:space="preserve"> participant should be considered on a case</w:t>
      </w:r>
      <w:r w:rsidRPr="00DD6BDB">
        <w:rPr>
          <w:sz w:val="22"/>
          <w:szCs w:val="22"/>
        </w:rPr>
        <w:noBreakHyphen/>
        <w:t>by</w:t>
      </w:r>
      <w:r w:rsidRPr="00DD6BDB">
        <w:rPr>
          <w:sz w:val="22"/>
          <w:szCs w:val="22"/>
        </w:rPr>
        <w:noBreakHyphen/>
        <w:t>case basis</w:t>
      </w:r>
      <w:r>
        <w:rPr>
          <w:sz w:val="22"/>
          <w:szCs w:val="22"/>
        </w:rPr>
        <w:t>.</w:t>
      </w:r>
    </w:p>
    <w:p w14:paraId="2DE50A31" w14:textId="77777777" w:rsidR="00CE556C" w:rsidRDefault="00CE556C" w:rsidP="00D714AF">
      <w:pPr>
        <w:spacing w:before="0" w:after="0" w:line="276" w:lineRule="auto"/>
        <w:rPr>
          <w:sz w:val="22"/>
          <w:szCs w:val="22"/>
        </w:rPr>
      </w:pPr>
      <w:r w:rsidRPr="00AF640E">
        <w:rPr>
          <w:sz w:val="22"/>
          <w:szCs w:val="22"/>
        </w:rPr>
        <w:t xml:space="preserve">FMHSS providers </w:t>
      </w:r>
      <w:r w:rsidRPr="00DD6BDB">
        <w:rPr>
          <w:sz w:val="22"/>
          <w:szCs w:val="22"/>
        </w:rPr>
        <w:t xml:space="preserve">should consider the most appropriate type of service delivery </w:t>
      </w:r>
      <w:r>
        <w:rPr>
          <w:sz w:val="22"/>
          <w:szCs w:val="22"/>
        </w:rPr>
        <w:t xml:space="preserve">for </w:t>
      </w:r>
      <w:r w:rsidRPr="00DD6BDB">
        <w:rPr>
          <w:sz w:val="22"/>
          <w:szCs w:val="22"/>
        </w:rPr>
        <w:t xml:space="preserve">these clients </w:t>
      </w:r>
      <w:r>
        <w:rPr>
          <w:sz w:val="22"/>
          <w:szCs w:val="22"/>
        </w:rPr>
        <w:t xml:space="preserve">(for example, referral or standard service delivery) </w:t>
      </w:r>
      <w:r w:rsidRPr="00DD6BDB">
        <w:rPr>
          <w:sz w:val="22"/>
          <w:szCs w:val="22"/>
        </w:rPr>
        <w:t>by considering questions such as:</w:t>
      </w:r>
    </w:p>
    <w:p w14:paraId="46C4CE78" w14:textId="77777777" w:rsidR="00CE556C" w:rsidRDefault="00CE556C" w:rsidP="00CE556C">
      <w:pPr>
        <w:pStyle w:val="ListParagraph"/>
        <w:numPr>
          <w:ilvl w:val="0"/>
          <w:numId w:val="68"/>
        </w:numPr>
        <w:spacing w:before="0" w:after="0" w:line="276" w:lineRule="auto"/>
        <w:rPr>
          <w:rFonts w:cs="Arial"/>
          <w:sz w:val="22"/>
          <w:szCs w:val="22"/>
        </w:rPr>
      </w:pPr>
      <w:r>
        <w:rPr>
          <w:rFonts w:cs="Arial"/>
          <w:sz w:val="22"/>
          <w:szCs w:val="22"/>
        </w:rPr>
        <w:t>What is in the best interests of the participant in the longer term?</w:t>
      </w:r>
    </w:p>
    <w:p w14:paraId="0731B52D" w14:textId="77777777" w:rsidR="00CE556C" w:rsidRPr="009B13F0" w:rsidRDefault="00CE556C" w:rsidP="00CE556C">
      <w:pPr>
        <w:pStyle w:val="ListParagraph"/>
        <w:numPr>
          <w:ilvl w:val="0"/>
          <w:numId w:val="68"/>
        </w:numPr>
        <w:spacing w:before="0" w:after="0" w:line="276" w:lineRule="auto"/>
        <w:rPr>
          <w:rFonts w:cs="Arial"/>
          <w:sz w:val="22"/>
          <w:szCs w:val="22"/>
        </w:rPr>
      </w:pPr>
      <w:r w:rsidRPr="009B13F0">
        <w:rPr>
          <w:rFonts w:cs="Arial"/>
          <w:sz w:val="22"/>
          <w:szCs w:val="22"/>
        </w:rPr>
        <w:t>Is there another provider, or appropriate community service, that could support the participant?</w:t>
      </w:r>
    </w:p>
    <w:p w14:paraId="19004230" w14:textId="77777777" w:rsidR="00CE556C" w:rsidRPr="00CC65A1" w:rsidRDefault="00CE556C" w:rsidP="00CE556C">
      <w:pPr>
        <w:pStyle w:val="ListParagraph"/>
        <w:numPr>
          <w:ilvl w:val="0"/>
          <w:numId w:val="68"/>
        </w:numPr>
        <w:spacing w:before="0" w:after="0" w:line="276" w:lineRule="auto"/>
        <w:rPr>
          <w:rFonts w:cs="Arial"/>
          <w:sz w:val="22"/>
          <w:szCs w:val="22"/>
        </w:rPr>
      </w:pPr>
      <w:r w:rsidRPr="00CC65A1">
        <w:rPr>
          <w:rFonts w:cs="Arial"/>
          <w:sz w:val="22"/>
          <w:szCs w:val="22"/>
        </w:rPr>
        <w:t>What is the providers capacity to service the client and what impact, if any, could this have on servicing participants from within the service area?</w:t>
      </w:r>
    </w:p>
    <w:p w14:paraId="39F7DFD0" w14:textId="44BB5C3A" w:rsidR="00CE556C" w:rsidRPr="00CC65A1" w:rsidRDefault="00CE556C" w:rsidP="00CE556C">
      <w:pPr>
        <w:pStyle w:val="ListParagraph"/>
        <w:numPr>
          <w:ilvl w:val="0"/>
          <w:numId w:val="68"/>
        </w:numPr>
        <w:spacing w:before="0" w:after="0" w:line="276" w:lineRule="auto"/>
        <w:rPr>
          <w:rFonts w:cs="Arial"/>
          <w:sz w:val="22"/>
          <w:szCs w:val="22"/>
        </w:rPr>
      </w:pPr>
      <w:r w:rsidRPr="00CC65A1">
        <w:rPr>
          <w:rFonts w:cs="Arial"/>
          <w:sz w:val="22"/>
          <w:szCs w:val="22"/>
        </w:rPr>
        <w:t>What are the barriers to support the client? (</w:t>
      </w:r>
      <w:r>
        <w:rPr>
          <w:rFonts w:cs="Arial"/>
          <w:sz w:val="22"/>
          <w:szCs w:val="22"/>
        </w:rPr>
        <w:t>f</w:t>
      </w:r>
      <w:r w:rsidRPr="00CC65A1">
        <w:rPr>
          <w:rFonts w:cs="Arial"/>
          <w:sz w:val="22"/>
          <w:szCs w:val="22"/>
        </w:rPr>
        <w:t>or example, will service delivery staff have to travel long distances to service the client; will the client receive the quality of service expected; would the client be better supported by another provider?)</w:t>
      </w:r>
    </w:p>
    <w:p w14:paraId="75520720" w14:textId="77777777" w:rsidR="00CE556C" w:rsidRPr="009B13F0" w:rsidRDefault="00CE556C" w:rsidP="00CE556C">
      <w:pPr>
        <w:pStyle w:val="ListParagraph"/>
        <w:numPr>
          <w:ilvl w:val="0"/>
          <w:numId w:val="68"/>
        </w:numPr>
        <w:spacing w:before="0" w:after="0" w:line="276" w:lineRule="auto"/>
        <w:rPr>
          <w:rFonts w:cs="Arial"/>
          <w:sz w:val="22"/>
          <w:szCs w:val="22"/>
        </w:rPr>
      </w:pPr>
      <w:r w:rsidRPr="00CC65A1">
        <w:rPr>
          <w:rFonts w:cs="Arial"/>
          <w:sz w:val="22"/>
          <w:szCs w:val="22"/>
        </w:rPr>
        <w:t xml:space="preserve">What are the </w:t>
      </w:r>
      <w:r>
        <w:rPr>
          <w:rFonts w:cs="Arial"/>
          <w:sz w:val="22"/>
          <w:szCs w:val="22"/>
        </w:rPr>
        <w:t>l</w:t>
      </w:r>
      <w:r w:rsidRPr="009B13F0">
        <w:rPr>
          <w:rFonts w:cs="Arial"/>
          <w:sz w:val="22"/>
          <w:szCs w:val="22"/>
        </w:rPr>
        <w:t>onger term needs of the participant?</w:t>
      </w:r>
    </w:p>
    <w:bookmarkStart w:id="76" w:name="_Toc70494358"/>
    <w:bookmarkStart w:id="77" w:name="_Toc70494359"/>
    <w:bookmarkStart w:id="78" w:name="_Toc70494360"/>
    <w:bookmarkStart w:id="79" w:name="_Toc70494361"/>
    <w:bookmarkStart w:id="80" w:name="_Toc70494362"/>
    <w:bookmarkStart w:id="81" w:name="_Toc70494363"/>
    <w:bookmarkStart w:id="82" w:name="_Toc70494364"/>
    <w:bookmarkStart w:id="83" w:name="_Toc70494365"/>
    <w:bookmarkStart w:id="84" w:name="_Toc70494366"/>
    <w:bookmarkStart w:id="85" w:name="_Toc43732973"/>
    <w:bookmarkStart w:id="86" w:name="_Toc43732974"/>
    <w:bookmarkStart w:id="87" w:name="_Toc43732975"/>
    <w:bookmarkStart w:id="88" w:name="_Toc43732976"/>
    <w:bookmarkStart w:id="89" w:name="_Toc43732977"/>
    <w:bookmarkStart w:id="90" w:name="_Toc43732978"/>
    <w:bookmarkStart w:id="91" w:name="_Toc4373297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6E84B49" w14:textId="77777777" w:rsidR="007B19C7" w:rsidRPr="008D600A" w:rsidRDefault="002D794A" w:rsidP="004C278E">
      <w:pPr>
        <w:pStyle w:val="Heading1"/>
      </w:pPr>
      <w:r w:rsidRPr="008D600A">
        <w:rPr>
          <w:rFonts w:cstheme="majorBidi"/>
        </w:rPr>
        <w:fldChar w:fldCharType="begin"/>
      </w:r>
      <w:r w:rsidRPr="008D600A">
        <w:instrText xml:space="preserve"> HYPERLINK \l "_Toc501461285" </w:instrText>
      </w:r>
      <w:r w:rsidRPr="008D600A">
        <w:rPr>
          <w:rFonts w:cstheme="majorBidi"/>
        </w:rPr>
        <w:fldChar w:fldCharType="separate"/>
      </w:r>
      <w:bookmarkStart w:id="92" w:name="_Toc70599662"/>
      <w:bookmarkStart w:id="93" w:name="_Toc35850952"/>
      <w:bookmarkStart w:id="94" w:name="_Toc36199671"/>
      <w:r w:rsidR="007B19C7" w:rsidRPr="008D600A">
        <w:t>F</w:t>
      </w:r>
      <w:r w:rsidR="00CE556C">
        <w:t>lexibility</w:t>
      </w:r>
      <w:bookmarkEnd w:id="92"/>
      <w:bookmarkEnd w:id="93"/>
      <w:bookmarkEnd w:id="94"/>
      <w:r w:rsidRPr="008D600A">
        <w:fldChar w:fldCharType="end"/>
      </w:r>
    </w:p>
    <w:p w14:paraId="789D28AD" w14:textId="35953611" w:rsidR="00CE556C" w:rsidRDefault="00CE556C" w:rsidP="00CE556C">
      <w:pPr>
        <w:rPr>
          <w:sz w:val="22"/>
          <w:szCs w:val="22"/>
        </w:rPr>
      </w:pPr>
      <w:r w:rsidRPr="00EA3CD3">
        <w:rPr>
          <w:sz w:val="22"/>
          <w:szCs w:val="22"/>
        </w:rPr>
        <w:t xml:space="preserve">The department expects service providers to monitor changes in their communities and adjust the services they deliver, in mutual agreement with the department, to meet the changing needs of families and children. The department may ask </w:t>
      </w:r>
      <w:r>
        <w:rPr>
          <w:sz w:val="22"/>
          <w:szCs w:val="22"/>
        </w:rPr>
        <w:t>FMHSS</w:t>
      </w:r>
      <w:r w:rsidRPr="00EA3CD3">
        <w:rPr>
          <w:sz w:val="22"/>
          <w:szCs w:val="22"/>
        </w:rPr>
        <w:t xml:space="preserve"> providers to</w:t>
      </w:r>
      <w:r w:rsidR="004B6DD5">
        <w:rPr>
          <w:sz w:val="22"/>
          <w:szCs w:val="22"/>
        </w:rPr>
        <w:t> </w:t>
      </w:r>
      <w:r w:rsidRPr="00EA3CD3">
        <w:rPr>
          <w:sz w:val="22"/>
          <w:szCs w:val="22"/>
        </w:rPr>
        <w:t>vary their existing service type/s to meet changing demands.</w:t>
      </w:r>
    </w:p>
    <w:p w14:paraId="402E6A09" w14:textId="77777777" w:rsidR="00CE556C" w:rsidRPr="008D600A" w:rsidRDefault="007036AE" w:rsidP="00CE556C">
      <w:pPr>
        <w:pStyle w:val="Heading1"/>
      </w:pPr>
      <w:hyperlink w:anchor="_Toc501461285" w:history="1">
        <w:bookmarkStart w:id="95" w:name="_Toc70599663"/>
        <w:r w:rsidR="00CE556C">
          <w:t>Using grant funding</w:t>
        </w:r>
        <w:bookmarkEnd w:id="95"/>
      </w:hyperlink>
    </w:p>
    <w:p w14:paraId="4FA6B868" w14:textId="77777777" w:rsidR="00CE556C" w:rsidRPr="004C278E" w:rsidRDefault="00CE556C" w:rsidP="004C278E">
      <w:pPr>
        <w:rPr>
          <w:sz w:val="22"/>
          <w:szCs w:val="22"/>
        </w:rPr>
      </w:pPr>
      <w:r w:rsidRPr="004C278E">
        <w:rPr>
          <w:sz w:val="22"/>
          <w:szCs w:val="22"/>
        </w:rPr>
        <w:t>Funding is provided to assist with the costs of operating FMHSS in funded locations. Funding can be used for:</w:t>
      </w:r>
    </w:p>
    <w:p w14:paraId="49FD3F27" w14:textId="35EA990F"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intake and assessment</w:t>
      </w:r>
      <w:r w:rsidR="004B6DD5">
        <w:rPr>
          <w:rFonts w:cs="Arial"/>
          <w:sz w:val="22"/>
          <w:szCs w:val="22"/>
        </w:rPr>
        <w:t>;</w:t>
      </w:r>
    </w:p>
    <w:p w14:paraId="136C9F0D" w14:textId="2A2E1B50"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information / advice / referral</w:t>
      </w:r>
      <w:r w:rsidR="004B6DD5">
        <w:rPr>
          <w:rFonts w:cs="Arial"/>
          <w:sz w:val="22"/>
          <w:szCs w:val="22"/>
        </w:rPr>
        <w:t>;</w:t>
      </w:r>
    </w:p>
    <w:p w14:paraId="491E6E12" w14:textId="34F3E828"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education and skills training</w:t>
      </w:r>
      <w:r w:rsidR="004B6DD5">
        <w:rPr>
          <w:rFonts w:cs="Arial"/>
          <w:sz w:val="22"/>
          <w:szCs w:val="22"/>
        </w:rPr>
        <w:t>;</w:t>
      </w:r>
    </w:p>
    <w:p w14:paraId="2F7172CB" w14:textId="7BD103F9"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child/youth focussed groups</w:t>
      </w:r>
      <w:r w:rsidR="004B6DD5">
        <w:rPr>
          <w:rFonts w:cs="Arial"/>
          <w:sz w:val="22"/>
          <w:szCs w:val="22"/>
        </w:rPr>
        <w:t>;</w:t>
      </w:r>
    </w:p>
    <w:p w14:paraId="2E4DAFD0" w14:textId="34BDD865"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counselling</w:t>
      </w:r>
      <w:r w:rsidR="004B6DD5">
        <w:rPr>
          <w:rFonts w:cs="Arial"/>
          <w:sz w:val="22"/>
          <w:szCs w:val="22"/>
        </w:rPr>
        <w:t>;</w:t>
      </w:r>
    </w:p>
    <w:p w14:paraId="45326552" w14:textId="5C31218E"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community capacity building</w:t>
      </w:r>
      <w:r w:rsidR="004B6DD5">
        <w:rPr>
          <w:rFonts w:cs="Arial"/>
          <w:sz w:val="22"/>
          <w:szCs w:val="22"/>
        </w:rPr>
        <w:t>;</w:t>
      </w:r>
    </w:p>
    <w:p w14:paraId="3965CA24" w14:textId="14D30B07"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outreach</w:t>
      </w:r>
      <w:r w:rsidR="004B6DD5">
        <w:rPr>
          <w:rFonts w:cs="Arial"/>
          <w:sz w:val="22"/>
          <w:szCs w:val="22"/>
        </w:rPr>
        <w:t>;</w:t>
      </w:r>
      <w:r w:rsidRPr="001C75D2">
        <w:rPr>
          <w:rFonts w:cs="Arial"/>
          <w:sz w:val="22"/>
          <w:szCs w:val="22"/>
        </w:rPr>
        <w:t xml:space="preserve"> and</w:t>
      </w:r>
    </w:p>
    <w:p w14:paraId="11088845" w14:textId="77777777" w:rsidR="00CE556C" w:rsidRPr="001C75D2" w:rsidRDefault="00CE556C">
      <w:pPr>
        <w:pStyle w:val="ListParagraph"/>
        <w:numPr>
          <w:ilvl w:val="0"/>
          <w:numId w:val="68"/>
        </w:numPr>
        <w:spacing w:before="0" w:after="0" w:line="276" w:lineRule="auto"/>
        <w:rPr>
          <w:rFonts w:cs="Arial"/>
          <w:sz w:val="22"/>
          <w:szCs w:val="22"/>
        </w:rPr>
      </w:pPr>
      <w:proofErr w:type="gramStart"/>
      <w:r w:rsidRPr="001C75D2">
        <w:rPr>
          <w:rFonts w:cs="Arial"/>
          <w:sz w:val="22"/>
          <w:szCs w:val="22"/>
        </w:rPr>
        <w:t>family</w:t>
      </w:r>
      <w:proofErr w:type="gramEnd"/>
      <w:r w:rsidRPr="001C75D2">
        <w:rPr>
          <w:rFonts w:cs="Arial"/>
          <w:sz w:val="22"/>
          <w:szCs w:val="22"/>
        </w:rPr>
        <w:t xml:space="preserve"> capacity building.</w:t>
      </w:r>
    </w:p>
    <w:p w14:paraId="0F607398" w14:textId="77777777" w:rsidR="00CE556C" w:rsidRPr="004C278E" w:rsidRDefault="00CE556C" w:rsidP="004C278E">
      <w:pPr>
        <w:rPr>
          <w:sz w:val="22"/>
          <w:szCs w:val="22"/>
        </w:rPr>
      </w:pPr>
      <w:r w:rsidRPr="004C278E">
        <w:rPr>
          <w:sz w:val="22"/>
          <w:szCs w:val="22"/>
        </w:rPr>
        <w:t>FMHSS providers cannot use grant funding to:</w:t>
      </w:r>
    </w:p>
    <w:p w14:paraId="023F4E5D" w14:textId="240930D9"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deliver clinical services or specialist medical services (providers may assist participants to access appropriate services)</w:t>
      </w:r>
      <w:r w:rsidR="004B6DD5">
        <w:rPr>
          <w:rFonts w:cs="Arial"/>
          <w:sz w:val="22"/>
          <w:szCs w:val="22"/>
        </w:rPr>
        <w:t>;</w:t>
      </w:r>
      <w:r w:rsidRPr="001C75D2">
        <w:rPr>
          <w:rFonts w:cs="Arial"/>
          <w:sz w:val="22"/>
          <w:szCs w:val="22"/>
        </w:rPr>
        <w:t xml:space="preserve"> and</w:t>
      </w:r>
    </w:p>
    <w:p w14:paraId="51ADE57B" w14:textId="77777777" w:rsidR="00CE556C" w:rsidRPr="001C75D2" w:rsidRDefault="00CE556C">
      <w:pPr>
        <w:pStyle w:val="ListParagraph"/>
        <w:numPr>
          <w:ilvl w:val="0"/>
          <w:numId w:val="68"/>
        </w:numPr>
        <w:spacing w:before="0" w:after="0" w:line="276" w:lineRule="auto"/>
        <w:rPr>
          <w:rFonts w:cs="Arial"/>
          <w:sz w:val="22"/>
          <w:szCs w:val="22"/>
        </w:rPr>
      </w:pPr>
      <w:proofErr w:type="gramStart"/>
      <w:r w:rsidRPr="001C75D2">
        <w:rPr>
          <w:rFonts w:cs="Arial"/>
          <w:sz w:val="22"/>
          <w:szCs w:val="22"/>
        </w:rPr>
        <w:t>deliver</w:t>
      </w:r>
      <w:proofErr w:type="gramEnd"/>
      <w:r w:rsidRPr="001C75D2">
        <w:rPr>
          <w:rFonts w:cs="Arial"/>
          <w:sz w:val="22"/>
          <w:szCs w:val="22"/>
        </w:rPr>
        <w:t xml:space="preserve"> crisis services.</w:t>
      </w:r>
    </w:p>
    <w:p w14:paraId="17497329" w14:textId="77777777" w:rsidR="00CE556C" w:rsidRPr="004C278E" w:rsidRDefault="00CE556C" w:rsidP="00CE556C">
      <w:pPr>
        <w:rPr>
          <w:sz w:val="22"/>
          <w:szCs w:val="22"/>
        </w:rPr>
      </w:pPr>
      <w:r w:rsidRPr="004C278E">
        <w:rPr>
          <w:sz w:val="22"/>
          <w:szCs w:val="22"/>
        </w:rPr>
        <w:lastRenderedPageBreak/>
        <w:t>Further detail on appropriate use of grant funding can be found at Section 6</w:t>
      </w:r>
      <w:r w:rsidR="00ED0517">
        <w:rPr>
          <w:sz w:val="22"/>
          <w:szCs w:val="22"/>
        </w:rPr>
        <w:t>.1</w:t>
      </w:r>
      <w:r w:rsidRPr="004C278E">
        <w:rPr>
          <w:sz w:val="22"/>
          <w:szCs w:val="22"/>
        </w:rPr>
        <w:t xml:space="preserve"> of these Operational Guidelines.</w:t>
      </w:r>
    </w:p>
    <w:p w14:paraId="77D39D58" w14:textId="6C87967D" w:rsidR="00CE556C" w:rsidRPr="004C278E" w:rsidRDefault="00CE556C" w:rsidP="00CE556C">
      <w:pPr>
        <w:rPr>
          <w:sz w:val="22"/>
          <w:szCs w:val="22"/>
        </w:rPr>
      </w:pPr>
      <w:r w:rsidRPr="004C278E">
        <w:rPr>
          <w:sz w:val="22"/>
          <w:szCs w:val="22"/>
        </w:rPr>
        <w:t>FMHSS providers may use funds flexibly to provide one-off practical assistance tailored to the needs and situation of each child, young person and family. T</w:t>
      </w:r>
      <w:r w:rsidR="00D714AF">
        <w:rPr>
          <w:sz w:val="22"/>
          <w:szCs w:val="22"/>
        </w:rPr>
        <w:t>he provider may dedicate up to five</w:t>
      </w:r>
      <w:r w:rsidRPr="004C278E">
        <w:rPr>
          <w:sz w:val="22"/>
          <w:szCs w:val="22"/>
        </w:rPr>
        <w:t> per cent of the service budget to support participants to access practical assistance and material goods if all other options have been exhausted. It is not the intent that FMHSS becomes an emergency relief measure.</w:t>
      </w:r>
      <w:bookmarkStart w:id="96" w:name="_Toc67998934"/>
      <w:bookmarkStart w:id="97" w:name="_Toc68704040"/>
      <w:bookmarkStart w:id="98" w:name="_Toc68704400"/>
      <w:bookmarkEnd w:id="96"/>
      <w:bookmarkEnd w:id="97"/>
      <w:bookmarkEnd w:id="98"/>
    </w:p>
    <w:p w14:paraId="0C4834AE" w14:textId="77777777" w:rsidR="003E0CF0" w:rsidRDefault="003E0CF0" w:rsidP="004C278E">
      <w:pPr>
        <w:pStyle w:val="Heading1"/>
      </w:pPr>
      <w:bookmarkStart w:id="99" w:name="_Toc70494369"/>
      <w:bookmarkStart w:id="100" w:name="_Toc70494370"/>
      <w:bookmarkStart w:id="101" w:name="_Toc70494371"/>
      <w:bookmarkStart w:id="102" w:name="_Toc70494372"/>
      <w:bookmarkStart w:id="103" w:name="_Toc70494373"/>
      <w:bookmarkStart w:id="104" w:name="_Toc70599664"/>
      <w:bookmarkEnd w:id="99"/>
      <w:bookmarkEnd w:id="100"/>
      <w:bookmarkEnd w:id="101"/>
      <w:bookmarkEnd w:id="102"/>
      <w:bookmarkEnd w:id="103"/>
      <w:r>
        <w:t>Subcontracting</w:t>
      </w:r>
      <w:bookmarkEnd w:id="104"/>
    </w:p>
    <w:p w14:paraId="4919A67E" w14:textId="77777777" w:rsidR="00CE556C" w:rsidRPr="00A10A27" w:rsidRDefault="00CE556C" w:rsidP="00CE556C">
      <w:pPr>
        <w:spacing w:after="120"/>
        <w:rPr>
          <w:sz w:val="22"/>
          <w:szCs w:val="22"/>
        </w:rPr>
      </w:pPr>
      <w:r w:rsidRPr="00DB2913">
        <w:rPr>
          <w:sz w:val="22"/>
          <w:szCs w:val="22"/>
        </w:rPr>
        <w:t>FMHSS providers</w:t>
      </w:r>
      <w:r w:rsidRPr="00DB2913" w:rsidDel="00DB2913">
        <w:rPr>
          <w:sz w:val="22"/>
          <w:szCs w:val="22"/>
        </w:rPr>
        <w:t xml:space="preserve"> </w:t>
      </w:r>
      <w:r w:rsidRPr="00A10A27">
        <w:rPr>
          <w:sz w:val="22"/>
          <w:szCs w:val="22"/>
        </w:rPr>
        <w:t>cannot subcontract any part of their grant activities without the department’s prior written consent</w:t>
      </w:r>
      <w:r>
        <w:rPr>
          <w:sz w:val="22"/>
          <w:szCs w:val="22"/>
        </w:rPr>
        <w:t>. P</w:t>
      </w:r>
      <w:r w:rsidRPr="00A10A27">
        <w:rPr>
          <w:sz w:val="22"/>
          <w:szCs w:val="22"/>
        </w:rPr>
        <w:t xml:space="preserve">roviders are responsible for </w:t>
      </w:r>
      <w:r>
        <w:rPr>
          <w:sz w:val="22"/>
          <w:szCs w:val="22"/>
        </w:rPr>
        <w:t xml:space="preserve">meeting </w:t>
      </w:r>
      <w:r w:rsidRPr="00A10A27">
        <w:rPr>
          <w:sz w:val="22"/>
          <w:szCs w:val="22"/>
        </w:rPr>
        <w:t xml:space="preserve">their obligations </w:t>
      </w:r>
      <w:r>
        <w:rPr>
          <w:sz w:val="22"/>
          <w:szCs w:val="22"/>
        </w:rPr>
        <w:t xml:space="preserve">described in </w:t>
      </w:r>
      <w:r w:rsidRPr="00A10A27">
        <w:rPr>
          <w:sz w:val="22"/>
          <w:szCs w:val="22"/>
        </w:rPr>
        <w:t>their grant agreements, including in relation to any tasks undertaken by subcontractors.</w:t>
      </w:r>
    </w:p>
    <w:p w14:paraId="7814FAD9" w14:textId="77777777" w:rsidR="007F1D94" w:rsidRPr="002F3278" w:rsidRDefault="007F1D94" w:rsidP="004C278E">
      <w:pPr>
        <w:pStyle w:val="Heading1"/>
      </w:pPr>
      <w:bookmarkStart w:id="105" w:name="_Toc70494375"/>
      <w:bookmarkStart w:id="106" w:name="_Toc70494376"/>
      <w:bookmarkStart w:id="107" w:name="_Toc70599665"/>
      <w:bookmarkEnd w:id="105"/>
      <w:bookmarkEnd w:id="106"/>
      <w:r w:rsidRPr="002F3278">
        <w:t>Collaboration with other agencies and services</w:t>
      </w:r>
      <w:bookmarkEnd w:id="107"/>
    </w:p>
    <w:p w14:paraId="57E8572F" w14:textId="77777777" w:rsidR="00CE556C" w:rsidRPr="002F3278" w:rsidRDefault="00CE556C" w:rsidP="004C278E">
      <w:pPr>
        <w:spacing w:after="120"/>
        <w:rPr>
          <w:sz w:val="22"/>
          <w:szCs w:val="22"/>
        </w:rPr>
      </w:pPr>
      <w:r w:rsidRPr="000E44BF">
        <w:rPr>
          <w:sz w:val="22"/>
          <w:szCs w:val="22"/>
        </w:rPr>
        <w:t>FMHSS providers</w:t>
      </w:r>
      <w:r w:rsidRPr="002F3278" w:rsidDel="00DB2913">
        <w:rPr>
          <w:sz w:val="22"/>
          <w:szCs w:val="22"/>
        </w:rPr>
        <w:t xml:space="preserve"> </w:t>
      </w:r>
      <w:r w:rsidRPr="002F3278">
        <w:rPr>
          <w:sz w:val="22"/>
          <w:szCs w:val="22"/>
        </w:rPr>
        <w:t>must work collaboratively with each other and with relevant government and non-government agencies to provide an integrated suite of local services that address the needs of the target group</w:t>
      </w:r>
      <w:r>
        <w:rPr>
          <w:sz w:val="22"/>
          <w:szCs w:val="22"/>
        </w:rPr>
        <w:t xml:space="preserve">. </w:t>
      </w:r>
      <w:r w:rsidRPr="002F3278">
        <w:rPr>
          <w:sz w:val="22"/>
          <w:szCs w:val="22"/>
        </w:rPr>
        <w:t>To ensure effective integration with appropriate services, grant recipients must build and maintain effective relationships with a broad network of relevant services, which may include:</w:t>
      </w:r>
    </w:p>
    <w:p w14:paraId="076585C3" w14:textId="2FBAB341" w:rsidR="00CE556C" w:rsidRPr="001C75D2" w:rsidRDefault="00CE556C">
      <w:pPr>
        <w:pStyle w:val="ListParagraph"/>
        <w:numPr>
          <w:ilvl w:val="0"/>
          <w:numId w:val="68"/>
        </w:numPr>
        <w:spacing w:before="0" w:after="0" w:line="276" w:lineRule="auto"/>
        <w:rPr>
          <w:rFonts w:cs="Arial"/>
          <w:sz w:val="22"/>
          <w:szCs w:val="22"/>
        </w:rPr>
      </w:pPr>
      <w:r w:rsidRPr="004C278E">
        <w:rPr>
          <w:rFonts w:cs="Arial"/>
          <w:sz w:val="22"/>
          <w:szCs w:val="22"/>
        </w:rPr>
        <w:t>le</w:t>
      </w:r>
      <w:r w:rsidRPr="001C75D2">
        <w:rPr>
          <w:rFonts w:cs="Arial"/>
          <w:sz w:val="22"/>
          <w:szCs w:val="22"/>
        </w:rPr>
        <w:t>gal assistance services</w:t>
      </w:r>
      <w:r w:rsidR="004B6DD5">
        <w:rPr>
          <w:rFonts w:cs="Arial"/>
          <w:sz w:val="22"/>
          <w:szCs w:val="22"/>
        </w:rPr>
        <w:t>;</w:t>
      </w:r>
    </w:p>
    <w:p w14:paraId="5CC93B97" w14:textId="204D162B"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family law courts</w:t>
      </w:r>
      <w:r w:rsidR="004B6DD5">
        <w:rPr>
          <w:rFonts w:cs="Arial"/>
          <w:sz w:val="22"/>
          <w:szCs w:val="22"/>
        </w:rPr>
        <w:t>;</w:t>
      </w:r>
    </w:p>
    <w:p w14:paraId="2F000113" w14:textId="2FE5A810"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other providers under the Families and Communities Program, particularly those also funded under the Families and Children (</w:t>
      </w:r>
      <w:proofErr w:type="spellStart"/>
      <w:r w:rsidRPr="001C75D2">
        <w:rPr>
          <w:rFonts w:cs="Arial"/>
          <w:sz w:val="22"/>
          <w:szCs w:val="22"/>
        </w:rPr>
        <w:t>FaC</w:t>
      </w:r>
      <w:proofErr w:type="spellEnd"/>
      <w:r w:rsidRPr="001C75D2">
        <w:rPr>
          <w:rFonts w:cs="Arial"/>
          <w:sz w:val="22"/>
          <w:szCs w:val="22"/>
        </w:rPr>
        <w:t>) Sub-Activity</w:t>
      </w:r>
      <w:r w:rsidR="004B6DD5">
        <w:rPr>
          <w:rFonts w:cs="Arial"/>
          <w:sz w:val="22"/>
          <w:szCs w:val="22"/>
        </w:rPr>
        <w:t>;</w:t>
      </w:r>
    </w:p>
    <w:p w14:paraId="2E35FAFD" w14:textId="4C6F095E"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services funded by state and territory governments that service the target group/s</w:t>
      </w:r>
      <w:r w:rsidR="004B6DD5">
        <w:rPr>
          <w:rFonts w:cs="Arial"/>
          <w:sz w:val="22"/>
          <w:szCs w:val="22"/>
        </w:rPr>
        <w:t>;</w:t>
      </w:r>
    </w:p>
    <w:p w14:paraId="67EA8184" w14:textId="68B36DE9"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family support services</w:t>
      </w:r>
      <w:r w:rsidR="004B6DD5">
        <w:rPr>
          <w:rFonts w:cs="Arial"/>
          <w:sz w:val="22"/>
          <w:szCs w:val="22"/>
        </w:rPr>
        <w:t>;</w:t>
      </w:r>
    </w:p>
    <w:p w14:paraId="2A779B57" w14:textId="79465BC4"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‘first to know’ agencies</w:t>
      </w:r>
      <w:r w:rsidR="004B6DD5">
        <w:rPr>
          <w:rFonts w:cs="Arial"/>
          <w:sz w:val="22"/>
          <w:szCs w:val="22"/>
        </w:rPr>
        <w:t>;</w:t>
      </w:r>
    </w:p>
    <w:p w14:paraId="498F3225" w14:textId="211877E4"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medical services such as general practitioners</w:t>
      </w:r>
      <w:r w:rsidR="004B6DD5">
        <w:rPr>
          <w:rFonts w:cs="Arial"/>
          <w:sz w:val="22"/>
          <w:szCs w:val="22"/>
        </w:rPr>
        <w:t>;</w:t>
      </w:r>
    </w:p>
    <w:p w14:paraId="1583919B" w14:textId="27863E7B"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mental health services</w:t>
      </w:r>
      <w:r w:rsidR="004B6DD5">
        <w:rPr>
          <w:rFonts w:cs="Arial"/>
          <w:sz w:val="22"/>
          <w:szCs w:val="22"/>
        </w:rPr>
        <w:t>;</w:t>
      </w:r>
    </w:p>
    <w:p w14:paraId="7375AAD1" w14:textId="6071756C"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alcohol and other drug services</w:t>
      </w:r>
      <w:r w:rsidR="004B6DD5">
        <w:rPr>
          <w:rFonts w:cs="Arial"/>
          <w:sz w:val="22"/>
          <w:szCs w:val="22"/>
        </w:rPr>
        <w:t>;</w:t>
      </w:r>
    </w:p>
    <w:p w14:paraId="04270705" w14:textId="3C559497"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family violence services</w:t>
      </w:r>
      <w:r w:rsidR="004B6DD5">
        <w:rPr>
          <w:rFonts w:cs="Arial"/>
          <w:sz w:val="22"/>
          <w:szCs w:val="22"/>
        </w:rPr>
        <w:t>;</w:t>
      </w:r>
    </w:p>
    <w:p w14:paraId="6844FE4A" w14:textId="3B5A1E87"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domestic and family violence services</w:t>
      </w:r>
      <w:r w:rsidR="004B6DD5">
        <w:rPr>
          <w:rFonts w:cs="Arial"/>
          <w:sz w:val="22"/>
          <w:szCs w:val="22"/>
        </w:rPr>
        <w:t>;</w:t>
      </w:r>
    </w:p>
    <w:p w14:paraId="39DC54EB" w14:textId="524013E6"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homelessness services</w:t>
      </w:r>
      <w:r w:rsidR="004B6DD5">
        <w:rPr>
          <w:rFonts w:cs="Arial"/>
          <w:sz w:val="22"/>
          <w:szCs w:val="22"/>
        </w:rPr>
        <w:t>;</w:t>
      </w:r>
    </w:p>
    <w:p w14:paraId="54B294C2" w14:textId="27A67491"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education services</w:t>
      </w:r>
      <w:r w:rsidR="004B6DD5">
        <w:rPr>
          <w:rFonts w:cs="Arial"/>
          <w:sz w:val="22"/>
          <w:szCs w:val="22"/>
        </w:rPr>
        <w:t>;</w:t>
      </w:r>
    </w:p>
    <w:p w14:paraId="6201CB10" w14:textId="48A02CA0"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housing services</w:t>
      </w:r>
      <w:r w:rsidR="004B6DD5">
        <w:rPr>
          <w:rFonts w:cs="Arial"/>
          <w:sz w:val="22"/>
          <w:szCs w:val="22"/>
        </w:rPr>
        <w:t>;</w:t>
      </w:r>
    </w:p>
    <w:p w14:paraId="79D816ED" w14:textId="7196FEF8" w:rsidR="00CE556C" w:rsidRPr="001C75D2" w:rsidRDefault="00CE556C">
      <w:pPr>
        <w:pStyle w:val="ListParagraph"/>
        <w:numPr>
          <w:ilvl w:val="0"/>
          <w:numId w:val="68"/>
        </w:numPr>
        <w:spacing w:before="0" w:after="0" w:line="276" w:lineRule="auto"/>
        <w:rPr>
          <w:rFonts w:cs="Arial"/>
          <w:sz w:val="22"/>
          <w:szCs w:val="22"/>
        </w:rPr>
      </w:pPr>
      <w:r w:rsidRPr="001C75D2">
        <w:rPr>
          <w:rFonts w:cs="Arial"/>
          <w:sz w:val="22"/>
          <w:szCs w:val="22"/>
        </w:rPr>
        <w:t>Services Australia</w:t>
      </w:r>
      <w:r w:rsidR="004B6DD5">
        <w:rPr>
          <w:rFonts w:cs="Arial"/>
          <w:sz w:val="22"/>
          <w:szCs w:val="22"/>
        </w:rPr>
        <w:t>;</w:t>
      </w:r>
      <w:r w:rsidRPr="001C75D2">
        <w:rPr>
          <w:rFonts w:cs="Arial"/>
          <w:sz w:val="22"/>
          <w:szCs w:val="22"/>
        </w:rPr>
        <w:t xml:space="preserve"> and</w:t>
      </w:r>
    </w:p>
    <w:p w14:paraId="71F4746F" w14:textId="77777777" w:rsidR="00CE556C" w:rsidRPr="001C75D2" w:rsidRDefault="00CE556C">
      <w:pPr>
        <w:pStyle w:val="ListParagraph"/>
        <w:numPr>
          <w:ilvl w:val="0"/>
          <w:numId w:val="68"/>
        </w:numPr>
        <w:spacing w:before="0" w:after="0" w:line="276" w:lineRule="auto"/>
        <w:rPr>
          <w:rFonts w:cs="Arial"/>
          <w:sz w:val="22"/>
          <w:szCs w:val="22"/>
        </w:rPr>
      </w:pPr>
      <w:proofErr w:type="gramStart"/>
      <w:r w:rsidRPr="001C75D2">
        <w:rPr>
          <w:rFonts w:cs="Arial"/>
          <w:sz w:val="22"/>
          <w:szCs w:val="22"/>
        </w:rPr>
        <w:t>any</w:t>
      </w:r>
      <w:proofErr w:type="gramEnd"/>
      <w:r w:rsidRPr="001C75D2">
        <w:rPr>
          <w:rFonts w:cs="Arial"/>
          <w:sz w:val="22"/>
          <w:szCs w:val="22"/>
        </w:rPr>
        <w:t xml:space="preserve"> other relevant services, such as financial counselling and health services.</w:t>
      </w:r>
    </w:p>
    <w:p w14:paraId="4A23CDB8" w14:textId="4AC9C832" w:rsidR="00CE556C" w:rsidRPr="00A10A27" w:rsidRDefault="00CE556C" w:rsidP="004C278E">
      <w:pPr>
        <w:spacing w:after="120"/>
        <w:rPr>
          <w:sz w:val="22"/>
          <w:szCs w:val="22"/>
        </w:rPr>
      </w:pPr>
      <w:r w:rsidRPr="00A10A27">
        <w:rPr>
          <w:sz w:val="22"/>
          <w:szCs w:val="22"/>
        </w:rPr>
        <w:t>The FMHSS provider should establish and maintain strong links with “first-to-know” or</w:t>
      </w:r>
      <w:r w:rsidR="004B6DD5">
        <w:rPr>
          <w:sz w:val="22"/>
          <w:szCs w:val="22"/>
        </w:rPr>
        <w:t> </w:t>
      </w:r>
      <w:r w:rsidRPr="00A10A27">
        <w:rPr>
          <w:sz w:val="22"/>
          <w:szCs w:val="22"/>
        </w:rPr>
        <w:t>“first responder” agencies to promote early intervention and not rely on referrals from specialised or clinical providers.</w:t>
      </w:r>
    </w:p>
    <w:p w14:paraId="5A97EE60" w14:textId="517BAF20" w:rsidR="00CE556C" w:rsidRDefault="00CE556C" w:rsidP="004C278E">
      <w:pPr>
        <w:spacing w:after="120"/>
        <w:rPr>
          <w:sz w:val="22"/>
          <w:szCs w:val="22"/>
        </w:rPr>
      </w:pPr>
      <w:r w:rsidRPr="00942159">
        <w:rPr>
          <w:sz w:val="22"/>
          <w:szCs w:val="22"/>
        </w:rPr>
        <w:t>FMHSS providers must establish and maintain close links with other child and family services and</w:t>
      </w:r>
      <w:r w:rsidRPr="009E62F7">
        <w:rPr>
          <w:sz w:val="22"/>
          <w:szCs w:val="22"/>
        </w:rPr>
        <w:t xml:space="preserve"> agencies, and take advantage of relevant resources</w:t>
      </w:r>
      <w:r w:rsidRPr="00A10A27">
        <w:rPr>
          <w:sz w:val="22"/>
          <w:szCs w:val="22"/>
        </w:rPr>
        <w:t>.</w:t>
      </w:r>
    </w:p>
    <w:p w14:paraId="11A0AD3F" w14:textId="41833DCA" w:rsidR="00CE556C" w:rsidRPr="002F3278" w:rsidRDefault="00CE556C" w:rsidP="004C278E">
      <w:pPr>
        <w:spacing w:after="120"/>
        <w:rPr>
          <w:sz w:val="22"/>
          <w:szCs w:val="22"/>
        </w:rPr>
      </w:pPr>
      <w:r>
        <w:rPr>
          <w:sz w:val="22"/>
          <w:szCs w:val="22"/>
        </w:rPr>
        <w:lastRenderedPageBreak/>
        <w:t>FMHSS p</w:t>
      </w:r>
      <w:r w:rsidRPr="00731BF0">
        <w:rPr>
          <w:sz w:val="22"/>
          <w:szCs w:val="22"/>
        </w:rPr>
        <w:t xml:space="preserve">roviders </w:t>
      </w:r>
      <w:r w:rsidRPr="002F3278">
        <w:rPr>
          <w:sz w:val="22"/>
          <w:szCs w:val="22"/>
        </w:rPr>
        <w:t xml:space="preserve">must also abide by the following set of principles </w:t>
      </w:r>
      <w:r>
        <w:rPr>
          <w:sz w:val="22"/>
          <w:szCs w:val="22"/>
        </w:rPr>
        <w:t xml:space="preserve">to </w:t>
      </w:r>
      <w:r w:rsidRPr="002F3278">
        <w:rPr>
          <w:sz w:val="22"/>
          <w:szCs w:val="22"/>
        </w:rPr>
        <w:t>encourage local community initiatives</w:t>
      </w:r>
      <w:r>
        <w:rPr>
          <w:sz w:val="22"/>
          <w:szCs w:val="22"/>
        </w:rPr>
        <w:t xml:space="preserve"> (f</w:t>
      </w:r>
      <w:r w:rsidRPr="004C278E">
        <w:rPr>
          <w:sz w:val="22"/>
          <w:szCs w:val="22"/>
        </w:rPr>
        <w:t xml:space="preserve">or example </w:t>
      </w:r>
      <w:hyperlink r:id="rId25" w:history="1">
        <w:r w:rsidRPr="004C278E">
          <w:rPr>
            <w:rStyle w:val="Hyperlink"/>
          </w:rPr>
          <w:t>Stronger Places, Stronger People</w:t>
        </w:r>
      </w:hyperlink>
      <w:r w:rsidRPr="004C278E">
        <w:rPr>
          <w:sz w:val="22"/>
          <w:szCs w:val="22"/>
        </w:rPr>
        <w:t xml:space="preserve"> or other collective impact initiatives). P</w:t>
      </w:r>
      <w:r w:rsidRPr="00616760">
        <w:rPr>
          <w:sz w:val="22"/>
          <w:szCs w:val="22"/>
        </w:rPr>
        <w:t xml:space="preserve">roviders </w:t>
      </w:r>
      <w:r w:rsidRPr="002F3278">
        <w:rPr>
          <w:sz w:val="22"/>
          <w:szCs w:val="22"/>
        </w:rPr>
        <w:t>are to work in ways that:</w:t>
      </w:r>
    </w:p>
    <w:p w14:paraId="5C231197" w14:textId="312ACBCA"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recognise, support and work with community-led change initiatives (in places where they are being or have been established)</w:t>
      </w:r>
      <w:r w:rsidR="004B6DD5">
        <w:rPr>
          <w:rFonts w:cs="Arial"/>
          <w:sz w:val="22"/>
          <w:szCs w:val="22"/>
        </w:rPr>
        <w:t>;</w:t>
      </w:r>
    </w:p>
    <w:p w14:paraId="4866C78A" w14:textId="77777777"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recognise and support local and cultural leaders and governance arrangements;</w:t>
      </w:r>
    </w:p>
    <w:p w14:paraId="2A01D260" w14:textId="3E93EB11"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support and participate in the design and implementation of community-led change strategy</w:t>
      </w:r>
      <w:r w:rsidR="004B6DD5">
        <w:rPr>
          <w:rFonts w:cs="Arial"/>
          <w:sz w:val="22"/>
          <w:szCs w:val="22"/>
        </w:rPr>
        <w:t>;</w:t>
      </w:r>
    </w:p>
    <w:p w14:paraId="22F06D2A" w14:textId="2A6B15C8" w:rsidR="00CE556C" w:rsidRPr="004C278E" w:rsidRDefault="00942526" w:rsidP="004C278E">
      <w:pPr>
        <w:pStyle w:val="ListParagraph"/>
        <w:numPr>
          <w:ilvl w:val="0"/>
          <w:numId w:val="68"/>
        </w:numPr>
        <w:spacing w:before="0" w:after="0" w:line="276" w:lineRule="auto"/>
        <w:rPr>
          <w:rFonts w:cs="Arial"/>
          <w:sz w:val="22"/>
          <w:szCs w:val="22"/>
        </w:rPr>
      </w:pPr>
      <w:r>
        <w:rPr>
          <w:sz w:val="22"/>
          <w:szCs w:val="22"/>
        </w:rPr>
        <w:t xml:space="preserve">consider within the parameters of the operational guidelines and grant requirements, opportunities to </w:t>
      </w:r>
      <w:r w:rsidR="00CE556C" w:rsidRPr="004C278E">
        <w:rPr>
          <w:rFonts w:cs="Arial"/>
          <w:sz w:val="22"/>
          <w:szCs w:val="22"/>
        </w:rPr>
        <w:t>align service provision and communication to the community’s strategy, including community needs, goals and solutions</w:t>
      </w:r>
      <w:r w:rsidR="004B6DD5">
        <w:rPr>
          <w:rFonts w:cs="Arial"/>
          <w:sz w:val="22"/>
          <w:szCs w:val="22"/>
        </w:rPr>
        <w:t>;</w:t>
      </w:r>
    </w:p>
    <w:p w14:paraId="7C98B840" w14:textId="3FFECEF9"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share data, evidence and learnings to improve outcomes for children, families and communities</w:t>
      </w:r>
      <w:r w:rsidR="004B6DD5">
        <w:rPr>
          <w:rFonts w:cs="Arial"/>
          <w:sz w:val="22"/>
          <w:szCs w:val="22"/>
        </w:rPr>
        <w:t>;</w:t>
      </w:r>
    </w:p>
    <w:p w14:paraId="09E160D8" w14:textId="33B0A15E"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are fair, open and transparent in engaging with Aboriginal and Torres Strait Islander stakeholders and organisations</w:t>
      </w:r>
      <w:r w:rsidR="004B6DD5">
        <w:rPr>
          <w:rFonts w:cs="Arial"/>
          <w:sz w:val="22"/>
          <w:szCs w:val="22"/>
        </w:rPr>
        <w:t>;</w:t>
      </w:r>
    </w:p>
    <w:p w14:paraId="264D0008" w14:textId="70BCDA8F" w:rsidR="00CE556C" w:rsidRPr="004C278E" w:rsidRDefault="00CE556C" w:rsidP="004C278E">
      <w:pPr>
        <w:pStyle w:val="ListParagraph"/>
        <w:numPr>
          <w:ilvl w:val="0"/>
          <w:numId w:val="68"/>
        </w:numPr>
        <w:spacing w:before="0" w:after="0" w:line="276" w:lineRule="auto"/>
        <w:rPr>
          <w:rFonts w:cs="Arial"/>
          <w:sz w:val="22"/>
          <w:szCs w:val="22"/>
        </w:rPr>
      </w:pPr>
      <w:r w:rsidRPr="004C278E">
        <w:rPr>
          <w:rFonts w:cs="Arial"/>
          <w:sz w:val="22"/>
          <w:szCs w:val="22"/>
        </w:rPr>
        <w:t>participate in work that examines the system (beyond programs) to create better outcomes</w:t>
      </w:r>
      <w:r w:rsidR="004B6DD5">
        <w:rPr>
          <w:rFonts w:cs="Arial"/>
          <w:sz w:val="22"/>
          <w:szCs w:val="22"/>
        </w:rPr>
        <w:t>;</w:t>
      </w:r>
      <w:r w:rsidRPr="004C278E">
        <w:rPr>
          <w:rFonts w:cs="Arial"/>
          <w:sz w:val="22"/>
          <w:szCs w:val="22"/>
        </w:rPr>
        <w:t xml:space="preserve"> and </w:t>
      </w:r>
    </w:p>
    <w:p w14:paraId="73070A45" w14:textId="77777777" w:rsidR="00CE556C" w:rsidRPr="004C278E" w:rsidRDefault="00CE556C" w:rsidP="004C278E">
      <w:pPr>
        <w:pStyle w:val="ListParagraph"/>
        <w:numPr>
          <w:ilvl w:val="0"/>
          <w:numId w:val="68"/>
        </w:numPr>
        <w:spacing w:before="0" w:after="0" w:line="276" w:lineRule="auto"/>
        <w:rPr>
          <w:rFonts w:cs="Arial"/>
          <w:sz w:val="22"/>
          <w:szCs w:val="22"/>
        </w:rPr>
      </w:pPr>
      <w:proofErr w:type="gramStart"/>
      <w:r w:rsidRPr="004C278E">
        <w:rPr>
          <w:rFonts w:cs="Arial"/>
          <w:sz w:val="22"/>
          <w:szCs w:val="22"/>
        </w:rPr>
        <w:t>build</w:t>
      </w:r>
      <w:proofErr w:type="gramEnd"/>
      <w:r w:rsidRPr="004C278E">
        <w:rPr>
          <w:rFonts w:cs="Arial"/>
          <w:sz w:val="22"/>
          <w:szCs w:val="22"/>
        </w:rPr>
        <w:t xml:space="preserve"> relationships, collaboration and leverage investments and impacts.</w:t>
      </w:r>
    </w:p>
    <w:p w14:paraId="7021F153" w14:textId="77777777" w:rsidR="007B19C7" w:rsidRPr="003A6046" w:rsidRDefault="007B19C7" w:rsidP="004C278E">
      <w:pPr>
        <w:pStyle w:val="Heading1"/>
      </w:pPr>
      <w:bookmarkStart w:id="108" w:name="_Toc70494378"/>
      <w:bookmarkStart w:id="109" w:name="_Toc70494379"/>
      <w:bookmarkStart w:id="110" w:name="_Toc70494380"/>
      <w:bookmarkStart w:id="111" w:name="_Toc70494381"/>
      <w:bookmarkStart w:id="112" w:name="_Toc70494382"/>
      <w:bookmarkStart w:id="113" w:name="_Toc70494383"/>
      <w:bookmarkStart w:id="114" w:name="_Toc70494384"/>
      <w:bookmarkStart w:id="115" w:name="_Toc70494385"/>
      <w:bookmarkStart w:id="116" w:name="_Toc70494386"/>
      <w:bookmarkStart w:id="117" w:name="_Toc70494387"/>
      <w:bookmarkStart w:id="118" w:name="_Toc70494388"/>
      <w:bookmarkStart w:id="119" w:name="_Toc70494389"/>
      <w:bookmarkStart w:id="120" w:name="_Toc70494390"/>
      <w:bookmarkStart w:id="121" w:name="_Toc70494391"/>
      <w:bookmarkStart w:id="122" w:name="_Toc70494392"/>
      <w:bookmarkStart w:id="123" w:name="_Toc70494393"/>
      <w:bookmarkStart w:id="124" w:name="_Toc70494394"/>
      <w:bookmarkStart w:id="125" w:name="_Toc70494395"/>
      <w:bookmarkStart w:id="126" w:name="_Toc70494396"/>
      <w:bookmarkStart w:id="127" w:name="_Toc70494397"/>
      <w:bookmarkStart w:id="128" w:name="_Toc70494398"/>
      <w:bookmarkStart w:id="129" w:name="_Toc70494399"/>
      <w:bookmarkStart w:id="130" w:name="_Toc70494400"/>
      <w:bookmarkStart w:id="131" w:name="_Toc70494401"/>
      <w:bookmarkStart w:id="132" w:name="_Toc70494402"/>
      <w:bookmarkStart w:id="133" w:name="_Toc7059966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A6046">
        <w:t>Communication and Promotion</w:t>
      </w:r>
      <w:bookmarkEnd w:id="133"/>
    </w:p>
    <w:p w14:paraId="6133EB85" w14:textId="18AE4A5D" w:rsidR="00CE556C" w:rsidRDefault="00CE556C" w:rsidP="00CE556C">
      <w:pPr>
        <w:spacing w:after="120"/>
        <w:rPr>
          <w:rFonts w:eastAsia="Calibri"/>
          <w:spacing w:val="0"/>
          <w:sz w:val="22"/>
          <w:szCs w:val="22"/>
          <w:lang w:eastAsia="en-US"/>
        </w:rPr>
      </w:pPr>
      <w:r w:rsidRPr="00DD6BDB">
        <w:rPr>
          <w:rFonts w:eastAsia="Calibri"/>
          <w:spacing w:val="0"/>
          <w:sz w:val="22"/>
          <w:szCs w:val="22"/>
          <w:lang w:eastAsia="en-US"/>
        </w:rPr>
        <w:t>FMHSS providers should communicate and promote the importance of mental health and wellbeing for children, young people, their families and carers</w:t>
      </w:r>
      <w:r>
        <w:rPr>
          <w:rFonts w:eastAsia="Calibri"/>
          <w:spacing w:val="0"/>
          <w:sz w:val="22"/>
          <w:szCs w:val="22"/>
          <w:lang w:eastAsia="en-US"/>
        </w:rPr>
        <w:t xml:space="preserve">. </w:t>
      </w:r>
      <w:r w:rsidRPr="00DD6BDB">
        <w:rPr>
          <w:rFonts w:eastAsia="Calibri"/>
          <w:spacing w:val="0"/>
          <w:sz w:val="22"/>
          <w:szCs w:val="22"/>
          <w:lang w:eastAsia="en-US"/>
        </w:rPr>
        <w:t xml:space="preserve">Providers must ensure any promotional activities clearly articulate </w:t>
      </w:r>
      <w:r>
        <w:rPr>
          <w:rFonts w:eastAsia="Calibri"/>
          <w:spacing w:val="0"/>
          <w:sz w:val="22"/>
          <w:szCs w:val="22"/>
          <w:lang w:eastAsia="en-US"/>
        </w:rPr>
        <w:t xml:space="preserve">the </w:t>
      </w:r>
      <w:r w:rsidRPr="00DD6BDB">
        <w:rPr>
          <w:rFonts w:eastAsia="Calibri"/>
          <w:spacing w:val="0"/>
          <w:sz w:val="22"/>
          <w:szCs w:val="22"/>
          <w:lang w:eastAsia="en-US"/>
        </w:rPr>
        <w:t>support of children or young people in a family</w:t>
      </w:r>
      <w:r>
        <w:rPr>
          <w:rFonts w:eastAsia="Calibri"/>
          <w:spacing w:val="0"/>
          <w:sz w:val="22"/>
          <w:szCs w:val="22"/>
          <w:lang w:eastAsia="en-US"/>
        </w:rPr>
        <w:t xml:space="preserve"> or</w:t>
      </w:r>
      <w:r w:rsidR="004B6DD5">
        <w:rPr>
          <w:rFonts w:eastAsia="Calibri"/>
          <w:spacing w:val="0"/>
          <w:sz w:val="22"/>
          <w:szCs w:val="22"/>
          <w:lang w:eastAsia="en-US"/>
        </w:rPr>
        <w:t> </w:t>
      </w:r>
      <w:r>
        <w:rPr>
          <w:rFonts w:eastAsia="Calibri"/>
          <w:spacing w:val="0"/>
          <w:sz w:val="22"/>
          <w:szCs w:val="22"/>
          <w:lang w:eastAsia="en-US"/>
        </w:rPr>
        <w:t>carer</w:t>
      </w:r>
      <w:r w:rsidRPr="00DD6BDB">
        <w:rPr>
          <w:rFonts w:eastAsia="Calibri"/>
          <w:spacing w:val="0"/>
          <w:sz w:val="22"/>
          <w:szCs w:val="22"/>
          <w:lang w:eastAsia="en-US"/>
        </w:rPr>
        <w:t xml:space="preserve"> context</w:t>
      </w:r>
      <w:r>
        <w:rPr>
          <w:rFonts w:eastAsia="Calibri"/>
          <w:spacing w:val="0"/>
          <w:sz w:val="22"/>
          <w:szCs w:val="22"/>
          <w:lang w:eastAsia="en-US"/>
        </w:rPr>
        <w:t>.</w:t>
      </w:r>
    </w:p>
    <w:p w14:paraId="1FDF3C96" w14:textId="02CA7640" w:rsidR="00CE556C" w:rsidRPr="00DD6BDB" w:rsidRDefault="00CE556C" w:rsidP="00CE556C">
      <w:pPr>
        <w:spacing w:after="120"/>
        <w:rPr>
          <w:rFonts w:eastAsia="Calibri"/>
          <w:spacing w:val="0"/>
          <w:sz w:val="22"/>
          <w:szCs w:val="22"/>
          <w:lang w:eastAsia="en-US"/>
        </w:rPr>
      </w:pPr>
      <w:r w:rsidRPr="00DD6BDB">
        <w:rPr>
          <w:rFonts w:eastAsia="Calibri"/>
          <w:spacing w:val="0"/>
          <w:sz w:val="22"/>
          <w:szCs w:val="22"/>
          <w:lang w:eastAsia="en-US"/>
        </w:rPr>
        <w:t xml:space="preserve">Providers may name or brand their particular service </w:t>
      </w:r>
      <w:r>
        <w:rPr>
          <w:rFonts w:eastAsia="Calibri"/>
          <w:spacing w:val="0"/>
          <w:sz w:val="22"/>
          <w:szCs w:val="22"/>
          <w:lang w:eastAsia="en-US"/>
        </w:rPr>
        <w:t xml:space="preserve">to illustrate they </w:t>
      </w:r>
      <w:r w:rsidRPr="00DD6BDB">
        <w:rPr>
          <w:rFonts w:eastAsia="Calibri"/>
          <w:spacing w:val="0"/>
          <w:sz w:val="22"/>
          <w:szCs w:val="22"/>
          <w:lang w:eastAsia="en-US"/>
        </w:rPr>
        <w:t xml:space="preserve">are relevant and welcoming for children, young people and families in the local areas. </w:t>
      </w:r>
      <w:r>
        <w:rPr>
          <w:rFonts w:eastAsia="Calibri"/>
          <w:spacing w:val="0"/>
          <w:sz w:val="22"/>
          <w:szCs w:val="22"/>
          <w:lang w:eastAsia="en-US"/>
        </w:rPr>
        <w:t>P</w:t>
      </w:r>
      <w:r w:rsidRPr="00DD6BDB">
        <w:rPr>
          <w:rFonts w:eastAsia="Calibri"/>
          <w:spacing w:val="0"/>
          <w:sz w:val="22"/>
          <w:szCs w:val="22"/>
          <w:lang w:eastAsia="en-US"/>
        </w:rPr>
        <w:t xml:space="preserve">roviders </w:t>
      </w:r>
      <w:r>
        <w:rPr>
          <w:rFonts w:eastAsia="Calibri"/>
          <w:spacing w:val="0"/>
          <w:sz w:val="22"/>
          <w:szCs w:val="22"/>
          <w:lang w:eastAsia="en-US"/>
        </w:rPr>
        <w:t xml:space="preserve">can consider developing or adopt </w:t>
      </w:r>
      <w:r w:rsidRPr="00DD6BDB">
        <w:rPr>
          <w:rFonts w:eastAsia="Calibri"/>
          <w:spacing w:val="0"/>
          <w:sz w:val="22"/>
          <w:szCs w:val="22"/>
          <w:lang w:eastAsia="en-US"/>
        </w:rPr>
        <w:t xml:space="preserve">service names </w:t>
      </w:r>
      <w:r>
        <w:rPr>
          <w:rFonts w:eastAsia="Calibri"/>
          <w:spacing w:val="0"/>
          <w:sz w:val="22"/>
          <w:szCs w:val="22"/>
          <w:lang w:eastAsia="en-US"/>
        </w:rPr>
        <w:t xml:space="preserve">that are </w:t>
      </w:r>
      <w:r w:rsidRPr="00DD6BDB">
        <w:rPr>
          <w:rFonts w:eastAsia="Calibri"/>
          <w:spacing w:val="0"/>
          <w:sz w:val="22"/>
          <w:szCs w:val="22"/>
          <w:lang w:eastAsia="en-US"/>
        </w:rPr>
        <w:t>appropriate to the communities</w:t>
      </w:r>
      <w:r>
        <w:rPr>
          <w:rFonts w:eastAsia="Calibri"/>
          <w:spacing w:val="0"/>
          <w:sz w:val="22"/>
          <w:szCs w:val="22"/>
          <w:lang w:eastAsia="en-US"/>
        </w:rPr>
        <w:t xml:space="preserve"> they work in</w:t>
      </w:r>
      <w:r w:rsidR="004B6DD5">
        <w:rPr>
          <w:rFonts w:eastAsia="Calibri"/>
          <w:spacing w:val="0"/>
          <w:sz w:val="22"/>
          <w:szCs w:val="22"/>
          <w:lang w:eastAsia="en-US"/>
        </w:rPr>
        <w:t> </w:t>
      </w:r>
      <w:r>
        <w:rPr>
          <w:rFonts w:eastAsia="Calibri"/>
          <w:spacing w:val="0"/>
          <w:sz w:val="22"/>
          <w:szCs w:val="22"/>
          <w:lang w:eastAsia="en-US"/>
        </w:rPr>
        <w:t xml:space="preserve">describing the </w:t>
      </w:r>
      <w:r w:rsidRPr="00DD6BDB">
        <w:rPr>
          <w:rFonts w:eastAsia="Calibri"/>
          <w:spacing w:val="0"/>
          <w:sz w:val="22"/>
          <w:szCs w:val="22"/>
          <w:lang w:eastAsia="en-US"/>
        </w:rPr>
        <w:t xml:space="preserve">intent of FMHSS, however, there is a requirement </w:t>
      </w:r>
      <w:r>
        <w:rPr>
          <w:rFonts w:eastAsia="Calibri"/>
          <w:spacing w:val="0"/>
          <w:sz w:val="22"/>
          <w:szCs w:val="22"/>
          <w:lang w:eastAsia="en-US"/>
        </w:rPr>
        <w:t>in any communication or</w:t>
      </w:r>
      <w:r w:rsidR="004B6DD5">
        <w:rPr>
          <w:rFonts w:eastAsia="Calibri"/>
          <w:spacing w:val="0"/>
          <w:sz w:val="22"/>
          <w:szCs w:val="22"/>
          <w:lang w:eastAsia="en-US"/>
        </w:rPr>
        <w:t> </w:t>
      </w:r>
      <w:r>
        <w:rPr>
          <w:rFonts w:eastAsia="Calibri"/>
          <w:spacing w:val="0"/>
          <w:sz w:val="22"/>
          <w:szCs w:val="22"/>
          <w:lang w:eastAsia="en-US"/>
        </w:rPr>
        <w:t xml:space="preserve">promotional product to </w:t>
      </w:r>
      <w:r w:rsidRPr="00DD6BDB">
        <w:rPr>
          <w:rFonts w:eastAsia="Calibri"/>
          <w:spacing w:val="0"/>
          <w:sz w:val="22"/>
          <w:szCs w:val="22"/>
          <w:lang w:eastAsia="en-US"/>
        </w:rPr>
        <w:t>acknowledge funding is provided by the Australian Government Department of Social Services.</w:t>
      </w:r>
    </w:p>
    <w:p w14:paraId="52241637" w14:textId="0D20BC05" w:rsidR="00CE556C" w:rsidRPr="00DD6BDB" w:rsidRDefault="00CE556C" w:rsidP="00CE556C">
      <w:pPr>
        <w:spacing w:after="120"/>
        <w:rPr>
          <w:rFonts w:eastAsia="Calibri"/>
          <w:spacing w:val="0"/>
          <w:sz w:val="22"/>
          <w:szCs w:val="22"/>
          <w:lang w:eastAsia="en-US"/>
        </w:rPr>
      </w:pPr>
      <w:r w:rsidRPr="00FB18DD">
        <w:rPr>
          <w:rFonts w:eastAsia="Calibri"/>
          <w:spacing w:val="0"/>
          <w:sz w:val="22"/>
          <w:szCs w:val="22"/>
          <w:lang w:eastAsia="en-US"/>
        </w:rPr>
        <w:t xml:space="preserve">FMHSS providers </w:t>
      </w:r>
      <w:r>
        <w:rPr>
          <w:rFonts w:eastAsia="Calibri"/>
          <w:spacing w:val="0"/>
          <w:sz w:val="22"/>
          <w:szCs w:val="22"/>
          <w:lang w:eastAsia="en-US"/>
        </w:rPr>
        <w:t xml:space="preserve">must </w:t>
      </w:r>
      <w:r w:rsidRPr="00DD6BDB">
        <w:rPr>
          <w:rFonts w:eastAsia="Calibri"/>
          <w:spacing w:val="0"/>
          <w:sz w:val="22"/>
          <w:szCs w:val="22"/>
          <w:lang w:eastAsia="en-US"/>
        </w:rPr>
        <w:t xml:space="preserve">list </w:t>
      </w:r>
      <w:r w:rsidRPr="002C63CC">
        <w:rPr>
          <w:rFonts w:eastAsia="Calibri" w:cs="Arial"/>
          <w:spacing w:val="0"/>
          <w:sz w:val="22"/>
          <w:szCs w:val="22"/>
          <w:lang w:eastAsia="en-US"/>
        </w:rPr>
        <w:t>services on free online community service directories where applicable. The department maintains a</w:t>
      </w:r>
      <w:r w:rsidR="00EB1F72">
        <w:rPr>
          <w:rFonts w:eastAsia="Calibri" w:cs="Arial"/>
          <w:spacing w:val="0"/>
          <w:sz w:val="22"/>
          <w:szCs w:val="22"/>
          <w:lang w:eastAsia="en-US"/>
        </w:rPr>
        <w:t xml:space="preserve"> </w:t>
      </w:r>
      <w:r w:rsidR="00EB1F72" w:rsidRPr="00EB1F72">
        <w:rPr>
          <w:rStyle w:val="Hyperlink"/>
          <w:rFonts w:eastAsia="Calibri"/>
        </w:rPr>
        <w:t xml:space="preserve">list of </w:t>
      </w:r>
      <w:hyperlink r:id="rId26" w:history="1">
        <w:r w:rsidR="00EB1F72" w:rsidRPr="00EB1F72">
          <w:rPr>
            <w:rStyle w:val="Hyperlink"/>
            <w:rFonts w:eastAsia="Calibri" w:cs="Arial"/>
            <w:spacing w:val="0"/>
            <w:szCs w:val="22"/>
            <w:lang w:eastAsia="en-US"/>
          </w:rPr>
          <w:t>service directories</w:t>
        </w:r>
      </w:hyperlink>
      <w:r w:rsidR="00EB1F72">
        <w:rPr>
          <w:rFonts w:eastAsia="Calibri" w:cs="Arial"/>
          <w:spacing w:val="0"/>
          <w:sz w:val="22"/>
          <w:szCs w:val="22"/>
          <w:lang w:eastAsia="en-US"/>
        </w:rPr>
        <w:t xml:space="preserve"> </w:t>
      </w:r>
      <w:r w:rsidRPr="002C63CC">
        <w:rPr>
          <w:rFonts w:eastAsia="Calibri" w:cs="Arial"/>
          <w:spacing w:val="0"/>
          <w:sz w:val="22"/>
          <w:szCs w:val="22"/>
          <w:lang w:eastAsia="en-US"/>
        </w:rPr>
        <w:t>that providers should consider. If you think this list should include other directories, please</w:t>
      </w:r>
      <w:r w:rsidRPr="00DD6BDB">
        <w:rPr>
          <w:rFonts w:eastAsia="Calibri"/>
          <w:spacing w:val="0"/>
          <w:sz w:val="22"/>
          <w:szCs w:val="22"/>
          <w:lang w:eastAsia="en-US"/>
        </w:rPr>
        <w:t xml:space="preserve"> contact your FAM.</w:t>
      </w:r>
    </w:p>
    <w:p w14:paraId="4D752002" w14:textId="77777777" w:rsidR="00CE556C" w:rsidRPr="00DD6BDB" w:rsidRDefault="00CE556C" w:rsidP="00CE556C">
      <w:pPr>
        <w:spacing w:after="120"/>
        <w:rPr>
          <w:rFonts w:eastAsia="Calibri"/>
          <w:spacing w:val="0"/>
          <w:sz w:val="22"/>
          <w:szCs w:val="22"/>
          <w:lang w:eastAsia="en-US"/>
        </w:rPr>
      </w:pPr>
      <w:r w:rsidRPr="00DD6BDB">
        <w:rPr>
          <w:rFonts w:eastAsia="Calibri"/>
          <w:spacing w:val="0"/>
          <w:sz w:val="22"/>
          <w:szCs w:val="22"/>
          <w:lang w:eastAsia="en-US"/>
        </w:rPr>
        <w:t xml:space="preserve">The department </w:t>
      </w:r>
      <w:r>
        <w:rPr>
          <w:rFonts w:eastAsia="Calibri"/>
          <w:spacing w:val="0"/>
          <w:sz w:val="22"/>
          <w:szCs w:val="22"/>
          <w:lang w:eastAsia="en-US"/>
        </w:rPr>
        <w:t xml:space="preserve">also </w:t>
      </w:r>
      <w:r w:rsidRPr="00DD6BDB">
        <w:rPr>
          <w:rFonts w:eastAsia="Calibri"/>
          <w:spacing w:val="0"/>
          <w:sz w:val="22"/>
          <w:szCs w:val="22"/>
          <w:lang w:eastAsia="en-US"/>
        </w:rPr>
        <w:t>encourages providers to list their services on local service directories where possible</w:t>
      </w:r>
      <w:r>
        <w:rPr>
          <w:rFonts w:eastAsia="Calibri"/>
          <w:spacing w:val="0"/>
          <w:sz w:val="22"/>
          <w:szCs w:val="22"/>
          <w:lang w:eastAsia="en-US"/>
        </w:rPr>
        <w:t xml:space="preserve">. </w:t>
      </w:r>
      <w:r w:rsidRPr="00DD6BDB">
        <w:rPr>
          <w:rFonts w:eastAsia="Calibri"/>
          <w:spacing w:val="0"/>
          <w:sz w:val="22"/>
          <w:szCs w:val="22"/>
          <w:lang w:eastAsia="en-US"/>
        </w:rPr>
        <w:t>For example, local and regional councils maintain online service directories.</w:t>
      </w:r>
    </w:p>
    <w:p w14:paraId="2159D960" w14:textId="77777777" w:rsidR="00CE556C" w:rsidRPr="00D40D78" w:rsidRDefault="00CE556C" w:rsidP="00CE556C">
      <w:pPr>
        <w:spacing w:after="120"/>
        <w:rPr>
          <w:rFonts w:eastAsia="Calibri"/>
          <w:spacing w:val="0"/>
          <w:sz w:val="22"/>
          <w:szCs w:val="22"/>
          <w:lang w:eastAsia="en-US"/>
        </w:rPr>
      </w:pPr>
      <w:r w:rsidRPr="00DD6BDB">
        <w:rPr>
          <w:rFonts w:eastAsia="Calibri"/>
          <w:spacing w:val="0"/>
          <w:sz w:val="22"/>
          <w:szCs w:val="22"/>
          <w:lang w:eastAsia="en-US"/>
        </w:rPr>
        <w:t xml:space="preserve">Please refer to the </w:t>
      </w:r>
      <w:r>
        <w:rPr>
          <w:rFonts w:eastAsia="Calibri"/>
          <w:spacing w:val="0"/>
          <w:sz w:val="22"/>
          <w:szCs w:val="22"/>
          <w:lang w:eastAsia="en-US"/>
        </w:rPr>
        <w:t xml:space="preserve">department’s </w:t>
      </w:r>
      <w:r w:rsidRPr="00EA3CD3">
        <w:rPr>
          <w:rStyle w:val="Hyperlink"/>
          <w:rFonts w:eastAsia="Calibri"/>
        </w:rPr>
        <w:t xml:space="preserve">Communication </w:t>
      </w:r>
      <w:hyperlink r:id="rId27" w:history="1">
        <w:r w:rsidRPr="000A72FE">
          <w:rPr>
            <w:rStyle w:val="Hyperlink"/>
            <w:rFonts w:eastAsia="Calibri"/>
            <w:spacing w:val="0"/>
            <w:szCs w:val="22"/>
            <w:lang w:eastAsia="en-US"/>
          </w:rPr>
          <w:t>Policy for Services, Activities and Events</w:t>
        </w:r>
      </w:hyperlink>
      <w:r w:rsidRPr="00DD6BDB">
        <w:rPr>
          <w:rFonts w:eastAsia="Calibri"/>
          <w:spacing w:val="0"/>
          <w:sz w:val="22"/>
          <w:szCs w:val="22"/>
          <w:lang w:eastAsia="en-US"/>
        </w:rPr>
        <w:t xml:space="preserve"> for further information on promoting services.</w:t>
      </w:r>
    </w:p>
    <w:p w14:paraId="0EF4F9E4" w14:textId="77777777" w:rsidR="006D5481" w:rsidRDefault="006D5481">
      <w:pPr>
        <w:spacing w:before="0" w:after="200" w:line="276" w:lineRule="auto"/>
        <w:rPr>
          <w:rFonts w:eastAsiaTheme="majorEastAsia" w:cs="Arial"/>
          <w:b/>
          <w:bCs/>
          <w:sz w:val="22"/>
          <w:szCs w:val="22"/>
        </w:rPr>
      </w:pPr>
      <w:r>
        <w:rPr>
          <w:rFonts w:cs="Arial"/>
          <w:sz w:val="22"/>
          <w:szCs w:val="22"/>
        </w:rPr>
        <w:br w:type="page"/>
      </w:r>
    </w:p>
    <w:bookmarkStart w:id="134" w:name="_Toc68866040"/>
    <w:bookmarkStart w:id="135" w:name="_Toc68873968"/>
    <w:bookmarkStart w:id="136" w:name="_Toc68866042"/>
    <w:bookmarkStart w:id="137" w:name="_Toc68873970"/>
    <w:bookmarkEnd w:id="134"/>
    <w:bookmarkEnd w:id="135"/>
    <w:bookmarkEnd w:id="136"/>
    <w:bookmarkEnd w:id="137"/>
    <w:p w14:paraId="67235447" w14:textId="77777777" w:rsidR="007B19C7" w:rsidRPr="003A6046" w:rsidRDefault="006D5481" w:rsidP="004C278E">
      <w:pPr>
        <w:pStyle w:val="Heading2"/>
      </w:pPr>
      <w:r>
        <w:rPr>
          <w:rFonts w:cstheme="majorBidi"/>
        </w:rPr>
        <w:lastRenderedPageBreak/>
        <w:fldChar w:fldCharType="begin"/>
      </w:r>
      <w:r>
        <w:instrText xml:space="preserve"> HYPERLINK \l "_Toc501461263" </w:instrText>
      </w:r>
      <w:r>
        <w:rPr>
          <w:rFonts w:cstheme="majorBidi"/>
        </w:rPr>
        <w:fldChar w:fldCharType="separate"/>
      </w:r>
      <w:bookmarkStart w:id="138" w:name="_Toc70599667"/>
      <w:r w:rsidR="007B19C7" w:rsidRPr="003A6046">
        <w:t>Working</w:t>
      </w:r>
      <w:r>
        <w:fldChar w:fldCharType="end"/>
      </w:r>
      <w:r w:rsidR="007B19C7" w:rsidRPr="003A6046">
        <w:t xml:space="preserve"> with Clients</w:t>
      </w:r>
      <w:bookmarkEnd w:id="138"/>
    </w:p>
    <w:p w14:paraId="51650753" w14:textId="77777777" w:rsidR="007B19C7" w:rsidRPr="008B0771" w:rsidRDefault="001C75D2" w:rsidP="004C278E">
      <w:pPr>
        <w:pStyle w:val="Heading1"/>
      </w:pPr>
      <w:bookmarkStart w:id="139" w:name="_Toc70494405"/>
      <w:bookmarkStart w:id="140" w:name="_Toc70599668"/>
      <w:bookmarkEnd w:id="139"/>
      <w:r>
        <w:t>Participant eligibility</w:t>
      </w:r>
      <w:bookmarkEnd w:id="140"/>
    </w:p>
    <w:p w14:paraId="2BD6EBB2" w14:textId="77777777" w:rsidR="0079678E" w:rsidRPr="00A10A27" w:rsidRDefault="0079678E" w:rsidP="0079678E">
      <w:pPr>
        <w:spacing w:after="0"/>
        <w:rPr>
          <w:sz w:val="22"/>
          <w:szCs w:val="22"/>
        </w:rPr>
      </w:pPr>
      <w:r w:rsidRPr="00A10A27">
        <w:rPr>
          <w:sz w:val="22"/>
          <w:szCs w:val="22"/>
        </w:rPr>
        <w:t>FMHSS eligible participants are children and young people, up to the age of 18, who are showing signs of, or are at risk of developing mental illness.</w:t>
      </w:r>
    </w:p>
    <w:p w14:paraId="6F1CDEC2" w14:textId="77777777" w:rsidR="0079678E" w:rsidRPr="00A10A27" w:rsidRDefault="0079678E" w:rsidP="0079678E">
      <w:pPr>
        <w:spacing w:after="0"/>
        <w:rPr>
          <w:sz w:val="22"/>
          <w:szCs w:val="22"/>
        </w:rPr>
      </w:pPr>
      <w:r w:rsidRPr="00DD6BDB">
        <w:rPr>
          <w:sz w:val="22"/>
          <w:szCs w:val="22"/>
        </w:rPr>
        <w:t>A formal diagnosis of mental illness is not required to access FMHSS.</w:t>
      </w:r>
    </w:p>
    <w:p w14:paraId="419AA32D" w14:textId="3C23C859" w:rsidR="0079678E" w:rsidRPr="00A10A27" w:rsidRDefault="0079678E" w:rsidP="0079678E">
      <w:pPr>
        <w:spacing w:after="0"/>
        <w:rPr>
          <w:sz w:val="22"/>
          <w:szCs w:val="22"/>
        </w:rPr>
      </w:pPr>
      <w:r w:rsidRPr="00A10A27">
        <w:rPr>
          <w:sz w:val="22"/>
          <w:szCs w:val="22"/>
        </w:rPr>
        <w:t>FMHSS providers cannot work with children and young people without the involvement of</w:t>
      </w:r>
      <w:r w:rsidR="004B6DD5">
        <w:rPr>
          <w:sz w:val="22"/>
          <w:szCs w:val="22"/>
        </w:rPr>
        <w:t> t</w:t>
      </w:r>
      <w:r w:rsidRPr="00A10A27">
        <w:rPr>
          <w:sz w:val="22"/>
          <w:szCs w:val="22"/>
        </w:rPr>
        <w:t>heir families or carers.</w:t>
      </w:r>
    </w:p>
    <w:p w14:paraId="6472C1FF" w14:textId="77777777" w:rsidR="0079678E" w:rsidRPr="00A10A27" w:rsidRDefault="0079678E" w:rsidP="0079678E">
      <w:pPr>
        <w:spacing w:after="0"/>
        <w:rPr>
          <w:sz w:val="22"/>
          <w:szCs w:val="22"/>
        </w:rPr>
      </w:pPr>
      <w:r w:rsidRPr="00A10A27">
        <w:rPr>
          <w:sz w:val="22"/>
          <w:szCs w:val="22"/>
        </w:rPr>
        <w:t>It is expected that FMHSS providers will have their own systems in place to ensure written consent</w:t>
      </w:r>
      <w:r>
        <w:rPr>
          <w:sz w:val="22"/>
          <w:szCs w:val="22"/>
        </w:rPr>
        <w:t xml:space="preserve"> is obtained</w:t>
      </w:r>
      <w:r w:rsidRPr="00A10A27">
        <w:rPr>
          <w:sz w:val="22"/>
          <w:szCs w:val="22"/>
        </w:rPr>
        <w:t xml:space="preserve"> from parents or guardians prior to commencing any </w:t>
      </w:r>
      <w:r w:rsidRPr="00A10A27">
        <w:rPr>
          <w:b/>
          <w:sz w:val="22"/>
          <w:szCs w:val="22"/>
        </w:rPr>
        <w:t xml:space="preserve">intensive, early intervention support or short-term, immediate assistance </w:t>
      </w:r>
      <w:r w:rsidRPr="00A10A27">
        <w:rPr>
          <w:sz w:val="22"/>
          <w:szCs w:val="22"/>
        </w:rPr>
        <w:t>with the child or young person</w:t>
      </w:r>
      <w:r>
        <w:rPr>
          <w:sz w:val="22"/>
          <w:szCs w:val="22"/>
        </w:rPr>
        <w:t xml:space="preserve">, </w:t>
      </w:r>
      <w:r w:rsidRPr="00EE5C17">
        <w:rPr>
          <w:sz w:val="22"/>
          <w:szCs w:val="22"/>
        </w:rPr>
        <w:t>and can provide evidence of this if requested by the department.</w:t>
      </w:r>
    </w:p>
    <w:p w14:paraId="21894CDF" w14:textId="77777777" w:rsidR="0079678E" w:rsidRPr="00A10A27" w:rsidRDefault="0079678E" w:rsidP="0079678E">
      <w:pPr>
        <w:spacing w:after="0"/>
        <w:rPr>
          <w:sz w:val="22"/>
          <w:szCs w:val="22"/>
        </w:rPr>
      </w:pPr>
      <w:r w:rsidRPr="00A10A27">
        <w:rPr>
          <w:sz w:val="22"/>
          <w:szCs w:val="22"/>
        </w:rPr>
        <w:t>FMHSS providers may encourage children, young people</w:t>
      </w:r>
      <w:r>
        <w:rPr>
          <w:sz w:val="22"/>
          <w:szCs w:val="22"/>
        </w:rPr>
        <w:t>,</w:t>
      </w:r>
      <w:r w:rsidRPr="00A10A27">
        <w:rPr>
          <w:sz w:val="22"/>
          <w:szCs w:val="22"/>
        </w:rPr>
        <w:t xml:space="preserve"> </w:t>
      </w:r>
      <w:r w:rsidRPr="00731BF0">
        <w:rPr>
          <w:sz w:val="22"/>
          <w:szCs w:val="22"/>
        </w:rPr>
        <w:t xml:space="preserve">their families or carers </w:t>
      </w:r>
      <w:r w:rsidRPr="00A10A27">
        <w:rPr>
          <w:sz w:val="22"/>
          <w:szCs w:val="22"/>
        </w:rPr>
        <w:t>to seek assistance through clinical mental health services if appropriate, but cannot exclude participants who decide not to engage with these services.</w:t>
      </w:r>
    </w:p>
    <w:p w14:paraId="2B56DCCE" w14:textId="77777777" w:rsidR="0079678E" w:rsidRDefault="0079678E" w:rsidP="004C278E">
      <w:pPr>
        <w:rPr>
          <w:sz w:val="22"/>
          <w:szCs w:val="22"/>
        </w:rPr>
      </w:pPr>
      <w:r>
        <w:rPr>
          <w:sz w:val="22"/>
          <w:szCs w:val="22"/>
        </w:rPr>
        <w:t>Key points:</w:t>
      </w:r>
    </w:p>
    <w:p w14:paraId="3E61A3DA" w14:textId="77777777" w:rsidR="0079678E" w:rsidRPr="00EA3CD3" w:rsidRDefault="0079678E" w:rsidP="0079678E">
      <w:pPr>
        <w:pStyle w:val="ListParagraph"/>
        <w:numPr>
          <w:ilvl w:val="0"/>
          <w:numId w:val="72"/>
        </w:numPr>
        <w:spacing w:before="0" w:after="0" w:line="276" w:lineRule="auto"/>
        <w:rPr>
          <w:sz w:val="22"/>
          <w:szCs w:val="22"/>
        </w:rPr>
      </w:pPr>
      <w:r w:rsidRPr="00EA3CD3">
        <w:rPr>
          <w:sz w:val="22"/>
          <w:szCs w:val="22"/>
        </w:rPr>
        <w:t>the child, young person, family or carers should reside in the provider’s service area as defined in the grant agreement</w:t>
      </w:r>
      <w:r w:rsidR="004B6DD5">
        <w:rPr>
          <w:sz w:val="22"/>
          <w:szCs w:val="22"/>
        </w:rPr>
        <w:t>;</w:t>
      </w:r>
    </w:p>
    <w:p w14:paraId="42D7B3F1" w14:textId="77777777" w:rsidR="0079678E" w:rsidRPr="00EA3CD3" w:rsidRDefault="0079678E" w:rsidP="0079678E">
      <w:pPr>
        <w:pStyle w:val="ListParagraph"/>
        <w:numPr>
          <w:ilvl w:val="0"/>
          <w:numId w:val="72"/>
        </w:numPr>
        <w:spacing w:before="0" w:after="0" w:line="276" w:lineRule="auto"/>
        <w:rPr>
          <w:sz w:val="22"/>
          <w:szCs w:val="22"/>
        </w:rPr>
      </w:pPr>
      <w:r w:rsidRPr="00EA3CD3">
        <w:rPr>
          <w:sz w:val="22"/>
          <w:szCs w:val="22"/>
        </w:rPr>
        <w:t>a young person aged 18, and living independently, is not required to seek their parents or guardians written consent – the FMHSS provider may, however, request details regarding their next of kin</w:t>
      </w:r>
      <w:r w:rsidR="004B6DD5">
        <w:rPr>
          <w:sz w:val="22"/>
          <w:szCs w:val="22"/>
        </w:rPr>
        <w:t>; and</w:t>
      </w:r>
    </w:p>
    <w:p w14:paraId="681F04E8" w14:textId="77777777" w:rsidR="0079678E" w:rsidRPr="00EA3CD3" w:rsidRDefault="0079678E" w:rsidP="0079678E">
      <w:pPr>
        <w:pStyle w:val="ListParagraph"/>
        <w:numPr>
          <w:ilvl w:val="0"/>
          <w:numId w:val="72"/>
        </w:numPr>
        <w:spacing w:before="0" w:after="0" w:line="276" w:lineRule="auto"/>
        <w:rPr>
          <w:sz w:val="22"/>
          <w:szCs w:val="22"/>
        </w:rPr>
      </w:pPr>
      <w:proofErr w:type="gramStart"/>
      <w:r w:rsidRPr="00EA3CD3">
        <w:rPr>
          <w:sz w:val="22"/>
          <w:szCs w:val="22"/>
        </w:rPr>
        <w:t>where</w:t>
      </w:r>
      <w:proofErr w:type="gramEnd"/>
      <w:r w:rsidRPr="00EA3CD3">
        <w:rPr>
          <w:sz w:val="22"/>
          <w:szCs w:val="22"/>
        </w:rPr>
        <w:t xml:space="preserve"> a child or young person’s parents or carers are separated or divorced, the FMHSS provider should seek written consent from either parents or carers, including addressing any existing court or family order requirements.</w:t>
      </w:r>
    </w:p>
    <w:p w14:paraId="090C28C1" w14:textId="77777777" w:rsidR="0079678E" w:rsidRPr="00A10A27" w:rsidRDefault="0079678E" w:rsidP="0079678E">
      <w:pPr>
        <w:spacing w:after="120"/>
        <w:rPr>
          <w:b/>
          <w:sz w:val="22"/>
          <w:szCs w:val="22"/>
        </w:rPr>
      </w:pPr>
      <w:r w:rsidRPr="00A10A27">
        <w:rPr>
          <w:b/>
          <w:sz w:val="22"/>
          <w:szCs w:val="22"/>
        </w:rPr>
        <w:t>Screening/intake processes</w:t>
      </w:r>
    </w:p>
    <w:p w14:paraId="328419E1" w14:textId="391EA5C0" w:rsidR="0079678E" w:rsidRPr="00A10A27" w:rsidRDefault="0079678E" w:rsidP="004C278E">
      <w:pPr>
        <w:rPr>
          <w:sz w:val="22"/>
          <w:szCs w:val="22"/>
        </w:rPr>
      </w:pPr>
      <w:r>
        <w:rPr>
          <w:sz w:val="22"/>
          <w:szCs w:val="22"/>
        </w:rPr>
        <w:t xml:space="preserve">In order to on-board a FMHSS participant – the provider should perform a </w:t>
      </w:r>
      <w:r w:rsidRPr="00A10A27">
        <w:rPr>
          <w:sz w:val="22"/>
          <w:szCs w:val="22"/>
        </w:rPr>
        <w:t>screening/intake process</w:t>
      </w:r>
      <w:r>
        <w:rPr>
          <w:sz w:val="22"/>
          <w:szCs w:val="22"/>
        </w:rPr>
        <w:t>:</w:t>
      </w:r>
    </w:p>
    <w:p w14:paraId="10E19532" w14:textId="0BFABDFD" w:rsidR="0079678E" w:rsidRPr="00A10A2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A10A27">
        <w:rPr>
          <w:rFonts w:eastAsia="Calibri" w:cs="Arial"/>
          <w:spacing w:val="0"/>
          <w:sz w:val="22"/>
          <w:szCs w:val="22"/>
          <w:lang w:eastAsia="en-US"/>
        </w:rPr>
        <w:t>is designed to determine whether the child or young person is eligible for FMHSS</w:t>
      </w:r>
      <w:r w:rsidR="004B6DD5">
        <w:rPr>
          <w:rFonts w:eastAsia="Calibri" w:cs="Arial"/>
          <w:spacing w:val="0"/>
          <w:sz w:val="22"/>
          <w:szCs w:val="22"/>
          <w:lang w:eastAsia="en-US"/>
        </w:rPr>
        <w:t>;</w:t>
      </w:r>
    </w:p>
    <w:p w14:paraId="39256B71" w14:textId="20850008" w:rsidR="0079678E" w:rsidRPr="00A10A2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A10A27">
        <w:rPr>
          <w:rFonts w:eastAsia="Calibri" w:cs="Arial"/>
          <w:spacing w:val="0"/>
          <w:sz w:val="22"/>
          <w:szCs w:val="22"/>
          <w:lang w:eastAsia="en-US"/>
        </w:rPr>
        <w:t>should determine if FMHSS are the most appropriate services for the child, young person and their family or carer</w:t>
      </w:r>
      <w:r w:rsidR="0009465C">
        <w:rPr>
          <w:rFonts w:eastAsia="Calibri" w:cs="Arial"/>
          <w:spacing w:val="0"/>
          <w:sz w:val="22"/>
          <w:szCs w:val="22"/>
          <w:lang w:eastAsia="en-US"/>
        </w:rPr>
        <w:t>;</w:t>
      </w:r>
      <w:r>
        <w:rPr>
          <w:rFonts w:eastAsia="Calibri" w:cs="Arial"/>
          <w:spacing w:val="0"/>
          <w:sz w:val="22"/>
          <w:szCs w:val="22"/>
          <w:lang w:eastAsia="en-US"/>
        </w:rPr>
        <w:t xml:space="preserve"> and</w:t>
      </w:r>
    </w:p>
    <w:p w14:paraId="6B97A471" w14:textId="77777777" w:rsidR="0079678E" w:rsidRPr="00A10A27"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A10A27">
        <w:rPr>
          <w:rFonts w:eastAsia="Calibri" w:cs="Arial"/>
          <w:spacing w:val="0"/>
          <w:sz w:val="22"/>
          <w:szCs w:val="22"/>
          <w:lang w:eastAsia="en-US"/>
        </w:rPr>
        <w:t>commences</w:t>
      </w:r>
      <w:proofErr w:type="gramEnd"/>
      <w:r w:rsidRPr="00A10A27">
        <w:rPr>
          <w:rFonts w:eastAsia="Calibri" w:cs="Arial"/>
          <w:spacing w:val="0"/>
          <w:sz w:val="22"/>
          <w:szCs w:val="22"/>
          <w:lang w:eastAsia="en-US"/>
        </w:rPr>
        <w:t xml:space="preserve"> on engagement with the FMHSS provider.</w:t>
      </w:r>
    </w:p>
    <w:p w14:paraId="338C6D73" w14:textId="77777777" w:rsidR="0079678E" w:rsidRPr="00A10A27" w:rsidRDefault="0079678E" w:rsidP="0079678E">
      <w:pPr>
        <w:spacing w:after="0"/>
        <w:rPr>
          <w:sz w:val="22"/>
          <w:szCs w:val="22"/>
        </w:rPr>
      </w:pPr>
      <w:r w:rsidRPr="00A10A27">
        <w:rPr>
          <w:sz w:val="22"/>
          <w:szCs w:val="22"/>
        </w:rPr>
        <w:t>The FMHSS provider may use screening/intake procedures already established by the organisation</w:t>
      </w:r>
      <w:r>
        <w:rPr>
          <w:sz w:val="22"/>
          <w:szCs w:val="22"/>
        </w:rPr>
        <w:t xml:space="preserve">. </w:t>
      </w:r>
      <w:r w:rsidRPr="00A10A27">
        <w:rPr>
          <w:sz w:val="22"/>
          <w:szCs w:val="22"/>
        </w:rPr>
        <w:t xml:space="preserve">An example intake/screening template at </w:t>
      </w:r>
      <w:r w:rsidRPr="00DC3D55">
        <w:rPr>
          <w:b/>
          <w:sz w:val="22"/>
          <w:szCs w:val="22"/>
        </w:rPr>
        <w:t>Appendix C.</w:t>
      </w:r>
    </w:p>
    <w:p w14:paraId="2D4FABEC" w14:textId="77777777" w:rsidR="0079678E" w:rsidRPr="00A10A27" w:rsidRDefault="0079678E" w:rsidP="004C278E">
      <w:pPr>
        <w:keepNext/>
        <w:rPr>
          <w:sz w:val="22"/>
          <w:szCs w:val="22"/>
        </w:rPr>
      </w:pPr>
      <w:r w:rsidRPr="00A10A27">
        <w:rPr>
          <w:b/>
          <w:sz w:val="22"/>
          <w:szCs w:val="22"/>
        </w:rPr>
        <w:t>Persons not eligible</w:t>
      </w:r>
      <w:r w:rsidRPr="00A10A27">
        <w:rPr>
          <w:sz w:val="22"/>
          <w:szCs w:val="22"/>
        </w:rPr>
        <w:t xml:space="preserve"> to participate in FMHSS include those:</w:t>
      </w:r>
    </w:p>
    <w:p w14:paraId="648339B9" w14:textId="1B450B3E" w:rsidR="0079678E" w:rsidRPr="00A10A27" w:rsidRDefault="0079678E" w:rsidP="0079678E">
      <w:pPr>
        <w:pStyle w:val="ListParagraph"/>
        <w:keepNext/>
        <w:numPr>
          <w:ilvl w:val="0"/>
          <w:numId w:val="71"/>
        </w:numPr>
        <w:spacing w:before="0" w:after="0" w:line="240" w:lineRule="auto"/>
        <w:rPr>
          <w:sz w:val="22"/>
          <w:szCs w:val="22"/>
        </w:rPr>
      </w:pPr>
      <w:r w:rsidRPr="00A10A27">
        <w:rPr>
          <w:rFonts w:eastAsia="Calibri" w:cs="Arial"/>
          <w:spacing w:val="0"/>
          <w:sz w:val="22"/>
          <w:szCs w:val="22"/>
          <w:lang w:eastAsia="en-US"/>
        </w:rPr>
        <w:t>who do not meet the eligibility criteria</w:t>
      </w:r>
      <w:r w:rsidR="0009465C">
        <w:rPr>
          <w:rFonts w:eastAsia="Calibri" w:cs="Arial"/>
          <w:spacing w:val="0"/>
          <w:sz w:val="22"/>
          <w:szCs w:val="22"/>
          <w:lang w:eastAsia="en-US"/>
        </w:rPr>
        <w:t>;</w:t>
      </w:r>
    </w:p>
    <w:p w14:paraId="194A68DE" w14:textId="7CDAECF1" w:rsidR="0079678E" w:rsidRPr="00A10A27" w:rsidRDefault="0079678E" w:rsidP="0079678E">
      <w:pPr>
        <w:pStyle w:val="ListParagraph"/>
        <w:keepNext/>
        <w:numPr>
          <w:ilvl w:val="0"/>
          <w:numId w:val="71"/>
        </w:numPr>
        <w:spacing w:before="0" w:after="0" w:line="240" w:lineRule="auto"/>
        <w:rPr>
          <w:sz w:val="22"/>
          <w:szCs w:val="22"/>
        </w:rPr>
      </w:pPr>
      <w:r w:rsidRPr="00A10A27">
        <w:rPr>
          <w:rFonts w:eastAsia="Calibri" w:cs="Arial"/>
          <w:spacing w:val="0"/>
          <w:sz w:val="22"/>
          <w:szCs w:val="22"/>
          <w:lang w:eastAsia="en-US"/>
        </w:rPr>
        <w:t>not able to access services in the community because of their residential setting (residential care) or legal conditions imposed on their activities (detention)</w:t>
      </w:r>
      <w:r w:rsidR="0009465C">
        <w:rPr>
          <w:rFonts w:eastAsia="Calibri" w:cs="Arial"/>
          <w:spacing w:val="0"/>
          <w:sz w:val="22"/>
          <w:szCs w:val="22"/>
          <w:lang w:eastAsia="en-US"/>
        </w:rPr>
        <w:t>;</w:t>
      </w:r>
    </w:p>
    <w:p w14:paraId="56A5CD63" w14:textId="69740582" w:rsidR="0079678E" w:rsidRPr="00A10A27" w:rsidRDefault="0079678E" w:rsidP="0079678E">
      <w:pPr>
        <w:pStyle w:val="ListParagraph"/>
        <w:numPr>
          <w:ilvl w:val="0"/>
          <w:numId w:val="71"/>
        </w:numPr>
        <w:spacing w:before="0" w:after="0" w:line="240" w:lineRule="auto"/>
        <w:rPr>
          <w:sz w:val="22"/>
          <w:szCs w:val="22"/>
        </w:rPr>
      </w:pPr>
      <w:r w:rsidRPr="00A10A27">
        <w:rPr>
          <w:rFonts w:eastAsia="Calibri" w:cs="Arial"/>
          <w:spacing w:val="0"/>
          <w:sz w:val="22"/>
          <w:szCs w:val="22"/>
          <w:lang w:eastAsia="en-US"/>
        </w:rPr>
        <w:t>not able or willing to engage family or carer in at least the assessment of need and development of a FAP</w:t>
      </w:r>
      <w:r w:rsidR="0009465C">
        <w:rPr>
          <w:rFonts w:eastAsia="Calibri" w:cs="Arial"/>
          <w:spacing w:val="0"/>
          <w:sz w:val="22"/>
          <w:szCs w:val="22"/>
          <w:lang w:eastAsia="en-US"/>
        </w:rPr>
        <w:t>;</w:t>
      </w:r>
      <w:r w:rsidRPr="00A10A27">
        <w:rPr>
          <w:rFonts w:eastAsia="Calibri" w:cs="Arial"/>
          <w:spacing w:val="0"/>
          <w:sz w:val="22"/>
          <w:szCs w:val="22"/>
          <w:lang w:eastAsia="en-US"/>
        </w:rPr>
        <w:t xml:space="preserve"> and</w:t>
      </w:r>
    </w:p>
    <w:p w14:paraId="31C52668" w14:textId="101CB824" w:rsidR="0079678E" w:rsidRPr="00A10A27" w:rsidRDefault="0079678E" w:rsidP="0079678E">
      <w:pPr>
        <w:pStyle w:val="ListParagraph"/>
        <w:numPr>
          <w:ilvl w:val="0"/>
          <w:numId w:val="71"/>
        </w:numPr>
        <w:spacing w:before="0" w:after="0" w:line="240" w:lineRule="auto"/>
        <w:rPr>
          <w:sz w:val="22"/>
          <w:szCs w:val="22"/>
        </w:rPr>
      </w:pPr>
      <w:proofErr w:type="gramStart"/>
      <w:r w:rsidRPr="00A10A27">
        <w:rPr>
          <w:rFonts w:eastAsia="Calibri" w:cs="Arial"/>
          <w:spacing w:val="0"/>
          <w:sz w:val="22"/>
          <w:szCs w:val="22"/>
          <w:lang w:eastAsia="en-US"/>
        </w:rPr>
        <w:t>a</w:t>
      </w:r>
      <w:proofErr w:type="gramEnd"/>
      <w:r w:rsidRPr="00A10A27">
        <w:rPr>
          <w:rFonts w:eastAsia="Calibri" w:cs="Arial"/>
          <w:spacing w:val="0"/>
          <w:sz w:val="22"/>
          <w:szCs w:val="22"/>
          <w:lang w:eastAsia="en-US"/>
        </w:rPr>
        <w:t xml:space="preserve"> child or young person under the care of (as distinct from in contact with) the child protection system.</w:t>
      </w:r>
    </w:p>
    <w:p w14:paraId="735F3CA5" w14:textId="77777777" w:rsidR="00ED0517" w:rsidRDefault="00ED0517">
      <w:pPr>
        <w:spacing w:before="0" w:after="200" w:line="276" w:lineRule="auto"/>
        <w:rPr>
          <w:sz w:val="22"/>
          <w:szCs w:val="22"/>
        </w:rPr>
      </w:pPr>
      <w:r>
        <w:rPr>
          <w:sz w:val="22"/>
          <w:szCs w:val="22"/>
        </w:rPr>
        <w:br w:type="page"/>
      </w:r>
    </w:p>
    <w:p w14:paraId="27A6701E" w14:textId="141B210B" w:rsidR="0079678E" w:rsidRPr="00A10A27" w:rsidRDefault="0079678E" w:rsidP="0079678E">
      <w:pPr>
        <w:spacing w:after="0"/>
        <w:rPr>
          <w:sz w:val="22"/>
          <w:szCs w:val="22"/>
        </w:rPr>
      </w:pPr>
      <w:r>
        <w:rPr>
          <w:sz w:val="22"/>
          <w:szCs w:val="22"/>
        </w:rPr>
        <w:lastRenderedPageBreak/>
        <w:t xml:space="preserve">If the </w:t>
      </w:r>
      <w:r w:rsidRPr="00A10A27">
        <w:rPr>
          <w:sz w:val="22"/>
          <w:szCs w:val="22"/>
        </w:rPr>
        <w:t>FMHSS provider is working with a child who subsequently comes under the care of</w:t>
      </w:r>
      <w:r w:rsidR="00ED0517">
        <w:rPr>
          <w:sz w:val="22"/>
          <w:szCs w:val="22"/>
        </w:rPr>
        <w:t> </w:t>
      </w:r>
      <w:r w:rsidRPr="00A10A27">
        <w:rPr>
          <w:sz w:val="22"/>
          <w:szCs w:val="22"/>
        </w:rPr>
        <w:t xml:space="preserve">the child protection system, it is anticipated the provider would work closely with the child protection agency to determine </w:t>
      </w:r>
      <w:r>
        <w:rPr>
          <w:sz w:val="22"/>
          <w:szCs w:val="22"/>
        </w:rPr>
        <w:t xml:space="preserve">what </w:t>
      </w:r>
      <w:r w:rsidRPr="00A10A27">
        <w:rPr>
          <w:sz w:val="22"/>
          <w:szCs w:val="22"/>
        </w:rPr>
        <w:t xml:space="preserve">appropriate supports and services would be best for the child or young person and </w:t>
      </w:r>
      <w:r>
        <w:rPr>
          <w:sz w:val="22"/>
          <w:szCs w:val="22"/>
        </w:rPr>
        <w:t xml:space="preserve">then </w:t>
      </w:r>
      <w:r w:rsidRPr="00A10A27">
        <w:rPr>
          <w:sz w:val="22"/>
          <w:szCs w:val="22"/>
        </w:rPr>
        <w:t xml:space="preserve">gradually withdraw </w:t>
      </w:r>
      <w:r>
        <w:rPr>
          <w:sz w:val="22"/>
          <w:szCs w:val="22"/>
        </w:rPr>
        <w:t xml:space="preserve">FMHSS </w:t>
      </w:r>
      <w:r w:rsidRPr="00A10A27">
        <w:rPr>
          <w:sz w:val="22"/>
          <w:szCs w:val="22"/>
        </w:rPr>
        <w:t>assistance</w:t>
      </w:r>
      <w:r w:rsidR="00ED0517">
        <w:rPr>
          <w:sz w:val="22"/>
          <w:szCs w:val="22"/>
        </w:rPr>
        <w:t xml:space="preserve">, </w:t>
      </w:r>
      <w:r w:rsidRPr="00A10A27">
        <w:rPr>
          <w:sz w:val="22"/>
          <w:szCs w:val="22"/>
        </w:rPr>
        <w:t>following securing appropriate support for the child or young person.</w:t>
      </w:r>
    </w:p>
    <w:p w14:paraId="3727F136" w14:textId="77777777" w:rsidR="007B19C7" w:rsidRPr="008B0771" w:rsidRDefault="0079678E" w:rsidP="004C278E">
      <w:pPr>
        <w:pStyle w:val="Heading1"/>
      </w:pPr>
      <w:bookmarkStart w:id="141" w:name="_Toc70494407"/>
      <w:bookmarkStart w:id="142" w:name="_Toc70494408"/>
      <w:bookmarkStart w:id="143" w:name="_Toc70494409"/>
      <w:bookmarkStart w:id="144" w:name="_Toc70494410"/>
      <w:bookmarkStart w:id="145" w:name="_Toc70494411"/>
      <w:bookmarkStart w:id="146" w:name="_Toc70494412"/>
      <w:bookmarkStart w:id="147" w:name="_Toc70494413"/>
      <w:bookmarkStart w:id="148" w:name="_Toc70494414"/>
      <w:bookmarkStart w:id="149" w:name="_Toc70494415"/>
      <w:bookmarkStart w:id="150" w:name="_Toc70494416"/>
      <w:bookmarkStart w:id="151" w:name="_Toc70494417"/>
      <w:bookmarkStart w:id="152" w:name="_Toc70494418"/>
      <w:bookmarkStart w:id="153" w:name="_Toc70494419"/>
      <w:bookmarkStart w:id="154" w:name="_Toc70494420"/>
      <w:bookmarkStart w:id="155" w:name="_Toc70494421"/>
      <w:bookmarkStart w:id="156" w:name="_Toc70494422"/>
      <w:bookmarkStart w:id="157" w:name="_Toc70494423"/>
      <w:bookmarkStart w:id="158" w:name="_Toc70494424"/>
      <w:bookmarkStart w:id="159" w:name="_Toc70494425"/>
      <w:bookmarkStart w:id="160" w:name="_Toc7059966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Accessibility</w:t>
      </w:r>
      <w:bookmarkEnd w:id="160"/>
      <w:r w:rsidR="007B19C7" w:rsidRPr="008B0771">
        <w:t xml:space="preserve"> </w:t>
      </w:r>
    </w:p>
    <w:p w14:paraId="125D74F2" w14:textId="77777777" w:rsidR="0079678E" w:rsidRPr="00A10A27" w:rsidRDefault="0079678E" w:rsidP="0079678E">
      <w:pPr>
        <w:rPr>
          <w:sz w:val="22"/>
          <w:szCs w:val="22"/>
        </w:rPr>
      </w:pPr>
      <w:r w:rsidRPr="00A10A27">
        <w:rPr>
          <w:sz w:val="22"/>
          <w:szCs w:val="22"/>
        </w:rPr>
        <w:t>FMHSS must be accessible to all families, children and young people in accordance with the following policy:</w:t>
      </w:r>
    </w:p>
    <w:p w14:paraId="265C109A" w14:textId="77777777" w:rsidR="0079678E" w:rsidRDefault="0079678E" w:rsidP="0079678E">
      <w:pPr>
        <w:pStyle w:val="ListParagraph"/>
        <w:numPr>
          <w:ilvl w:val="0"/>
          <w:numId w:val="71"/>
        </w:numPr>
        <w:spacing w:before="0" w:after="0" w:line="240" w:lineRule="auto"/>
        <w:rPr>
          <w:sz w:val="22"/>
          <w:szCs w:val="22"/>
        </w:rPr>
      </w:pPr>
      <w:r w:rsidRPr="00A10A27">
        <w:rPr>
          <w:sz w:val="22"/>
          <w:szCs w:val="22"/>
        </w:rPr>
        <w:t>Access and Equity Policy (</w:t>
      </w:r>
      <w:hyperlink r:id="rId28" w:history="1">
        <w:r w:rsidRPr="007F67E5">
          <w:rPr>
            <w:rStyle w:val="Hyperlink"/>
            <w:szCs w:val="22"/>
          </w:rPr>
          <w:t>https://www.communitygrants.gov.au/information-recipients/access-and-equity-policy</w:t>
        </w:r>
      </w:hyperlink>
      <w:r w:rsidRPr="00A10A27">
        <w:rPr>
          <w:sz w:val="22"/>
          <w:szCs w:val="22"/>
        </w:rPr>
        <w:t>)</w:t>
      </w:r>
    </w:p>
    <w:p w14:paraId="34F5AFA0" w14:textId="3F66852D" w:rsidR="0079678E" w:rsidRPr="00A10A27" w:rsidRDefault="0079678E" w:rsidP="0079678E">
      <w:pPr>
        <w:rPr>
          <w:sz w:val="22"/>
          <w:szCs w:val="22"/>
        </w:rPr>
      </w:pPr>
      <w:r w:rsidRPr="00731BF0">
        <w:rPr>
          <w:sz w:val="22"/>
          <w:szCs w:val="22"/>
        </w:rPr>
        <w:t>FMHSS</w:t>
      </w:r>
      <w:r w:rsidRPr="00F5128D" w:rsidDel="00731BF0">
        <w:rPr>
          <w:sz w:val="22"/>
          <w:szCs w:val="22"/>
        </w:rPr>
        <w:t xml:space="preserve"> </w:t>
      </w:r>
      <w:r w:rsidRPr="00A10A27">
        <w:rPr>
          <w:sz w:val="22"/>
          <w:szCs w:val="22"/>
        </w:rPr>
        <w:t xml:space="preserve">must be flexible, culturally competent, culturally sensitive and responsive to the needs of </w:t>
      </w:r>
      <w:r w:rsidRPr="00AC6AE6">
        <w:rPr>
          <w:sz w:val="22"/>
          <w:szCs w:val="22"/>
        </w:rPr>
        <w:t>participants</w:t>
      </w:r>
      <w:r>
        <w:rPr>
          <w:sz w:val="22"/>
          <w:szCs w:val="22"/>
        </w:rPr>
        <w:t>. FMHSS</w:t>
      </w:r>
      <w:r w:rsidRPr="00DE20C1">
        <w:rPr>
          <w:sz w:val="22"/>
          <w:szCs w:val="22"/>
        </w:rPr>
        <w:t xml:space="preserve"> providers must ensure that cultural and linguistic diversity is not a barrier for participants by providing access to language services where appropriate.</w:t>
      </w:r>
    </w:p>
    <w:p w14:paraId="505F5222" w14:textId="77777777" w:rsidR="0079678E" w:rsidRDefault="0079678E" w:rsidP="0079678E">
      <w:pPr>
        <w:spacing w:after="0"/>
        <w:rPr>
          <w:sz w:val="22"/>
          <w:szCs w:val="22"/>
        </w:rPr>
      </w:pPr>
      <w:r w:rsidRPr="00731BF0">
        <w:rPr>
          <w:sz w:val="22"/>
          <w:szCs w:val="22"/>
        </w:rPr>
        <w:t xml:space="preserve">FMHSS providers </w:t>
      </w:r>
      <w:r w:rsidRPr="00A10A27">
        <w:rPr>
          <w:sz w:val="22"/>
          <w:szCs w:val="22"/>
        </w:rPr>
        <w:t>must</w:t>
      </w:r>
      <w:r>
        <w:rPr>
          <w:sz w:val="22"/>
          <w:szCs w:val="22"/>
        </w:rPr>
        <w:t>:</w:t>
      </w:r>
      <w:r w:rsidRPr="00A10A27">
        <w:rPr>
          <w:sz w:val="22"/>
          <w:szCs w:val="22"/>
        </w:rPr>
        <w:t xml:space="preserve"> </w:t>
      </w:r>
    </w:p>
    <w:p w14:paraId="73DEC75A" w14:textId="29038B31" w:rsidR="0079678E" w:rsidRDefault="0079678E" w:rsidP="0079678E">
      <w:pPr>
        <w:pStyle w:val="ListParagraph"/>
        <w:numPr>
          <w:ilvl w:val="0"/>
          <w:numId w:val="71"/>
        </w:numPr>
        <w:spacing w:before="0" w:after="0" w:line="240" w:lineRule="auto"/>
        <w:rPr>
          <w:rFonts w:eastAsia="Calibri" w:cs="Arial"/>
          <w:spacing w:val="0"/>
          <w:sz w:val="22"/>
          <w:szCs w:val="22"/>
          <w:lang w:eastAsia="en-US"/>
        </w:rPr>
      </w:pPr>
      <w:r w:rsidRPr="00A10A27">
        <w:rPr>
          <w:rFonts w:eastAsia="Calibri" w:cs="Arial"/>
          <w:spacing w:val="0"/>
          <w:sz w:val="22"/>
          <w:szCs w:val="22"/>
          <w:lang w:eastAsia="en-US"/>
        </w:rPr>
        <w:t>provide disability access, including making information available in a range of</w:t>
      </w:r>
      <w:r w:rsidR="0009465C">
        <w:rPr>
          <w:rFonts w:eastAsia="Calibri" w:cs="Arial"/>
          <w:spacing w:val="0"/>
          <w:sz w:val="22"/>
          <w:szCs w:val="22"/>
          <w:lang w:eastAsia="en-US"/>
        </w:rPr>
        <w:t> </w:t>
      </w:r>
      <w:r w:rsidRPr="00A10A27">
        <w:rPr>
          <w:rFonts w:eastAsia="Calibri" w:cs="Arial"/>
          <w:spacing w:val="0"/>
          <w:sz w:val="22"/>
          <w:szCs w:val="22"/>
          <w:lang w:eastAsia="en-US"/>
        </w:rPr>
        <w:t>accessible formats for people with impaired vision or hearing, poor literacy or</w:t>
      </w:r>
      <w:r w:rsidR="0009465C">
        <w:rPr>
          <w:rFonts w:eastAsia="Calibri" w:cs="Arial"/>
          <w:spacing w:val="0"/>
          <w:sz w:val="22"/>
          <w:szCs w:val="22"/>
          <w:lang w:eastAsia="en-US"/>
        </w:rPr>
        <w:t> </w:t>
      </w:r>
      <w:r w:rsidRPr="00A10A27">
        <w:rPr>
          <w:rFonts w:eastAsia="Calibri" w:cs="Arial"/>
          <w:spacing w:val="0"/>
          <w:sz w:val="22"/>
          <w:szCs w:val="22"/>
          <w:lang w:eastAsia="en-US"/>
        </w:rPr>
        <w:t>language barriers</w:t>
      </w:r>
      <w:r w:rsidR="0009465C">
        <w:rPr>
          <w:rFonts w:eastAsia="Calibri" w:cs="Arial"/>
          <w:spacing w:val="0"/>
          <w:sz w:val="22"/>
          <w:szCs w:val="22"/>
          <w:lang w:eastAsia="en-US"/>
        </w:rPr>
        <w:t>;</w:t>
      </w:r>
      <w:r>
        <w:rPr>
          <w:rFonts w:eastAsia="Calibri" w:cs="Arial"/>
          <w:spacing w:val="0"/>
          <w:sz w:val="22"/>
          <w:szCs w:val="22"/>
          <w:lang w:eastAsia="en-US"/>
        </w:rPr>
        <w:t xml:space="preserve"> </w:t>
      </w:r>
    </w:p>
    <w:p w14:paraId="4492C234" w14:textId="368C0013" w:rsidR="0079678E" w:rsidRDefault="0079678E" w:rsidP="0079678E">
      <w:pPr>
        <w:pStyle w:val="ListParagraph"/>
        <w:numPr>
          <w:ilvl w:val="0"/>
          <w:numId w:val="71"/>
        </w:numPr>
        <w:spacing w:before="0" w:after="0" w:line="240" w:lineRule="auto"/>
        <w:rPr>
          <w:rFonts w:eastAsia="Calibri" w:cs="Arial"/>
          <w:spacing w:val="0"/>
          <w:sz w:val="22"/>
          <w:szCs w:val="22"/>
          <w:lang w:eastAsia="en-US"/>
        </w:rPr>
      </w:pPr>
      <w:r>
        <w:rPr>
          <w:rFonts w:eastAsia="Calibri" w:cs="Arial"/>
          <w:spacing w:val="0"/>
          <w:sz w:val="22"/>
          <w:szCs w:val="22"/>
          <w:lang w:eastAsia="en-US"/>
        </w:rPr>
        <w:t>u</w:t>
      </w:r>
      <w:r w:rsidRPr="00A10A27">
        <w:rPr>
          <w:rFonts w:eastAsia="Calibri" w:cs="Arial"/>
          <w:spacing w:val="0"/>
          <w:sz w:val="22"/>
          <w:szCs w:val="22"/>
          <w:lang w:eastAsia="en-US"/>
        </w:rPr>
        <w:t xml:space="preserve">se an open-door approach, </w:t>
      </w:r>
      <w:r>
        <w:rPr>
          <w:rFonts w:eastAsia="Calibri" w:cs="Arial"/>
          <w:spacing w:val="0"/>
          <w:sz w:val="22"/>
          <w:szCs w:val="22"/>
          <w:lang w:eastAsia="en-US"/>
        </w:rPr>
        <w:t xml:space="preserve">with an </w:t>
      </w:r>
      <w:r w:rsidRPr="00A10A27">
        <w:rPr>
          <w:rFonts w:eastAsia="Calibri" w:cs="Arial"/>
          <w:spacing w:val="0"/>
          <w:sz w:val="22"/>
          <w:szCs w:val="22"/>
          <w:lang w:eastAsia="en-US"/>
        </w:rPr>
        <w:t>outreach</w:t>
      </w:r>
      <w:r>
        <w:rPr>
          <w:rFonts w:eastAsia="Calibri" w:cs="Arial"/>
          <w:spacing w:val="0"/>
          <w:sz w:val="22"/>
          <w:szCs w:val="22"/>
          <w:lang w:eastAsia="en-US"/>
        </w:rPr>
        <w:t xml:space="preserve"> element of delivery </w:t>
      </w:r>
      <w:r w:rsidRPr="00A10A27">
        <w:rPr>
          <w:rFonts w:eastAsia="Calibri" w:cs="Arial"/>
          <w:spacing w:val="0"/>
          <w:sz w:val="22"/>
          <w:szCs w:val="22"/>
          <w:lang w:eastAsia="en-US"/>
        </w:rPr>
        <w:t>(not just drop</w:t>
      </w:r>
      <w:r w:rsidR="0009465C">
        <w:rPr>
          <w:rFonts w:eastAsia="Calibri" w:cs="Arial"/>
          <w:spacing w:val="0"/>
          <w:sz w:val="22"/>
          <w:szCs w:val="22"/>
          <w:lang w:eastAsia="en-US"/>
        </w:rPr>
        <w:noBreakHyphen/>
      </w:r>
      <w:r w:rsidRPr="00A10A27">
        <w:rPr>
          <w:rFonts w:eastAsia="Calibri" w:cs="Arial"/>
          <w:spacing w:val="0"/>
          <w:sz w:val="22"/>
          <w:szCs w:val="22"/>
          <w:lang w:eastAsia="en-US"/>
        </w:rPr>
        <w:t>in</w:t>
      </w:r>
      <w:r w:rsidR="0009465C">
        <w:rPr>
          <w:rFonts w:eastAsia="Calibri" w:cs="Arial"/>
          <w:spacing w:val="0"/>
          <w:sz w:val="22"/>
          <w:szCs w:val="22"/>
          <w:lang w:eastAsia="en-US"/>
        </w:rPr>
        <w:t> </w:t>
      </w:r>
      <w:r w:rsidRPr="00A10A27">
        <w:rPr>
          <w:rFonts w:eastAsia="Calibri" w:cs="Arial"/>
          <w:spacing w:val="0"/>
          <w:sz w:val="22"/>
          <w:szCs w:val="22"/>
          <w:lang w:eastAsia="en-US"/>
        </w:rPr>
        <w:t>or appointment services)</w:t>
      </w:r>
      <w:r w:rsidR="0009465C">
        <w:rPr>
          <w:rFonts w:eastAsia="Calibri" w:cs="Arial"/>
          <w:spacing w:val="0"/>
          <w:sz w:val="22"/>
          <w:szCs w:val="22"/>
          <w:lang w:eastAsia="en-US"/>
        </w:rPr>
        <w:t>;</w:t>
      </w:r>
      <w:r w:rsidRPr="00A10A27">
        <w:rPr>
          <w:rFonts w:eastAsia="Calibri" w:cs="Arial"/>
          <w:spacing w:val="0"/>
          <w:sz w:val="22"/>
          <w:szCs w:val="22"/>
          <w:lang w:eastAsia="en-US"/>
        </w:rPr>
        <w:t xml:space="preserve"> and </w:t>
      </w:r>
    </w:p>
    <w:p w14:paraId="4D311E21" w14:textId="7586749E" w:rsidR="0079678E"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A10A27">
        <w:rPr>
          <w:rFonts w:eastAsia="Calibri" w:cs="Arial"/>
          <w:spacing w:val="0"/>
          <w:sz w:val="22"/>
          <w:szCs w:val="22"/>
          <w:lang w:eastAsia="en-US"/>
        </w:rPr>
        <w:t>using</w:t>
      </w:r>
      <w:proofErr w:type="gramEnd"/>
      <w:r w:rsidRPr="00A10A27">
        <w:rPr>
          <w:rFonts w:eastAsia="Calibri" w:cs="Arial"/>
          <w:spacing w:val="0"/>
          <w:sz w:val="22"/>
          <w:szCs w:val="22"/>
          <w:lang w:eastAsia="en-US"/>
        </w:rPr>
        <w:t xml:space="preserve"> </w:t>
      </w:r>
      <w:r>
        <w:rPr>
          <w:rFonts w:eastAsia="Calibri" w:cs="Arial"/>
          <w:spacing w:val="0"/>
          <w:sz w:val="22"/>
          <w:szCs w:val="22"/>
          <w:lang w:eastAsia="en-US"/>
        </w:rPr>
        <w:t>community development app</w:t>
      </w:r>
      <w:r w:rsidRPr="00A10A27">
        <w:rPr>
          <w:rFonts w:eastAsia="Calibri" w:cs="Arial"/>
          <w:spacing w:val="0"/>
          <w:sz w:val="22"/>
          <w:szCs w:val="22"/>
          <w:lang w:eastAsia="en-US"/>
        </w:rPr>
        <w:t>roaches to planning and service delivery.</w:t>
      </w:r>
    </w:p>
    <w:p w14:paraId="705DBEA3" w14:textId="3E715162" w:rsidR="0079678E" w:rsidRPr="00A10A27" w:rsidRDefault="0079678E" w:rsidP="0079678E">
      <w:pPr>
        <w:rPr>
          <w:sz w:val="22"/>
          <w:szCs w:val="22"/>
        </w:rPr>
      </w:pPr>
      <w:r w:rsidRPr="001E0938">
        <w:rPr>
          <w:rFonts w:eastAsia="Calibri" w:cs="Arial"/>
          <w:spacing w:val="0"/>
          <w:sz w:val="22"/>
          <w:szCs w:val="22"/>
          <w:lang w:eastAsia="en-US"/>
        </w:rPr>
        <w:t xml:space="preserve">FMHSS providers </w:t>
      </w:r>
      <w:r w:rsidRPr="00A10A27">
        <w:rPr>
          <w:rFonts w:eastAsia="Calibri" w:cs="Arial"/>
          <w:spacing w:val="0"/>
          <w:sz w:val="22"/>
          <w:szCs w:val="22"/>
          <w:lang w:eastAsia="en-US"/>
        </w:rPr>
        <w:t>should design and deliver services in ways that reduce the stigma of</w:t>
      </w:r>
      <w:r w:rsidR="0009465C">
        <w:rPr>
          <w:rFonts w:eastAsia="Calibri" w:cs="Arial"/>
          <w:spacing w:val="0"/>
          <w:sz w:val="22"/>
          <w:szCs w:val="22"/>
          <w:lang w:eastAsia="en-US"/>
        </w:rPr>
        <w:t> </w:t>
      </w:r>
      <w:r w:rsidRPr="00A10A27">
        <w:rPr>
          <w:rFonts w:eastAsia="Calibri" w:cs="Arial"/>
          <w:spacing w:val="0"/>
          <w:sz w:val="22"/>
          <w:szCs w:val="22"/>
          <w:lang w:eastAsia="en-US"/>
        </w:rPr>
        <w:t>mental illness in their communities, and prominently display and make available mental health crisis information for participants and the general public</w:t>
      </w:r>
      <w:r>
        <w:rPr>
          <w:rFonts w:eastAsia="Calibri" w:cs="Arial"/>
          <w:spacing w:val="0"/>
          <w:sz w:val="22"/>
          <w:szCs w:val="22"/>
          <w:lang w:eastAsia="en-US"/>
        </w:rPr>
        <w:t>.</w:t>
      </w:r>
    </w:p>
    <w:p w14:paraId="57676D92" w14:textId="77777777" w:rsidR="0079678E" w:rsidRPr="00A10A27" w:rsidRDefault="0079678E" w:rsidP="0079678E">
      <w:pPr>
        <w:rPr>
          <w:sz w:val="22"/>
          <w:szCs w:val="22"/>
        </w:rPr>
      </w:pPr>
      <w:r w:rsidRPr="00A10A27">
        <w:rPr>
          <w:sz w:val="22"/>
          <w:szCs w:val="22"/>
        </w:rPr>
        <w:t>FMHSS providers are required to establish and maintain open referral and access pathways into their services. A formal referral is not required to access FMHSS.</w:t>
      </w:r>
    </w:p>
    <w:p w14:paraId="35E36BB5" w14:textId="77777777" w:rsidR="00052554" w:rsidRDefault="0079678E" w:rsidP="004C278E">
      <w:pPr>
        <w:pStyle w:val="Heading1"/>
      </w:pPr>
      <w:bookmarkStart w:id="161" w:name="_Toc70494427"/>
      <w:bookmarkStart w:id="162" w:name="_Toc70494428"/>
      <w:bookmarkStart w:id="163" w:name="_Toc70599670"/>
      <w:bookmarkEnd w:id="161"/>
      <w:bookmarkEnd w:id="162"/>
      <w:r>
        <w:t>Priority target groups</w:t>
      </w:r>
      <w:bookmarkEnd w:id="163"/>
    </w:p>
    <w:p w14:paraId="70A7C748" w14:textId="77777777" w:rsidR="0079678E" w:rsidRPr="00A10A27" w:rsidRDefault="0079678E" w:rsidP="001B3177">
      <w:pPr>
        <w:keepNext/>
        <w:rPr>
          <w:sz w:val="22"/>
          <w:szCs w:val="22"/>
        </w:rPr>
      </w:pPr>
      <w:r w:rsidRPr="00A10A27">
        <w:rPr>
          <w:sz w:val="22"/>
          <w:szCs w:val="22"/>
        </w:rPr>
        <w:t>FMHSS providers are required to prioritise support to children and young people who meet the eligibility criteria and are facing additional disadvantage for poor mental health outcomes</w:t>
      </w:r>
      <w:r>
        <w:rPr>
          <w:sz w:val="22"/>
          <w:szCs w:val="22"/>
        </w:rPr>
        <w:t xml:space="preserve">. </w:t>
      </w:r>
      <w:r w:rsidRPr="00A10A27">
        <w:rPr>
          <w:sz w:val="22"/>
          <w:szCs w:val="22"/>
        </w:rPr>
        <w:t>These groups include, but are not limited to:</w:t>
      </w:r>
    </w:p>
    <w:p w14:paraId="6F950EC3" w14:textId="4A17EA74" w:rsidR="0079678E" w:rsidRPr="00A10A27" w:rsidRDefault="0079678E" w:rsidP="0079678E">
      <w:pPr>
        <w:pStyle w:val="ListParagraph"/>
        <w:numPr>
          <w:ilvl w:val="0"/>
          <w:numId w:val="71"/>
        </w:numPr>
        <w:spacing w:before="0" w:after="0" w:line="240" w:lineRule="auto"/>
        <w:rPr>
          <w:sz w:val="22"/>
          <w:szCs w:val="22"/>
        </w:rPr>
      </w:pPr>
      <w:r>
        <w:rPr>
          <w:rFonts w:eastAsia="Calibri" w:cs="Arial"/>
          <w:spacing w:val="0"/>
          <w:sz w:val="22"/>
          <w:szCs w:val="22"/>
          <w:lang w:eastAsia="en-US"/>
        </w:rPr>
        <w:t>Aboriginal and Torres Strait Islander people</w:t>
      </w:r>
      <w:r w:rsidR="0009465C">
        <w:rPr>
          <w:rFonts w:eastAsia="Calibri" w:cs="Arial"/>
          <w:spacing w:val="0"/>
          <w:sz w:val="22"/>
          <w:szCs w:val="22"/>
          <w:lang w:eastAsia="en-US"/>
        </w:rPr>
        <w:t>;</w:t>
      </w:r>
    </w:p>
    <w:p w14:paraId="4464478D" w14:textId="5A6C6B6E" w:rsidR="0079678E" w:rsidRPr="00A10A27" w:rsidRDefault="0079678E" w:rsidP="0079678E">
      <w:pPr>
        <w:pStyle w:val="ListParagraph"/>
        <w:numPr>
          <w:ilvl w:val="0"/>
          <w:numId w:val="71"/>
        </w:numPr>
        <w:spacing w:before="0" w:after="0" w:line="240" w:lineRule="auto"/>
        <w:rPr>
          <w:sz w:val="22"/>
          <w:szCs w:val="22"/>
        </w:rPr>
      </w:pPr>
      <w:r w:rsidRPr="00A10A27">
        <w:rPr>
          <w:rFonts w:eastAsia="Calibri" w:cs="Arial"/>
          <w:spacing w:val="0"/>
          <w:sz w:val="22"/>
          <w:szCs w:val="22"/>
          <w:lang w:eastAsia="en-US"/>
        </w:rPr>
        <w:t>people from culturally and linguistically diverse backgrounds, including humanitarian entrants and recently arrived refugees and migrants</w:t>
      </w:r>
      <w:r w:rsidR="0009465C">
        <w:rPr>
          <w:rFonts w:eastAsia="Calibri" w:cs="Arial"/>
          <w:spacing w:val="0"/>
          <w:sz w:val="22"/>
          <w:szCs w:val="22"/>
          <w:lang w:eastAsia="en-US"/>
        </w:rPr>
        <w:t>;</w:t>
      </w:r>
    </w:p>
    <w:p w14:paraId="5619B7AD" w14:textId="2C9284FD" w:rsidR="0079678E" w:rsidRPr="00A10A27" w:rsidRDefault="0079678E" w:rsidP="0079678E">
      <w:pPr>
        <w:pStyle w:val="ListParagraph"/>
        <w:numPr>
          <w:ilvl w:val="0"/>
          <w:numId w:val="71"/>
        </w:numPr>
        <w:spacing w:before="0" w:after="0" w:line="240" w:lineRule="auto"/>
        <w:rPr>
          <w:sz w:val="22"/>
          <w:szCs w:val="22"/>
        </w:rPr>
      </w:pPr>
      <w:r w:rsidRPr="00A10A27">
        <w:rPr>
          <w:rFonts w:eastAsia="Calibri" w:cs="Arial"/>
          <w:spacing w:val="0"/>
          <w:sz w:val="22"/>
          <w:szCs w:val="22"/>
          <w:lang w:eastAsia="en-US"/>
        </w:rPr>
        <w:t>children in contact with the child protection system</w:t>
      </w:r>
      <w:r w:rsidR="0009465C">
        <w:rPr>
          <w:rFonts w:eastAsia="Calibri" w:cs="Arial"/>
          <w:spacing w:val="0"/>
          <w:sz w:val="22"/>
          <w:szCs w:val="22"/>
          <w:lang w:eastAsia="en-US"/>
        </w:rPr>
        <w:t>;</w:t>
      </w:r>
    </w:p>
    <w:p w14:paraId="33A83E51" w14:textId="402FC6D5" w:rsidR="0079678E" w:rsidRPr="00A10A27" w:rsidRDefault="0079678E" w:rsidP="0079678E">
      <w:pPr>
        <w:pStyle w:val="ListParagraph"/>
        <w:numPr>
          <w:ilvl w:val="0"/>
          <w:numId w:val="71"/>
        </w:numPr>
        <w:spacing w:before="0" w:after="0" w:line="240" w:lineRule="auto"/>
        <w:rPr>
          <w:sz w:val="22"/>
          <w:szCs w:val="22"/>
        </w:rPr>
      </w:pPr>
      <w:r w:rsidRPr="00A10A27">
        <w:rPr>
          <w:rFonts w:eastAsia="Calibri" w:cs="Arial"/>
          <w:spacing w:val="0"/>
          <w:sz w:val="22"/>
          <w:szCs w:val="22"/>
          <w:lang w:eastAsia="en-US"/>
        </w:rPr>
        <w:t>young people leaving out-of-home care</w:t>
      </w:r>
      <w:r w:rsidR="0009465C">
        <w:rPr>
          <w:rFonts w:eastAsia="Calibri" w:cs="Arial"/>
          <w:spacing w:val="0"/>
          <w:sz w:val="22"/>
          <w:szCs w:val="22"/>
          <w:lang w:eastAsia="en-US"/>
        </w:rPr>
        <w:t>;</w:t>
      </w:r>
      <w:r w:rsidRPr="00A10A27">
        <w:rPr>
          <w:rFonts w:eastAsia="Calibri" w:cs="Arial"/>
          <w:spacing w:val="0"/>
          <w:sz w:val="22"/>
          <w:szCs w:val="22"/>
          <w:lang w:eastAsia="en-US"/>
        </w:rPr>
        <w:t xml:space="preserve"> and</w:t>
      </w:r>
    </w:p>
    <w:p w14:paraId="586B746E" w14:textId="77777777" w:rsidR="0079678E" w:rsidRPr="001E0938" w:rsidRDefault="0079678E" w:rsidP="0079678E">
      <w:pPr>
        <w:pStyle w:val="ListParagraph"/>
        <w:numPr>
          <w:ilvl w:val="0"/>
          <w:numId w:val="71"/>
        </w:numPr>
        <w:spacing w:before="0" w:after="0" w:line="240" w:lineRule="auto"/>
        <w:rPr>
          <w:sz w:val="22"/>
          <w:szCs w:val="22"/>
        </w:rPr>
      </w:pPr>
      <w:r w:rsidRPr="00A10A27">
        <w:rPr>
          <w:rFonts w:eastAsia="Calibri" w:cs="Arial"/>
          <w:spacing w:val="0"/>
          <w:sz w:val="22"/>
          <w:szCs w:val="22"/>
          <w:lang w:eastAsia="en-US"/>
        </w:rPr>
        <w:t>children and young people in families experiencing</w:t>
      </w:r>
      <w:r w:rsidR="0009465C">
        <w:rPr>
          <w:rFonts w:eastAsia="Calibri" w:cs="Arial"/>
          <w:spacing w:val="0"/>
          <w:sz w:val="22"/>
          <w:szCs w:val="22"/>
          <w:lang w:eastAsia="en-US"/>
        </w:rPr>
        <w:t>:</w:t>
      </w:r>
    </w:p>
    <w:p w14:paraId="2D5E72FC" w14:textId="3A103740" w:rsidR="0079678E" w:rsidRPr="001E0938" w:rsidRDefault="0079678E" w:rsidP="0079678E">
      <w:pPr>
        <w:pStyle w:val="ListParagraph"/>
        <w:numPr>
          <w:ilvl w:val="1"/>
          <w:numId w:val="71"/>
        </w:numPr>
        <w:spacing w:before="0" w:after="0" w:line="240" w:lineRule="auto"/>
        <w:rPr>
          <w:sz w:val="22"/>
          <w:szCs w:val="22"/>
        </w:rPr>
      </w:pPr>
      <w:r w:rsidRPr="00A10A27">
        <w:rPr>
          <w:rFonts w:eastAsia="Calibri" w:cs="Arial"/>
          <w:spacing w:val="0"/>
          <w:sz w:val="22"/>
          <w:szCs w:val="22"/>
          <w:lang w:eastAsia="en-US"/>
        </w:rPr>
        <w:t>homelessness</w:t>
      </w:r>
      <w:r w:rsidR="0009465C">
        <w:rPr>
          <w:rFonts w:eastAsia="Calibri" w:cs="Arial"/>
          <w:spacing w:val="0"/>
          <w:sz w:val="22"/>
          <w:szCs w:val="22"/>
          <w:lang w:eastAsia="en-US"/>
        </w:rPr>
        <w:t>;</w:t>
      </w:r>
    </w:p>
    <w:p w14:paraId="1B6DEAEA" w14:textId="1C10093F" w:rsidR="0079678E" w:rsidRPr="001E0938" w:rsidRDefault="0079678E" w:rsidP="0079678E">
      <w:pPr>
        <w:pStyle w:val="ListParagraph"/>
        <w:numPr>
          <w:ilvl w:val="1"/>
          <w:numId w:val="71"/>
        </w:numPr>
        <w:spacing w:before="0" w:after="0" w:line="240" w:lineRule="auto"/>
        <w:rPr>
          <w:sz w:val="22"/>
          <w:szCs w:val="22"/>
        </w:rPr>
      </w:pPr>
      <w:r w:rsidRPr="00A10A27">
        <w:rPr>
          <w:rFonts w:eastAsia="Calibri" w:cs="Arial"/>
          <w:spacing w:val="0"/>
          <w:sz w:val="22"/>
          <w:szCs w:val="22"/>
          <w:lang w:eastAsia="en-US"/>
        </w:rPr>
        <w:t>unemployment</w:t>
      </w:r>
      <w:r w:rsidR="0009465C">
        <w:rPr>
          <w:rFonts w:eastAsia="Calibri" w:cs="Arial"/>
          <w:spacing w:val="0"/>
          <w:sz w:val="22"/>
          <w:szCs w:val="22"/>
          <w:lang w:eastAsia="en-US"/>
        </w:rPr>
        <w:t>;</w:t>
      </w:r>
    </w:p>
    <w:p w14:paraId="62D9E3C7" w14:textId="726CE1D2" w:rsidR="0079678E" w:rsidRPr="001E0938" w:rsidRDefault="0079678E" w:rsidP="0079678E">
      <w:pPr>
        <w:pStyle w:val="ListParagraph"/>
        <w:numPr>
          <w:ilvl w:val="1"/>
          <w:numId w:val="71"/>
        </w:numPr>
        <w:spacing w:before="0" w:after="0" w:line="240" w:lineRule="auto"/>
        <w:rPr>
          <w:sz w:val="22"/>
          <w:szCs w:val="22"/>
        </w:rPr>
      </w:pPr>
      <w:r w:rsidRPr="00A10A27">
        <w:rPr>
          <w:rFonts w:eastAsia="Calibri" w:cs="Arial"/>
          <w:spacing w:val="0"/>
          <w:sz w:val="22"/>
          <w:szCs w:val="22"/>
          <w:lang w:eastAsia="en-US"/>
        </w:rPr>
        <w:t>drug and alcohol abuse</w:t>
      </w:r>
      <w:r w:rsidR="0009465C">
        <w:rPr>
          <w:rFonts w:eastAsia="Calibri" w:cs="Arial"/>
          <w:spacing w:val="0"/>
          <w:sz w:val="22"/>
          <w:szCs w:val="22"/>
          <w:lang w:eastAsia="en-US"/>
        </w:rPr>
        <w:t>;</w:t>
      </w:r>
    </w:p>
    <w:p w14:paraId="5C044227" w14:textId="63AA883B" w:rsidR="0079678E" w:rsidRPr="001E0938" w:rsidRDefault="0079678E" w:rsidP="0079678E">
      <w:pPr>
        <w:pStyle w:val="ListParagraph"/>
        <w:numPr>
          <w:ilvl w:val="1"/>
          <w:numId w:val="71"/>
        </w:numPr>
        <w:spacing w:before="0" w:after="0" w:line="240" w:lineRule="auto"/>
        <w:rPr>
          <w:sz w:val="22"/>
          <w:szCs w:val="22"/>
        </w:rPr>
      </w:pPr>
      <w:r w:rsidRPr="00A10A27">
        <w:rPr>
          <w:rFonts w:eastAsia="Calibri" w:cs="Arial"/>
          <w:spacing w:val="0"/>
          <w:sz w:val="22"/>
          <w:szCs w:val="22"/>
          <w:lang w:eastAsia="en-US"/>
        </w:rPr>
        <w:t>domestic violence</w:t>
      </w:r>
      <w:r w:rsidR="0009465C">
        <w:rPr>
          <w:rFonts w:eastAsia="Calibri" w:cs="Arial"/>
          <w:spacing w:val="0"/>
          <w:sz w:val="22"/>
          <w:szCs w:val="22"/>
          <w:lang w:eastAsia="en-US"/>
        </w:rPr>
        <w:t xml:space="preserve">; </w:t>
      </w:r>
      <w:r>
        <w:rPr>
          <w:rFonts w:eastAsia="Calibri" w:cs="Arial"/>
          <w:spacing w:val="0"/>
          <w:sz w:val="22"/>
          <w:szCs w:val="22"/>
          <w:lang w:eastAsia="en-US"/>
        </w:rPr>
        <w:t>and</w:t>
      </w:r>
    </w:p>
    <w:p w14:paraId="2A6AAB7C" w14:textId="19337E4D" w:rsidR="0079678E" w:rsidRPr="00EA3CD3" w:rsidRDefault="0079678E" w:rsidP="0079678E">
      <w:pPr>
        <w:pStyle w:val="ListParagraph"/>
        <w:numPr>
          <w:ilvl w:val="1"/>
          <w:numId w:val="71"/>
        </w:numPr>
        <w:spacing w:before="0" w:after="0" w:line="240" w:lineRule="auto"/>
        <w:rPr>
          <w:sz w:val="22"/>
          <w:szCs w:val="22"/>
        </w:rPr>
      </w:pPr>
      <w:proofErr w:type="gramStart"/>
      <w:r w:rsidRPr="00A10A27">
        <w:rPr>
          <w:rFonts w:eastAsia="Calibri" w:cs="Arial"/>
          <w:spacing w:val="0"/>
          <w:sz w:val="22"/>
          <w:szCs w:val="22"/>
          <w:lang w:eastAsia="en-US"/>
        </w:rPr>
        <w:t>disability</w:t>
      </w:r>
      <w:proofErr w:type="gramEnd"/>
      <w:r w:rsidRPr="00A10A27">
        <w:rPr>
          <w:rFonts w:eastAsia="Calibri" w:cs="Arial"/>
          <w:spacing w:val="0"/>
          <w:sz w:val="22"/>
          <w:szCs w:val="22"/>
          <w:lang w:eastAsia="en-US"/>
        </w:rPr>
        <w:t xml:space="preserve"> and history of trauma.</w:t>
      </w:r>
    </w:p>
    <w:p w14:paraId="59417B4D" w14:textId="77777777" w:rsidR="0009465C" w:rsidRDefault="0009465C">
      <w:pPr>
        <w:spacing w:before="0" w:after="200" w:line="276" w:lineRule="auto"/>
        <w:rPr>
          <w:rFonts w:ascii="Georgia" w:hAnsi="Georgia" w:cs="Arial"/>
          <w:bCs/>
          <w:color w:val="500778"/>
          <w:kern w:val="32"/>
          <w:sz w:val="36"/>
          <w:szCs w:val="32"/>
        </w:rPr>
      </w:pPr>
      <w:r>
        <w:br w:type="page"/>
      </w:r>
    </w:p>
    <w:p w14:paraId="40242F36" w14:textId="77777777" w:rsidR="0079678E" w:rsidRDefault="0079678E" w:rsidP="0079678E">
      <w:pPr>
        <w:pStyle w:val="Heading1"/>
      </w:pPr>
      <w:bookmarkStart w:id="164" w:name="_Toc70599671"/>
      <w:r>
        <w:lastRenderedPageBreak/>
        <w:t>Assessing need</w:t>
      </w:r>
      <w:bookmarkEnd w:id="164"/>
    </w:p>
    <w:p w14:paraId="4733F638" w14:textId="5FEA108E" w:rsidR="0079678E" w:rsidRPr="00A10A27" w:rsidRDefault="0079678E" w:rsidP="001B3177">
      <w:pPr>
        <w:keepNext/>
        <w:rPr>
          <w:sz w:val="22"/>
          <w:szCs w:val="22"/>
        </w:rPr>
      </w:pPr>
      <w:r w:rsidRPr="00A10A27">
        <w:rPr>
          <w:sz w:val="22"/>
          <w:szCs w:val="22"/>
        </w:rPr>
        <w:t xml:space="preserve">The needs assessment process should commence once the </w:t>
      </w:r>
      <w:r w:rsidRPr="009831C6">
        <w:rPr>
          <w:sz w:val="22"/>
          <w:szCs w:val="22"/>
        </w:rPr>
        <w:t xml:space="preserve">intake/screening </w:t>
      </w:r>
      <w:r w:rsidRPr="00A10A27">
        <w:rPr>
          <w:sz w:val="22"/>
          <w:szCs w:val="22"/>
        </w:rPr>
        <w:t>process indicate</w:t>
      </w:r>
      <w:r>
        <w:rPr>
          <w:sz w:val="22"/>
          <w:szCs w:val="22"/>
        </w:rPr>
        <w:t>s</w:t>
      </w:r>
      <w:r w:rsidRPr="00A10A27">
        <w:rPr>
          <w:sz w:val="22"/>
          <w:szCs w:val="22"/>
        </w:rPr>
        <w:t xml:space="preserve"> that the child or young person meets the eligibility for </w:t>
      </w:r>
      <w:r>
        <w:rPr>
          <w:sz w:val="22"/>
          <w:szCs w:val="22"/>
        </w:rPr>
        <w:t xml:space="preserve">participation </w:t>
      </w:r>
      <w:r w:rsidRPr="00A10A27">
        <w:rPr>
          <w:sz w:val="22"/>
          <w:szCs w:val="22"/>
        </w:rPr>
        <w:t>in FMHSS.</w:t>
      </w:r>
      <w:r w:rsidR="0009465C">
        <w:rPr>
          <w:sz w:val="22"/>
          <w:szCs w:val="22"/>
        </w:rPr>
        <w:t xml:space="preserve"> </w:t>
      </w:r>
      <w:r w:rsidRPr="00A10A27">
        <w:rPr>
          <w:sz w:val="22"/>
          <w:szCs w:val="22"/>
        </w:rPr>
        <w:t>This leads to developing the F</w:t>
      </w:r>
      <w:r>
        <w:rPr>
          <w:sz w:val="22"/>
          <w:szCs w:val="22"/>
        </w:rPr>
        <w:t>AP. E</w:t>
      </w:r>
      <w:r w:rsidRPr="00A10A27">
        <w:rPr>
          <w:sz w:val="22"/>
          <w:szCs w:val="22"/>
        </w:rPr>
        <w:t>xamples of possible outcomes from the assessment process</w:t>
      </w:r>
      <w:r>
        <w:rPr>
          <w:sz w:val="22"/>
          <w:szCs w:val="22"/>
        </w:rPr>
        <w:t xml:space="preserve"> include</w:t>
      </w:r>
      <w:r w:rsidRPr="00A10A27">
        <w:rPr>
          <w:sz w:val="22"/>
          <w:szCs w:val="22"/>
        </w:rPr>
        <w:t>:</w:t>
      </w:r>
    </w:p>
    <w:p w14:paraId="2F79A6C0" w14:textId="2CAD985A" w:rsidR="0079678E" w:rsidRPr="001E0938"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E0938">
        <w:rPr>
          <w:rFonts w:eastAsia="Calibri" w:cs="Arial"/>
          <w:spacing w:val="0"/>
          <w:sz w:val="22"/>
          <w:szCs w:val="22"/>
          <w:lang w:eastAsia="en-US"/>
        </w:rPr>
        <w:t>No further support</w:t>
      </w:r>
      <w:r w:rsidR="00130095">
        <w:rPr>
          <w:rFonts w:eastAsia="Calibri" w:cs="Arial"/>
          <w:spacing w:val="0"/>
          <w:sz w:val="22"/>
          <w:szCs w:val="22"/>
          <w:lang w:eastAsia="en-US"/>
        </w:rPr>
        <w:t>;</w:t>
      </w:r>
    </w:p>
    <w:p w14:paraId="68FED682" w14:textId="21F2AD5A" w:rsidR="0079678E" w:rsidRPr="001E0938"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E0938">
        <w:rPr>
          <w:rFonts w:eastAsia="Calibri" w:cs="Arial"/>
          <w:spacing w:val="0"/>
          <w:sz w:val="22"/>
          <w:szCs w:val="22"/>
          <w:lang w:eastAsia="en-US"/>
        </w:rPr>
        <w:t>Accepted for intensive, long-term support</w:t>
      </w:r>
      <w:r w:rsidR="00130095">
        <w:rPr>
          <w:rFonts w:eastAsia="Calibri" w:cs="Arial"/>
          <w:spacing w:val="0"/>
          <w:sz w:val="22"/>
          <w:szCs w:val="22"/>
          <w:lang w:eastAsia="en-US"/>
        </w:rPr>
        <w:t>;</w:t>
      </w:r>
      <w:r w:rsidRPr="001E0938">
        <w:rPr>
          <w:rFonts w:eastAsia="Calibri" w:cs="Arial"/>
          <w:spacing w:val="0"/>
          <w:sz w:val="22"/>
          <w:szCs w:val="22"/>
          <w:lang w:eastAsia="en-US"/>
        </w:rPr>
        <w:t xml:space="preserve"> or</w:t>
      </w:r>
    </w:p>
    <w:p w14:paraId="1378335D" w14:textId="77777777" w:rsidR="0079678E" w:rsidRPr="001E0938"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E0938">
        <w:rPr>
          <w:rFonts w:eastAsia="Calibri" w:cs="Arial"/>
          <w:spacing w:val="0"/>
          <w:sz w:val="22"/>
          <w:szCs w:val="22"/>
          <w:lang w:eastAsia="en-US"/>
        </w:rPr>
        <w:t>Accepted for short-term immediate assistance (can include general group work).</w:t>
      </w:r>
    </w:p>
    <w:p w14:paraId="05572D1D" w14:textId="2F590CCF" w:rsidR="0079678E" w:rsidRPr="000A32B5" w:rsidRDefault="0079678E" w:rsidP="0079678E">
      <w:pPr>
        <w:rPr>
          <w:sz w:val="22"/>
          <w:szCs w:val="22"/>
        </w:rPr>
      </w:pPr>
      <w:r w:rsidRPr="0071499D">
        <w:rPr>
          <w:sz w:val="22"/>
          <w:szCs w:val="22"/>
        </w:rPr>
        <w:t>Instances where a child or young person’s circumstances change or the family p</w:t>
      </w:r>
      <w:r w:rsidRPr="009A2A68">
        <w:rPr>
          <w:sz w:val="22"/>
          <w:szCs w:val="22"/>
        </w:rPr>
        <w:t>rovides additional information</w:t>
      </w:r>
      <w:r w:rsidRPr="00910ACE">
        <w:rPr>
          <w:sz w:val="22"/>
          <w:szCs w:val="22"/>
        </w:rPr>
        <w:t>,</w:t>
      </w:r>
      <w:r w:rsidRPr="00632738">
        <w:rPr>
          <w:sz w:val="22"/>
          <w:szCs w:val="22"/>
        </w:rPr>
        <w:t xml:space="preserve"> after the initial needs assessment, FMHSS providers should </w:t>
      </w:r>
      <w:r w:rsidRPr="000A32B5">
        <w:rPr>
          <w:sz w:val="22"/>
          <w:szCs w:val="22"/>
        </w:rPr>
        <w:t>re</w:t>
      </w:r>
      <w:r w:rsidR="0009465C">
        <w:rPr>
          <w:sz w:val="22"/>
          <w:szCs w:val="22"/>
        </w:rPr>
        <w:noBreakHyphen/>
      </w:r>
      <w:r w:rsidRPr="000A32B5">
        <w:rPr>
          <w:sz w:val="22"/>
          <w:szCs w:val="22"/>
        </w:rPr>
        <w:t>assess these circumstances, update the FAP immediately and determine appropriate outcome as outlined above.</w:t>
      </w:r>
    </w:p>
    <w:p w14:paraId="7C6A5918" w14:textId="35B16656" w:rsidR="0079678E" w:rsidRPr="00A10A27" w:rsidRDefault="0079678E" w:rsidP="0079678E">
      <w:pPr>
        <w:spacing w:after="0"/>
        <w:rPr>
          <w:sz w:val="22"/>
          <w:szCs w:val="22"/>
        </w:rPr>
      </w:pPr>
      <w:r w:rsidRPr="00A10A27">
        <w:rPr>
          <w:sz w:val="22"/>
          <w:szCs w:val="22"/>
        </w:rPr>
        <w:t xml:space="preserve">Where a child or young person is not eligible for FMHSS, they and their families should be provided with </w:t>
      </w:r>
      <w:r>
        <w:rPr>
          <w:sz w:val="22"/>
          <w:szCs w:val="22"/>
        </w:rPr>
        <w:t xml:space="preserve">any </w:t>
      </w:r>
      <w:r w:rsidRPr="00A10A27">
        <w:rPr>
          <w:sz w:val="22"/>
          <w:szCs w:val="22"/>
        </w:rPr>
        <w:t>relevant</w:t>
      </w:r>
      <w:r>
        <w:rPr>
          <w:sz w:val="22"/>
          <w:szCs w:val="22"/>
        </w:rPr>
        <w:t xml:space="preserve"> or useful </w:t>
      </w:r>
      <w:r w:rsidRPr="00A10A27">
        <w:rPr>
          <w:sz w:val="22"/>
          <w:szCs w:val="22"/>
        </w:rPr>
        <w:t>information and</w:t>
      </w:r>
      <w:r>
        <w:rPr>
          <w:sz w:val="22"/>
          <w:szCs w:val="22"/>
        </w:rPr>
        <w:t>/or</w:t>
      </w:r>
      <w:r w:rsidRPr="00A10A27">
        <w:rPr>
          <w:sz w:val="22"/>
          <w:szCs w:val="22"/>
        </w:rPr>
        <w:t xml:space="preserve"> referral to other appropriate services.</w:t>
      </w:r>
    </w:p>
    <w:p w14:paraId="16E8EA54" w14:textId="77777777" w:rsidR="0079678E" w:rsidRDefault="0079678E" w:rsidP="0079678E">
      <w:pPr>
        <w:pStyle w:val="Heading1"/>
      </w:pPr>
      <w:bookmarkStart w:id="165" w:name="_Toc70599672"/>
      <w:r w:rsidRPr="00683499">
        <w:t>Referral practices</w:t>
      </w:r>
      <w:bookmarkEnd w:id="165"/>
    </w:p>
    <w:p w14:paraId="00724EB1" w14:textId="77777777" w:rsidR="0079678E" w:rsidRPr="00A10A27" w:rsidRDefault="0079678E" w:rsidP="0079678E">
      <w:pPr>
        <w:rPr>
          <w:sz w:val="22"/>
          <w:szCs w:val="22"/>
        </w:rPr>
      </w:pPr>
      <w:r w:rsidRPr="00731BF0">
        <w:rPr>
          <w:rFonts w:cs="Arial"/>
          <w:sz w:val="22"/>
          <w:szCs w:val="22"/>
        </w:rPr>
        <w:t xml:space="preserve">FMHSS providers </w:t>
      </w:r>
      <w:r w:rsidRPr="00A10A27">
        <w:rPr>
          <w:rFonts w:cs="Arial"/>
          <w:sz w:val="22"/>
          <w:szCs w:val="22"/>
        </w:rPr>
        <w:t>must work collaboratively with each other and relevant government and non-government agencies that provide services to families and children.</w:t>
      </w:r>
    </w:p>
    <w:p w14:paraId="3C419C4A" w14:textId="56B3CA02" w:rsidR="0079678E" w:rsidRPr="00A10A27" w:rsidRDefault="0079678E" w:rsidP="0079678E">
      <w:pPr>
        <w:rPr>
          <w:sz w:val="22"/>
          <w:szCs w:val="22"/>
        </w:rPr>
      </w:pPr>
      <w:r w:rsidRPr="00A10A27">
        <w:rPr>
          <w:sz w:val="22"/>
          <w:szCs w:val="22"/>
        </w:rPr>
        <w:t xml:space="preserve">If a </w:t>
      </w:r>
      <w:r>
        <w:rPr>
          <w:sz w:val="22"/>
          <w:szCs w:val="22"/>
        </w:rPr>
        <w:t>FMHSS</w:t>
      </w:r>
      <w:r w:rsidRPr="00A10A27">
        <w:rPr>
          <w:sz w:val="22"/>
          <w:szCs w:val="22"/>
        </w:rPr>
        <w:t xml:space="preserve"> provider lacks capacity or capability to support a client, or thinks a client would benefit from additional types of support, the department expects the provider to</w:t>
      </w:r>
      <w:r w:rsidR="0009465C">
        <w:rPr>
          <w:sz w:val="22"/>
          <w:szCs w:val="22"/>
        </w:rPr>
        <w:t> </w:t>
      </w:r>
      <w:r w:rsidRPr="00A10A27">
        <w:rPr>
          <w:sz w:val="22"/>
          <w:szCs w:val="22"/>
        </w:rPr>
        <w:t xml:space="preserve">offer the client a timely referral to one or more appropriate services. The department expects </w:t>
      </w:r>
      <w:r>
        <w:rPr>
          <w:sz w:val="22"/>
          <w:szCs w:val="22"/>
        </w:rPr>
        <w:t>FMHSS</w:t>
      </w:r>
      <w:r w:rsidRPr="00A10A27">
        <w:rPr>
          <w:sz w:val="22"/>
          <w:szCs w:val="22"/>
        </w:rPr>
        <w:t xml:space="preserve"> providers to have accurate knowledge of the services to which they are referring clients, and recommends that providers develop clear referral protocols with one another.</w:t>
      </w:r>
    </w:p>
    <w:p w14:paraId="3C15A15E" w14:textId="7599E5A7" w:rsidR="0079678E" w:rsidRPr="00DC3D55" w:rsidRDefault="0079678E" w:rsidP="0079678E">
      <w:r w:rsidRPr="00A10A27">
        <w:rPr>
          <w:rFonts w:cs="Arial"/>
          <w:sz w:val="22"/>
          <w:szCs w:val="22"/>
        </w:rPr>
        <w:t>Effective referral practices are critical to minimising service system fragmentation and preventing families and children ‘falling through the gaps’</w:t>
      </w:r>
      <w:r>
        <w:rPr>
          <w:rFonts w:cs="Arial"/>
          <w:sz w:val="22"/>
          <w:szCs w:val="22"/>
        </w:rPr>
        <w:t xml:space="preserve">. </w:t>
      </w:r>
      <w:r w:rsidRPr="00A10A27">
        <w:rPr>
          <w:rFonts w:cs="Arial"/>
          <w:sz w:val="22"/>
          <w:szCs w:val="22"/>
        </w:rPr>
        <w:t xml:space="preserve">The </w:t>
      </w:r>
      <w:r w:rsidRPr="00DC3D55">
        <w:rPr>
          <w:rFonts w:cs="Arial"/>
          <w:sz w:val="22"/>
          <w:szCs w:val="22"/>
        </w:rPr>
        <w:t xml:space="preserve">table at </w:t>
      </w:r>
      <w:r w:rsidRPr="00DC3D55">
        <w:rPr>
          <w:rFonts w:cs="Arial"/>
          <w:b/>
          <w:sz w:val="22"/>
          <w:szCs w:val="22"/>
        </w:rPr>
        <w:t>Appendix D</w:t>
      </w:r>
      <w:r w:rsidRPr="00DC3D55">
        <w:rPr>
          <w:rFonts w:cs="Arial"/>
          <w:sz w:val="22"/>
          <w:szCs w:val="22"/>
        </w:rPr>
        <w:t xml:space="preserve"> outlines different types of referral practices.</w:t>
      </w:r>
    </w:p>
    <w:p w14:paraId="24DC7A54" w14:textId="77777777" w:rsidR="0079678E" w:rsidRPr="00DC3D55" w:rsidRDefault="0079678E" w:rsidP="0079678E">
      <w:pPr>
        <w:pStyle w:val="Default"/>
        <w:spacing w:after="200"/>
        <w:rPr>
          <w:sz w:val="22"/>
          <w:szCs w:val="22"/>
        </w:rPr>
      </w:pPr>
      <w:r w:rsidRPr="00DC3D55">
        <w:rPr>
          <w:sz w:val="22"/>
          <w:szCs w:val="22"/>
        </w:rPr>
        <w:t>The department expects FMHSS staff who make referrals have or receive the knowledge and skills they need to support families and children to access other services, including negotiating ways to overcome barriers to access.</w:t>
      </w:r>
    </w:p>
    <w:p w14:paraId="7215890E" w14:textId="3DCB5AC4" w:rsidR="0079678E" w:rsidRPr="00074DE8" w:rsidRDefault="0079678E" w:rsidP="001B3177">
      <w:r w:rsidRPr="00DC3D55">
        <w:rPr>
          <w:sz w:val="22"/>
          <w:szCs w:val="22"/>
        </w:rPr>
        <w:t xml:space="preserve">The checklist at </w:t>
      </w:r>
      <w:r w:rsidRPr="00DC3D55">
        <w:rPr>
          <w:b/>
          <w:sz w:val="22"/>
          <w:szCs w:val="22"/>
        </w:rPr>
        <w:t>Appendix E</w:t>
      </w:r>
      <w:r w:rsidRPr="00DC3D55">
        <w:rPr>
          <w:sz w:val="22"/>
          <w:szCs w:val="22"/>
        </w:rPr>
        <w:t xml:space="preserve"> may assist staff to make effective referrals</w:t>
      </w:r>
      <w:r>
        <w:rPr>
          <w:sz w:val="22"/>
          <w:szCs w:val="22"/>
        </w:rPr>
        <w:t>.</w:t>
      </w:r>
    </w:p>
    <w:p w14:paraId="3F37C8A2" w14:textId="77777777" w:rsidR="00456A1C" w:rsidRPr="003A6046" w:rsidRDefault="002466BA" w:rsidP="001B3177">
      <w:pPr>
        <w:pStyle w:val="Heading1"/>
      </w:pPr>
      <w:bookmarkStart w:id="166" w:name="_Toc70494432"/>
      <w:bookmarkStart w:id="167" w:name="_Toc70494433"/>
      <w:bookmarkStart w:id="168" w:name="_Toc70494434"/>
      <w:bookmarkStart w:id="169" w:name="_Toc70494435"/>
      <w:bookmarkStart w:id="170" w:name="_Toc70494436"/>
      <w:bookmarkStart w:id="171" w:name="_Toc70494437"/>
      <w:bookmarkStart w:id="172" w:name="_Toc70494438"/>
      <w:bookmarkStart w:id="173" w:name="_Toc70599673"/>
      <w:bookmarkEnd w:id="166"/>
      <w:bookmarkEnd w:id="167"/>
      <w:bookmarkEnd w:id="168"/>
      <w:bookmarkEnd w:id="169"/>
      <w:bookmarkEnd w:id="170"/>
      <w:bookmarkEnd w:id="171"/>
      <w:bookmarkEnd w:id="172"/>
      <w:r>
        <w:t>Required</w:t>
      </w:r>
      <w:r w:rsidR="00456A1C" w:rsidRPr="003A6046">
        <w:t xml:space="preserve"> qualification</w:t>
      </w:r>
      <w:r w:rsidR="00335A43">
        <w:t>s</w:t>
      </w:r>
      <w:bookmarkEnd w:id="173"/>
    </w:p>
    <w:p w14:paraId="5A18D414" w14:textId="7993D41C" w:rsidR="0079678E" w:rsidRPr="001B3177" w:rsidRDefault="0079678E" w:rsidP="0079678E">
      <w:pPr>
        <w:keepNext/>
        <w:spacing w:after="0"/>
        <w:rPr>
          <w:rFonts w:cs="Arial"/>
          <w:sz w:val="22"/>
          <w:szCs w:val="22"/>
        </w:rPr>
      </w:pPr>
      <w:r w:rsidRPr="001B3177">
        <w:rPr>
          <w:rFonts w:cs="Arial"/>
          <w:sz w:val="22"/>
          <w:szCs w:val="22"/>
        </w:rPr>
        <w:t>FMHSS staff should have a range of personal and professional qualities, ensuring high-quality support to vulnerable children, young people, their families and carers.</w:t>
      </w:r>
    </w:p>
    <w:p w14:paraId="058CEC52" w14:textId="7BE47E69" w:rsidR="0079678E" w:rsidRPr="001B3177" w:rsidRDefault="0079678E" w:rsidP="0079678E">
      <w:pPr>
        <w:spacing w:after="0"/>
        <w:rPr>
          <w:rFonts w:cs="Arial"/>
          <w:sz w:val="22"/>
          <w:szCs w:val="22"/>
        </w:rPr>
      </w:pPr>
      <w:r w:rsidRPr="001B3177">
        <w:rPr>
          <w:rFonts w:cs="Arial"/>
          <w:sz w:val="22"/>
          <w:szCs w:val="22"/>
        </w:rPr>
        <w:t>Although there are no prescriptive FMHSS team roles, FMHSS providers are required to</w:t>
      </w:r>
      <w:r w:rsidR="0009465C">
        <w:rPr>
          <w:rFonts w:cs="Arial"/>
          <w:sz w:val="22"/>
          <w:szCs w:val="22"/>
        </w:rPr>
        <w:t> </w:t>
      </w:r>
      <w:r w:rsidRPr="001B3177">
        <w:rPr>
          <w:rFonts w:cs="Arial"/>
          <w:sz w:val="22"/>
          <w:szCs w:val="22"/>
        </w:rPr>
        <w:t xml:space="preserve">employ individuals/professionals capable of delivering the three elements of the FMHSS delivery model including </w:t>
      </w:r>
      <w:r w:rsidR="00130095">
        <w:rPr>
          <w:rFonts w:cs="Arial"/>
          <w:sz w:val="22"/>
          <w:szCs w:val="22"/>
        </w:rPr>
        <w:t xml:space="preserve">with </w:t>
      </w:r>
      <w:r w:rsidRPr="001B3177">
        <w:rPr>
          <w:rFonts w:cs="Arial"/>
          <w:sz w:val="22"/>
          <w:szCs w:val="22"/>
        </w:rPr>
        <w:t xml:space="preserve">consideration </w:t>
      </w:r>
      <w:r w:rsidR="00130095">
        <w:rPr>
          <w:rFonts w:cs="Arial"/>
          <w:sz w:val="22"/>
          <w:szCs w:val="22"/>
        </w:rPr>
        <w:t>to</w:t>
      </w:r>
      <w:r w:rsidRPr="001B3177">
        <w:rPr>
          <w:rFonts w:cs="Arial"/>
          <w:sz w:val="22"/>
          <w:szCs w:val="22"/>
        </w:rPr>
        <w:t>:</w:t>
      </w:r>
    </w:p>
    <w:p w14:paraId="0A52AC3B" w14:textId="51950B79" w:rsidR="0079678E" w:rsidRPr="001B3177" w:rsidRDefault="00130095" w:rsidP="0079678E">
      <w:pPr>
        <w:pStyle w:val="ListParagraph"/>
        <w:numPr>
          <w:ilvl w:val="0"/>
          <w:numId w:val="74"/>
        </w:numPr>
        <w:spacing w:before="0" w:after="0" w:line="276" w:lineRule="auto"/>
        <w:rPr>
          <w:rFonts w:cs="Arial"/>
          <w:sz w:val="22"/>
          <w:szCs w:val="22"/>
        </w:rPr>
      </w:pPr>
      <w:r>
        <w:rPr>
          <w:rFonts w:cs="Arial"/>
          <w:sz w:val="22"/>
          <w:szCs w:val="22"/>
        </w:rPr>
        <w:t>s</w:t>
      </w:r>
      <w:r w:rsidR="0079678E" w:rsidRPr="001B3177">
        <w:rPr>
          <w:rFonts w:cs="Arial"/>
          <w:sz w:val="22"/>
          <w:szCs w:val="22"/>
        </w:rPr>
        <w:t>kills</w:t>
      </w:r>
      <w:r>
        <w:rPr>
          <w:rFonts w:cs="Arial"/>
          <w:sz w:val="22"/>
          <w:szCs w:val="22"/>
        </w:rPr>
        <w:t>;</w:t>
      </w:r>
    </w:p>
    <w:p w14:paraId="20A60DE1" w14:textId="73DE2154" w:rsidR="0079678E" w:rsidRPr="001B3177" w:rsidRDefault="00130095" w:rsidP="0079678E">
      <w:pPr>
        <w:pStyle w:val="ListParagraph"/>
        <w:numPr>
          <w:ilvl w:val="0"/>
          <w:numId w:val="74"/>
        </w:numPr>
        <w:spacing w:before="0" w:after="0" w:line="276" w:lineRule="auto"/>
        <w:rPr>
          <w:rFonts w:cs="Arial"/>
          <w:sz w:val="22"/>
          <w:szCs w:val="22"/>
        </w:rPr>
      </w:pPr>
      <w:r>
        <w:rPr>
          <w:rFonts w:cs="Arial"/>
          <w:sz w:val="22"/>
          <w:szCs w:val="22"/>
        </w:rPr>
        <w:t>q</w:t>
      </w:r>
      <w:r w:rsidR="0079678E" w:rsidRPr="001B3177">
        <w:rPr>
          <w:rFonts w:cs="Arial"/>
          <w:sz w:val="22"/>
          <w:szCs w:val="22"/>
        </w:rPr>
        <w:t>ualifications</w:t>
      </w:r>
      <w:r>
        <w:rPr>
          <w:rFonts w:cs="Arial"/>
          <w:sz w:val="22"/>
          <w:szCs w:val="22"/>
        </w:rPr>
        <w:t>;</w:t>
      </w:r>
    </w:p>
    <w:p w14:paraId="1D6F3E4B" w14:textId="7E3DF2CF" w:rsidR="0079678E" w:rsidRPr="001B3177" w:rsidRDefault="00130095" w:rsidP="0079678E">
      <w:pPr>
        <w:pStyle w:val="ListParagraph"/>
        <w:numPr>
          <w:ilvl w:val="0"/>
          <w:numId w:val="74"/>
        </w:numPr>
        <w:spacing w:before="0" w:after="0" w:line="276" w:lineRule="auto"/>
        <w:rPr>
          <w:rFonts w:cs="Arial"/>
          <w:sz w:val="22"/>
          <w:szCs w:val="22"/>
        </w:rPr>
      </w:pPr>
      <w:r>
        <w:rPr>
          <w:rFonts w:cs="Arial"/>
          <w:sz w:val="22"/>
          <w:szCs w:val="22"/>
        </w:rPr>
        <w:t>e</w:t>
      </w:r>
      <w:r w:rsidR="0079678E" w:rsidRPr="001B3177">
        <w:rPr>
          <w:rFonts w:cs="Arial"/>
          <w:sz w:val="22"/>
          <w:szCs w:val="22"/>
        </w:rPr>
        <w:t>xperience</w:t>
      </w:r>
      <w:r>
        <w:rPr>
          <w:rFonts w:cs="Arial"/>
          <w:sz w:val="22"/>
          <w:szCs w:val="22"/>
        </w:rPr>
        <w:t>;</w:t>
      </w:r>
      <w:r w:rsidR="0079678E" w:rsidRPr="001B3177">
        <w:rPr>
          <w:rFonts w:cs="Arial"/>
          <w:sz w:val="22"/>
          <w:szCs w:val="22"/>
        </w:rPr>
        <w:t xml:space="preserve"> and </w:t>
      </w:r>
    </w:p>
    <w:p w14:paraId="4FB576A5" w14:textId="4530C179" w:rsidR="0079678E" w:rsidRPr="001B3177" w:rsidRDefault="0079678E" w:rsidP="0079678E">
      <w:pPr>
        <w:pStyle w:val="ListParagraph"/>
        <w:numPr>
          <w:ilvl w:val="0"/>
          <w:numId w:val="74"/>
        </w:numPr>
        <w:spacing w:before="0" w:after="0" w:line="276" w:lineRule="auto"/>
        <w:rPr>
          <w:rFonts w:cs="Arial"/>
          <w:sz w:val="22"/>
          <w:szCs w:val="22"/>
        </w:rPr>
      </w:pPr>
      <w:proofErr w:type="gramStart"/>
      <w:r w:rsidRPr="001B3177">
        <w:rPr>
          <w:rFonts w:cs="Arial"/>
          <w:sz w:val="22"/>
          <w:szCs w:val="22"/>
        </w:rPr>
        <w:t>personal</w:t>
      </w:r>
      <w:proofErr w:type="gramEnd"/>
      <w:r w:rsidRPr="001B3177">
        <w:rPr>
          <w:rFonts w:cs="Arial"/>
          <w:sz w:val="22"/>
          <w:szCs w:val="22"/>
        </w:rPr>
        <w:t xml:space="preserve"> attributes.</w:t>
      </w:r>
    </w:p>
    <w:p w14:paraId="7F958901" w14:textId="417FC512" w:rsidR="0079678E" w:rsidRPr="00AE2599" w:rsidRDefault="0079678E" w:rsidP="0079678E">
      <w:pPr>
        <w:spacing w:after="0"/>
        <w:rPr>
          <w:rFonts w:cs="Arial"/>
          <w:sz w:val="22"/>
          <w:szCs w:val="22"/>
        </w:rPr>
      </w:pPr>
      <w:r w:rsidRPr="001B3177">
        <w:rPr>
          <w:rFonts w:cs="Arial"/>
          <w:sz w:val="22"/>
          <w:szCs w:val="22"/>
        </w:rPr>
        <w:lastRenderedPageBreak/>
        <w:t>As a component of the department’s funding, all FMHSS providers are required to</w:t>
      </w:r>
      <w:r w:rsidR="0009465C">
        <w:rPr>
          <w:rFonts w:cs="Arial"/>
          <w:sz w:val="22"/>
          <w:szCs w:val="22"/>
        </w:rPr>
        <w:t> </w:t>
      </w:r>
      <w:r w:rsidRPr="001B3177">
        <w:rPr>
          <w:rFonts w:cs="Arial"/>
          <w:sz w:val="22"/>
          <w:szCs w:val="22"/>
        </w:rPr>
        <w:t>comply with the relevant Commonwealth, State or Territory</w:t>
      </w:r>
      <w:r w:rsidRPr="001B3177" w:rsidDel="00423486">
        <w:rPr>
          <w:rFonts w:cs="Arial"/>
          <w:sz w:val="22"/>
          <w:szCs w:val="22"/>
        </w:rPr>
        <w:t xml:space="preserve"> </w:t>
      </w:r>
      <w:r w:rsidRPr="001B3177">
        <w:rPr>
          <w:rFonts w:cs="Arial"/>
          <w:sz w:val="22"/>
          <w:szCs w:val="22"/>
        </w:rPr>
        <w:t>law relating to the employment or engagement of people who work or volunteer with children in relation to</w:t>
      </w:r>
      <w:r w:rsidR="0009465C">
        <w:rPr>
          <w:rFonts w:cs="Arial"/>
          <w:sz w:val="22"/>
          <w:szCs w:val="22"/>
        </w:rPr>
        <w:t> </w:t>
      </w:r>
      <w:r w:rsidRPr="00074DE8">
        <w:rPr>
          <w:rFonts w:cs="Arial"/>
          <w:sz w:val="22"/>
          <w:szCs w:val="22"/>
        </w:rPr>
        <w:t xml:space="preserve">the Activity, including mandatory reporting and </w:t>
      </w:r>
      <w:r w:rsidRPr="00FC2418">
        <w:rPr>
          <w:rFonts w:cs="Arial"/>
          <w:sz w:val="22"/>
          <w:szCs w:val="22"/>
        </w:rPr>
        <w:t xml:space="preserve">complying with the </w:t>
      </w:r>
      <w:hyperlink r:id="rId29" w:history="1">
        <w:r w:rsidRPr="00FC2418">
          <w:rPr>
            <w:rStyle w:val="Hyperlink"/>
            <w:rFonts w:cs="Arial"/>
            <w:szCs w:val="22"/>
          </w:rPr>
          <w:t>National Standards for Working with Children Checks</w:t>
        </w:r>
      </w:hyperlink>
      <w:r w:rsidRPr="00AE2599">
        <w:rPr>
          <w:rFonts w:cs="Arial"/>
          <w:sz w:val="22"/>
          <w:szCs w:val="22"/>
        </w:rPr>
        <w:t>.</w:t>
      </w:r>
    </w:p>
    <w:p w14:paraId="26B5EF3D" w14:textId="23CAF414" w:rsidR="00425099" w:rsidRPr="00BC5FD7" w:rsidRDefault="0079678E" w:rsidP="00425099">
      <w:pPr>
        <w:rPr>
          <w:rFonts w:cs="Arial"/>
          <w:sz w:val="22"/>
          <w:szCs w:val="22"/>
        </w:rPr>
      </w:pPr>
      <w:r w:rsidRPr="00074DE8">
        <w:rPr>
          <w:rFonts w:cs="Arial"/>
          <w:sz w:val="22"/>
          <w:szCs w:val="22"/>
        </w:rPr>
        <w:t>Service providers must adhere to requirements specified in grant agreements in relation to working with vulnerable persons. More information on the department’s policy regarding vulnerable persons, police checks and criminal offences is available on the</w:t>
      </w:r>
      <w:r w:rsidR="00AE2599">
        <w:rPr>
          <w:rFonts w:cs="Arial"/>
          <w:sz w:val="22"/>
          <w:szCs w:val="22"/>
        </w:rPr>
        <w:t xml:space="preserve"> </w:t>
      </w:r>
      <w:hyperlink r:id="rId30" w:history="1">
        <w:r w:rsidR="00AE2599" w:rsidRPr="00AE2599">
          <w:rPr>
            <w:rStyle w:val="Hyperlink"/>
            <w:rFonts w:cs="Arial"/>
            <w:szCs w:val="22"/>
          </w:rPr>
          <w:t>DSS website</w:t>
        </w:r>
      </w:hyperlink>
      <w:r w:rsidR="00AE2599">
        <w:rPr>
          <w:rFonts w:cs="Arial"/>
          <w:sz w:val="22"/>
          <w:szCs w:val="22"/>
        </w:rPr>
        <w:t>.</w:t>
      </w:r>
    </w:p>
    <w:p w14:paraId="040A3029" w14:textId="0883C0EE" w:rsidR="007B19C7" w:rsidRPr="003A6046" w:rsidRDefault="00A717CF" w:rsidP="001B3177">
      <w:pPr>
        <w:pStyle w:val="Heading1"/>
      </w:pPr>
      <w:bookmarkStart w:id="174" w:name="_Toc70416173"/>
      <w:bookmarkStart w:id="175" w:name="_Toc70417885"/>
      <w:bookmarkStart w:id="176" w:name="_Toc70494440"/>
      <w:bookmarkStart w:id="177" w:name="_Toc70494851"/>
      <w:bookmarkStart w:id="178" w:name="_Toc70499410"/>
      <w:bookmarkStart w:id="179" w:name="_Toc70506080"/>
      <w:bookmarkStart w:id="180" w:name="_Toc70506159"/>
      <w:bookmarkStart w:id="181" w:name="_Toc70506238"/>
      <w:bookmarkStart w:id="182" w:name="_Toc70506320"/>
      <w:bookmarkStart w:id="183" w:name="_Toc70506977"/>
      <w:bookmarkStart w:id="184" w:name="_Toc70507128"/>
      <w:bookmarkStart w:id="185" w:name="_Toc70416174"/>
      <w:bookmarkStart w:id="186" w:name="_Toc70417886"/>
      <w:bookmarkStart w:id="187" w:name="_Toc70494441"/>
      <w:bookmarkStart w:id="188" w:name="_Toc70494852"/>
      <w:bookmarkStart w:id="189" w:name="_Toc70499411"/>
      <w:bookmarkStart w:id="190" w:name="_Toc70506081"/>
      <w:bookmarkStart w:id="191" w:name="_Toc70506160"/>
      <w:bookmarkStart w:id="192" w:name="_Toc70506239"/>
      <w:bookmarkStart w:id="193" w:name="_Toc70506321"/>
      <w:bookmarkStart w:id="194" w:name="_Toc70506978"/>
      <w:bookmarkStart w:id="195" w:name="_Toc70507129"/>
      <w:bookmarkStart w:id="196" w:name="_Toc70416175"/>
      <w:bookmarkStart w:id="197" w:name="_Toc70417887"/>
      <w:bookmarkStart w:id="198" w:name="_Toc70494442"/>
      <w:bookmarkStart w:id="199" w:name="_Toc70494853"/>
      <w:bookmarkStart w:id="200" w:name="_Toc70499412"/>
      <w:bookmarkStart w:id="201" w:name="_Toc70506082"/>
      <w:bookmarkStart w:id="202" w:name="_Toc70506161"/>
      <w:bookmarkStart w:id="203" w:name="_Toc70506240"/>
      <w:bookmarkStart w:id="204" w:name="_Toc70506322"/>
      <w:bookmarkStart w:id="205" w:name="_Toc70506979"/>
      <w:bookmarkStart w:id="206" w:name="_Toc70507130"/>
      <w:bookmarkStart w:id="207" w:name="_Toc68866048"/>
      <w:bookmarkStart w:id="208" w:name="_Toc68873977"/>
      <w:bookmarkStart w:id="209" w:name="_Toc68866050"/>
      <w:bookmarkStart w:id="210" w:name="_Toc68873979"/>
      <w:bookmarkStart w:id="211" w:name="_Toc68866051"/>
      <w:bookmarkStart w:id="212" w:name="_Toc68873980"/>
      <w:bookmarkStart w:id="213" w:name="_Toc68866052"/>
      <w:bookmarkStart w:id="214" w:name="_Toc68873981"/>
      <w:bookmarkStart w:id="215" w:name="_Toc68866055"/>
      <w:bookmarkStart w:id="216" w:name="_Toc68873984"/>
      <w:bookmarkStart w:id="217" w:name="_Toc68866058"/>
      <w:bookmarkStart w:id="218" w:name="_Toc68873987"/>
      <w:bookmarkStart w:id="219" w:name="_Toc68866062"/>
      <w:bookmarkStart w:id="220" w:name="_Toc68873991"/>
      <w:bookmarkStart w:id="221" w:name="_Toc68866064"/>
      <w:bookmarkStart w:id="222" w:name="_Toc68873993"/>
      <w:bookmarkStart w:id="223" w:name="_Toc68866065"/>
      <w:bookmarkStart w:id="224" w:name="_Toc68873994"/>
      <w:bookmarkStart w:id="225" w:name="_Toc68866066"/>
      <w:bookmarkStart w:id="226" w:name="_Toc68873995"/>
      <w:bookmarkStart w:id="227" w:name="_Toc68866067"/>
      <w:bookmarkStart w:id="228" w:name="_Toc68873996"/>
      <w:bookmarkStart w:id="229" w:name="_Toc68866068"/>
      <w:bookmarkStart w:id="230" w:name="_Toc68873997"/>
      <w:bookmarkStart w:id="231" w:name="_Toc68866070"/>
      <w:bookmarkStart w:id="232" w:name="_Toc68873999"/>
      <w:bookmarkStart w:id="233" w:name="_Toc7059967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Client</w:t>
      </w:r>
      <w:r w:rsidR="00C21675">
        <w:t>s</w:t>
      </w:r>
      <w:r>
        <w:t xml:space="preserve"> </w:t>
      </w:r>
      <w:hyperlink w:anchor="_Toc501461284" w:history="1">
        <w:bookmarkStart w:id="234" w:name="_Toc35850951"/>
        <w:bookmarkStart w:id="235" w:name="_Toc36199670"/>
        <w:r w:rsidR="007B19C7" w:rsidRPr="003A6046">
          <w:t xml:space="preserve">Exiting </w:t>
        </w:r>
        <w:r w:rsidR="0079678E">
          <w:t>FMHSS</w:t>
        </w:r>
        <w:bookmarkEnd w:id="233"/>
      </w:hyperlink>
      <w:bookmarkEnd w:id="234"/>
      <w:bookmarkEnd w:id="235"/>
    </w:p>
    <w:p w14:paraId="15E654A9" w14:textId="77777777" w:rsidR="00240968" w:rsidRPr="00922A33" w:rsidRDefault="0079678E" w:rsidP="007B19C7">
      <w:pPr>
        <w:spacing w:after="120" w:line="276" w:lineRule="auto"/>
        <w:rPr>
          <w:rFonts w:cs="Arial"/>
          <w:sz w:val="22"/>
          <w:szCs w:val="22"/>
        </w:rPr>
      </w:pPr>
      <w:r w:rsidRPr="00AE2599">
        <w:rPr>
          <w:rFonts w:cs="Arial"/>
          <w:sz w:val="22"/>
          <w:szCs w:val="22"/>
        </w:rPr>
        <w:t>When a child or young person exits FMHSS, the provider should update participant information accordingly in the data collection system. Providers should ensure participants exiting FMHSS</w:t>
      </w:r>
      <w:r w:rsidRPr="00AE2599" w:rsidDel="001E0938">
        <w:rPr>
          <w:rFonts w:cs="Arial"/>
          <w:sz w:val="22"/>
          <w:szCs w:val="22"/>
        </w:rPr>
        <w:t xml:space="preserve"> </w:t>
      </w:r>
      <w:r w:rsidRPr="00AE2599">
        <w:rPr>
          <w:rFonts w:cs="Arial"/>
          <w:sz w:val="22"/>
          <w:szCs w:val="22"/>
        </w:rPr>
        <w:t>have adequate alternative supports in place, should they require them.</w:t>
      </w:r>
    </w:p>
    <w:p w14:paraId="404AA0F9" w14:textId="77777777" w:rsidR="007B19C7" w:rsidRPr="00D05C25" w:rsidRDefault="007036AE" w:rsidP="001B3177">
      <w:pPr>
        <w:pStyle w:val="Heading1"/>
      </w:pPr>
      <w:hyperlink w:anchor="_Toc501461286" w:history="1">
        <w:bookmarkStart w:id="236" w:name="_Toc70599675"/>
        <w:bookmarkStart w:id="237" w:name="_Toc35850953"/>
        <w:bookmarkStart w:id="238" w:name="_Toc36199672"/>
        <w:r w:rsidR="007B19C7" w:rsidRPr="00D05C25">
          <w:t>Refusal of service</w:t>
        </w:r>
        <w:bookmarkEnd w:id="236"/>
        <w:r w:rsidR="007B19C7" w:rsidRPr="00D05C25">
          <w:rPr>
            <w:webHidden/>
          </w:rPr>
          <w:tab/>
        </w:r>
      </w:hyperlink>
      <w:bookmarkEnd w:id="237"/>
      <w:bookmarkEnd w:id="238"/>
    </w:p>
    <w:p w14:paraId="0A0E5889" w14:textId="77777777" w:rsidR="0079678E" w:rsidRPr="001B3177" w:rsidRDefault="0079678E" w:rsidP="0079678E">
      <w:pPr>
        <w:keepNext/>
        <w:spacing w:after="0"/>
        <w:rPr>
          <w:rFonts w:cs="Arial"/>
          <w:sz w:val="22"/>
          <w:szCs w:val="22"/>
        </w:rPr>
      </w:pPr>
      <w:r w:rsidRPr="001B3177">
        <w:rPr>
          <w:rFonts w:cs="Arial"/>
          <w:sz w:val="22"/>
          <w:szCs w:val="22"/>
        </w:rPr>
        <w:t>FMHSS providers may refuse to deliver services where:</w:t>
      </w:r>
    </w:p>
    <w:p w14:paraId="63673EB5" w14:textId="378C3C05" w:rsidR="0079678E" w:rsidRPr="001B3177" w:rsidRDefault="0079678E" w:rsidP="00942526">
      <w:pPr>
        <w:pStyle w:val="ListParagraph"/>
        <w:keepNext/>
        <w:numPr>
          <w:ilvl w:val="0"/>
          <w:numId w:val="71"/>
        </w:numPr>
        <w:spacing w:before="0" w:after="0" w:line="240" w:lineRule="auto"/>
        <w:rPr>
          <w:rFonts w:cs="Arial"/>
          <w:sz w:val="22"/>
          <w:szCs w:val="22"/>
        </w:rPr>
      </w:pPr>
      <w:r w:rsidRPr="001B3177">
        <w:rPr>
          <w:rFonts w:eastAsia="Calibri" w:cs="Arial"/>
          <w:spacing w:val="0"/>
          <w:sz w:val="22"/>
          <w:szCs w:val="22"/>
          <w:lang w:eastAsia="en-US"/>
        </w:rPr>
        <w:t>there are safety concerns</w:t>
      </w:r>
      <w:r w:rsidR="0009465C">
        <w:rPr>
          <w:rFonts w:eastAsia="Calibri" w:cs="Arial"/>
          <w:spacing w:val="0"/>
          <w:sz w:val="22"/>
          <w:szCs w:val="22"/>
          <w:lang w:eastAsia="en-US"/>
        </w:rPr>
        <w:t>; or</w:t>
      </w:r>
    </w:p>
    <w:p w14:paraId="0ADD95C6" w14:textId="77777777" w:rsidR="007B19C7" w:rsidRPr="001B3177" w:rsidRDefault="0079678E" w:rsidP="00942526">
      <w:pPr>
        <w:pStyle w:val="ListParagraph"/>
        <w:keepNext/>
        <w:numPr>
          <w:ilvl w:val="0"/>
          <w:numId w:val="71"/>
        </w:numPr>
        <w:spacing w:before="0" w:after="0" w:line="240" w:lineRule="auto"/>
        <w:rPr>
          <w:rFonts w:cs="Arial"/>
          <w:sz w:val="22"/>
          <w:szCs w:val="22"/>
        </w:rPr>
      </w:pPr>
      <w:proofErr w:type="gramStart"/>
      <w:r w:rsidRPr="001B3177">
        <w:rPr>
          <w:rFonts w:eastAsia="Calibri" w:cs="Arial"/>
          <w:spacing w:val="0"/>
          <w:sz w:val="22"/>
          <w:szCs w:val="22"/>
          <w:lang w:eastAsia="en-US"/>
        </w:rPr>
        <w:t>evidence</w:t>
      </w:r>
      <w:proofErr w:type="gramEnd"/>
      <w:r w:rsidRPr="001B3177">
        <w:rPr>
          <w:rFonts w:eastAsia="Calibri" w:cs="Arial"/>
          <w:spacing w:val="0"/>
          <w:sz w:val="22"/>
          <w:szCs w:val="22"/>
          <w:lang w:eastAsia="en-US"/>
        </w:rPr>
        <w:t xml:space="preserve"> indicates the child, young person or participant is not eligible for FMHSS (refer to Section 4</w:t>
      </w:r>
      <w:r w:rsidR="0009465C">
        <w:rPr>
          <w:rFonts w:eastAsia="Calibri" w:cs="Arial"/>
          <w:spacing w:val="0"/>
          <w:sz w:val="22"/>
          <w:szCs w:val="22"/>
          <w:lang w:eastAsia="en-US"/>
        </w:rPr>
        <w:t>.1</w:t>
      </w:r>
      <w:r w:rsidRPr="001B3177">
        <w:rPr>
          <w:rFonts w:eastAsia="Calibri" w:cs="Arial"/>
          <w:spacing w:val="0"/>
          <w:sz w:val="22"/>
          <w:szCs w:val="22"/>
          <w:lang w:eastAsia="en-US"/>
        </w:rPr>
        <w:t xml:space="preserve"> for detail on participant eligibility)</w:t>
      </w:r>
      <w:r w:rsidR="0009465C">
        <w:rPr>
          <w:rFonts w:eastAsia="Calibri" w:cs="Arial"/>
          <w:spacing w:val="0"/>
          <w:sz w:val="22"/>
          <w:szCs w:val="22"/>
          <w:lang w:eastAsia="en-US"/>
        </w:rPr>
        <w:t>.</w:t>
      </w:r>
    </w:p>
    <w:p w14:paraId="71C7959B" w14:textId="77777777" w:rsidR="001D174D" w:rsidRPr="004C3752" w:rsidRDefault="001D174D" w:rsidP="001B3177">
      <w:pPr>
        <w:pStyle w:val="Heading1"/>
        <w:rPr>
          <w:b/>
        </w:rPr>
      </w:pPr>
      <w:bookmarkStart w:id="239" w:name="_Toc70599676"/>
      <w:r w:rsidRPr="004C3752">
        <w:t>Safety</w:t>
      </w:r>
      <w:bookmarkEnd w:id="239"/>
    </w:p>
    <w:p w14:paraId="10C362DB" w14:textId="77777777" w:rsidR="0079678E" w:rsidRPr="00EA3CD3" w:rsidRDefault="0079678E" w:rsidP="0079678E">
      <w:pPr>
        <w:keepNext/>
        <w:keepLines/>
        <w:rPr>
          <w:sz w:val="22"/>
          <w:szCs w:val="22"/>
        </w:rPr>
      </w:pPr>
      <w:r w:rsidRPr="00EA3CD3">
        <w:rPr>
          <w:sz w:val="22"/>
          <w:szCs w:val="22"/>
        </w:rPr>
        <w:t xml:space="preserve">The safety of all </w:t>
      </w:r>
      <w:r>
        <w:rPr>
          <w:sz w:val="22"/>
          <w:szCs w:val="22"/>
        </w:rPr>
        <w:t xml:space="preserve">children, young people, their families and carers </w:t>
      </w:r>
      <w:r w:rsidRPr="00EA3CD3">
        <w:rPr>
          <w:sz w:val="22"/>
          <w:szCs w:val="22"/>
        </w:rPr>
        <w:t xml:space="preserve">who visit or work for </w:t>
      </w:r>
      <w:r>
        <w:rPr>
          <w:sz w:val="22"/>
          <w:szCs w:val="22"/>
        </w:rPr>
        <w:t>FMHSS</w:t>
      </w:r>
      <w:r w:rsidRPr="00EA3CD3">
        <w:rPr>
          <w:sz w:val="22"/>
          <w:szCs w:val="22"/>
        </w:rPr>
        <w:t xml:space="preserve"> is paramount.</w:t>
      </w:r>
    </w:p>
    <w:p w14:paraId="32B435AA" w14:textId="77777777" w:rsidR="0079678E" w:rsidRPr="00EA3CD3" w:rsidRDefault="0079678E" w:rsidP="0079678E">
      <w:pPr>
        <w:keepNext/>
        <w:keepLines/>
        <w:rPr>
          <w:sz w:val="22"/>
          <w:szCs w:val="22"/>
        </w:rPr>
      </w:pPr>
      <w:r w:rsidRPr="00EA3CD3">
        <w:rPr>
          <w:sz w:val="22"/>
          <w:szCs w:val="22"/>
        </w:rPr>
        <w:t xml:space="preserve">Service providers </w:t>
      </w:r>
      <w:r>
        <w:rPr>
          <w:sz w:val="22"/>
          <w:szCs w:val="22"/>
        </w:rPr>
        <w:t>must ensure the safety of their staff and should</w:t>
      </w:r>
      <w:r w:rsidRPr="00EA3CD3">
        <w:rPr>
          <w:sz w:val="22"/>
          <w:szCs w:val="22"/>
        </w:rPr>
        <w:t>:</w:t>
      </w:r>
    </w:p>
    <w:p w14:paraId="467B86E3" w14:textId="77777777" w:rsidR="0079678E" w:rsidRPr="00EA3CD3" w:rsidRDefault="0079678E" w:rsidP="0079678E">
      <w:pPr>
        <w:pStyle w:val="ListParagraph"/>
        <w:numPr>
          <w:ilvl w:val="0"/>
          <w:numId w:val="40"/>
        </w:numPr>
        <w:spacing w:before="0" w:after="120" w:line="240" w:lineRule="auto"/>
        <w:ind w:left="714" w:hanging="357"/>
        <w:rPr>
          <w:sz w:val="22"/>
          <w:szCs w:val="22"/>
        </w:rPr>
      </w:pPr>
      <w:r w:rsidRPr="00EA3CD3">
        <w:rPr>
          <w:sz w:val="22"/>
          <w:szCs w:val="22"/>
        </w:rPr>
        <w:t>give their staff clear safety policies and procedures in writing and provide staff with adequate support, training and resources to comply with those policies and procedures; and</w:t>
      </w:r>
    </w:p>
    <w:p w14:paraId="0BF27AED" w14:textId="71BD5B10" w:rsidR="005633C5" w:rsidRDefault="0079678E" w:rsidP="005633C5">
      <w:pPr>
        <w:pStyle w:val="ListParagraph"/>
        <w:numPr>
          <w:ilvl w:val="0"/>
          <w:numId w:val="40"/>
        </w:numPr>
        <w:spacing w:before="0" w:after="120" w:line="240" w:lineRule="auto"/>
        <w:ind w:left="714" w:hanging="357"/>
        <w:rPr>
          <w:sz w:val="22"/>
          <w:szCs w:val="22"/>
        </w:rPr>
      </w:pPr>
      <w:proofErr w:type="gramStart"/>
      <w:r w:rsidRPr="00EA3CD3">
        <w:rPr>
          <w:sz w:val="22"/>
          <w:szCs w:val="22"/>
        </w:rPr>
        <w:t>report</w:t>
      </w:r>
      <w:proofErr w:type="gramEnd"/>
      <w:r w:rsidRPr="00EA3CD3">
        <w:rPr>
          <w:sz w:val="22"/>
          <w:szCs w:val="22"/>
        </w:rPr>
        <w:t xml:space="preserve"> critical incidents to the department (refer to Section </w:t>
      </w:r>
      <w:r w:rsidR="00130095">
        <w:rPr>
          <w:sz w:val="22"/>
          <w:szCs w:val="22"/>
        </w:rPr>
        <w:t>8</w:t>
      </w:r>
      <w:r w:rsidRPr="00EA3CD3">
        <w:rPr>
          <w:sz w:val="22"/>
          <w:szCs w:val="22"/>
        </w:rPr>
        <w:t>).</w:t>
      </w:r>
    </w:p>
    <w:p w14:paraId="70627C02" w14:textId="77777777" w:rsidR="0079678E" w:rsidRDefault="0079678E" w:rsidP="00942526">
      <w:pPr>
        <w:pStyle w:val="Heading1"/>
      </w:pPr>
      <w:bookmarkStart w:id="240" w:name="_Toc70599677"/>
      <w:r w:rsidRPr="003A6046">
        <w:t>Commonwealth Child Safe Framework</w:t>
      </w:r>
      <w:bookmarkEnd w:id="240"/>
    </w:p>
    <w:p w14:paraId="0D3C557C" w14:textId="77777777" w:rsidR="0079678E" w:rsidRPr="004C3752" w:rsidRDefault="0079678E" w:rsidP="0079678E">
      <w:pPr>
        <w:spacing w:after="150"/>
        <w:rPr>
          <w:rFonts w:eastAsiaTheme="minorHAnsi"/>
          <w:sz w:val="22"/>
          <w:szCs w:val="22"/>
        </w:rPr>
      </w:pPr>
      <w:r w:rsidRPr="004C3752">
        <w:rPr>
          <w:sz w:val="22"/>
          <w:szCs w:val="22"/>
        </w:rPr>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p>
    <w:p w14:paraId="5EA83A28" w14:textId="77777777" w:rsidR="0079678E" w:rsidRPr="004C3752" w:rsidRDefault="0079678E" w:rsidP="0079678E">
      <w:pPr>
        <w:spacing w:after="150"/>
        <w:rPr>
          <w:sz w:val="22"/>
          <w:szCs w:val="22"/>
        </w:rPr>
      </w:pPr>
      <w:r w:rsidRPr="004C3752">
        <w:rPr>
          <w:sz w:val="22"/>
          <w:szCs w:val="22"/>
        </w:rPr>
        <w:t xml:space="preserve">In response, the Australian Government introduced the </w:t>
      </w:r>
      <w:r w:rsidRPr="004C3752">
        <w:rPr>
          <w:i/>
          <w:iCs/>
          <w:sz w:val="22"/>
          <w:szCs w:val="22"/>
        </w:rPr>
        <w:t>Commonwealth Child Safe Framework</w:t>
      </w:r>
      <w:r w:rsidRPr="004C3752">
        <w:rPr>
          <w:sz w:val="22"/>
          <w:szCs w:val="22"/>
        </w:rPr>
        <w:t xml:space="preserve"> (the Framework), a whole-of-government policy that sets minimum standards for creating and embedding a child safe culture and practice in Commonwealth entities and Commonwealth funded third parties.</w:t>
      </w:r>
    </w:p>
    <w:p w14:paraId="76CBEEA3" w14:textId="77777777" w:rsidR="0079678E" w:rsidRPr="00683499" w:rsidRDefault="0079678E" w:rsidP="0079678E">
      <w:pPr>
        <w:spacing w:after="120"/>
        <w:rPr>
          <w:sz w:val="22"/>
          <w:szCs w:val="22"/>
        </w:rPr>
      </w:pPr>
      <w:r w:rsidRPr="004C3752">
        <w:rPr>
          <w:sz w:val="22"/>
          <w:szCs w:val="22"/>
        </w:rPr>
        <w:t>In line with clause CB9 of the Supplementary Provisions in your grant agreement, all</w:t>
      </w:r>
      <w:r>
        <w:rPr>
          <w:sz w:val="22"/>
          <w:szCs w:val="22"/>
        </w:rPr>
        <w:t> </w:t>
      </w:r>
      <w:r w:rsidRPr="004C3752">
        <w:rPr>
          <w:sz w:val="22"/>
          <w:szCs w:val="22"/>
        </w:rPr>
        <w:t xml:space="preserve">services funded under the </w:t>
      </w:r>
      <w:r>
        <w:rPr>
          <w:sz w:val="22"/>
          <w:szCs w:val="22"/>
        </w:rPr>
        <w:t>Budget Based Funded</w:t>
      </w:r>
      <w:r w:rsidRPr="00683499">
        <w:rPr>
          <w:sz w:val="22"/>
          <w:szCs w:val="22"/>
        </w:rPr>
        <w:t xml:space="preserve"> activity must ensure activities conducted comply with the National Principles for Child Safe Organisations and other action for the safety of children, and relevant checks and authority. Under this clause, you are required to:</w:t>
      </w:r>
    </w:p>
    <w:p w14:paraId="088EE8D1" w14:textId="77777777" w:rsidR="0079678E" w:rsidRPr="00942526" w:rsidRDefault="0079678E" w:rsidP="00500C4A">
      <w:pPr>
        <w:pStyle w:val="ListParagraph"/>
        <w:keepNext/>
        <w:numPr>
          <w:ilvl w:val="0"/>
          <w:numId w:val="71"/>
        </w:numPr>
        <w:spacing w:before="0" w:after="0" w:line="240" w:lineRule="auto"/>
        <w:rPr>
          <w:rFonts w:eastAsia="Calibri" w:cs="Arial"/>
          <w:spacing w:val="0"/>
          <w:sz w:val="22"/>
          <w:szCs w:val="22"/>
          <w:lang w:eastAsia="en-US"/>
        </w:rPr>
      </w:pPr>
      <w:r w:rsidRPr="00942526">
        <w:rPr>
          <w:rFonts w:eastAsia="Calibri" w:cs="Arial"/>
          <w:spacing w:val="0"/>
          <w:sz w:val="22"/>
          <w:szCs w:val="22"/>
          <w:lang w:eastAsia="en-US"/>
        </w:rPr>
        <w:lastRenderedPageBreak/>
        <w:t>submit an annual Statement of Compliance stating you have implemented the National Principles for Child Safe Organisations;</w:t>
      </w:r>
    </w:p>
    <w:p w14:paraId="6D86484E" w14:textId="77777777" w:rsidR="0079678E" w:rsidRPr="00942526" w:rsidRDefault="0079678E" w:rsidP="00500C4A">
      <w:pPr>
        <w:pStyle w:val="ListParagraph"/>
        <w:keepNext/>
        <w:numPr>
          <w:ilvl w:val="0"/>
          <w:numId w:val="71"/>
        </w:numPr>
        <w:spacing w:before="0" w:after="0" w:line="240" w:lineRule="auto"/>
        <w:rPr>
          <w:rFonts w:eastAsia="Calibri" w:cs="Arial"/>
          <w:spacing w:val="0"/>
          <w:sz w:val="22"/>
          <w:szCs w:val="22"/>
          <w:lang w:eastAsia="en-US"/>
        </w:rPr>
      </w:pPr>
      <w:r w:rsidRPr="00942526">
        <w:rPr>
          <w:rFonts w:eastAsia="Calibri" w:cs="Arial"/>
          <w:spacing w:val="0"/>
          <w:sz w:val="22"/>
          <w:szCs w:val="22"/>
          <w:lang w:eastAsia="en-US"/>
        </w:rPr>
        <w:t>complete an updated risk assessment to identify the level of responsibility for children and level of risk of harm to children;</w:t>
      </w:r>
    </w:p>
    <w:p w14:paraId="5390C2E2" w14:textId="77777777" w:rsidR="0079678E" w:rsidRPr="00942526" w:rsidRDefault="0079678E" w:rsidP="00500C4A">
      <w:pPr>
        <w:pStyle w:val="ListParagraph"/>
        <w:keepNext/>
        <w:numPr>
          <w:ilvl w:val="0"/>
          <w:numId w:val="71"/>
        </w:numPr>
        <w:spacing w:before="0" w:after="0" w:line="240" w:lineRule="auto"/>
        <w:rPr>
          <w:rFonts w:eastAsia="Calibri" w:cs="Arial"/>
          <w:spacing w:val="0"/>
          <w:sz w:val="22"/>
          <w:szCs w:val="22"/>
          <w:lang w:eastAsia="en-US"/>
        </w:rPr>
      </w:pPr>
      <w:r w:rsidRPr="00942526">
        <w:rPr>
          <w:rFonts w:eastAsia="Calibri" w:cs="Arial"/>
          <w:spacing w:val="0"/>
          <w:sz w:val="22"/>
          <w:szCs w:val="22"/>
          <w:lang w:eastAsia="en-US"/>
        </w:rPr>
        <w:t>have an updated risk management strategy; and</w:t>
      </w:r>
    </w:p>
    <w:p w14:paraId="73913D54" w14:textId="77777777" w:rsidR="0079678E" w:rsidRPr="00942526" w:rsidRDefault="0079678E" w:rsidP="00500C4A">
      <w:pPr>
        <w:pStyle w:val="ListParagraph"/>
        <w:keepNext/>
        <w:numPr>
          <w:ilvl w:val="0"/>
          <w:numId w:val="71"/>
        </w:numPr>
        <w:spacing w:before="0" w:after="0" w:line="240" w:lineRule="auto"/>
        <w:rPr>
          <w:rFonts w:eastAsia="Calibri" w:cs="Arial"/>
          <w:spacing w:val="0"/>
          <w:sz w:val="22"/>
          <w:szCs w:val="22"/>
          <w:lang w:eastAsia="en-US"/>
        </w:rPr>
      </w:pPr>
      <w:proofErr w:type="gramStart"/>
      <w:r w:rsidRPr="00942526">
        <w:rPr>
          <w:rFonts w:eastAsia="Calibri" w:cs="Arial"/>
          <w:spacing w:val="0"/>
          <w:sz w:val="22"/>
          <w:szCs w:val="22"/>
          <w:lang w:eastAsia="en-US"/>
        </w:rPr>
        <w:t>provide</w:t>
      </w:r>
      <w:proofErr w:type="gramEnd"/>
      <w:r w:rsidRPr="00942526">
        <w:rPr>
          <w:rFonts w:eastAsia="Calibri" w:cs="Arial"/>
          <w:spacing w:val="0"/>
          <w:sz w:val="22"/>
          <w:szCs w:val="22"/>
          <w:lang w:eastAsia="en-US"/>
        </w:rPr>
        <w:t xml:space="preserve"> training and a compliance regime.</w:t>
      </w:r>
    </w:p>
    <w:p w14:paraId="25EAA891" w14:textId="77777777" w:rsidR="0079678E" w:rsidRPr="00DB67B9" w:rsidRDefault="0079678E" w:rsidP="0079678E">
      <w:pPr>
        <w:spacing w:after="150"/>
        <w:rPr>
          <w:sz w:val="22"/>
          <w:szCs w:val="22"/>
          <w:lang w:eastAsia="en-US"/>
        </w:rPr>
      </w:pPr>
      <w:r w:rsidRPr="00683499">
        <w:rPr>
          <w:sz w:val="22"/>
          <w:szCs w:val="22"/>
        </w:rPr>
        <w:t xml:space="preserve">It is the organisation’s responsibility to understand their </w:t>
      </w:r>
      <w:r w:rsidRPr="00DB67B9">
        <w:rPr>
          <w:sz w:val="22"/>
          <w:szCs w:val="22"/>
        </w:rPr>
        <w:t xml:space="preserve">requirements </w:t>
      </w:r>
      <w:r w:rsidRPr="00AE23EF">
        <w:rPr>
          <w:sz w:val="22"/>
          <w:szCs w:val="22"/>
        </w:rPr>
        <w:t>and evidence their compliance</w:t>
      </w:r>
      <w:r w:rsidRPr="00DB67B9">
        <w:rPr>
          <w:sz w:val="22"/>
          <w:szCs w:val="22"/>
        </w:rPr>
        <w:t xml:space="preserve"> under the Framework.</w:t>
      </w:r>
    </w:p>
    <w:p w14:paraId="36518FA1" w14:textId="77777777" w:rsidR="0079678E" w:rsidRPr="00683499" w:rsidRDefault="0079678E" w:rsidP="0079678E">
      <w:pPr>
        <w:spacing w:after="150"/>
        <w:rPr>
          <w:sz w:val="22"/>
          <w:szCs w:val="22"/>
        </w:rPr>
      </w:pPr>
      <w:r w:rsidRPr="00683499">
        <w:rPr>
          <w:sz w:val="22"/>
          <w:szCs w:val="22"/>
        </w:rPr>
        <w:t>Further information on the Framework and providers’ obligations is available on</w:t>
      </w:r>
      <w:r>
        <w:rPr>
          <w:sz w:val="22"/>
          <w:szCs w:val="22"/>
        </w:rPr>
        <w:t> </w:t>
      </w:r>
      <w:r w:rsidRPr="00683499">
        <w:rPr>
          <w:sz w:val="22"/>
          <w:szCs w:val="22"/>
        </w:rPr>
        <w:t>the </w:t>
      </w:r>
      <w:hyperlink r:id="rId31" w:history="1">
        <w:r w:rsidRPr="00683499">
          <w:rPr>
            <w:rStyle w:val="Hyperlink"/>
            <w:rFonts w:eastAsiaTheme="majorEastAsia"/>
            <w:szCs w:val="22"/>
          </w:rPr>
          <w:t>National Office for Child Safety website</w:t>
        </w:r>
      </w:hyperlink>
      <w:r w:rsidRPr="00683499">
        <w:rPr>
          <w:sz w:val="22"/>
          <w:szCs w:val="22"/>
        </w:rPr>
        <w:t xml:space="preserve"> and the Australian Human Rights Commission’s </w:t>
      </w:r>
      <w:hyperlink r:id="rId32" w:history="1">
        <w:r w:rsidRPr="00683499">
          <w:rPr>
            <w:rStyle w:val="Hyperlink"/>
            <w:rFonts w:eastAsiaTheme="majorEastAsia"/>
            <w:szCs w:val="22"/>
          </w:rPr>
          <w:t>Child Safe Organisations website</w:t>
        </w:r>
      </w:hyperlink>
      <w:r w:rsidRPr="00683499">
        <w:rPr>
          <w:sz w:val="22"/>
          <w:szCs w:val="22"/>
        </w:rPr>
        <w:t>.</w:t>
      </w:r>
    </w:p>
    <w:p w14:paraId="71FFDBDE" w14:textId="77777777" w:rsidR="0079678E" w:rsidRPr="00156E05" w:rsidRDefault="0079678E" w:rsidP="0079678E">
      <w:pPr>
        <w:spacing w:after="150"/>
        <w:rPr>
          <w:rFonts w:eastAsiaTheme="majorEastAsia" w:cstheme="majorBidi"/>
          <w:bCs/>
          <w:sz w:val="22"/>
          <w:szCs w:val="22"/>
        </w:rPr>
      </w:pPr>
      <w:r w:rsidRPr="00683499">
        <w:rPr>
          <w:sz w:val="22"/>
          <w:szCs w:val="22"/>
        </w:rPr>
        <w:t>Any questions regarding the Statement of Compliance Process should be directed to</w:t>
      </w:r>
      <w:r>
        <w:rPr>
          <w:sz w:val="22"/>
          <w:szCs w:val="22"/>
        </w:rPr>
        <w:t> </w:t>
      </w:r>
      <w:r w:rsidRPr="00683499">
        <w:rPr>
          <w:sz w:val="22"/>
          <w:szCs w:val="22"/>
        </w:rPr>
        <w:t>yo</w:t>
      </w:r>
      <w:r w:rsidRPr="006B6F34">
        <w:rPr>
          <w:sz w:val="22"/>
          <w:szCs w:val="22"/>
        </w:rPr>
        <w:t>ur FAM</w:t>
      </w:r>
      <w:r>
        <w:rPr>
          <w:sz w:val="22"/>
          <w:szCs w:val="22"/>
        </w:rPr>
        <w:t>s</w:t>
      </w:r>
      <w:r w:rsidRPr="006B6F34">
        <w:rPr>
          <w:sz w:val="22"/>
          <w:szCs w:val="22"/>
        </w:rPr>
        <w:t>.</w:t>
      </w:r>
    </w:p>
    <w:p w14:paraId="7FA2BF51" w14:textId="77777777" w:rsidR="0079678E" w:rsidRPr="00500C4A" w:rsidRDefault="0079678E" w:rsidP="00500C4A">
      <w:pPr>
        <w:pStyle w:val="Heading1"/>
      </w:pPr>
      <w:bookmarkStart w:id="241" w:name="_Toc70599678"/>
      <w:r w:rsidRPr="00500C4A">
        <w:t>Fees</w:t>
      </w:r>
      <w:bookmarkEnd w:id="241"/>
    </w:p>
    <w:p w14:paraId="21928761" w14:textId="77777777" w:rsidR="0079678E" w:rsidRPr="00074DE8" w:rsidRDefault="0079678E" w:rsidP="00500C4A">
      <w:pPr>
        <w:rPr>
          <w:rFonts w:eastAsiaTheme="minorHAnsi"/>
          <w:lang w:eastAsia="en-US"/>
        </w:rPr>
      </w:pPr>
      <w:r w:rsidRPr="00A10A27">
        <w:rPr>
          <w:sz w:val="22"/>
          <w:szCs w:val="22"/>
        </w:rPr>
        <w:t>FMHSS is free of charge for participants.</w:t>
      </w:r>
    </w:p>
    <w:p w14:paraId="0D605EF2" w14:textId="77777777" w:rsidR="0079678E" w:rsidRDefault="0079678E" w:rsidP="00500C4A">
      <w:pPr>
        <w:pStyle w:val="Heading1"/>
      </w:pPr>
      <w:bookmarkStart w:id="242" w:name="_Toc70599679"/>
      <w:r>
        <w:t>Staff training and development</w:t>
      </w:r>
      <w:bookmarkEnd w:id="242"/>
    </w:p>
    <w:p w14:paraId="45272110" w14:textId="2FCCBF68" w:rsidR="0079678E" w:rsidRPr="00FC2418" w:rsidRDefault="0079678E" w:rsidP="0079678E">
      <w:pPr>
        <w:pStyle w:val="Default"/>
        <w:spacing w:after="200"/>
      </w:pPr>
      <w:r w:rsidRPr="00FC2418">
        <w:rPr>
          <w:sz w:val="22"/>
          <w:szCs w:val="22"/>
        </w:rPr>
        <w:t>FMHSS providers must employ and adequately train, support and supervise staff in</w:t>
      </w:r>
      <w:r w:rsidR="00130095">
        <w:rPr>
          <w:sz w:val="22"/>
          <w:szCs w:val="22"/>
        </w:rPr>
        <w:t> </w:t>
      </w:r>
      <w:r w:rsidRPr="00FC2418">
        <w:rPr>
          <w:sz w:val="22"/>
          <w:szCs w:val="22"/>
        </w:rPr>
        <w:t xml:space="preserve">accordance with their grant agreements. </w:t>
      </w:r>
    </w:p>
    <w:p w14:paraId="092C30AB" w14:textId="77777777" w:rsidR="0079678E" w:rsidRPr="00BC5FD7" w:rsidRDefault="0079678E" w:rsidP="0079678E">
      <w:pPr>
        <w:keepNext/>
        <w:spacing w:after="0"/>
        <w:rPr>
          <w:rFonts w:cs="Arial"/>
          <w:sz w:val="22"/>
          <w:szCs w:val="22"/>
        </w:rPr>
      </w:pPr>
      <w:r w:rsidRPr="00074DE8">
        <w:rPr>
          <w:rFonts w:cs="Arial"/>
          <w:sz w:val="22"/>
          <w:szCs w:val="22"/>
        </w:rPr>
        <w:t xml:space="preserve">FMHSS providers are required to:  </w:t>
      </w:r>
    </w:p>
    <w:p w14:paraId="7F53B907" w14:textId="77777777" w:rsidR="0079678E" w:rsidRPr="00500C4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500C4A">
        <w:rPr>
          <w:rFonts w:eastAsia="Calibri" w:cs="Arial"/>
          <w:spacing w:val="0"/>
          <w:sz w:val="22"/>
          <w:szCs w:val="22"/>
          <w:lang w:eastAsia="en-US"/>
        </w:rPr>
        <w:t>ensure staff (paid or voluntary) undertake training that is appropriate to the services they deliver,</w:t>
      </w:r>
    </w:p>
    <w:p w14:paraId="49EE487D" w14:textId="77777777" w:rsidR="0079678E" w:rsidRPr="00500C4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500C4A">
        <w:rPr>
          <w:rFonts w:eastAsia="Calibri" w:cs="Arial"/>
          <w:spacing w:val="0"/>
          <w:sz w:val="22"/>
          <w:szCs w:val="22"/>
          <w:lang w:eastAsia="en-US"/>
        </w:rPr>
        <w:t xml:space="preserve">support staff to access ongoing professional development and training to maintain an up-to-date understanding of research on children’s and young people’s mental health and wellbeing, and </w:t>
      </w:r>
    </w:p>
    <w:p w14:paraId="555FC27E" w14:textId="77777777" w:rsidR="0079678E" w:rsidRPr="00500C4A"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500C4A">
        <w:rPr>
          <w:rFonts w:eastAsia="Calibri" w:cs="Arial"/>
          <w:spacing w:val="0"/>
          <w:sz w:val="22"/>
          <w:szCs w:val="22"/>
          <w:lang w:eastAsia="en-US"/>
        </w:rPr>
        <w:t>support</w:t>
      </w:r>
      <w:proofErr w:type="gramEnd"/>
      <w:r w:rsidRPr="00500C4A">
        <w:rPr>
          <w:rFonts w:eastAsia="Calibri" w:cs="Arial"/>
          <w:spacing w:val="0"/>
          <w:sz w:val="22"/>
          <w:szCs w:val="22"/>
          <w:lang w:eastAsia="en-US"/>
        </w:rPr>
        <w:t xml:space="preserve"> their staff to remain skilled in, and committed to, an early intervention approach to service delivery.</w:t>
      </w:r>
    </w:p>
    <w:p w14:paraId="26B95879" w14:textId="51FEE0DC" w:rsidR="0079678E" w:rsidRPr="00500C4A" w:rsidRDefault="0079678E" w:rsidP="0079678E">
      <w:pPr>
        <w:spacing w:after="0" w:line="240" w:lineRule="auto"/>
        <w:rPr>
          <w:rFonts w:eastAsia="Calibri" w:cs="Arial"/>
          <w:spacing w:val="0"/>
          <w:sz w:val="22"/>
          <w:szCs w:val="22"/>
          <w:lang w:eastAsia="en-US"/>
        </w:rPr>
      </w:pPr>
      <w:r w:rsidRPr="00074DE8">
        <w:rPr>
          <w:rFonts w:cs="Arial"/>
          <w:sz w:val="22"/>
          <w:szCs w:val="22"/>
        </w:rPr>
        <w:t xml:space="preserve">FMHSS providers </w:t>
      </w:r>
      <w:r w:rsidRPr="00500C4A">
        <w:rPr>
          <w:rFonts w:eastAsia="Calibri" w:cs="Arial"/>
          <w:spacing w:val="0"/>
          <w:sz w:val="22"/>
          <w:szCs w:val="22"/>
          <w:lang w:eastAsia="en-US"/>
        </w:rPr>
        <w:t>should employ staff who are able to work cooperatively with different types of families in communities. Providers should employ and/or train staff with skills to</w:t>
      </w:r>
      <w:r w:rsidR="00130095">
        <w:rPr>
          <w:rFonts w:eastAsia="Calibri" w:cs="Arial"/>
          <w:spacing w:val="0"/>
          <w:sz w:val="22"/>
          <w:szCs w:val="22"/>
          <w:lang w:eastAsia="en-US"/>
        </w:rPr>
        <w:t> </w:t>
      </w:r>
      <w:r w:rsidRPr="00500C4A">
        <w:rPr>
          <w:rFonts w:eastAsia="Calibri" w:cs="Arial"/>
          <w:spacing w:val="0"/>
          <w:sz w:val="22"/>
          <w:szCs w:val="22"/>
          <w:lang w:eastAsia="en-US"/>
        </w:rPr>
        <w:t>deliver services that are responsive to the needs, values, lifestyles and cultural experiences of participants.</w:t>
      </w:r>
    </w:p>
    <w:p w14:paraId="2F83DC0C" w14:textId="77777777" w:rsidR="00DD593D" w:rsidRDefault="00DD593D">
      <w:pPr>
        <w:spacing w:before="0" w:after="200" w:line="276" w:lineRule="auto"/>
        <w:rPr>
          <w:rFonts w:ascii="Georgia" w:hAnsi="Georgia" w:cs="Arial"/>
          <w:bCs/>
          <w:color w:val="500778"/>
          <w:kern w:val="32"/>
          <w:sz w:val="36"/>
          <w:szCs w:val="32"/>
        </w:rPr>
      </w:pPr>
      <w:bookmarkStart w:id="243" w:name="_Toc70413836"/>
      <w:bookmarkStart w:id="244" w:name="_Toc70416179"/>
      <w:bookmarkStart w:id="245" w:name="_Toc70417891"/>
      <w:bookmarkStart w:id="246" w:name="_Toc70494449"/>
      <w:bookmarkStart w:id="247" w:name="_Toc70413837"/>
      <w:bookmarkStart w:id="248" w:name="_Toc70416180"/>
      <w:bookmarkStart w:id="249" w:name="_Toc70417892"/>
      <w:bookmarkStart w:id="250" w:name="_Toc70494450"/>
      <w:bookmarkStart w:id="251" w:name="_Toc70413838"/>
      <w:bookmarkStart w:id="252" w:name="_Toc70416181"/>
      <w:bookmarkStart w:id="253" w:name="_Toc70417893"/>
      <w:bookmarkStart w:id="254" w:name="_Toc70494451"/>
      <w:bookmarkStart w:id="255" w:name="_Toc70413839"/>
      <w:bookmarkStart w:id="256" w:name="_Toc70416182"/>
      <w:bookmarkStart w:id="257" w:name="_Toc70417894"/>
      <w:bookmarkStart w:id="258" w:name="_Toc70494452"/>
      <w:bookmarkStart w:id="259" w:name="_Toc70494453"/>
      <w:bookmarkStart w:id="260" w:name="_Toc70494454"/>
      <w:bookmarkStart w:id="261" w:name="_Toc70494455"/>
      <w:bookmarkStart w:id="262" w:name="_Toc70494456"/>
      <w:bookmarkStart w:id="263" w:name="_Toc70494457"/>
      <w:bookmarkStart w:id="264" w:name="_Toc70494458"/>
      <w:bookmarkStart w:id="265" w:name="_Toc70494459"/>
      <w:bookmarkStart w:id="266" w:name="_Toc70494460"/>
      <w:bookmarkStart w:id="267" w:name="_Toc70494461"/>
      <w:bookmarkStart w:id="268" w:name="_Toc70494462"/>
      <w:bookmarkStart w:id="269" w:name="_Toc70494463"/>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br w:type="page"/>
      </w:r>
    </w:p>
    <w:p w14:paraId="709D73C6" w14:textId="6E5DD2BB" w:rsidR="007B19C7" w:rsidRPr="003A6046" w:rsidRDefault="007036AE" w:rsidP="0031652A">
      <w:pPr>
        <w:pStyle w:val="Heading2"/>
      </w:pPr>
      <w:hyperlink w:anchor="_Toc501461264" w:history="1">
        <w:bookmarkStart w:id="270" w:name="_Toc70599680"/>
        <w:r w:rsidR="007B19C7" w:rsidRPr="003A6046">
          <w:t>Governance</w:t>
        </w:r>
      </w:hyperlink>
      <w:r w:rsidR="007B19C7" w:rsidRPr="003A6046">
        <w:t xml:space="preserve"> and Support</w:t>
      </w:r>
      <w:bookmarkEnd w:id="270"/>
    </w:p>
    <w:p w14:paraId="636F74B4" w14:textId="77777777" w:rsidR="0079678E" w:rsidRPr="0031652A" w:rsidRDefault="0079678E" w:rsidP="0031652A">
      <w:pPr>
        <w:keepNext/>
        <w:rPr>
          <w:rFonts w:cs="Arial"/>
          <w:sz w:val="22"/>
          <w:szCs w:val="22"/>
        </w:rPr>
      </w:pPr>
      <w:r w:rsidRPr="0031652A">
        <w:rPr>
          <w:rFonts w:cs="Arial"/>
          <w:sz w:val="22"/>
          <w:szCs w:val="22"/>
        </w:rPr>
        <w:t>The department expects providers to have an effective governance framework including:</w:t>
      </w:r>
    </w:p>
    <w:p w14:paraId="45DD0E4F" w14:textId="782202A3" w:rsidR="0079678E" w:rsidRPr="0031652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31652A">
        <w:rPr>
          <w:rFonts w:eastAsia="Calibri" w:cs="Arial"/>
          <w:spacing w:val="0"/>
          <w:sz w:val="22"/>
          <w:szCs w:val="22"/>
          <w:lang w:eastAsia="en-US"/>
        </w:rPr>
        <w:t>explicit information on roles, responsibilities, rights, and remuneration</w:t>
      </w:r>
      <w:r w:rsidR="00130095">
        <w:rPr>
          <w:rFonts w:eastAsia="Calibri" w:cs="Arial"/>
          <w:spacing w:val="0"/>
          <w:sz w:val="22"/>
          <w:szCs w:val="22"/>
          <w:lang w:eastAsia="en-US"/>
        </w:rPr>
        <w:t>;</w:t>
      </w:r>
    </w:p>
    <w:p w14:paraId="4C7ABC46" w14:textId="1CACE1BC" w:rsidR="0079678E" w:rsidRPr="0031652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31652A">
        <w:rPr>
          <w:rFonts w:eastAsia="Calibri" w:cs="Arial"/>
          <w:spacing w:val="0"/>
          <w:sz w:val="22"/>
          <w:szCs w:val="22"/>
          <w:lang w:eastAsia="en-US"/>
        </w:rPr>
        <w:t>procedures for quality assurance, risk management and issues management</w:t>
      </w:r>
      <w:r w:rsidR="00130095">
        <w:rPr>
          <w:rFonts w:eastAsia="Calibri" w:cs="Arial"/>
          <w:spacing w:val="0"/>
          <w:sz w:val="22"/>
          <w:szCs w:val="22"/>
          <w:lang w:eastAsia="en-US"/>
        </w:rPr>
        <w:t>;</w:t>
      </w:r>
    </w:p>
    <w:p w14:paraId="1B959F86" w14:textId="13E1623F" w:rsidR="0079678E" w:rsidRPr="0031652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31652A">
        <w:rPr>
          <w:rFonts w:eastAsia="Calibri" w:cs="Arial"/>
          <w:spacing w:val="0"/>
          <w:sz w:val="22"/>
          <w:szCs w:val="22"/>
          <w:lang w:eastAsia="en-US"/>
        </w:rPr>
        <w:t>procedures for supervision, performance management and information management</w:t>
      </w:r>
      <w:r w:rsidR="00130095">
        <w:rPr>
          <w:rFonts w:eastAsia="Calibri" w:cs="Arial"/>
          <w:spacing w:val="0"/>
          <w:sz w:val="22"/>
          <w:szCs w:val="22"/>
          <w:lang w:eastAsia="en-US"/>
        </w:rPr>
        <w:t>;</w:t>
      </w:r>
    </w:p>
    <w:p w14:paraId="5615A634" w14:textId="4593B61C" w:rsidR="0079678E" w:rsidRPr="0031652A" w:rsidRDefault="0079678E" w:rsidP="0079678E">
      <w:pPr>
        <w:pStyle w:val="ListParagraph"/>
        <w:numPr>
          <w:ilvl w:val="0"/>
          <w:numId w:val="71"/>
        </w:numPr>
        <w:spacing w:before="0" w:after="0" w:line="240" w:lineRule="auto"/>
        <w:rPr>
          <w:rFonts w:eastAsia="Calibri" w:cs="Arial"/>
          <w:spacing w:val="0"/>
          <w:sz w:val="22"/>
          <w:szCs w:val="22"/>
          <w:lang w:eastAsia="en-US"/>
        </w:rPr>
      </w:pPr>
      <w:r w:rsidRPr="0031652A">
        <w:rPr>
          <w:rFonts w:eastAsia="Calibri" w:cs="Arial"/>
          <w:spacing w:val="0"/>
          <w:sz w:val="22"/>
          <w:szCs w:val="22"/>
          <w:lang w:eastAsia="en-US"/>
        </w:rPr>
        <w:t>financial systems that support effective management and accountability</w:t>
      </w:r>
      <w:r w:rsidR="00130095">
        <w:rPr>
          <w:rFonts w:eastAsia="Calibri" w:cs="Arial"/>
          <w:spacing w:val="0"/>
          <w:sz w:val="22"/>
          <w:szCs w:val="22"/>
          <w:lang w:eastAsia="en-US"/>
        </w:rPr>
        <w:t>;</w:t>
      </w:r>
      <w:r w:rsidRPr="0031652A">
        <w:rPr>
          <w:rFonts w:eastAsia="Calibri" w:cs="Arial"/>
          <w:spacing w:val="0"/>
          <w:sz w:val="22"/>
          <w:szCs w:val="22"/>
          <w:lang w:eastAsia="en-US"/>
        </w:rPr>
        <w:t xml:space="preserve"> and </w:t>
      </w:r>
    </w:p>
    <w:p w14:paraId="17960085" w14:textId="77777777" w:rsidR="0079678E" w:rsidRPr="0031652A"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31652A">
        <w:rPr>
          <w:rFonts w:eastAsia="Calibri" w:cs="Arial"/>
          <w:spacing w:val="0"/>
          <w:sz w:val="22"/>
          <w:szCs w:val="22"/>
          <w:lang w:eastAsia="en-US"/>
        </w:rPr>
        <w:t>clear</w:t>
      </w:r>
      <w:proofErr w:type="gramEnd"/>
      <w:r w:rsidRPr="0031652A">
        <w:rPr>
          <w:rFonts w:eastAsia="Calibri" w:cs="Arial"/>
          <w:spacing w:val="0"/>
          <w:sz w:val="22"/>
          <w:szCs w:val="22"/>
          <w:lang w:eastAsia="en-US"/>
        </w:rPr>
        <w:t xml:space="preserve"> effective arrangements for internal control and transparent decision making.</w:t>
      </w:r>
    </w:p>
    <w:p w14:paraId="709EA9CF" w14:textId="77777777" w:rsidR="0079678E" w:rsidRPr="0031652A" w:rsidRDefault="0079678E" w:rsidP="0079678E">
      <w:pPr>
        <w:spacing w:after="0"/>
        <w:rPr>
          <w:rFonts w:cs="Arial"/>
          <w:sz w:val="22"/>
          <w:szCs w:val="22"/>
        </w:rPr>
      </w:pPr>
      <w:r w:rsidRPr="0031652A">
        <w:rPr>
          <w:rFonts w:cs="Arial"/>
          <w:sz w:val="22"/>
          <w:szCs w:val="22"/>
        </w:rPr>
        <w:t>The views of children, young people, their families and carers should be considered as a component of service planning, implementation and delivery.</w:t>
      </w:r>
    </w:p>
    <w:p w14:paraId="11E54C95" w14:textId="77777777" w:rsidR="00EB42DE" w:rsidRDefault="00EB42DE" w:rsidP="0031652A">
      <w:pPr>
        <w:pStyle w:val="Heading1"/>
      </w:pPr>
      <w:bookmarkStart w:id="271" w:name="_Toc70494465"/>
      <w:bookmarkStart w:id="272" w:name="_Toc70494466"/>
      <w:bookmarkStart w:id="273" w:name="_Toc70494467"/>
      <w:bookmarkStart w:id="274" w:name="_Toc70494468"/>
      <w:bookmarkStart w:id="275" w:name="_Toc70494469"/>
      <w:bookmarkStart w:id="276" w:name="_Toc70494470"/>
      <w:bookmarkEnd w:id="271"/>
      <w:bookmarkEnd w:id="272"/>
      <w:bookmarkEnd w:id="273"/>
      <w:bookmarkEnd w:id="274"/>
      <w:bookmarkEnd w:id="275"/>
      <w:bookmarkEnd w:id="276"/>
      <w:r>
        <w:t xml:space="preserve"> </w:t>
      </w:r>
      <w:bookmarkStart w:id="277" w:name="_Toc70599681"/>
      <w:r>
        <w:t>Support available to providers</w:t>
      </w:r>
      <w:bookmarkEnd w:id="277"/>
    </w:p>
    <w:p w14:paraId="24B7B6A3" w14:textId="6BCDD397" w:rsidR="0079678E" w:rsidRPr="0024421E" w:rsidRDefault="0079678E" w:rsidP="0031652A">
      <w:pPr>
        <w:pStyle w:val="Caption"/>
      </w:pPr>
      <w:r w:rsidRPr="0024421E">
        <w:t>The following table outlines sources of support for different aspects of the FMHSS grant activity</w:t>
      </w:r>
      <w:r w:rsidR="0031652A">
        <w:t>, noting additional supports may be under development</w:t>
      </w:r>
      <w:r w:rsidRPr="0024421E">
        <w:t>:</w:t>
      </w:r>
    </w:p>
    <w:tbl>
      <w:tblPr>
        <w:tblStyle w:val="TableGrid"/>
        <w:tblW w:w="9776" w:type="dxa"/>
        <w:tblLook w:val="04A0" w:firstRow="1" w:lastRow="0" w:firstColumn="1" w:lastColumn="0" w:noHBand="0" w:noVBand="1"/>
      </w:tblPr>
      <w:tblGrid>
        <w:gridCol w:w="3539"/>
        <w:gridCol w:w="6237"/>
      </w:tblGrid>
      <w:tr w:rsidR="0079678E" w:rsidRPr="005C377F" w14:paraId="5989ECF7" w14:textId="77777777" w:rsidTr="00421943">
        <w:tc>
          <w:tcPr>
            <w:tcW w:w="3539" w:type="dxa"/>
            <w:shd w:val="clear" w:color="auto" w:fill="000000" w:themeFill="text1"/>
            <w:vAlign w:val="center"/>
          </w:tcPr>
          <w:p w14:paraId="3F4F80CD" w14:textId="77777777" w:rsidR="0079678E" w:rsidRPr="00A10A27" w:rsidRDefault="0079678E" w:rsidP="0031652A">
            <w:pPr>
              <w:tabs>
                <w:tab w:val="left" w:pos="2040"/>
              </w:tabs>
              <w:rPr>
                <w:b/>
                <w:color w:val="FFFFFF" w:themeColor="background1"/>
                <w:sz w:val="22"/>
                <w:szCs w:val="22"/>
              </w:rPr>
            </w:pPr>
            <w:r w:rsidRPr="00A10A27">
              <w:rPr>
                <w:b/>
                <w:color w:val="FFFFFF" w:themeColor="background1"/>
                <w:sz w:val="22"/>
                <w:szCs w:val="22"/>
              </w:rPr>
              <w:t>Topic</w:t>
            </w:r>
          </w:p>
        </w:tc>
        <w:tc>
          <w:tcPr>
            <w:tcW w:w="6237" w:type="dxa"/>
            <w:shd w:val="clear" w:color="auto" w:fill="000000" w:themeFill="text1"/>
            <w:vAlign w:val="center"/>
          </w:tcPr>
          <w:p w14:paraId="680D1921" w14:textId="77777777" w:rsidR="0079678E" w:rsidRPr="00A10A27" w:rsidRDefault="0079678E" w:rsidP="0031652A">
            <w:pPr>
              <w:tabs>
                <w:tab w:val="left" w:pos="2040"/>
              </w:tabs>
              <w:rPr>
                <w:b/>
                <w:color w:val="FFFFFF" w:themeColor="background1"/>
                <w:sz w:val="22"/>
                <w:szCs w:val="22"/>
              </w:rPr>
            </w:pPr>
            <w:r w:rsidRPr="00A10A27">
              <w:rPr>
                <w:b/>
                <w:color w:val="FFFFFF" w:themeColor="background1"/>
                <w:sz w:val="22"/>
                <w:szCs w:val="22"/>
              </w:rPr>
              <w:t>Support</w:t>
            </w:r>
          </w:p>
        </w:tc>
      </w:tr>
      <w:tr w:rsidR="0079678E" w:rsidRPr="005C377F" w14:paraId="228B0097" w14:textId="77777777" w:rsidTr="00421943">
        <w:tc>
          <w:tcPr>
            <w:tcW w:w="3539" w:type="dxa"/>
            <w:vAlign w:val="center"/>
          </w:tcPr>
          <w:p w14:paraId="1B54A1BD" w14:textId="77777777" w:rsidR="0079678E" w:rsidRPr="00A10A27" w:rsidRDefault="0079678E" w:rsidP="00421943">
            <w:pPr>
              <w:rPr>
                <w:sz w:val="22"/>
                <w:szCs w:val="22"/>
              </w:rPr>
            </w:pPr>
            <w:r w:rsidRPr="00A10A27">
              <w:rPr>
                <w:sz w:val="22"/>
                <w:szCs w:val="22"/>
              </w:rPr>
              <w:t>Grant agreement</w:t>
            </w:r>
          </w:p>
        </w:tc>
        <w:tc>
          <w:tcPr>
            <w:tcW w:w="6237" w:type="dxa"/>
            <w:vAlign w:val="center"/>
          </w:tcPr>
          <w:p w14:paraId="18CD999E" w14:textId="77777777" w:rsidR="0079678E" w:rsidRPr="00DD6BDB" w:rsidRDefault="0079678E" w:rsidP="00421943">
            <w:pPr>
              <w:spacing w:after="120"/>
              <w:rPr>
                <w:sz w:val="22"/>
                <w:szCs w:val="22"/>
              </w:rPr>
            </w:pPr>
            <w:r w:rsidRPr="00DD6BDB">
              <w:rPr>
                <w:sz w:val="22"/>
                <w:szCs w:val="22"/>
              </w:rPr>
              <w:t>FAM</w:t>
            </w:r>
          </w:p>
        </w:tc>
      </w:tr>
      <w:tr w:rsidR="0079678E" w:rsidRPr="005C377F" w14:paraId="1C8C786B" w14:textId="77777777" w:rsidTr="00421943">
        <w:tc>
          <w:tcPr>
            <w:tcW w:w="3539" w:type="dxa"/>
            <w:vAlign w:val="center"/>
          </w:tcPr>
          <w:p w14:paraId="49A2718E" w14:textId="77777777" w:rsidR="0079678E" w:rsidRPr="00A10A27" w:rsidRDefault="0079678E" w:rsidP="00421943">
            <w:pPr>
              <w:rPr>
                <w:sz w:val="22"/>
                <w:szCs w:val="22"/>
              </w:rPr>
            </w:pPr>
            <w:r w:rsidRPr="00A10A27">
              <w:rPr>
                <w:sz w:val="22"/>
                <w:szCs w:val="22"/>
              </w:rPr>
              <w:t>Activity Work Plan (AWP)</w:t>
            </w:r>
          </w:p>
        </w:tc>
        <w:tc>
          <w:tcPr>
            <w:tcW w:w="6237" w:type="dxa"/>
            <w:vAlign w:val="center"/>
          </w:tcPr>
          <w:p w14:paraId="77EB201C" w14:textId="77777777" w:rsidR="0079678E" w:rsidRPr="002A6B2D" w:rsidRDefault="0079678E" w:rsidP="00421943">
            <w:pPr>
              <w:spacing w:after="120"/>
              <w:rPr>
                <w:sz w:val="22"/>
                <w:szCs w:val="22"/>
              </w:rPr>
            </w:pPr>
            <w:r w:rsidRPr="002A6B2D">
              <w:rPr>
                <w:sz w:val="22"/>
                <w:szCs w:val="22"/>
              </w:rPr>
              <w:t>AWP templates and guidance (</w:t>
            </w:r>
            <w:hyperlink r:id="rId33" w:history="1">
              <w:r w:rsidRPr="002A6B2D">
                <w:rPr>
                  <w:rStyle w:val="Hyperlink"/>
                  <w:szCs w:val="22"/>
                </w:rPr>
                <w:t>https://www.dss.gov.au/families-and-children-programs-services-parenting-families-and-children-activity/families-and-children-activity-work-plan-reports</w:t>
              </w:r>
            </w:hyperlink>
            <w:r w:rsidRPr="002A6B2D">
              <w:rPr>
                <w:sz w:val="22"/>
                <w:szCs w:val="22"/>
              </w:rPr>
              <w:t>)</w:t>
            </w:r>
          </w:p>
          <w:p w14:paraId="123BD5F9" w14:textId="77777777" w:rsidR="0079678E" w:rsidRPr="00DD6BDB" w:rsidRDefault="0079678E" w:rsidP="00421943">
            <w:pPr>
              <w:spacing w:after="120"/>
              <w:rPr>
                <w:sz w:val="22"/>
                <w:szCs w:val="22"/>
              </w:rPr>
            </w:pPr>
            <w:r w:rsidRPr="00DD6BDB">
              <w:rPr>
                <w:sz w:val="22"/>
                <w:szCs w:val="22"/>
              </w:rPr>
              <w:t>FAM</w:t>
            </w:r>
          </w:p>
        </w:tc>
      </w:tr>
      <w:tr w:rsidR="0079678E" w:rsidRPr="005C377F" w14:paraId="36C2DDF1" w14:textId="77777777" w:rsidTr="00421943">
        <w:tc>
          <w:tcPr>
            <w:tcW w:w="3539" w:type="dxa"/>
            <w:vAlign w:val="center"/>
          </w:tcPr>
          <w:p w14:paraId="53F454DF" w14:textId="77777777" w:rsidR="0079678E" w:rsidRPr="00A10A27" w:rsidRDefault="0079678E" w:rsidP="00421943">
            <w:pPr>
              <w:spacing w:line="276" w:lineRule="auto"/>
              <w:rPr>
                <w:sz w:val="22"/>
                <w:szCs w:val="22"/>
              </w:rPr>
            </w:pPr>
            <w:r w:rsidRPr="00A10A27">
              <w:rPr>
                <w:sz w:val="22"/>
                <w:szCs w:val="22"/>
              </w:rPr>
              <w:t>Data Exchange</w:t>
            </w:r>
          </w:p>
        </w:tc>
        <w:tc>
          <w:tcPr>
            <w:tcW w:w="6237" w:type="dxa"/>
            <w:vAlign w:val="center"/>
          </w:tcPr>
          <w:p w14:paraId="5F68CB19" w14:textId="77777777" w:rsidR="0079678E" w:rsidRPr="00DD6BDB" w:rsidRDefault="0079678E" w:rsidP="00421943">
            <w:pPr>
              <w:spacing w:after="120"/>
              <w:rPr>
                <w:sz w:val="22"/>
                <w:szCs w:val="22"/>
              </w:rPr>
            </w:pPr>
            <w:r w:rsidRPr="00DD6BDB">
              <w:rPr>
                <w:sz w:val="22"/>
                <w:szCs w:val="22"/>
              </w:rPr>
              <w:t>Data Exchange Training Resources (</w:t>
            </w:r>
            <w:hyperlink r:id="rId34" w:history="1">
              <w:r w:rsidRPr="002A6B2D">
                <w:rPr>
                  <w:rStyle w:val="Hyperlink"/>
                  <w:szCs w:val="22"/>
                </w:rPr>
                <w:t>https://dex.dss.gov.au/training</w:t>
              </w:r>
            </w:hyperlink>
            <w:r w:rsidRPr="00DD6BDB">
              <w:rPr>
                <w:sz w:val="22"/>
                <w:szCs w:val="22"/>
              </w:rPr>
              <w:t>)</w:t>
            </w:r>
          </w:p>
          <w:p w14:paraId="524460FD" w14:textId="77777777" w:rsidR="0079678E" w:rsidRPr="00DD6BDB" w:rsidRDefault="0079678E" w:rsidP="00421943">
            <w:pPr>
              <w:spacing w:after="120"/>
              <w:rPr>
                <w:sz w:val="22"/>
                <w:szCs w:val="22"/>
              </w:rPr>
            </w:pPr>
            <w:r w:rsidRPr="00DD6BDB">
              <w:rPr>
                <w:sz w:val="22"/>
                <w:szCs w:val="22"/>
              </w:rPr>
              <w:t>Data Exchange Helpdesk (</w:t>
            </w:r>
            <w:hyperlink r:id="rId35" w:history="1">
              <w:r w:rsidRPr="002A6B2D">
                <w:rPr>
                  <w:rStyle w:val="Hyperlink"/>
                  <w:szCs w:val="22"/>
                </w:rPr>
                <w:t>https://dex.dss.gov.au/helpdesk/</w:t>
              </w:r>
            </w:hyperlink>
            <w:r w:rsidRPr="00DD6BDB">
              <w:rPr>
                <w:sz w:val="22"/>
                <w:szCs w:val="22"/>
              </w:rPr>
              <w:t>)</w:t>
            </w:r>
          </w:p>
          <w:p w14:paraId="24499AC3" w14:textId="77777777" w:rsidR="0079678E" w:rsidRPr="00DD6BDB" w:rsidRDefault="0079678E" w:rsidP="00421943">
            <w:pPr>
              <w:spacing w:after="120"/>
              <w:rPr>
                <w:sz w:val="22"/>
                <w:szCs w:val="22"/>
              </w:rPr>
            </w:pPr>
            <w:r w:rsidRPr="00DD6BDB">
              <w:rPr>
                <w:sz w:val="22"/>
                <w:szCs w:val="22"/>
              </w:rPr>
              <w:t>FAM</w:t>
            </w:r>
          </w:p>
        </w:tc>
      </w:tr>
      <w:tr w:rsidR="0079678E" w:rsidRPr="005C377F" w14:paraId="1DF04A2C" w14:textId="77777777" w:rsidTr="00421943">
        <w:tc>
          <w:tcPr>
            <w:tcW w:w="3539" w:type="dxa"/>
            <w:vAlign w:val="center"/>
          </w:tcPr>
          <w:p w14:paraId="6CC93BBE" w14:textId="77777777" w:rsidR="0079678E" w:rsidRPr="00A10A27" w:rsidRDefault="0079678E" w:rsidP="00421943">
            <w:pPr>
              <w:rPr>
                <w:sz w:val="22"/>
                <w:szCs w:val="22"/>
              </w:rPr>
            </w:pPr>
            <w:r w:rsidRPr="00A10A27">
              <w:rPr>
                <w:sz w:val="22"/>
                <w:szCs w:val="22"/>
              </w:rPr>
              <w:t>Review point</w:t>
            </w:r>
          </w:p>
        </w:tc>
        <w:tc>
          <w:tcPr>
            <w:tcW w:w="6237" w:type="dxa"/>
            <w:vAlign w:val="center"/>
          </w:tcPr>
          <w:p w14:paraId="7F05D604" w14:textId="77777777" w:rsidR="0079678E" w:rsidRPr="00DD6BDB" w:rsidRDefault="0079678E" w:rsidP="00421943">
            <w:pPr>
              <w:spacing w:after="120"/>
              <w:rPr>
                <w:sz w:val="22"/>
                <w:szCs w:val="22"/>
              </w:rPr>
            </w:pPr>
            <w:r w:rsidRPr="00DD6BDB">
              <w:rPr>
                <w:sz w:val="22"/>
                <w:szCs w:val="22"/>
              </w:rPr>
              <w:t>FAM</w:t>
            </w:r>
          </w:p>
        </w:tc>
      </w:tr>
      <w:tr w:rsidR="0079678E" w:rsidRPr="005C377F" w14:paraId="280558B7" w14:textId="77777777" w:rsidTr="00421943">
        <w:tc>
          <w:tcPr>
            <w:tcW w:w="3539" w:type="dxa"/>
            <w:vAlign w:val="center"/>
          </w:tcPr>
          <w:p w14:paraId="265A310F" w14:textId="77777777" w:rsidR="0079678E" w:rsidRPr="00A10A27" w:rsidRDefault="0079678E" w:rsidP="00421943">
            <w:pPr>
              <w:spacing w:line="276" w:lineRule="auto"/>
              <w:rPr>
                <w:sz w:val="22"/>
                <w:szCs w:val="22"/>
              </w:rPr>
            </w:pPr>
            <w:r w:rsidRPr="00A10A27">
              <w:rPr>
                <w:sz w:val="22"/>
                <w:szCs w:val="22"/>
              </w:rPr>
              <w:t>Program logic and theory of change</w:t>
            </w:r>
          </w:p>
        </w:tc>
        <w:tc>
          <w:tcPr>
            <w:tcW w:w="6237" w:type="dxa"/>
            <w:vAlign w:val="center"/>
          </w:tcPr>
          <w:p w14:paraId="6D18D354" w14:textId="77777777" w:rsidR="0079678E" w:rsidRPr="00DD6BDB" w:rsidRDefault="0079678E" w:rsidP="00421943">
            <w:pPr>
              <w:spacing w:after="120"/>
              <w:rPr>
                <w:sz w:val="22"/>
                <w:szCs w:val="22"/>
              </w:rPr>
            </w:pPr>
            <w:r w:rsidRPr="00DD6BDB">
              <w:rPr>
                <w:sz w:val="22"/>
                <w:szCs w:val="22"/>
              </w:rPr>
              <w:t>FAM</w:t>
            </w:r>
          </w:p>
          <w:p w14:paraId="6C703746" w14:textId="77777777" w:rsidR="0079678E" w:rsidRPr="00DD6BDB" w:rsidRDefault="0079678E" w:rsidP="00421943">
            <w:pPr>
              <w:spacing w:after="120"/>
              <w:rPr>
                <w:sz w:val="22"/>
                <w:szCs w:val="22"/>
              </w:rPr>
            </w:pPr>
            <w:r w:rsidRPr="00DD6BDB">
              <w:rPr>
                <w:sz w:val="22"/>
                <w:szCs w:val="22"/>
              </w:rPr>
              <w:t>Families and Children Expert Panel Project (</w:t>
            </w:r>
            <w:hyperlink r:id="rId36" w:history="1">
              <w:r w:rsidRPr="002A6B2D">
                <w:rPr>
                  <w:rStyle w:val="Hyperlink"/>
                  <w:szCs w:val="22"/>
                </w:rPr>
                <w:t>https://aifs.gov.au/cfca/expert-panel-project</w:t>
              </w:r>
            </w:hyperlink>
            <w:r w:rsidRPr="00DD6BDB">
              <w:rPr>
                <w:sz w:val="22"/>
                <w:szCs w:val="22"/>
              </w:rPr>
              <w:t xml:space="preserve">) </w:t>
            </w:r>
          </w:p>
        </w:tc>
      </w:tr>
      <w:tr w:rsidR="0079678E" w:rsidRPr="005C377F" w14:paraId="5B561A46" w14:textId="77777777" w:rsidTr="00421943">
        <w:tc>
          <w:tcPr>
            <w:tcW w:w="3539" w:type="dxa"/>
            <w:vAlign w:val="center"/>
          </w:tcPr>
          <w:p w14:paraId="702927B0" w14:textId="77777777" w:rsidR="0079678E" w:rsidRPr="00A10A27" w:rsidRDefault="0079678E" w:rsidP="00421943">
            <w:pPr>
              <w:rPr>
                <w:sz w:val="22"/>
                <w:szCs w:val="22"/>
              </w:rPr>
            </w:pPr>
            <w:r w:rsidRPr="00A10A27">
              <w:rPr>
                <w:sz w:val="22"/>
                <w:szCs w:val="22"/>
              </w:rPr>
              <w:t>Planning, implementing and evaluating grant activities</w:t>
            </w:r>
          </w:p>
        </w:tc>
        <w:tc>
          <w:tcPr>
            <w:tcW w:w="6237" w:type="dxa"/>
            <w:vAlign w:val="center"/>
          </w:tcPr>
          <w:p w14:paraId="75E48884" w14:textId="77777777" w:rsidR="0079678E" w:rsidRPr="00DD6BDB" w:rsidRDefault="0079678E" w:rsidP="00421943">
            <w:pPr>
              <w:spacing w:after="120"/>
              <w:rPr>
                <w:sz w:val="22"/>
                <w:szCs w:val="22"/>
              </w:rPr>
            </w:pPr>
            <w:r w:rsidRPr="00DD6BDB">
              <w:rPr>
                <w:sz w:val="22"/>
                <w:szCs w:val="22"/>
              </w:rPr>
              <w:t>Families and Children Expert Panel Project (</w:t>
            </w:r>
            <w:hyperlink r:id="rId37" w:history="1">
              <w:r w:rsidRPr="002A6B2D">
                <w:rPr>
                  <w:rStyle w:val="Hyperlink"/>
                  <w:szCs w:val="22"/>
                </w:rPr>
                <w:t>https://aifs.gov.au/cfca/expert-panel-project</w:t>
              </w:r>
            </w:hyperlink>
            <w:r w:rsidRPr="00DD6BDB">
              <w:rPr>
                <w:sz w:val="22"/>
                <w:szCs w:val="22"/>
              </w:rPr>
              <w:t>)</w:t>
            </w:r>
          </w:p>
        </w:tc>
      </w:tr>
      <w:tr w:rsidR="0079678E" w:rsidRPr="005C377F" w14:paraId="30AE5B11" w14:textId="77777777" w:rsidTr="00421943">
        <w:tc>
          <w:tcPr>
            <w:tcW w:w="3539" w:type="dxa"/>
            <w:vAlign w:val="center"/>
          </w:tcPr>
          <w:p w14:paraId="113AE60B" w14:textId="77777777" w:rsidR="0079678E" w:rsidRPr="00A10A27" w:rsidRDefault="0079678E" w:rsidP="00421943">
            <w:pPr>
              <w:rPr>
                <w:sz w:val="22"/>
                <w:szCs w:val="22"/>
              </w:rPr>
            </w:pPr>
            <w:r w:rsidRPr="00A10A27">
              <w:rPr>
                <w:sz w:val="22"/>
                <w:szCs w:val="22"/>
              </w:rPr>
              <w:t>Grant Recipient Portal</w:t>
            </w:r>
          </w:p>
        </w:tc>
        <w:tc>
          <w:tcPr>
            <w:tcW w:w="6237" w:type="dxa"/>
            <w:vAlign w:val="center"/>
          </w:tcPr>
          <w:p w14:paraId="1B97FC14" w14:textId="77777777" w:rsidR="0079678E" w:rsidRPr="00DD6BDB" w:rsidRDefault="0079678E" w:rsidP="00421943">
            <w:pPr>
              <w:spacing w:after="120"/>
              <w:rPr>
                <w:sz w:val="22"/>
                <w:szCs w:val="22"/>
              </w:rPr>
            </w:pPr>
            <w:r w:rsidRPr="00DD6BDB">
              <w:rPr>
                <w:sz w:val="22"/>
                <w:szCs w:val="22"/>
              </w:rPr>
              <w:t>Community Grants Hub (</w:t>
            </w:r>
            <w:hyperlink r:id="rId38" w:history="1">
              <w:r w:rsidRPr="002A6B2D">
                <w:rPr>
                  <w:rStyle w:val="Hyperlink"/>
                  <w:szCs w:val="22"/>
                </w:rPr>
                <w:t>https://www.communitygrants.gov.au/contact</w:t>
              </w:r>
            </w:hyperlink>
            <w:r w:rsidRPr="00DD6BDB">
              <w:rPr>
                <w:sz w:val="22"/>
                <w:szCs w:val="22"/>
              </w:rPr>
              <w:t>)</w:t>
            </w:r>
          </w:p>
        </w:tc>
      </w:tr>
      <w:tr w:rsidR="0079678E" w:rsidRPr="005C377F" w14:paraId="67E151F4" w14:textId="77777777" w:rsidTr="00421943">
        <w:tc>
          <w:tcPr>
            <w:tcW w:w="3539" w:type="dxa"/>
            <w:vAlign w:val="center"/>
          </w:tcPr>
          <w:p w14:paraId="2BE85FD0" w14:textId="77777777" w:rsidR="0079678E" w:rsidRPr="00A10A27" w:rsidRDefault="0079678E" w:rsidP="00421943">
            <w:pPr>
              <w:rPr>
                <w:sz w:val="22"/>
                <w:szCs w:val="22"/>
              </w:rPr>
            </w:pPr>
            <w:r w:rsidRPr="00A10A27">
              <w:rPr>
                <w:sz w:val="22"/>
                <w:szCs w:val="22"/>
              </w:rPr>
              <w:t>General feedback on policy</w:t>
            </w:r>
          </w:p>
        </w:tc>
        <w:tc>
          <w:tcPr>
            <w:tcW w:w="6237" w:type="dxa"/>
            <w:vAlign w:val="center"/>
          </w:tcPr>
          <w:p w14:paraId="0CB070BA" w14:textId="77777777" w:rsidR="0079678E" w:rsidRPr="00DD6BDB" w:rsidRDefault="0079678E" w:rsidP="00421943">
            <w:pPr>
              <w:spacing w:after="120"/>
              <w:rPr>
                <w:sz w:val="22"/>
                <w:szCs w:val="22"/>
              </w:rPr>
            </w:pPr>
            <w:r w:rsidRPr="00DD6BDB">
              <w:rPr>
                <w:sz w:val="22"/>
                <w:szCs w:val="22"/>
              </w:rPr>
              <w:t>FAM</w:t>
            </w:r>
          </w:p>
        </w:tc>
      </w:tr>
      <w:tr w:rsidR="0079678E" w:rsidRPr="005C377F" w14:paraId="3FBD49ED" w14:textId="77777777" w:rsidTr="00421943">
        <w:tc>
          <w:tcPr>
            <w:tcW w:w="3539" w:type="dxa"/>
            <w:vAlign w:val="center"/>
          </w:tcPr>
          <w:p w14:paraId="4A11FB4C" w14:textId="77777777" w:rsidR="0079678E" w:rsidRPr="00A10A27" w:rsidRDefault="0079678E" w:rsidP="00421943">
            <w:pPr>
              <w:rPr>
                <w:sz w:val="22"/>
                <w:szCs w:val="22"/>
              </w:rPr>
            </w:pPr>
            <w:r w:rsidRPr="00A10A27">
              <w:rPr>
                <w:sz w:val="22"/>
                <w:szCs w:val="22"/>
              </w:rPr>
              <w:lastRenderedPageBreak/>
              <w:t>Complaints</w:t>
            </w:r>
          </w:p>
        </w:tc>
        <w:tc>
          <w:tcPr>
            <w:tcW w:w="6237" w:type="dxa"/>
            <w:vAlign w:val="center"/>
          </w:tcPr>
          <w:p w14:paraId="2EE25D8A" w14:textId="77777777" w:rsidR="0079678E" w:rsidRPr="00DD6BDB" w:rsidRDefault="0079678E" w:rsidP="00421943">
            <w:pPr>
              <w:spacing w:after="120"/>
              <w:rPr>
                <w:sz w:val="22"/>
                <w:szCs w:val="22"/>
              </w:rPr>
            </w:pPr>
            <w:r w:rsidRPr="00DD6BDB">
              <w:rPr>
                <w:sz w:val="22"/>
                <w:szCs w:val="22"/>
              </w:rPr>
              <w:t>DSS Feedback and Complaints (</w:t>
            </w:r>
            <w:hyperlink r:id="rId39" w:history="1">
              <w:r w:rsidRPr="002A6B2D">
                <w:rPr>
                  <w:rStyle w:val="Hyperlink"/>
                  <w:szCs w:val="22"/>
                </w:rPr>
                <w:t>https://www.dss.gov.au/contact/feedback-compliments-complaints-and-enquiries</w:t>
              </w:r>
            </w:hyperlink>
            <w:r w:rsidRPr="00DD6BDB">
              <w:rPr>
                <w:sz w:val="22"/>
                <w:szCs w:val="22"/>
              </w:rPr>
              <w:t>)</w:t>
            </w:r>
          </w:p>
          <w:p w14:paraId="3D2B432F" w14:textId="77777777" w:rsidR="0079678E" w:rsidRPr="00DD6BDB" w:rsidRDefault="0079678E" w:rsidP="00421943">
            <w:pPr>
              <w:spacing w:after="120"/>
              <w:rPr>
                <w:sz w:val="22"/>
                <w:szCs w:val="22"/>
              </w:rPr>
            </w:pPr>
            <w:r w:rsidRPr="00DD6BDB">
              <w:rPr>
                <w:sz w:val="22"/>
                <w:szCs w:val="22"/>
              </w:rPr>
              <w:t>FAM</w:t>
            </w:r>
          </w:p>
        </w:tc>
      </w:tr>
    </w:tbl>
    <w:p w14:paraId="5BC9D97F" w14:textId="77777777" w:rsidR="007B19C7" w:rsidRPr="00A85161" w:rsidRDefault="007B19C7" w:rsidP="00E81774">
      <w:pPr>
        <w:pStyle w:val="Heading1"/>
      </w:pPr>
      <w:bookmarkStart w:id="278" w:name="_Toc70494472"/>
      <w:bookmarkStart w:id="279" w:name="_Toc70599682"/>
      <w:bookmarkEnd w:id="278"/>
      <w:r w:rsidRPr="00A85161">
        <w:t>Compliance with Activity requirements</w:t>
      </w:r>
      <w:bookmarkEnd w:id="279"/>
    </w:p>
    <w:p w14:paraId="69A9B327" w14:textId="77777777" w:rsidR="0079678E" w:rsidRPr="00E81774" w:rsidRDefault="0079678E" w:rsidP="00AE2599">
      <w:pPr>
        <w:rPr>
          <w:rFonts w:cs="Arial"/>
          <w:sz w:val="22"/>
          <w:szCs w:val="22"/>
        </w:rPr>
      </w:pPr>
      <w:r w:rsidRPr="00E81774">
        <w:rPr>
          <w:rFonts w:cs="Arial"/>
          <w:sz w:val="22"/>
          <w:szCs w:val="22"/>
        </w:rPr>
        <w:t xml:space="preserve">All FMHSS providers must comply with the </w:t>
      </w:r>
      <w:hyperlink r:id="rId40" w:history="1">
        <w:r w:rsidRPr="00E81774">
          <w:rPr>
            <w:rStyle w:val="Hyperlink"/>
            <w:rFonts w:cs="Arial"/>
            <w:szCs w:val="22"/>
          </w:rPr>
          <w:t>CMH Activity Guidelines</w:t>
        </w:r>
      </w:hyperlink>
      <w:r w:rsidRPr="00E81774">
        <w:rPr>
          <w:rFonts w:cs="Arial"/>
          <w:sz w:val="22"/>
          <w:szCs w:val="22"/>
        </w:rPr>
        <w:t>, as specified in the terms and conditions of their Grant Agreement. The department’s funding recipients are responsible for ensuring:</w:t>
      </w:r>
    </w:p>
    <w:p w14:paraId="2E4ACD17" w14:textId="77777777"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E81774">
        <w:rPr>
          <w:rFonts w:eastAsia="Calibri" w:cs="Arial"/>
          <w:spacing w:val="0"/>
          <w:sz w:val="22"/>
          <w:szCs w:val="22"/>
          <w:lang w:eastAsia="en-US"/>
        </w:rPr>
        <w:t>the terms and conditions of the Grant Agreement are met</w:t>
      </w:r>
      <w:r w:rsidR="00130095">
        <w:rPr>
          <w:rFonts w:eastAsia="Calibri" w:cs="Arial"/>
          <w:spacing w:val="0"/>
          <w:sz w:val="22"/>
          <w:szCs w:val="22"/>
          <w:lang w:eastAsia="en-US"/>
        </w:rPr>
        <w:t>;</w:t>
      </w:r>
    </w:p>
    <w:p w14:paraId="06AAB0BE" w14:textId="77777777"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B3177">
        <w:rPr>
          <w:rFonts w:eastAsia="Calibri" w:cs="Arial"/>
          <w:spacing w:val="0"/>
          <w:sz w:val="22"/>
          <w:szCs w:val="22"/>
          <w:lang w:eastAsia="en-US"/>
        </w:rPr>
        <w:t>service provision is effective, efficient, and appropriately targeted</w:t>
      </w:r>
      <w:r w:rsidR="00130095">
        <w:rPr>
          <w:rFonts w:eastAsia="Calibri" w:cs="Arial"/>
          <w:spacing w:val="0"/>
          <w:sz w:val="22"/>
          <w:szCs w:val="22"/>
          <w:lang w:eastAsia="en-US"/>
        </w:rPr>
        <w:t>;</w:t>
      </w:r>
    </w:p>
    <w:p w14:paraId="5D4B2424" w14:textId="77777777"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B3177">
        <w:rPr>
          <w:rFonts w:eastAsia="Calibri" w:cs="Arial"/>
          <w:spacing w:val="0"/>
          <w:sz w:val="22"/>
          <w:szCs w:val="22"/>
          <w:lang w:eastAsia="en-US"/>
        </w:rPr>
        <w:t>highest standards of duty of care applied</w:t>
      </w:r>
      <w:r w:rsidR="00130095">
        <w:rPr>
          <w:rFonts w:eastAsia="Calibri" w:cs="Arial"/>
          <w:spacing w:val="0"/>
          <w:sz w:val="22"/>
          <w:szCs w:val="22"/>
          <w:lang w:eastAsia="en-US"/>
        </w:rPr>
        <w:t>;</w:t>
      </w:r>
    </w:p>
    <w:p w14:paraId="26B65EFC" w14:textId="77777777"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B3177">
        <w:rPr>
          <w:rFonts w:eastAsia="Calibri" w:cs="Arial"/>
          <w:spacing w:val="0"/>
          <w:sz w:val="22"/>
          <w:szCs w:val="22"/>
          <w:lang w:eastAsia="en-US"/>
        </w:rPr>
        <w:t>services are operated in line with, and comply with the requirements set out within all state and territory and Commonwealth legislation regulations</w:t>
      </w:r>
      <w:r w:rsidR="00130095">
        <w:rPr>
          <w:rFonts w:eastAsia="Calibri" w:cs="Arial"/>
          <w:spacing w:val="0"/>
          <w:sz w:val="22"/>
          <w:szCs w:val="22"/>
          <w:lang w:eastAsia="en-US"/>
        </w:rPr>
        <w:t>;</w:t>
      </w:r>
    </w:p>
    <w:p w14:paraId="3D669E39" w14:textId="0A609A4F"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B3177">
        <w:rPr>
          <w:rFonts w:eastAsia="Calibri" w:cs="Arial"/>
          <w:spacing w:val="0"/>
          <w:sz w:val="22"/>
          <w:szCs w:val="22"/>
          <w:lang w:eastAsia="en-US"/>
        </w:rPr>
        <w:t>Aboriginal and/or Torres Strait Islander people have equal and equitable access to</w:t>
      </w:r>
      <w:r w:rsidR="00130095">
        <w:rPr>
          <w:rFonts w:eastAsia="Calibri" w:cs="Arial"/>
          <w:spacing w:val="0"/>
          <w:sz w:val="22"/>
          <w:szCs w:val="22"/>
          <w:lang w:eastAsia="en-US"/>
        </w:rPr>
        <w:t> </w:t>
      </w:r>
      <w:r w:rsidRPr="001B3177">
        <w:rPr>
          <w:rFonts w:eastAsia="Calibri" w:cs="Arial"/>
          <w:spacing w:val="0"/>
          <w:sz w:val="22"/>
          <w:szCs w:val="22"/>
          <w:lang w:eastAsia="en-US"/>
        </w:rPr>
        <w:t>services</w:t>
      </w:r>
      <w:r w:rsidR="00130095">
        <w:rPr>
          <w:rFonts w:eastAsia="Calibri" w:cs="Arial"/>
          <w:spacing w:val="0"/>
          <w:sz w:val="22"/>
          <w:szCs w:val="22"/>
          <w:lang w:eastAsia="en-US"/>
        </w:rPr>
        <w:t>;</w:t>
      </w:r>
    </w:p>
    <w:p w14:paraId="24D0BEC9" w14:textId="627FAF36"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B3177">
        <w:rPr>
          <w:rFonts w:eastAsia="Calibri" w:cs="Arial"/>
          <w:spacing w:val="0"/>
          <w:sz w:val="22"/>
          <w:szCs w:val="22"/>
          <w:lang w:eastAsia="en-US"/>
        </w:rPr>
        <w:t>working collaboratively to deliver the service</w:t>
      </w:r>
      <w:r w:rsidR="00130095">
        <w:rPr>
          <w:rFonts w:eastAsia="Calibri" w:cs="Arial"/>
          <w:spacing w:val="0"/>
          <w:sz w:val="22"/>
          <w:szCs w:val="22"/>
          <w:lang w:eastAsia="en-US"/>
        </w:rPr>
        <w:t>;</w:t>
      </w:r>
      <w:r w:rsidRPr="001B3177">
        <w:rPr>
          <w:rFonts w:eastAsia="Calibri" w:cs="Arial"/>
          <w:spacing w:val="0"/>
          <w:sz w:val="22"/>
          <w:szCs w:val="22"/>
          <w:lang w:eastAsia="en-US"/>
        </w:rPr>
        <w:t xml:space="preserve"> and </w:t>
      </w:r>
    </w:p>
    <w:p w14:paraId="7733E2D5" w14:textId="77777777" w:rsidR="0079678E" w:rsidRPr="001B3177"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1B3177">
        <w:rPr>
          <w:rFonts w:eastAsia="Calibri" w:cs="Arial"/>
          <w:spacing w:val="0"/>
          <w:sz w:val="22"/>
          <w:szCs w:val="22"/>
          <w:lang w:eastAsia="en-US"/>
        </w:rPr>
        <w:t>contributing</w:t>
      </w:r>
      <w:proofErr w:type="gramEnd"/>
      <w:r w:rsidRPr="001B3177">
        <w:rPr>
          <w:rFonts w:eastAsia="Calibri" w:cs="Arial"/>
          <w:spacing w:val="0"/>
          <w:sz w:val="22"/>
          <w:szCs w:val="22"/>
          <w:lang w:eastAsia="en-US"/>
        </w:rPr>
        <w:t xml:space="preserve"> to the overall development and improvement of the service such as sharing best practice.</w:t>
      </w:r>
    </w:p>
    <w:p w14:paraId="1C91FFF7" w14:textId="77777777" w:rsidR="00DD593D" w:rsidRDefault="00DD593D">
      <w:pPr>
        <w:spacing w:before="0" w:after="200" w:line="276" w:lineRule="auto"/>
        <w:rPr>
          <w:rFonts w:ascii="Georgia" w:hAnsi="Georgia" w:cs="Arial"/>
          <w:bCs/>
          <w:color w:val="500778"/>
          <w:kern w:val="32"/>
          <w:sz w:val="36"/>
          <w:szCs w:val="32"/>
        </w:rPr>
      </w:pPr>
      <w:bookmarkStart w:id="280" w:name="_Toc70494509"/>
      <w:bookmarkEnd w:id="280"/>
      <w:r>
        <w:br w:type="page"/>
      </w:r>
    </w:p>
    <w:p w14:paraId="28156081" w14:textId="77777777" w:rsidR="005F1206" w:rsidRDefault="005F1206" w:rsidP="006C5A94">
      <w:pPr>
        <w:pStyle w:val="Heading2"/>
      </w:pPr>
      <w:bookmarkStart w:id="281" w:name="_Toc70599683"/>
      <w:r>
        <w:lastRenderedPageBreak/>
        <w:t>Funding</w:t>
      </w:r>
      <w:bookmarkEnd w:id="281"/>
    </w:p>
    <w:p w14:paraId="5723EA10" w14:textId="77777777" w:rsidR="005F1206" w:rsidRPr="004C3752" w:rsidRDefault="005F1206" w:rsidP="006C5A94">
      <w:pPr>
        <w:pStyle w:val="Heading1"/>
        <w:rPr>
          <w:b/>
        </w:rPr>
      </w:pPr>
      <w:bookmarkStart w:id="282" w:name="_Toc68768225"/>
      <w:bookmarkStart w:id="283" w:name="_Toc70599684"/>
      <w:r w:rsidRPr="004C3752">
        <w:t>Eligible and ineligible expenses</w:t>
      </w:r>
      <w:bookmarkEnd w:id="282"/>
      <w:bookmarkEnd w:id="283"/>
    </w:p>
    <w:p w14:paraId="17D7404E" w14:textId="77777777" w:rsidR="0079678E" w:rsidRPr="006C5A94" w:rsidRDefault="0079678E" w:rsidP="0079678E">
      <w:pPr>
        <w:keepNext/>
        <w:rPr>
          <w:rFonts w:cs="Arial"/>
          <w:sz w:val="22"/>
          <w:szCs w:val="22"/>
        </w:rPr>
      </w:pPr>
      <w:r w:rsidRPr="006C5A94">
        <w:rPr>
          <w:rFonts w:cs="Arial"/>
          <w:sz w:val="22"/>
          <w:szCs w:val="22"/>
        </w:rPr>
        <w:t>Grant funding may be used for:</w:t>
      </w:r>
    </w:p>
    <w:p w14:paraId="37CAB7AB" w14:textId="6C65EA04" w:rsidR="0079678E" w:rsidRPr="006C5A94" w:rsidRDefault="0079678E" w:rsidP="0079678E">
      <w:pPr>
        <w:pStyle w:val="ListParagraph"/>
        <w:numPr>
          <w:ilvl w:val="0"/>
          <w:numId w:val="71"/>
        </w:numPr>
        <w:spacing w:before="0" w:after="0" w:line="240" w:lineRule="auto"/>
        <w:rPr>
          <w:rFonts w:eastAsia="Calibri" w:cs="Arial"/>
          <w:spacing w:val="0"/>
          <w:sz w:val="22"/>
          <w:szCs w:val="22"/>
          <w:lang w:eastAsia="en-US"/>
        </w:rPr>
      </w:pPr>
      <w:r w:rsidRPr="006C5A94">
        <w:rPr>
          <w:rFonts w:eastAsia="Calibri" w:cs="Arial"/>
          <w:spacing w:val="0"/>
          <w:sz w:val="22"/>
          <w:szCs w:val="22"/>
          <w:lang w:eastAsia="en-US"/>
        </w:rPr>
        <w:t>staff salaries and on-costs that can be directly attributed to the provision of FMHSS in the identified service area/s as per the grant agreement</w:t>
      </w:r>
      <w:r w:rsidR="00130095">
        <w:rPr>
          <w:rFonts w:eastAsia="Calibri" w:cs="Arial"/>
          <w:spacing w:val="0"/>
          <w:sz w:val="22"/>
          <w:szCs w:val="22"/>
          <w:lang w:eastAsia="en-US"/>
        </w:rPr>
        <w:t>;</w:t>
      </w:r>
    </w:p>
    <w:p w14:paraId="76F4F1F6" w14:textId="693BC5E4" w:rsidR="0079678E" w:rsidRPr="006C5A94" w:rsidRDefault="0079678E" w:rsidP="0079678E">
      <w:pPr>
        <w:pStyle w:val="ListParagraph"/>
        <w:numPr>
          <w:ilvl w:val="0"/>
          <w:numId w:val="71"/>
        </w:numPr>
        <w:spacing w:before="0" w:after="0" w:line="240" w:lineRule="auto"/>
        <w:rPr>
          <w:rFonts w:eastAsia="Calibri" w:cs="Arial"/>
          <w:spacing w:val="0"/>
          <w:sz w:val="22"/>
          <w:szCs w:val="22"/>
          <w:lang w:eastAsia="en-US"/>
        </w:rPr>
      </w:pPr>
      <w:r w:rsidRPr="006C5A94">
        <w:rPr>
          <w:rFonts w:eastAsia="Calibri" w:cs="Arial"/>
          <w:spacing w:val="0"/>
          <w:sz w:val="22"/>
          <w:szCs w:val="22"/>
          <w:lang w:eastAsia="en-US"/>
        </w:rPr>
        <w:t>employee training for paid and unpaid staff including Committee and Board members, that is relevant, appropriate and in line with the CMH Activity and FMHSS</w:t>
      </w:r>
      <w:r w:rsidR="00130095">
        <w:rPr>
          <w:rFonts w:eastAsia="Calibri" w:cs="Arial"/>
          <w:spacing w:val="0"/>
          <w:sz w:val="22"/>
          <w:szCs w:val="22"/>
          <w:lang w:eastAsia="en-US"/>
        </w:rPr>
        <w:t>; and</w:t>
      </w:r>
    </w:p>
    <w:p w14:paraId="2DF35837" w14:textId="77777777" w:rsidR="0079678E" w:rsidRPr="006C5A94" w:rsidRDefault="0079678E" w:rsidP="0079678E">
      <w:pPr>
        <w:pStyle w:val="ListParagraph"/>
        <w:numPr>
          <w:ilvl w:val="0"/>
          <w:numId w:val="71"/>
        </w:numPr>
        <w:spacing w:before="0" w:after="0" w:line="240" w:lineRule="auto"/>
        <w:rPr>
          <w:rFonts w:eastAsia="Calibri" w:cs="Arial"/>
          <w:spacing w:val="0"/>
          <w:sz w:val="22"/>
          <w:szCs w:val="22"/>
          <w:lang w:eastAsia="en-US"/>
        </w:rPr>
      </w:pPr>
      <w:r w:rsidRPr="006C5A94">
        <w:rPr>
          <w:rFonts w:eastAsia="Calibri" w:cs="Arial"/>
          <w:spacing w:val="0"/>
          <w:sz w:val="22"/>
          <w:szCs w:val="22"/>
          <w:lang w:eastAsia="en-US"/>
        </w:rPr>
        <w:t xml:space="preserve">operating and administration expenses directly related to the delivery of FMHSS, such as: </w:t>
      </w:r>
    </w:p>
    <w:p w14:paraId="6B8BF48B" w14:textId="0AFC12A1"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telephones</w:t>
      </w:r>
      <w:r w:rsidR="00130095">
        <w:rPr>
          <w:rFonts w:cs="Arial"/>
          <w:sz w:val="22"/>
          <w:szCs w:val="22"/>
        </w:rPr>
        <w:t>;</w:t>
      </w:r>
    </w:p>
    <w:p w14:paraId="73316C08" w14:textId="0FA878CE"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rent and outgoings</w:t>
      </w:r>
      <w:r w:rsidR="00130095">
        <w:rPr>
          <w:rFonts w:cs="Arial"/>
          <w:sz w:val="22"/>
          <w:szCs w:val="22"/>
        </w:rPr>
        <w:t>;</w:t>
      </w:r>
    </w:p>
    <w:p w14:paraId="4A0A72B4" w14:textId="2762098C"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computer/ICT/website/software</w:t>
      </w:r>
      <w:r w:rsidR="00130095">
        <w:rPr>
          <w:rFonts w:cs="Arial"/>
          <w:sz w:val="22"/>
          <w:szCs w:val="22"/>
        </w:rPr>
        <w:t>;</w:t>
      </w:r>
    </w:p>
    <w:p w14:paraId="0DDF50B7" w14:textId="5DBDCF63"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insurance</w:t>
      </w:r>
      <w:r w:rsidR="00130095">
        <w:rPr>
          <w:rFonts w:cs="Arial"/>
          <w:sz w:val="22"/>
          <w:szCs w:val="22"/>
        </w:rPr>
        <w:t>;</w:t>
      </w:r>
    </w:p>
    <w:p w14:paraId="4B28307B" w14:textId="52B0CBA7"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utilities</w:t>
      </w:r>
      <w:r w:rsidR="00130095">
        <w:rPr>
          <w:rFonts w:cs="Arial"/>
          <w:sz w:val="22"/>
          <w:szCs w:val="22"/>
        </w:rPr>
        <w:t>;</w:t>
      </w:r>
    </w:p>
    <w:p w14:paraId="5FD8BAC5" w14:textId="31D368A3"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postage</w:t>
      </w:r>
      <w:r w:rsidR="00130095">
        <w:rPr>
          <w:rFonts w:cs="Arial"/>
          <w:sz w:val="22"/>
          <w:szCs w:val="22"/>
        </w:rPr>
        <w:t>;</w:t>
      </w:r>
    </w:p>
    <w:p w14:paraId="1881FA79" w14:textId="0115B9FC"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stationery and printing</w:t>
      </w:r>
      <w:r w:rsidR="00130095">
        <w:rPr>
          <w:rFonts w:cs="Arial"/>
          <w:sz w:val="22"/>
          <w:szCs w:val="22"/>
        </w:rPr>
        <w:t>;</w:t>
      </w:r>
    </w:p>
    <w:p w14:paraId="4D72C4CE" w14:textId="34D35813"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accounting and auditing</w:t>
      </w:r>
      <w:r w:rsidR="00130095">
        <w:rPr>
          <w:rFonts w:cs="Arial"/>
          <w:sz w:val="22"/>
          <w:szCs w:val="22"/>
        </w:rPr>
        <w:t>;</w:t>
      </w:r>
    </w:p>
    <w:p w14:paraId="46F4EC4D" w14:textId="4106D53D"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travel/accommodation costs</w:t>
      </w:r>
      <w:r w:rsidR="00130095">
        <w:rPr>
          <w:rFonts w:cs="Arial"/>
          <w:sz w:val="22"/>
          <w:szCs w:val="22"/>
        </w:rPr>
        <w:t>;</w:t>
      </w:r>
    </w:p>
    <w:p w14:paraId="3D1A1B2B" w14:textId="427FA32C"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materials and equipment, including assets as defined in the Standard Supplementary Provisions, that can be reasonably attributed to meeting deliverables in the grant agreement</w:t>
      </w:r>
      <w:r w:rsidR="00130095">
        <w:rPr>
          <w:rFonts w:cs="Arial"/>
          <w:sz w:val="22"/>
          <w:szCs w:val="22"/>
        </w:rPr>
        <w:t>;</w:t>
      </w:r>
    </w:p>
    <w:p w14:paraId="2D910841" w14:textId="1C03D325" w:rsidR="0079678E" w:rsidRPr="006C5A94" w:rsidRDefault="0079678E" w:rsidP="0079678E">
      <w:pPr>
        <w:pStyle w:val="ListParagraph"/>
        <w:numPr>
          <w:ilvl w:val="1"/>
          <w:numId w:val="37"/>
        </w:numPr>
        <w:spacing w:before="0" w:after="120" w:line="276" w:lineRule="auto"/>
        <w:rPr>
          <w:rFonts w:cs="Arial"/>
          <w:sz w:val="22"/>
          <w:szCs w:val="22"/>
        </w:rPr>
      </w:pPr>
      <w:r w:rsidRPr="006C5A94">
        <w:rPr>
          <w:rFonts w:cs="Arial"/>
          <w:sz w:val="22"/>
          <w:szCs w:val="22"/>
        </w:rPr>
        <w:t>evaluation costs</w:t>
      </w:r>
      <w:r w:rsidR="00130095">
        <w:rPr>
          <w:rFonts w:cs="Arial"/>
          <w:sz w:val="22"/>
          <w:szCs w:val="22"/>
        </w:rPr>
        <w:t>; and</w:t>
      </w:r>
    </w:p>
    <w:p w14:paraId="2FF671F7" w14:textId="77777777" w:rsidR="0079678E" w:rsidRPr="006C5A94" w:rsidRDefault="0079678E" w:rsidP="0079678E">
      <w:pPr>
        <w:pStyle w:val="ListParagraph"/>
        <w:numPr>
          <w:ilvl w:val="1"/>
          <w:numId w:val="37"/>
        </w:numPr>
        <w:spacing w:before="0" w:after="120" w:line="276" w:lineRule="auto"/>
        <w:rPr>
          <w:rFonts w:cs="Arial"/>
          <w:sz w:val="22"/>
          <w:szCs w:val="22"/>
        </w:rPr>
      </w:pPr>
      <w:proofErr w:type="gramStart"/>
      <w:r w:rsidRPr="006C5A94">
        <w:rPr>
          <w:rFonts w:cs="Arial"/>
          <w:sz w:val="22"/>
          <w:szCs w:val="22"/>
        </w:rPr>
        <w:t>marketing</w:t>
      </w:r>
      <w:proofErr w:type="gramEnd"/>
      <w:r w:rsidRPr="006C5A94">
        <w:rPr>
          <w:rFonts w:cs="Arial"/>
          <w:sz w:val="22"/>
          <w:szCs w:val="22"/>
        </w:rPr>
        <w:t>.</w:t>
      </w:r>
    </w:p>
    <w:p w14:paraId="4C80CEA2" w14:textId="77777777" w:rsidR="0079678E" w:rsidRPr="006C5A94" w:rsidRDefault="0079678E" w:rsidP="006C5A94">
      <w:pPr>
        <w:spacing w:before="0" w:after="200" w:line="276" w:lineRule="auto"/>
        <w:rPr>
          <w:rFonts w:cs="Arial"/>
          <w:sz w:val="22"/>
          <w:szCs w:val="22"/>
        </w:rPr>
      </w:pPr>
      <w:r w:rsidRPr="006C5A94">
        <w:rPr>
          <w:rFonts w:cs="Arial"/>
          <w:sz w:val="22"/>
          <w:szCs w:val="22"/>
        </w:rPr>
        <w:t>Grant funding cannot be used for:</w:t>
      </w:r>
    </w:p>
    <w:p w14:paraId="0483F45F" w14:textId="1C275DC4"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6C5A94">
        <w:rPr>
          <w:rFonts w:eastAsia="Calibri" w:cs="Arial"/>
          <w:spacing w:val="0"/>
          <w:sz w:val="22"/>
          <w:szCs w:val="22"/>
          <w:lang w:eastAsia="en-US"/>
        </w:rPr>
        <w:t>purchasing goods and services for participants and their families, with limited exceptions</w:t>
      </w:r>
      <w:r w:rsidR="00854502">
        <w:rPr>
          <w:rStyle w:val="FootnoteReference"/>
          <w:rFonts w:eastAsia="Calibri" w:cs="Arial"/>
          <w:spacing w:val="0"/>
          <w:sz w:val="22"/>
          <w:szCs w:val="22"/>
          <w:lang w:eastAsia="en-US"/>
        </w:rPr>
        <w:footnoteReference w:id="2"/>
      </w:r>
      <w:r w:rsidR="00130095">
        <w:rPr>
          <w:rFonts w:eastAsia="Calibri" w:cs="Arial"/>
          <w:spacing w:val="0"/>
          <w:sz w:val="22"/>
          <w:szCs w:val="22"/>
          <w:lang w:eastAsia="en-US"/>
        </w:rPr>
        <w:t>;</w:t>
      </w:r>
    </w:p>
    <w:p w14:paraId="554299FB"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768C3">
        <w:rPr>
          <w:rFonts w:eastAsia="Calibri" w:cs="Arial"/>
          <w:spacing w:val="0"/>
          <w:sz w:val="22"/>
          <w:szCs w:val="22"/>
          <w:lang w:eastAsia="en-US"/>
        </w:rPr>
        <w:t>purchasing personal care and domestic help for participants and their families</w:t>
      </w:r>
    </w:p>
    <w:p w14:paraId="771A183C" w14:textId="77777777" w:rsidR="0079678E" w:rsidRPr="006C5A94"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768C3">
        <w:rPr>
          <w:rFonts w:eastAsia="Calibri" w:cs="Arial"/>
          <w:spacing w:val="0"/>
          <w:sz w:val="22"/>
          <w:szCs w:val="22"/>
          <w:lang w:eastAsia="en-US"/>
        </w:rPr>
        <w:t>purchase of land</w:t>
      </w:r>
      <w:r w:rsidR="00130095">
        <w:rPr>
          <w:rFonts w:eastAsia="Calibri" w:cs="Arial"/>
          <w:spacing w:val="0"/>
          <w:sz w:val="22"/>
          <w:szCs w:val="22"/>
          <w:lang w:eastAsia="en-US"/>
        </w:rPr>
        <w:t>;</w:t>
      </w:r>
    </w:p>
    <w:p w14:paraId="3F209EC6"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6C5A94">
        <w:rPr>
          <w:rFonts w:eastAsia="Calibri" w:cs="Arial"/>
          <w:spacing w:val="0"/>
          <w:sz w:val="22"/>
          <w:szCs w:val="22"/>
          <w:lang w:eastAsia="en-US"/>
        </w:rPr>
        <w:t>paying retrospective costs</w:t>
      </w:r>
      <w:r w:rsidR="00130095">
        <w:rPr>
          <w:rFonts w:eastAsia="Calibri" w:cs="Arial"/>
          <w:spacing w:val="0"/>
          <w:sz w:val="22"/>
          <w:szCs w:val="22"/>
          <w:lang w:eastAsia="en-US"/>
        </w:rPr>
        <w:t>;</w:t>
      </w:r>
    </w:p>
    <w:p w14:paraId="6177D7D6"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768C3">
        <w:rPr>
          <w:rFonts w:eastAsia="Calibri" w:cs="Arial"/>
          <w:spacing w:val="0"/>
          <w:sz w:val="22"/>
          <w:szCs w:val="22"/>
          <w:lang w:eastAsia="en-US"/>
        </w:rPr>
        <w:t>costs incurred in the preparation of a grant application or related documentation</w:t>
      </w:r>
      <w:r w:rsidR="00130095">
        <w:rPr>
          <w:rFonts w:eastAsia="Calibri" w:cs="Arial"/>
          <w:spacing w:val="0"/>
          <w:sz w:val="22"/>
          <w:szCs w:val="22"/>
          <w:lang w:eastAsia="en-US"/>
        </w:rPr>
        <w:t>;</w:t>
      </w:r>
    </w:p>
    <w:p w14:paraId="4DA018A3"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768C3">
        <w:rPr>
          <w:rFonts w:eastAsia="Calibri" w:cs="Arial"/>
          <w:spacing w:val="0"/>
          <w:sz w:val="22"/>
          <w:szCs w:val="22"/>
          <w:lang w:eastAsia="en-US"/>
        </w:rPr>
        <w:t>major construction/capital works</w:t>
      </w:r>
      <w:r w:rsidR="00130095">
        <w:rPr>
          <w:rFonts w:eastAsia="Calibri" w:cs="Arial"/>
          <w:spacing w:val="0"/>
          <w:sz w:val="22"/>
          <w:szCs w:val="22"/>
          <w:lang w:eastAsia="en-US"/>
        </w:rPr>
        <w:t>;</w:t>
      </w:r>
    </w:p>
    <w:p w14:paraId="11DE14A3"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r w:rsidRPr="001768C3">
        <w:rPr>
          <w:rFonts w:eastAsia="Calibri" w:cs="Arial"/>
          <w:spacing w:val="0"/>
          <w:sz w:val="22"/>
          <w:szCs w:val="22"/>
          <w:lang w:eastAsia="en-US"/>
        </w:rPr>
        <w:t>overseas travel</w:t>
      </w:r>
      <w:r w:rsidR="00130095">
        <w:rPr>
          <w:rFonts w:eastAsia="Calibri" w:cs="Arial"/>
          <w:spacing w:val="0"/>
          <w:sz w:val="22"/>
          <w:szCs w:val="22"/>
          <w:lang w:eastAsia="en-US"/>
        </w:rPr>
        <w:t>; and</w:t>
      </w:r>
    </w:p>
    <w:p w14:paraId="0FCA6884" w14:textId="77777777" w:rsidR="0079678E" w:rsidRPr="001768C3" w:rsidRDefault="0079678E" w:rsidP="0079678E">
      <w:pPr>
        <w:pStyle w:val="ListParagraph"/>
        <w:numPr>
          <w:ilvl w:val="0"/>
          <w:numId w:val="71"/>
        </w:numPr>
        <w:spacing w:before="0" w:after="0" w:line="240" w:lineRule="auto"/>
        <w:rPr>
          <w:rFonts w:eastAsia="Calibri" w:cs="Arial"/>
          <w:spacing w:val="0"/>
          <w:sz w:val="22"/>
          <w:szCs w:val="22"/>
          <w:lang w:eastAsia="en-US"/>
        </w:rPr>
      </w:pPr>
      <w:proofErr w:type="gramStart"/>
      <w:r w:rsidRPr="001768C3">
        <w:rPr>
          <w:rFonts w:eastAsia="Calibri" w:cs="Arial"/>
          <w:spacing w:val="0"/>
          <w:sz w:val="22"/>
          <w:szCs w:val="22"/>
          <w:lang w:eastAsia="en-US"/>
        </w:rPr>
        <w:t>activities</w:t>
      </w:r>
      <w:proofErr w:type="gramEnd"/>
      <w:r w:rsidRPr="001768C3">
        <w:rPr>
          <w:rFonts w:eastAsia="Calibri" w:cs="Arial"/>
          <w:spacing w:val="0"/>
          <w:sz w:val="22"/>
          <w:szCs w:val="22"/>
          <w:lang w:eastAsia="en-US"/>
        </w:rPr>
        <w:t xml:space="preserve"> for which other Commonwealth, state, territory or local government bodies have primary responsibility.</w:t>
      </w:r>
    </w:p>
    <w:p w14:paraId="63184560" w14:textId="77777777" w:rsidR="00FC2418" w:rsidRPr="00AE2599" w:rsidRDefault="007036AE" w:rsidP="001B3177">
      <w:pPr>
        <w:rPr>
          <w:sz w:val="22"/>
          <w:szCs w:val="22"/>
        </w:rPr>
      </w:pPr>
      <w:hyperlink r:id="rId41" w:history="1">
        <w:r w:rsidR="0079678E" w:rsidRPr="001768C3">
          <w:rPr>
            <w:rStyle w:val="Hyperlink"/>
            <w:szCs w:val="22"/>
          </w:rPr>
          <w:t>The Commonwealth Standard Grant Conditions for FMHSS</w:t>
        </w:r>
        <w:r w:rsidR="0079678E" w:rsidRPr="00AE2599">
          <w:rPr>
            <w:sz w:val="22"/>
            <w:szCs w:val="22"/>
          </w:rPr>
          <w:t xml:space="preserve"> set out clauses on spending, reporting and repaying grant funding</w:t>
        </w:r>
      </w:hyperlink>
      <w:r w:rsidR="00FC2418" w:rsidRPr="001768C3">
        <w:rPr>
          <w:sz w:val="22"/>
          <w:szCs w:val="22"/>
        </w:rPr>
        <w:t>.</w:t>
      </w:r>
    </w:p>
    <w:p w14:paraId="352A6145" w14:textId="77777777" w:rsidR="005F1206" w:rsidRPr="004C3752" w:rsidRDefault="005F1206" w:rsidP="001B3177">
      <w:pPr>
        <w:pStyle w:val="Heading1"/>
        <w:rPr>
          <w:b/>
        </w:rPr>
      </w:pPr>
      <w:bookmarkStart w:id="284" w:name="_Toc70494512"/>
      <w:bookmarkStart w:id="285" w:name="_Toc70494513"/>
      <w:bookmarkStart w:id="286" w:name="_Toc70494514"/>
      <w:bookmarkStart w:id="287" w:name="_Toc70494515"/>
      <w:bookmarkStart w:id="288" w:name="_Toc70494516"/>
      <w:bookmarkStart w:id="289" w:name="_Toc70494517"/>
      <w:bookmarkStart w:id="290" w:name="_Toc70494518"/>
      <w:bookmarkStart w:id="291" w:name="_Toc70494519"/>
      <w:bookmarkStart w:id="292" w:name="_Toc70494520"/>
      <w:bookmarkStart w:id="293" w:name="_Toc70494521"/>
      <w:bookmarkStart w:id="294" w:name="_Toc70494522"/>
      <w:bookmarkStart w:id="295" w:name="_Toc70494523"/>
      <w:bookmarkStart w:id="296" w:name="_Toc70494524"/>
      <w:bookmarkStart w:id="297" w:name="_Toc70494525"/>
      <w:bookmarkStart w:id="298" w:name="_Toc70494526"/>
      <w:bookmarkStart w:id="299" w:name="_Toc70494527"/>
      <w:bookmarkStart w:id="300" w:name="_Toc70494528"/>
      <w:bookmarkStart w:id="301" w:name="_Toc70494529"/>
      <w:bookmarkStart w:id="302" w:name="_Toc70494530"/>
      <w:bookmarkStart w:id="303" w:name="_Toc70494531"/>
      <w:bookmarkStart w:id="304" w:name="_Toc70494532"/>
      <w:bookmarkStart w:id="305" w:name="_Toc70494533"/>
      <w:bookmarkStart w:id="306" w:name="_Toc70494534"/>
      <w:bookmarkStart w:id="307" w:name="_Toc70494535"/>
      <w:bookmarkStart w:id="308" w:name="_Toc68768226"/>
      <w:bookmarkStart w:id="309" w:name="_Toc70599685"/>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4C3752">
        <w:t>Funding innovation</w:t>
      </w:r>
      <w:bookmarkEnd w:id="308"/>
      <w:bookmarkEnd w:id="309"/>
    </w:p>
    <w:p w14:paraId="35E27566" w14:textId="77777777" w:rsidR="005F1206" w:rsidRDefault="005F1206" w:rsidP="005F1206">
      <w:pPr>
        <w:rPr>
          <w:rFonts w:cs="Arial"/>
          <w:sz w:val="22"/>
          <w:szCs w:val="22"/>
        </w:rPr>
      </w:pPr>
      <w:r w:rsidRPr="004C3752">
        <w:rPr>
          <w:rFonts w:cs="Arial"/>
          <w:sz w:val="22"/>
          <w:szCs w:val="22"/>
        </w:rPr>
        <w:t>The department encourages service providers to pursue innovative ideas to enhance service delivery outcomes. Service providers may utilise up to 10 per cent of their grant funding for the development of innovative concepts in consultation and agreement with the department.</w:t>
      </w:r>
    </w:p>
    <w:p w14:paraId="4BBEA205" w14:textId="77777777" w:rsidR="00FC2418" w:rsidRDefault="00FC2418" w:rsidP="001768C3">
      <w:pPr>
        <w:pStyle w:val="Heading1"/>
      </w:pPr>
      <w:bookmarkStart w:id="310" w:name="_Toc70599686"/>
      <w:r>
        <w:t>Funding for practical and material assistance</w:t>
      </w:r>
      <w:bookmarkEnd w:id="310"/>
    </w:p>
    <w:p w14:paraId="6B5A7D18" w14:textId="77777777" w:rsidR="00FC2418" w:rsidRPr="001768C3" w:rsidRDefault="00FC2418" w:rsidP="00FC2418">
      <w:pPr>
        <w:pStyle w:val="Default"/>
        <w:keepNext/>
        <w:spacing w:after="120" w:line="276" w:lineRule="auto"/>
        <w:rPr>
          <w:color w:val="auto"/>
          <w:sz w:val="22"/>
          <w:szCs w:val="22"/>
        </w:rPr>
      </w:pPr>
      <w:r w:rsidRPr="001768C3">
        <w:rPr>
          <w:color w:val="auto"/>
          <w:sz w:val="22"/>
          <w:szCs w:val="22"/>
        </w:rPr>
        <w:t>Service providers may dedicate up to 5 per cent of their funding to support participants and their families to access practical and material assistance if all other options have been exhausted and the assistance is required to meet the goals of participants’ FAP. Providers must not purchase services from other providers.</w:t>
      </w:r>
    </w:p>
    <w:p w14:paraId="403C8201" w14:textId="77777777" w:rsidR="005F1206" w:rsidRPr="004C3752" w:rsidRDefault="005F1206" w:rsidP="001768C3">
      <w:pPr>
        <w:pStyle w:val="Heading1"/>
        <w:rPr>
          <w:b/>
        </w:rPr>
      </w:pPr>
      <w:bookmarkStart w:id="311" w:name="_Toc70494538"/>
      <w:bookmarkStart w:id="312" w:name="_Toc70494867"/>
      <w:bookmarkStart w:id="313" w:name="_Toc70499426"/>
      <w:bookmarkStart w:id="314" w:name="_Toc70506096"/>
      <w:bookmarkStart w:id="315" w:name="_Toc70506175"/>
      <w:bookmarkStart w:id="316" w:name="_Toc70506254"/>
      <w:bookmarkStart w:id="317" w:name="_Toc70506336"/>
      <w:bookmarkStart w:id="318" w:name="_Toc70506993"/>
      <w:bookmarkStart w:id="319" w:name="_Toc70507144"/>
      <w:bookmarkStart w:id="320" w:name="_Toc68768227"/>
      <w:bookmarkStart w:id="321" w:name="_Toc70599687"/>
      <w:bookmarkEnd w:id="311"/>
      <w:bookmarkEnd w:id="312"/>
      <w:bookmarkEnd w:id="313"/>
      <w:bookmarkEnd w:id="314"/>
      <w:bookmarkEnd w:id="315"/>
      <w:bookmarkEnd w:id="316"/>
      <w:bookmarkEnd w:id="317"/>
      <w:bookmarkEnd w:id="318"/>
      <w:bookmarkEnd w:id="319"/>
      <w:r w:rsidRPr="004C3752">
        <w:t>Long-term sustainability</w:t>
      </w:r>
      <w:bookmarkEnd w:id="320"/>
      <w:bookmarkEnd w:id="321"/>
    </w:p>
    <w:p w14:paraId="138D55D3" w14:textId="7FDB2159" w:rsidR="00B65927" w:rsidRPr="001768C3" w:rsidRDefault="005F1206" w:rsidP="001B3177">
      <w:pPr>
        <w:pStyle w:val="Default"/>
        <w:spacing w:line="276" w:lineRule="auto"/>
        <w:rPr>
          <w:sz w:val="22"/>
          <w:szCs w:val="22"/>
        </w:rPr>
      </w:pPr>
      <w:r w:rsidRPr="004C3752">
        <w:rPr>
          <w:sz w:val="22"/>
          <w:szCs w:val="22"/>
        </w:rPr>
        <w:t>The department encourages service providers to actively plan and develop strategies to</w:t>
      </w:r>
      <w:r w:rsidR="005C6FB1">
        <w:rPr>
          <w:sz w:val="22"/>
          <w:szCs w:val="22"/>
        </w:rPr>
        <w:t> </w:t>
      </w:r>
      <w:r w:rsidRPr="004C3752">
        <w:rPr>
          <w:sz w:val="22"/>
          <w:szCs w:val="22"/>
        </w:rPr>
        <w:t>ensure long-term sustainability. Providers are encouraged to explore opportunities to reduce reliance on Government support through increased inter-organisational collaboration, and by identifying supplementary sources of funding through partnership</w:t>
      </w:r>
      <w:r w:rsidR="00444B2F">
        <w:rPr>
          <w:sz w:val="22"/>
          <w:szCs w:val="22"/>
        </w:rPr>
        <w:t>s</w:t>
      </w:r>
      <w:r w:rsidRPr="004C3752">
        <w:rPr>
          <w:sz w:val="22"/>
          <w:szCs w:val="22"/>
        </w:rPr>
        <w:t xml:space="preserve"> with business and philanthropy.</w:t>
      </w:r>
    </w:p>
    <w:p w14:paraId="3022470F" w14:textId="77777777" w:rsidR="00DD593D" w:rsidRDefault="00DD593D">
      <w:pPr>
        <w:spacing w:before="0" w:after="200" w:line="276" w:lineRule="auto"/>
        <w:rPr>
          <w:rFonts w:ascii="Georgia" w:hAnsi="Georgia" w:cs="Arial"/>
          <w:bCs/>
          <w:color w:val="500778"/>
          <w:kern w:val="32"/>
          <w:sz w:val="36"/>
          <w:szCs w:val="32"/>
        </w:rPr>
      </w:pPr>
      <w:r>
        <w:br w:type="page"/>
      </w:r>
    </w:p>
    <w:p w14:paraId="2E0CE843" w14:textId="77777777" w:rsidR="007B19C7" w:rsidRPr="003A6046" w:rsidRDefault="007B19C7" w:rsidP="001768C3">
      <w:pPr>
        <w:pStyle w:val="Heading2"/>
      </w:pPr>
      <w:bookmarkStart w:id="322" w:name="_Toc70599688"/>
      <w:r w:rsidRPr="003A6046">
        <w:lastRenderedPageBreak/>
        <w:t>Reporting</w:t>
      </w:r>
      <w:bookmarkEnd w:id="322"/>
    </w:p>
    <w:p w14:paraId="403715B3" w14:textId="77777777" w:rsidR="007F6198" w:rsidRPr="004C3752" w:rsidRDefault="007F6198" w:rsidP="001768C3">
      <w:pPr>
        <w:pStyle w:val="Heading1"/>
      </w:pPr>
      <w:bookmarkStart w:id="323" w:name="_Toc70599689"/>
      <w:r w:rsidRPr="004C3752">
        <w:t>Data reporting</w:t>
      </w:r>
      <w:bookmarkEnd w:id="323"/>
    </w:p>
    <w:p w14:paraId="1C48592F" w14:textId="77777777" w:rsidR="00FC2418" w:rsidRPr="00A10A27" w:rsidRDefault="00FC2418" w:rsidP="00FC2418">
      <w:pPr>
        <w:spacing w:after="0"/>
        <w:rPr>
          <w:sz w:val="22"/>
          <w:szCs w:val="22"/>
        </w:rPr>
      </w:pPr>
      <w:r w:rsidRPr="00A10A27">
        <w:rPr>
          <w:sz w:val="22"/>
          <w:szCs w:val="22"/>
        </w:rPr>
        <w:t xml:space="preserve">All FMHSS providers must have systems in place to allow them to meet the data collection and reporting obligations outlined in their </w:t>
      </w:r>
      <w:r w:rsidRPr="005C377F">
        <w:rPr>
          <w:sz w:val="22"/>
          <w:szCs w:val="22"/>
        </w:rPr>
        <w:t>g</w:t>
      </w:r>
      <w:r w:rsidRPr="00A10A27">
        <w:rPr>
          <w:sz w:val="22"/>
          <w:szCs w:val="22"/>
        </w:rPr>
        <w:t xml:space="preserve">rant </w:t>
      </w:r>
      <w:r w:rsidRPr="005C377F">
        <w:rPr>
          <w:sz w:val="22"/>
          <w:szCs w:val="22"/>
        </w:rPr>
        <w:t>a</w:t>
      </w:r>
      <w:r w:rsidRPr="00A10A27">
        <w:rPr>
          <w:sz w:val="22"/>
          <w:szCs w:val="22"/>
        </w:rPr>
        <w:t>greement.</w:t>
      </w:r>
    </w:p>
    <w:p w14:paraId="1E921BCB" w14:textId="77777777" w:rsidR="00FC2418" w:rsidRDefault="00FC2418" w:rsidP="00FC2418">
      <w:pPr>
        <w:keepLines/>
        <w:rPr>
          <w:sz w:val="22"/>
          <w:szCs w:val="22"/>
        </w:rPr>
      </w:pPr>
      <w:r w:rsidRPr="00A10A27">
        <w:rPr>
          <w:sz w:val="22"/>
          <w:szCs w:val="22"/>
        </w:rPr>
        <w:t>F</w:t>
      </w:r>
      <w:r>
        <w:rPr>
          <w:sz w:val="22"/>
          <w:szCs w:val="22"/>
        </w:rPr>
        <w:t>AMs</w:t>
      </w:r>
      <w:r w:rsidRPr="00A10A27">
        <w:rPr>
          <w:sz w:val="22"/>
          <w:szCs w:val="22"/>
        </w:rPr>
        <w:t xml:space="preserve"> monitor and evaluate program performance to ensure activities and service providers are focussed on outcomes for their clients</w:t>
      </w:r>
      <w:r>
        <w:rPr>
          <w:sz w:val="22"/>
          <w:szCs w:val="22"/>
        </w:rPr>
        <w:t xml:space="preserve">. </w:t>
      </w:r>
      <w:r w:rsidRPr="00A10A27">
        <w:rPr>
          <w:sz w:val="22"/>
          <w:szCs w:val="22"/>
        </w:rPr>
        <w:t>Service providers must meet their data collection and reporting obligations and work in accordance with the requirements described in their grant agreement</w:t>
      </w:r>
      <w:r w:rsidRPr="005C377F">
        <w:rPr>
          <w:sz w:val="22"/>
          <w:szCs w:val="22"/>
        </w:rPr>
        <w:t>.</w:t>
      </w:r>
    </w:p>
    <w:p w14:paraId="66410BAB" w14:textId="77777777" w:rsidR="007B19C7" w:rsidRPr="003A6046" w:rsidRDefault="007B19C7" w:rsidP="001768C3">
      <w:pPr>
        <w:pStyle w:val="Heading1"/>
      </w:pPr>
      <w:bookmarkStart w:id="324" w:name="_Toc70494542"/>
      <w:bookmarkStart w:id="325" w:name="_Toc70494543"/>
      <w:bookmarkStart w:id="326" w:name="_Toc70599690"/>
      <w:bookmarkEnd w:id="324"/>
      <w:bookmarkEnd w:id="325"/>
      <w:r w:rsidRPr="003A6046">
        <w:t>Data Exchange</w:t>
      </w:r>
      <w:bookmarkEnd w:id="326"/>
    </w:p>
    <w:p w14:paraId="68697F8D" w14:textId="77777777" w:rsidR="00FC2418" w:rsidRPr="005C377F" w:rsidRDefault="00FC2418" w:rsidP="00FC2418">
      <w:pPr>
        <w:pStyle w:val="Default"/>
        <w:keepNext/>
        <w:spacing w:after="120" w:line="276" w:lineRule="auto"/>
        <w:rPr>
          <w:sz w:val="22"/>
          <w:szCs w:val="22"/>
        </w:rPr>
      </w:pPr>
      <w:r>
        <w:rPr>
          <w:sz w:val="22"/>
          <w:szCs w:val="22"/>
        </w:rPr>
        <w:t>FMHSS</w:t>
      </w:r>
      <w:r w:rsidRPr="005C377F">
        <w:rPr>
          <w:sz w:val="22"/>
          <w:szCs w:val="22"/>
        </w:rPr>
        <w:t xml:space="preserve"> providers are required to report client data and service delivery information for all clients of FMHSS in accordance with the Data Exchange Protocols (</w:t>
      </w:r>
      <w:hyperlink r:id="rId42" w:history="1">
        <w:r w:rsidRPr="005C377F">
          <w:rPr>
            <w:rStyle w:val="Hyperlink"/>
            <w:szCs w:val="22"/>
          </w:rPr>
          <w:t>https://dex.dss.gov.au/data-exchange-protocols/</w:t>
        </w:r>
      </w:hyperlink>
      <w:r w:rsidRPr="005C377F">
        <w:rPr>
          <w:sz w:val="22"/>
          <w:szCs w:val="22"/>
        </w:rPr>
        <w:t>) and FMHSS specific guidance in the Program Specific Guidance for Commonwealth Agencies in the Data Exchange (</w:t>
      </w:r>
      <w:hyperlink r:id="rId43" w:history="1">
        <w:r w:rsidRPr="005C377F">
          <w:rPr>
            <w:rStyle w:val="Hyperlink"/>
            <w:szCs w:val="22"/>
          </w:rPr>
          <w:t>https://dex.dss.gov.au/document/466</w:t>
        </w:r>
      </w:hyperlink>
      <w:r w:rsidRPr="005C377F">
        <w:rPr>
          <w:sz w:val="22"/>
          <w:szCs w:val="22"/>
        </w:rPr>
        <w:t>).</w:t>
      </w:r>
    </w:p>
    <w:p w14:paraId="324F3BA9" w14:textId="163E0262" w:rsidR="00FC2418" w:rsidRPr="009E62F7" w:rsidRDefault="00FC2418" w:rsidP="00FC2418">
      <w:pPr>
        <w:pStyle w:val="Default"/>
        <w:spacing w:after="120" w:line="276" w:lineRule="auto"/>
        <w:rPr>
          <w:rFonts w:eastAsiaTheme="majorEastAsia" w:cstheme="majorBidi"/>
          <w:bCs/>
          <w:color w:val="auto"/>
          <w:sz w:val="22"/>
          <w:szCs w:val="22"/>
        </w:rPr>
      </w:pPr>
      <w:r w:rsidRPr="00653A93">
        <w:rPr>
          <w:rFonts w:eastAsiaTheme="majorEastAsia" w:cstheme="majorBidi"/>
          <w:bCs/>
          <w:color w:val="auto"/>
          <w:sz w:val="22"/>
          <w:szCs w:val="22"/>
        </w:rPr>
        <w:t>The Data Exchange Protocols provides operational guidance to users of the Data Exchange. The Program Specific Guidance for Commonwealth Agencies assists managers and front</w:t>
      </w:r>
      <w:r w:rsidR="00130095">
        <w:rPr>
          <w:rFonts w:eastAsiaTheme="majorEastAsia" w:cstheme="majorBidi"/>
          <w:bCs/>
          <w:color w:val="auto"/>
          <w:sz w:val="22"/>
          <w:szCs w:val="22"/>
        </w:rPr>
        <w:noBreakHyphen/>
      </w:r>
      <w:r w:rsidRPr="00653A93">
        <w:rPr>
          <w:rFonts w:eastAsiaTheme="majorEastAsia" w:cstheme="majorBidi"/>
          <w:bCs/>
          <w:color w:val="auto"/>
          <w:sz w:val="22"/>
          <w:szCs w:val="22"/>
        </w:rPr>
        <w:t>line sta</w:t>
      </w:r>
      <w:r w:rsidRPr="00942159">
        <w:rPr>
          <w:rFonts w:eastAsiaTheme="majorEastAsia" w:cstheme="majorBidi"/>
          <w:bCs/>
          <w:color w:val="auto"/>
          <w:sz w:val="22"/>
          <w:szCs w:val="22"/>
        </w:rPr>
        <w:t>ff to understand the data they must</w:t>
      </w:r>
      <w:r w:rsidRPr="009E62F7">
        <w:rPr>
          <w:rFonts w:eastAsiaTheme="majorEastAsia" w:cstheme="majorBidi"/>
          <w:bCs/>
          <w:color w:val="auto"/>
          <w:sz w:val="22"/>
          <w:szCs w:val="22"/>
        </w:rPr>
        <w:t xml:space="preserve"> report in the Data Exchange for FMHSS.</w:t>
      </w:r>
    </w:p>
    <w:p w14:paraId="24B08A67" w14:textId="58574240" w:rsidR="00FC2418" w:rsidRPr="005C377F" w:rsidRDefault="00FC2418" w:rsidP="00FC2418">
      <w:pPr>
        <w:pStyle w:val="Default"/>
        <w:spacing w:after="120" w:line="276" w:lineRule="auto"/>
        <w:rPr>
          <w:sz w:val="22"/>
          <w:szCs w:val="22"/>
        </w:rPr>
      </w:pPr>
      <w:r w:rsidRPr="006479AF">
        <w:rPr>
          <w:rFonts w:eastAsiaTheme="majorEastAsia" w:cstheme="majorBidi"/>
          <w:bCs/>
          <w:color w:val="auto"/>
          <w:sz w:val="22"/>
          <w:szCs w:val="22"/>
        </w:rPr>
        <w:t xml:space="preserve">The department publishes </w:t>
      </w:r>
      <w:r w:rsidRPr="005C377F">
        <w:rPr>
          <w:sz w:val="22"/>
          <w:szCs w:val="22"/>
        </w:rPr>
        <w:t xml:space="preserve">fact sheets, task cards, webinars and e-learning modules on the </w:t>
      </w:r>
      <w:r w:rsidRPr="00653A93">
        <w:rPr>
          <w:rFonts w:eastAsiaTheme="majorEastAsia" w:cstheme="majorBidi"/>
          <w:bCs/>
          <w:color w:val="auto"/>
          <w:sz w:val="22"/>
          <w:szCs w:val="22"/>
        </w:rPr>
        <w:t>Data Exchange website to</w:t>
      </w:r>
      <w:r w:rsidRPr="005C377F">
        <w:rPr>
          <w:sz w:val="22"/>
          <w:szCs w:val="22"/>
        </w:rPr>
        <w:t xml:space="preserve"> help service providers set up and perform different functions in</w:t>
      </w:r>
      <w:r w:rsidR="00130095">
        <w:rPr>
          <w:sz w:val="22"/>
          <w:szCs w:val="22"/>
        </w:rPr>
        <w:t> </w:t>
      </w:r>
      <w:r w:rsidRPr="005C377F">
        <w:rPr>
          <w:sz w:val="22"/>
          <w:szCs w:val="22"/>
        </w:rPr>
        <w:t xml:space="preserve">the Data Exchange </w:t>
      </w:r>
      <w:r w:rsidRPr="00653A93">
        <w:rPr>
          <w:rFonts w:eastAsiaTheme="majorEastAsia" w:cstheme="majorBidi"/>
          <w:bCs/>
          <w:color w:val="auto"/>
          <w:sz w:val="22"/>
          <w:szCs w:val="22"/>
        </w:rPr>
        <w:t>(</w:t>
      </w:r>
      <w:hyperlink r:id="rId44" w:history="1">
        <w:r w:rsidRPr="007F67E5">
          <w:rPr>
            <w:rStyle w:val="Hyperlink"/>
            <w:rFonts w:eastAsiaTheme="majorEastAsia" w:cstheme="majorBidi"/>
            <w:bCs/>
            <w:szCs w:val="22"/>
          </w:rPr>
          <w:t>https://dex.dss.gov.au/training</w:t>
        </w:r>
      </w:hyperlink>
      <w:r w:rsidRPr="005C377F">
        <w:rPr>
          <w:rFonts w:eastAsiaTheme="majorEastAsia" w:cstheme="majorBidi"/>
          <w:bCs/>
          <w:color w:val="auto"/>
          <w:sz w:val="22"/>
          <w:szCs w:val="22"/>
        </w:rPr>
        <w:t>)</w:t>
      </w:r>
      <w:r w:rsidRPr="005C377F">
        <w:rPr>
          <w:sz w:val="22"/>
          <w:szCs w:val="22"/>
        </w:rPr>
        <w:t>.</w:t>
      </w:r>
    </w:p>
    <w:p w14:paraId="23BA5A40" w14:textId="77777777" w:rsidR="00FC2418" w:rsidRPr="00653A93" w:rsidRDefault="00FC2418" w:rsidP="00FC2418">
      <w:pPr>
        <w:pStyle w:val="Default"/>
        <w:spacing w:after="120" w:line="276" w:lineRule="auto"/>
        <w:rPr>
          <w:rFonts w:eastAsiaTheme="majorEastAsia" w:cstheme="majorBidi"/>
          <w:bCs/>
          <w:color w:val="auto"/>
          <w:sz w:val="22"/>
          <w:szCs w:val="22"/>
        </w:rPr>
      </w:pPr>
      <w:r w:rsidRPr="005C377F">
        <w:rPr>
          <w:sz w:val="22"/>
          <w:szCs w:val="22"/>
        </w:rPr>
        <w:t>For additional support, service providers can contact the Data Exchange Helpdesk (</w:t>
      </w:r>
      <w:hyperlink r:id="rId45" w:history="1">
        <w:r w:rsidRPr="005C377F">
          <w:rPr>
            <w:rStyle w:val="Hyperlink"/>
            <w:szCs w:val="22"/>
          </w:rPr>
          <w:t>https://dex.dss.gov.au/helpdesk/</w:t>
        </w:r>
      </w:hyperlink>
      <w:r w:rsidRPr="005C377F">
        <w:rPr>
          <w:sz w:val="22"/>
          <w:szCs w:val="22"/>
        </w:rPr>
        <w:t>).</w:t>
      </w:r>
    </w:p>
    <w:p w14:paraId="3F251201" w14:textId="77777777" w:rsidR="007F6198" w:rsidRPr="007F1D94" w:rsidRDefault="007F6198" w:rsidP="001768C3">
      <w:pPr>
        <w:pStyle w:val="Heading1"/>
      </w:pPr>
      <w:bookmarkStart w:id="327" w:name="_Toc70494545"/>
      <w:bookmarkStart w:id="328" w:name="_Toc70494546"/>
      <w:bookmarkStart w:id="329" w:name="_Toc70494547"/>
      <w:bookmarkStart w:id="330" w:name="_Toc70494548"/>
      <w:bookmarkStart w:id="331" w:name="_Toc70599691"/>
      <w:bookmarkEnd w:id="327"/>
      <w:bookmarkEnd w:id="328"/>
      <w:bookmarkEnd w:id="329"/>
      <w:bookmarkEnd w:id="330"/>
      <w:r w:rsidRPr="005D33DD">
        <w:t>Data Exchange Partnership Approach</w:t>
      </w:r>
      <w:bookmarkEnd w:id="331"/>
    </w:p>
    <w:p w14:paraId="0C309884" w14:textId="1775738E" w:rsidR="00FC2418" w:rsidRDefault="00FC2418" w:rsidP="00FC2418">
      <w:pPr>
        <w:pStyle w:val="Default"/>
        <w:spacing w:line="276" w:lineRule="auto"/>
        <w:rPr>
          <w:sz w:val="22"/>
          <w:szCs w:val="22"/>
        </w:rPr>
      </w:pPr>
      <w:r>
        <w:rPr>
          <w:sz w:val="22"/>
          <w:szCs w:val="22"/>
        </w:rPr>
        <w:t>FMHSS</w:t>
      </w:r>
      <w:r w:rsidRPr="005C377F">
        <w:rPr>
          <w:sz w:val="22"/>
          <w:szCs w:val="22"/>
        </w:rPr>
        <w:t xml:space="preserve"> providers are required to participate in the Data Exchange Partnership Approach. By participating, service providers report client and community outcomes for clients of</w:t>
      </w:r>
      <w:r w:rsidR="00130095">
        <w:rPr>
          <w:sz w:val="22"/>
          <w:szCs w:val="22"/>
        </w:rPr>
        <w:t> </w:t>
      </w:r>
      <w:r w:rsidRPr="005C377F">
        <w:rPr>
          <w:sz w:val="22"/>
          <w:szCs w:val="22"/>
        </w:rPr>
        <w:t xml:space="preserve">FMHSS and receive </w:t>
      </w:r>
      <w:r w:rsidRPr="00653A93">
        <w:rPr>
          <w:rFonts w:eastAsiaTheme="majorEastAsia" w:cstheme="majorBidi"/>
          <w:bCs/>
          <w:color w:val="auto"/>
          <w:sz w:val="22"/>
          <w:szCs w:val="22"/>
        </w:rPr>
        <w:t>access to additio</w:t>
      </w:r>
      <w:r w:rsidRPr="00942159">
        <w:rPr>
          <w:rFonts w:eastAsiaTheme="majorEastAsia" w:cstheme="majorBidi"/>
          <w:bCs/>
          <w:color w:val="auto"/>
          <w:sz w:val="22"/>
          <w:szCs w:val="22"/>
        </w:rPr>
        <w:t>nal self-service reports</w:t>
      </w:r>
      <w:r w:rsidRPr="005C377F">
        <w:rPr>
          <w:sz w:val="22"/>
          <w:szCs w:val="22"/>
        </w:rPr>
        <w:t xml:space="preserve">. The department requires service providers to report outcomes using its Standard Client/Community Outcomes </w:t>
      </w:r>
      <w:r w:rsidRPr="005C377F">
        <w:rPr>
          <w:rFonts w:eastAsiaTheme="majorEastAsia" w:cstheme="majorBidi"/>
          <w:bCs/>
          <w:color w:val="auto"/>
          <w:sz w:val="22"/>
          <w:szCs w:val="22"/>
        </w:rPr>
        <w:t>Reporting</w:t>
      </w:r>
      <w:r w:rsidRPr="005C377F">
        <w:rPr>
          <w:sz w:val="22"/>
          <w:szCs w:val="22"/>
        </w:rPr>
        <w:t xml:space="preserve"> (SCORE) framework, which is </w:t>
      </w:r>
      <w:r w:rsidRPr="005C377F">
        <w:rPr>
          <w:rFonts w:eastAsiaTheme="majorEastAsia" w:cstheme="majorBidi"/>
          <w:bCs/>
          <w:color w:val="auto"/>
          <w:sz w:val="22"/>
          <w:szCs w:val="22"/>
        </w:rPr>
        <w:t>a methodology for standardised reporting of</w:t>
      </w:r>
      <w:r w:rsidR="00130095">
        <w:rPr>
          <w:rFonts w:eastAsiaTheme="majorEastAsia" w:cstheme="majorBidi"/>
          <w:bCs/>
          <w:color w:val="auto"/>
          <w:sz w:val="22"/>
          <w:szCs w:val="22"/>
        </w:rPr>
        <w:t> </w:t>
      </w:r>
      <w:r w:rsidRPr="005C377F">
        <w:rPr>
          <w:rFonts w:eastAsiaTheme="majorEastAsia" w:cstheme="majorBidi"/>
          <w:bCs/>
          <w:color w:val="auto"/>
          <w:sz w:val="22"/>
          <w:szCs w:val="22"/>
        </w:rPr>
        <w:t>outcomes data</w:t>
      </w:r>
      <w:r w:rsidRPr="005C377F">
        <w:rPr>
          <w:sz w:val="22"/>
          <w:szCs w:val="22"/>
        </w:rPr>
        <w:t>. For further information on the Partnership Approach and SCORE, please refer to the Data Exchange Protocols (</w:t>
      </w:r>
      <w:hyperlink r:id="rId46" w:history="1">
        <w:r w:rsidRPr="005C377F">
          <w:rPr>
            <w:rStyle w:val="Hyperlink"/>
            <w:szCs w:val="22"/>
          </w:rPr>
          <w:t>https://dex.dss.gov.au/data-exchange-protocols/</w:t>
        </w:r>
      </w:hyperlink>
      <w:r w:rsidRPr="005C377F">
        <w:rPr>
          <w:sz w:val="22"/>
          <w:szCs w:val="22"/>
        </w:rPr>
        <w:t>).</w:t>
      </w:r>
    </w:p>
    <w:p w14:paraId="3F57C5DD" w14:textId="77777777" w:rsidR="00FC2418" w:rsidRPr="005C377F" w:rsidRDefault="00FC2418" w:rsidP="00FC2418">
      <w:pPr>
        <w:pStyle w:val="Default"/>
        <w:spacing w:line="276" w:lineRule="auto"/>
        <w:rPr>
          <w:sz w:val="22"/>
          <w:szCs w:val="22"/>
        </w:rPr>
      </w:pPr>
    </w:p>
    <w:p w14:paraId="254E74D2" w14:textId="4A81BC20" w:rsidR="00FC2418" w:rsidRPr="005C377F" w:rsidRDefault="00FC2418" w:rsidP="00FC2418">
      <w:pPr>
        <w:pStyle w:val="Default"/>
        <w:spacing w:after="120" w:line="276" w:lineRule="auto"/>
        <w:rPr>
          <w:sz w:val="22"/>
          <w:szCs w:val="22"/>
        </w:rPr>
      </w:pPr>
      <w:r w:rsidRPr="005C377F">
        <w:rPr>
          <w:sz w:val="22"/>
          <w:szCs w:val="22"/>
        </w:rPr>
        <w:t>For further information on the requirements of the D</w:t>
      </w:r>
      <w:r>
        <w:rPr>
          <w:sz w:val="22"/>
          <w:szCs w:val="22"/>
        </w:rPr>
        <w:t xml:space="preserve">ata Exchange </w:t>
      </w:r>
      <w:r w:rsidRPr="005C377F">
        <w:rPr>
          <w:sz w:val="22"/>
          <w:szCs w:val="22"/>
        </w:rPr>
        <w:t xml:space="preserve">Partnership Approach for FMHSS, please refer to </w:t>
      </w:r>
      <w:r>
        <w:rPr>
          <w:sz w:val="22"/>
          <w:szCs w:val="22"/>
        </w:rPr>
        <w:t xml:space="preserve">the </w:t>
      </w:r>
      <w:r w:rsidRPr="007400E6">
        <w:rPr>
          <w:rStyle w:val="Hyperlink"/>
        </w:rPr>
        <w:t>Data Exchange Partnership Approach Fact Sheet</w:t>
      </w:r>
      <w:r w:rsidRPr="007400E6">
        <w:rPr>
          <w:sz w:val="22"/>
          <w:szCs w:val="22"/>
        </w:rPr>
        <w:t xml:space="preserve"> and</w:t>
      </w:r>
      <w:r w:rsidRPr="005C377F">
        <w:rPr>
          <w:sz w:val="22"/>
          <w:szCs w:val="22"/>
        </w:rPr>
        <w:t xml:space="preserve"> the Review Point Assessment Criteria at </w:t>
      </w:r>
      <w:r w:rsidRPr="0006344F">
        <w:rPr>
          <w:b/>
          <w:sz w:val="22"/>
          <w:szCs w:val="22"/>
        </w:rPr>
        <w:t xml:space="preserve">Appendix </w:t>
      </w:r>
      <w:r w:rsidR="00DC3D55" w:rsidRPr="0006344F">
        <w:rPr>
          <w:b/>
          <w:sz w:val="22"/>
          <w:szCs w:val="22"/>
        </w:rPr>
        <w:t>F</w:t>
      </w:r>
      <w:r w:rsidRPr="0006344F">
        <w:rPr>
          <w:sz w:val="22"/>
          <w:szCs w:val="22"/>
        </w:rPr>
        <w:t>.</w:t>
      </w:r>
    </w:p>
    <w:p w14:paraId="4DE46558" w14:textId="77777777" w:rsidR="00FC2418" w:rsidRDefault="00FC2418" w:rsidP="001B3177">
      <w:pPr>
        <w:pStyle w:val="Default"/>
        <w:spacing w:after="120" w:line="276" w:lineRule="auto"/>
        <w:rPr>
          <w:sz w:val="22"/>
          <w:szCs w:val="22"/>
        </w:rPr>
      </w:pPr>
      <w:r w:rsidRPr="005C377F">
        <w:rPr>
          <w:sz w:val="22"/>
          <w:szCs w:val="22"/>
        </w:rPr>
        <w:t>For additional support, service providers can contact the Data Exchange Helpdesk (</w:t>
      </w:r>
      <w:hyperlink r:id="rId47" w:history="1">
        <w:r w:rsidRPr="005C377F">
          <w:rPr>
            <w:rStyle w:val="Hyperlink"/>
            <w:szCs w:val="22"/>
          </w:rPr>
          <w:t>https://dex.dss.gov.au/helpdesk/</w:t>
        </w:r>
      </w:hyperlink>
      <w:r w:rsidRPr="005C377F">
        <w:rPr>
          <w:sz w:val="22"/>
          <w:szCs w:val="22"/>
        </w:rPr>
        <w:t>).</w:t>
      </w:r>
    </w:p>
    <w:p w14:paraId="5E5A24D3" w14:textId="77777777" w:rsidR="007F6198" w:rsidRPr="004C3752" w:rsidRDefault="007F6198" w:rsidP="001B3177">
      <w:pPr>
        <w:pStyle w:val="Heading1"/>
      </w:pPr>
      <w:bookmarkStart w:id="332" w:name="_Toc70494550"/>
      <w:bookmarkStart w:id="333" w:name="_Toc70494873"/>
      <w:bookmarkStart w:id="334" w:name="_Toc70499432"/>
      <w:bookmarkStart w:id="335" w:name="_Toc70506102"/>
      <w:bookmarkStart w:id="336" w:name="_Toc70506181"/>
      <w:bookmarkStart w:id="337" w:name="_Toc70506260"/>
      <w:bookmarkStart w:id="338" w:name="_Toc70506342"/>
      <w:bookmarkStart w:id="339" w:name="_Toc70506999"/>
      <w:bookmarkStart w:id="340" w:name="_Toc70507150"/>
      <w:bookmarkStart w:id="341" w:name="_Toc70599692"/>
      <w:bookmarkEnd w:id="332"/>
      <w:bookmarkEnd w:id="333"/>
      <w:bookmarkEnd w:id="334"/>
      <w:bookmarkEnd w:id="335"/>
      <w:bookmarkEnd w:id="336"/>
      <w:bookmarkEnd w:id="337"/>
      <w:bookmarkEnd w:id="338"/>
      <w:bookmarkEnd w:id="339"/>
      <w:bookmarkEnd w:id="340"/>
      <w:r w:rsidRPr="004C3752">
        <w:lastRenderedPageBreak/>
        <w:t>Guidance on measuring client and community outcomes</w:t>
      </w:r>
      <w:bookmarkEnd w:id="341"/>
    </w:p>
    <w:p w14:paraId="434393FC" w14:textId="77777777" w:rsidR="007F6198" w:rsidRPr="004C3752" w:rsidRDefault="007F6198" w:rsidP="007F6198">
      <w:pPr>
        <w:rPr>
          <w:rFonts w:eastAsiaTheme="majorEastAsia" w:cstheme="majorBidi"/>
          <w:bCs/>
          <w:spacing w:val="0"/>
          <w:sz w:val="22"/>
          <w:szCs w:val="22"/>
          <w:lang w:eastAsia="en-US"/>
        </w:rPr>
      </w:pPr>
      <w:r w:rsidRPr="004C3752">
        <w:rPr>
          <w:rFonts w:eastAsiaTheme="majorEastAsia" w:cstheme="majorBidi"/>
          <w:bCs/>
          <w:spacing w:val="0"/>
          <w:sz w:val="22"/>
          <w:szCs w:val="22"/>
          <w:lang w:eastAsia="en-US"/>
        </w:rPr>
        <w:t>The department encourages all service providers to use validated outcomes measurement tools to measure client and community outcomes.</w:t>
      </w:r>
    </w:p>
    <w:p w14:paraId="12910284" w14:textId="77777777" w:rsidR="007F6198" w:rsidRPr="006E32B6" w:rsidRDefault="007F6198" w:rsidP="007F6198">
      <w:pPr>
        <w:pStyle w:val="Default"/>
        <w:spacing w:after="29"/>
        <w:rPr>
          <w:rFonts w:eastAsiaTheme="majorEastAsia" w:cstheme="majorBidi"/>
          <w:bCs/>
          <w:color w:val="auto"/>
          <w:sz w:val="22"/>
          <w:szCs w:val="22"/>
        </w:rPr>
      </w:pPr>
      <w:r w:rsidRPr="006E32B6">
        <w:rPr>
          <w:rFonts w:eastAsiaTheme="majorEastAsia" w:cstheme="majorBidi"/>
          <w:bCs/>
          <w:color w:val="auto"/>
          <w:sz w:val="22"/>
          <w:szCs w:val="22"/>
        </w:rPr>
        <w:t xml:space="preserve">A ‘validated tool’ is an instrument that has been </w:t>
      </w:r>
      <w:r>
        <w:rPr>
          <w:rFonts w:eastAsiaTheme="majorEastAsia" w:cstheme="majorBidi"/>
          <w:bCs/>
          <w:color w:val="auto"/>
          <w:sz w:val="22"/>
          <w:szCs w:val="22"/>
        </w:rPr>
        <w:t xml:space="preserve">formally evaluated and </w:t>
      </w:r>
      <w:r w:rsidRPr="006E32B6">
        <w:rPr>
          <w:rFonts w:eastAsiaTheme="majorEastAsia" w:cstheme="majorBidi"/>
          <w:bCs/>
          <w:color w:val="auto"/>
          <w:sz w:val="22"/>
          <w:szCs w:val="22"/>
        </w:rPr>
        <w:t>psychometrically tested for:</w:t>
      </w:r>
    </w:p>
    <w:p w14:paraId="601A3EDE" w14:textId="77777777" w:rsidR="007F6198" w:rsidRPr="001B3177" w:rsidRDefault="007F6198" w:rsidP="001B3177">
      <w:pPr>
        <w:pStyle w:val="ListParagraph"/>
        <w:numPr>
          <w:ilvl w:val="0"/>
          <w:numId w:val="71"/>
        </w:numPr>
        <w:spacing w:before="0" w:after="0" w:line="240" w:lineRule="auto"/>
        <w:rPr>
          <w:rFonts w:eastAsia="Calibri" w:cs="Arial"/>
          <w:sz w:val="22"/>
          <w:szCs w:val="22"/>
        </w:rPr>
      </w:pPr>
      <w:r w:rsidRPr="001B3177">
        <w:rPr>
          <w:rFonts w:eastAsia="Calibri" w:cs="Arial"/>
          <w:spacing w:val="0"/>
          <w:sz w:val="22"/>
          <w:szCs w:val="22"/>
          <w:lang w:eastAsia="en-US"/>
        </w:rPr>
        <w:t>reliability (the ability of the instrument to produce consistent results)</w:t>
      </w:r>
      <w:r w:rsidR="00130095">
        <w:rPr>
          <w:rFonts w:eastAsia="Calibri" w:cs="Arial"/>
          <w:spacing w:val="0"/>
          <w:sz w:val="22"/>
          <w:szCs w:val="22"/>
          <w:lang w:eastAsia="en-US"/>
        </w:rPr>
        <w:t>;</w:t>
      </w:r>
    </w:p>
    <w:p w14:paraId="69EABE56" w14:textId="77777777" w:rsidR="007F6198" w:rsidRPr="001B3177" w:rsidRDefault="007F6198" w:rsidP="001B3177">
      <w:pPr>
        <w:pStyle w:val="ListParagraph"/>
        <w:numPr>
          <w:ilvl w:val="0"/>
          <w:numId w:val="71"/>
        </w:numPr>
        <w:spacing w:before="0" w:after="0" w:line="240" w:lineRule="auto"/>
        <w:rPr>
          <w:rFonts w:eastAsia="Calibri" w:cs="Arial"/>
          <w:sz w:val="22"/>
          <w:szCs w:val="22"/>
        </w:rPr>
      </w:pPr>
      <w:r w:rsidRPr="001B3177">
        <w:rPr>
          <w:rFonts w:eastAsia="Calibri" w:cs="Arial"/>
          <w:spacing w:val="0"/>
          <w:sz w:val="22"/>
          <w:szCs w:val="22"/>
          <w:lang w:eastAsia="en-US"/>
        </w:rPr>
        <w:t>validity (the ability of the instrument to produce true results)</w:t>
      </w:r>
      <w:r w:rsidR="00130095">
        <w:rPr>
          <w:rFonts w:eastAsia="Calibri" w:cs="Arial"/>
          <w:spacing w:val="0"/>
          <w:sz w:val="22"/>
          <w:szCs w:val="22"/>
          <w:lang w:eastAsia="en-US"/>
        </w:rPr>
        <w:t>; and</w:t>
      </w:r>
    </w:p>
    <w:p w14:paraId="6D94D476" w14:textId="77777777" w:rsidR="007F6198" w:rsidRPr="001B3177" w:rsidRDefault="007F6198" w:rsidP="001B3177">
      <w:pPr>
        <w:pStyle w:val="ListParagraph"/>
        <w:numPr>
          <w:ilvl w:val="0"/>
          <w:numId w:val="71"/>
        </w:numPr>
        <w:spacing w:before="0" w:line="240" w:lineRule="auto"/>
        <w:rPr>
          <w:rFonts w:eastAsia="Calibri" w:cs="Arial"/>
          <w:sz w:val="22"/>
          <w:szCs w:val="22"/>
        </w:rPr>
      </w:pPr>
      <w:proofErr w:type="gramStart"/>
      <w:r w:rsidRPr="001B3177">
        <w:rPr>
          <w:rFonts w:eastAsia="Calibri" w:cs="Arial"/>
          <w:spacing w:val="0"/>
          <w:sz w:val="22"/>
          <w:szCs w:val="22"/>
          <w:lang w:eastAsia="en-US"/>
        </w:rPr>
        <w:t>sensitivity</w:t>
      </w:r>
      <w:proofErr w:type="gramEnd"/>
      <w:r w:rsidRPr="001B3177">
        <w:rPr>
          <w:rFonts w:eastAsia="Calibri" w:cs="Arial"/>
          <w:spacing w:val="0"/>
          <w:sz w:val="22"/>
          <w:szCs w:val="22"/>
          <w:lang w:eastAsia="en-US"/>
        </w:rPr>
        <w:t xml:space="preserve"> (the probability of correctly identifying a client with the condition).</w:t>
      </w:r>
    </w:p>
    <w:p w14:paraId="01A7B04D" w14:textId="77777777" w:rsidR="007F6198" w:rsidRPr="00702094" w:rsidRDefault="007F6198" w:rsidP="007F6198">
      <w:pPr>
        <w:pStyle w:val="Default"/>
        <w:spacing w:after="120" w:line="276" w:lineRule="auto"/>
        <w:rPr>
          <w:color w:val="1B1B1B"/>
          <w:sz w:val="22"/>
          <w:szCs w:val="22"/>
          <w:shd w:val="clear" w:color="auto" w:fill="FFFFFF"/>
        </w:rPr>
      </w:pPr>
      <w:r w:rsidRPr="00E11791">
        <w:rPr>
          <w:sz w:val="22"/>
          <w:szCs w:val="22"/>
        </w:rPr>
        <w:t>The Australian Institute of Family Studies has published an article outlining how</w:t>
      </w:r>
      <w:r w:rsidRPr="00E11791">
        <w:rPr>
          <w:sz w:val="22"/>
          <w:szCs w:val="22"/>
          <w:shd w:val="clear" w:color="auto" w:fill="FFFFFF"/>
        </w:rPr>
        <w:t xml:space="preserve"> to choose an outcomes measurement tool</w:t>
      </w:r>
      <w:r w:rsidRPr="00E11791">
        <w:rPr>
          <w:sz w:val="22"/>
          <w:szCs w:val="22"/>
        </w:rPr>
        <w:t xml:space="preserve"> (</w:t>
      </w:r>
      <w:hyperlink r:id="rId48" w:history="1">
        <w:r w:rsidRPr="00E11791">
          <w:rPr>
            <w:rStyle w:val="Hyperlink"/>
            <w:szCs w:val="22"/>
          </w:rPr>
          <w:t>https://aifs.gov.au/cfca/2016/04/14/how-choose-outcomes-measurement-tool</w:t>
        </w:r>
      </w:hyperlink>
      <w:r w:rsidRPr="00E11791">
        <w:rPr>
          <w:sz w:val="22"/>
          <w:szCs w:val="22"/>
        </w:rPr>
        <w:t>)</w:t>
      </w:r>
      <w:r w:rsidRPr="00E11791">
        <w:rPr>
          <w:color w:val="1B1B1B"/>
          <w:sz w:val="22"/>
          <w:szCs w:val="22"/>
          <w:shd w:val="clear" w:color="auto" w:fill="FFFFFF"/>
        </w:rPr>
        <w:t>. The article includes links to established tools for measuring child and family outcomes.</w:t>
      </w:r>
    </w:p>
    <w:p w14:paraId="19233026" w14:textId="77777777" w:rsidR="007F6198" w:rsidRDefault="007F6198" w:rsidP="007F6198">
      <w:pPr>
        <w:pStyle w:val="Default"/>
        <w:spacing w:after="120" w:line="276" w:lineRule="auto"/>
        <w:rPr>
          <w:rFonts w:eastAsiaTheme="majorEastAsia" w:cstheme="majorBidi"/>
          <w:bCs/>
          <w:color w:val="auto"/>
          <w:sz w:val="22"/>
          <w:szCs w:val="22"/>
        </w:rPr>
      </w:pPr>
      <w:r>
        <w:rPr>
          <w:rFonts w:eastAsiaTheme="majorEastAsia" w:cstheme="majorBidi"/>
          <w:bCs/>
          <w:color w:val="auto"/>
          <w:sz w:val="22"/>
          <w:szCs w:val="22"/>
        </w:rPr>
        <w:t>The department has developed a T</w:t>
      </w:r>
      <w:r w:rsidRPr="006E32B6">
        <w:rPr>
          <w:rFonts w:eastAsiaTheme="majorEastAsia" w:cstheme="majorBidi"/>
          <w:bCs/>
          <w:color w:val="auto"/>
          <w:sz w:val="22"/>
          <w:szCs w:val="22"/>
        </w:rPr>
        <w:t xml:space="preserve">ranslation </w:t>
      </w:r>
      <w:r>
        <w:rPr>
          <w:rFonts w:eastAsiaTheme="majorEastAsia" w:cstheme="majorBidi"/>
          <w:bCs/>
          <w:color w:val="auto"/>
          <w:sz w:val="22"/>
          <w:szCs w:val="22"/>
        </w:rPr>
        <w:t>M</w:t>
      </w:r>
      <w:r w:rsidRPr="006E32B6">
        <w:rPr>
          <w:rFonts w:eastAsiaTheme="majorEastAsia" w:cstheme="majorBidi"/>
          <w:bCs/>
          <w:color w:val="auto"/>
          <w:sz w:val="22"/>
          <w:szCs w:val="22"/>
        </w:rPr>
        <w:t xml:space="preserve">atrix to help organisations convert results from commonly used outcomes measurement tools into </w:t>
      </w:r>
      <w:r>
        <w:rPr>
          <w:rFonts w:eastAsiaTheme="majorEastAsia" w:cstheme="majorBidi"/>
          <w:bCs/>
          <w:color w:val="auto"/>
          <w:sz w:val="22"/>
          <w:szCs w:val="22"/>
        </w:rPr>
        <w:t xml:space="preserve">SCORE data </w:t>
      </w:r>
      <w:r>
        <w:rPr>
          <w:color w:val="1B1B1B"/>
          <w:sz w:val="22"/>
          <w:szCs w:val="22"/>
          <w:shd w:val="clear" w:color="auto" w:fill="FFFFFF"/>
        </w:rPr>
        <w:t>(</w:t>
      </w:r>
      <w:hyperlink r:id="rId49" w:history="1">
        <w:r w:rsidRPr="00516ED1">
          <w:rPr>
            <w:rStyle w:val="Hyperlink"/>
            <w:szCs w:val="22"/>
            <w:shd w:val="clear" w:color="auto" w:fill="FFFFFF"/>
          </w:rPr>
          <w:t>https://dex.dss.gov.au/document/121</w:t>
        </w:r>
      </w:hyperlink>
      <w:r>
        <w:rPr>
          <w:color w:val="1B1B1B"/>
          <w:sz w:val="22"/>
          <w:szCs w:val="22"/>
          <w:shd w:val="clear" w:color="auto" w:fill="FFFFFF"/>
        </w:rPr>
        <w:t>)</w:t>
      </w:r>
      <w:r>
        <w:rPr>
          <w:rFonts w:eastAsiaTheme="majorEastAsia" w:cstheme="majorBidi"/>
          <w:bCs/>
          <w:color w:val="auto"/>
          <w:sz w:val="22"/>
          <w:szCs w:val="22"/>
        </w:rPr>
        <w:t>. The Translation Matrix also contains a generic template that service providers can use to translate proprietary outcomes measurement tools or tools that they have developed internally into SCORE data.</w:t>
      </w:r>
    </w:p>
    <w:p w14:paraId="34B512BC" w14:textId="24D21399" w:rsidR="00643789" w:rsidRPr="00AE2599" w:rsidRDefault="007F6198" w:rsidP="00AE2599">
      <w:pPr>
        <w:pStyle w:val="Default"/>
        <w:spacing w:after="120" w:line="276" w:lineRule="auto"/>
        <w:rPr>
          <w:sz w:val="22"/>
          <w:szCs w:val="22"/>
        </w:rPr>
      </w:pPr>
      <w:r>
        <w:rPr>
          <w:sz w:val="22"/>
          <w:szCs w:val="22"/>
        </w:rPr>
        <w:t>For additional support, service providers can contact the Data Exchange Helpdesk (</w:t>
      </w:r>
      <w:hyperlink r:id="rId50" w:history="1">
        <w:r w:rsidRPr="00516ED1">
          <w:rPr>
            <w:rStyle w:val="Hyperlink"/>
            <w:szCs w:val="22"/>
          </w:rPr>
          <w:t>https://dex.dss.gov.au/helpdesk/</w:t>
        </w:r>
      </w:hyperlink>
      <w:r>
        <w:rPr>
          <w:sz w:val="22"/>
          <w:szCs w:val="22"/>
        </w:rPr>
        <w:t>)</w:t>
      </w:r>
      <w:r w:rsidR="00130095">
        <w:rPr>
          <w:sz w:val="22"/>
          <w:szCs w:val="22"/>
        </w:rPr>
        <w:t>.</w:t>
      </w:r>
      <w:bookmarkStart w:id="342" w:name="_Toc68775097"/>
      <w:bookmarkStart w:id="343" w:name="_Toc68786798"/>
      <w:bookmarkStart w:id="344" w:name="_Toc68866100"/>
      <w:bookmarkStart w:id="345" w:name="_Toc68874030"/>
      <w:bookmarkStart w:id="346" w:name="_Toc68775099"/>
      <w:bookmarkStart w:id="347" w:name="_Toc68786800"/>
      <w:bookmarkStart w:id="348" w:name="_Toc68866102"/>
      <w:bookmarkStart w:id="349" w:name="_Toc68874032"/>
      <w:bookmarkEnd w:id="342"/>
      <w:bookmarkEnd w:id="343"/>
      <w:bookmarkEnd w:id="344"/>
      <w:bookmarkEnd w:id="345"/>
      <w:bookmarkEnd w:id="346"/>
      <w:bookmarkEnd w:id="347"/>
      <w:bookmarkEnd w:id="348"/>
      <w:bookmarkEnd w:id="349"/>
    </w:p>
    <w:p w14:paraId="219C7A69" w14:textId="77777777" w:rsidR="007B19C7" w:rsidRPr="003A6046" w:rsidRDefault="007B19C7" w:rsidP="001B3177">
      <w:pPr>
        <w:pStyle w:val="Heading1"/>
      </w:pPr>
      <w:bookmarkStart w:id="350" w:name="_Toc70599693"/>
      <w:r w:rsidRPr="003A6046">
        <w:t>Activity Work Plan</w:t>
      </w:r>
      <w:r w:rsidR="00B81B17">
        <w:t>s (AWP) and AWP reports</w:t>
      </w:r>
      <w:bookmarkEnd w:id="350"/>
    </w:p>
    <w:p w14:paraId="0B10C5E5" w14:textId="73D124B3" w:rsidR="00B75A77" w:rsidRPr="005C377F" w:rsidRDefault="00B75A77" w:rsidP="00B75A77">
      <w:pPr>
        <w:keepNext/>
        <w:rPr>
          <w:sz w:val="22"/>
          <w:szCs w:val="22"/>
        </w:rPr>
      </w:pPr>
      <w:r w:rsidRPr="005C377F">
        <w:rPr>
          <w:sz w:val="22"/>
          <w:szCs w:val="22"/>
        </w:rPr>
        <w:t xml:space="preserve">The AWP is a mandatory document that all </w:t>
      </w:r>
      <w:r>
        <w:rPr>
          <w:sz w:val="22"/>
          <w:szCs w:val="22"/>
        </w:rPr>
        <w:t xml:space="preserve">FMHSS </w:t>
      </w:r>
      <w:r w:rsidRPr="005C377F">
        <w:rPr>
          <w:sz w:val="22"/>
          <w:szCs w:val="22"/>
        </w:rPr>
        <w:t>providers must complete in</w:t>
      </w:r>
      <w:r w:rsidR="00130095">
        <w:rPr>
          <w:sz w:val="22"/>
          <w:szCs w:val="22"/>
        </w:rPr>
        <w:t> </w:t>
      </w:r>
      <w:r w:rsidRPr="005C377F">
        <w:rPr>
          <w:sz w:val="22"/>
          <w:szCs w:val="22"/>
        </w:rPr>
        <w:t>consultation and agreement with the department</w:t>
      </w:r>
      <w:r>
        <w:rPr>
          <w:sz w:val="22"/>
          <w:szCs w:val="22"/>
        </w:rPr>
        <w:t xml:space="preserve">. </w:t>
      </w:r>
      <w:r w:rsidRPr="00A10A27">
        <w:rPr>
          <w:sz w:val="22"/>
          <w:szCs w:val="22"/>
        </w:rPr>
        <w:t xml:space="preserve">Using the </w:t>
      </w:r>
      <w:r w:rsidRPr="00A10A27">
        <w:rPr>
          <w:rFonts w:cs="Arial"/>
          <w:color w:val="2C2A29"/>
          <w:sz w:val="22"/>
          <w:szCs w:val="22"/>
          <w:shd w:val="clear" w:color="auto" w:fill="FFFFFF"/>
        </w:rPr>
        <w:t xml:space="preserve">‘standardised </w:t>
      </w:r>
      <w:r w:rsidRPr="00A10A27">
        <w:rPr>
          <w:sz w:val="22"/>
          <w:szCs w:val="22"/>
        </w:rPr>
        <w:t>AWP template</w:t>
      </w:r>
      <w:r w:rsidRPr="006479AF">
        <w:rPr>
          <w:sz w:val="22"/>
          <w:szCs w:val="22"/>
        </w:rPr>
        <w:t xml:space="preserve">’ </w:t>
      </w:r>
      <w:r w:rsidRPr="00A10A27">
        <w:rPr>
          <w:rFonts w:cs="Arial"/>
          <w:color w:val="2C2A29"/>
          <w:sz w:val="22"/>
          <w:szCs w:val="22"/>
          <w:shd w:val="clear" w:color="auto" w:fill="FFFFFF"/>
        </w:rPr>
        <w:t>on the department’s website, providers must set out</w:t>
      </w:r>
      <w:r w:rsidRPr="006479AF">
        <w:rPr>
          <w:sz w:val="22"/>
          <w:szCs w:val="22"/>
        </w:rPr>
        <w:t xml:space="preserve"> deliverables, timeframes, measures of achievement, grant expenditure and other key requirements of their grant</w:t>
      </w:r>
      <w:r w:rsidRPr="005C377F">
        <w:rPr>
          <w:sz w:val="22"/>
          <w:szCs w:val="22"/>
        </w:rPr>
        <w:t xml:space="preserve"> agreements that they plan to complete within a period of time</w:t>
      </w:r>
      <w:r>
        <w:rPr>
          <w:sz w:val="22"/>
          <w:szCs w:val="22"/>
        </w:rPr>
        <w:t xml:space="preserve"> specified in the AWP template. </w:t>
      </w:r>
      <w:r w:rsidRPr="005A1B2B">
        <w:rPr>
          <w:sz w:val="22"/>
          <w:szCs w:val="22"/>
        </w:rPr>
        <w:t xml:space="preserve">The department expects AWPs to align with the Outcomes Framework </w:t>
      </w:r>
      <w:r w:rsidRPr="0006344F">
        <w:rPr>
          <w:sz w:val="22"/>
          <w:szCs w:val="22"/>
        </w:rPr>
        <w:t>at</w:t>
      </w:r>
      <w:r w:rsidR="00130095" w:rsidRPr="0006344F">
        <w:rPr>
          <w:sz w:val="22"/>
          <w:szCs w:val="22"/>
        </w:rPr>
        <w:t> </w:t>
      </w:r>
      <w:r w:rsidRPr="0006344F">
        <w:rPr>
          <w:b/>
          <w:sz w:val="22"/>
          <w:szCs w:val="22"/>
        </w:rPr>
        <w:t xml:space="preserve">Appendix </w:t>
      </w:r>
      <w:r w:rsidR="00DC3D55" w:rsidRPr="0006344F">
        <w:rPr>
          <w:b/>
          <w:sz w:val="22"/>
          <w:szCs w:val="22"/>
        </w:rPr>
        <w:t>G</w:t>
      </w:r>
      <w:r w:rsidRPr="0006344F">
        <w:rPr>
          <w:sz w:val="22"/>
          <w:szCs w:val="22"/>
        </w:rPr>
        <w:t>.</w:t>
      </w:r>
    </w:p>
    <w:p w14:paraId="1D849B10" w14:textId="77777777" w:rsidR="00B75A77" w:rsidRPr="005C377F" w:rsidRDefault="00B75A77" w:rsidP="00B75A77">
      <w:pPr>
        <w:rPr>
          <w:sz w:val="22"/>
          <w:szCs w:val="22"/>
        </w:rPr>
      </w:pPr>
      <w:r w:rsidRPr="005C377F">
        <w:rPr>
          <w:sz w:val="22"/>
          <w:szCs w:val="22"/>
        </w:rPr>
        <w:t>Once mutually agreed, the AWP forms part of the grant agreement</w:t>
      </w:r>
      <w:r>
        <w:rPr>
          <w:sz w:val="22"/>
          <w:szCs w:val="22"/>
        </w:rPr>
        <w:t xml:space="preserve">. </w:t>
      </w:r>
      <w:r w:rsidRPr="005C377F">
        <w:rPr>
          <w:sz w:val="22"/>
          <w:szCs w:val="22"/>
        </w:rPr>
        <w:t>Providers must report progress against their AWPs annually as specified in their grant agreements.</w:t>
      </w:r>
    </w:p>
    <w:p w14:paraId="033D897C" w14:textId="77777777" w:rsidR="00B75A77" w:rsidRPr="005C377F" w:rsidRDefault="00B75A77" w:rsidP="00B75A77">
      <w:pPr>
        <w:rPr>
          <w:sz w:val="22"/>
          <w:szCs w:val="22"/>
        </w:rPr>
      </w:pPr>
      <w:r w:rsidRPr="005C377F">
        <w:rPr>
          <w:sz w:val="22"/>
          <w:szCs w:val="22"/>
        </w:rPr>
        <w:t>The AWP is a living document that providers can update at any time in consultation and agreement with the department.</w:t>
      </w:r>
    </w:p>
    <w:p w14:paraId="6AD01743" w14:textId="35AB832B" w:rsidR="00B75A77" w:rsidRPr="005C377F" w:rsidRDefault="00B75A77" w:rsidP="00B75A77">
      <w:pPr>
        <w:rPr>
          <w:rFonts w:cs="Arial"/>
          <w:color w:val="2C2A29"/>
          <w:sz w:val="22"/>
          <w:szCs w:val="22"/>
          <w:shd w:val="clear" w:color="auto" w:fill="FFFFFF"/>
        </w:rPr>
      </w:pPr>
      <w:r w:rsidRPr="0083029E">
        <w:rPr>
          <w:rFonts w:cs="Arial"/>
          <w:color w:val="2C2A29"/>
          <w:sz w:val="22"/>
          <w:szCs w:val="22"/>
          <w:shd w:val="clear" w:color="auto" w:fill="FFFFFF"/>
        </w:rPr>
        <w:t xml:space="preserve">FMHSS providers can download the AWP template </w:t>
      </w:r>
      <w:r w:rsidR="007F22F9" w:rsidRPr="0083029E">
        <w:rPr>
          <w:rFonts w:cs="Arial"/>
          <w:color w:val="2C2A29"/>
          <w:sz w:val="22"/>
          <w:szCs w:val="22"/>
          <w:shd w:val="clear" w:color="auto" w:fill="FFFFFF"/>
        </w:rPr>
        <w:t xml:space="preserve">from July 2021 from the Families and Children </w:t>
      </w:r>
      <w:hyperlink r:id="rId51" w:history="1">
        <w:r w:rsidR="007F22F9" w:rsidRPr="0083029E">
          <w:rPr>
            <w:rStyle w:val="Hyperlink"/>
            <w:rFonts w:cs="Arial"/>
            <w:szCs w:val="22"/>
            <w:shd w:val="clear" w:color="auto" w:fill="FFFFFF"/>
          </w:rPr>
          <w:t>Activity Work Plan Reports</w:t>
        </w:r>
      </w:hyperlink>
      <w:r w:rsidR="007F22F9" w:rsidRPr="0083029E">
        <w:rPr>
          <w:rFonts w:cs="Arial"/>
          <w:color w:val="2C2A29"/>
          <w:sz w:val="22"/>
          <w:szCs w:val="22"/>
          <w:shd w:val="clear" w:color="auto" w:fill="FFFFFF"/>
        </w:rPr>
        <w:t xml:space="preserve"> webpage on the DSS website.</w:t>
      </w:r>
      <w:r w:rsidR="0083029E" w:rsidRPr="0083029E">
        <w:rPr>
          <w:rFonts w:cs="Arial"/>
          <w:color w:val="2C2A29"/>
          <w:sz w:val="22"/>
          <w:szCs w:val="22"/>
          <w:shd w:val="clear" w:color="auto" w:fill="FFFFFF"/>
        </w:rPr>
        <w:t xml:space="preserve"> </w:t>
      </w:r>
      <w:r w:rsidRPr="0083029E">
        <w:rPr>
          <w:rFonts w:cs="Arial"/>
          <w:color w:val="2C2A29"/>
          <w:sz w:val="22"/>
          <w:szCs w:val="22"/>
          <w:shd w:val="clear" w:color="auto" w:fill="FFFFFF"/>
        </w:rPr>
        <w:t>The webpage also has a guidance document to assist providers develop their AWPs</w:t>
      </w:r>
      <w:r w:rsidRPr="005C377F">
        <w:rPr>
          <w:rFonts w:cs="Arial"/>
          <w:color w:val="2C2A29"/>
          <w:sz w:val="22"/>
          <w:szCs w:val="22"/>
          <w:shd w:val="clear" w:color="auto" w:fill="FFFFFF"/>
        </w:rPr>
        <w:t>.</w:t>
      </w:r>
    </w:p>
    <w:p w14:paraId="4C194E8B" w14:textId="77777777" w:rsidR="00B75A77" w:rsidRDefault="00B75A77" w:rsidP="00B75A77">
      <w:pPr>
        <w:spacing w:after="0"/>
        <w:rPr>
          <w:sz w:val="22"/>
          <w:szCs w:val="22"/>
        </w:rPr>
      </w:pPr>
      <w:r w:rsidRPr="005C377F">
        <w:rPr>
          <w:sz w:val="22"/>
          <w:szCs w:val="22"/>
        </w:rPr>
        <w:t xml:space="preserve">The department uses information in AWPs to better understand the activities and progress of individual providers as well as broader trends within and across programs. </w:t>
      </w:r>
    </w:p>
    <w:p w14:paraId="147641BF" w14:textId="77777777" w:rsidR="00B81B17" w:rsidRPr="004C3752" w:rsidRDefault="00B75A77" w:rsidP="00B81B17">
      <w:pPr>
        <w:rPr>
          <w:sz w:val="22"/>
          <w:szCs w:val="22"/>
        </w:rPr>
      </w:pPr>
      <w:r>
        <w:rPr>
          <w:sz w:val="22"/>
          <w:szCs w:val="22"/>
        </w:rPr>
        <w:t>FAMs</w:t>
      </w:r>
      <w:r w:rsidRPr="005C377F">
        <w:rPr>
          <w:sz w:val="22"/>
          <w:szCs w:val="22"/>
        </w:rPr>
        <w:t xml:space="preserve"> use AWPs to understand the progress of grant activities and facilitate conversations with providers about service delivery</w:t>
      </w:r>
      <w:r>
        <w:rPr>
          <w:sz w:val="22"/>
          <w:szCs w:val="22"/>
        </w:rPr>
        <w:t xml:space="preserve">. </w:t>
      </w:r>
      <w:r w:rsidRPr="005C377F">
        <w:rPr>
          <w:sz w:val="22"/>
          <w:szCs w:val="22"/>
        </w:rPr>
        <w:t>Policy teams read AWPs to identify common themes and issues to inform future policy development.</w:t>
      </w:r>
    </w:p>
    <w:p w14:paraId="17C50765" w14:textId="77777777" w:rsidR="008C0D35" w:rsidRPr="008C0D35" w:rsidRDefault="008C0D35" w:rsidP="001B3177">
      <w:pPr>
        <w:pStyle w:val="Heading1"/>
      </w:pPr>
      <w:bookmarkStart w:id="351" w:name="_Toc70599694"/>
      <w:bookmarkStart w:id="352" w:name="_Toc68768232"/>
      <w:r w:rsidRPr="008C0D35">
        <w:lastRenderedPageBreak/>
        <w:t>Program logics and theories of change</w:t>
      </w:r>
      <w:bookmarkEnd w:id="351"/>
    </w:p>
    <w:p w14:paraId="7CB97159" w14:textId="77777777" w:rsidR="00B75A77" w:rsidRPr="00872099" w:rsidRDefault="00B75A77" w:rsidP="00B75A77">
      <w:pPr>
        <w:rPr>
          <w:sz w:val="22"/>
          <w:szCs w:val="22"/>
        </w:rPr>
      </w:pPr>
      <w:r>
        <w:rPr>
          <w:sz w:val="22"/>
          <w:szCs w:val="22"/>
        </w:rPr>
        <w:t>FMHSS p</w:t>
      </w:r>
      <w:r w:rsidRPr="00872099">
        <w:rPr>
          <w:sz w:val="22"/>
          <w:szCs w:val="22"/>
        </w:rPr>
        <w:t xml:space="preserve">roviders will be required to develop a program logic for each funded activity. </w:t>
      </w:r>
    </w:p>
    <w:p w14:paraId="713E645B" w14:textId="3E9F860C" w:rsidR="00B75A77" w:rsidRPr="00872099" w:rsidRDefault="00B75A77" w:rsidP="00B75A77">
      <w:pPr>
        <w:rPr>
          <w:sz w:val="22"/>
          <w:szCs w:val="22"/>
        </w:rPr>
      </w:pPr>
      <w:r w:rsidRPr="00872099">
        <w:rPr>
          <w:sz w:val="22"/>
          <w:szCs w:val="22"/>
        </w:rPr>
        <w:t xml:space="preserve">A template for program logics and theories of change is </w:t>
      </w:r>
      <w:r>
        <w:rPr>
          <w:sz w:val="22"/>
          <w:szCs w:val="22"/>
        </w:rPr>
        <w:t>under</w:t>
      </w:r>
      <w:r w:rsidRPr="00872099">
        <w:rPr>
          <w:sz w:val="22"/>
          <w:szCs w:val="22"/>
        </w:rPr>
        <w:t xml:space="preserve"> develop</w:t>
      </w:r>
      <w:r>
        <w:rPr>
          <w:sz w:val="22"/>
          <w:szCs w:val="22"/>
        </w:rPr>
        <w:t>ment</w:t>
      </w:r>
      <w:r w:rsidRPr="00872099">
        <w:rPr>
          <w:sz w:val="22"/>
          <w:szCs w:val="22"/>
        </w:rPr>
        <w:t xml:space="preserve"> by </w:t>
      </w:r>
      <w:r>
        <w:rPr>
          <w:sz w:val="22"/>
          <w:szCs w:val="22"/>
        </w:rPr>
        <w:t>the Australian Institute of Family Studies (</w:t>
      </w:r>
      <w:r w:rsidRPr="00872099">
        <w:rPr>
          <w:sz w:val="22"/>
          <w:szCs w:val="22"/>
        </w:rPr>
        <w:t>AIFS</w:t>
      </w:r>
      <w:r>
        <w:rPr>
          <w:sz w:val="22"/>
          <w:szCs w:val="22"/>
        </w:rPr>
        <w:t>)</w:t>
      </w:r>
      <w:r w:rsidRPr="00872099">
        <w:rPr>
          <w:sz w:val="22"/>
          <w:szCs w:val="22"/>
        </w:rPr>
        <w:t xml:space="preserve"> and is expected to be available later in</w:t>
      </w:r>
      <w:r w:rsidR="00130095">
        <w:rPr>
          <w:sz w:val="22"/>
          <w:szCs w:val="22"/>
        </w:rPr>
        <w:t> </w:t>
      </w:r>
      <w:r w:rsidRPr="00872099">
        <w:rPr>
          <w:sz w:val="22"/>
          <w:szCs w:val="22"/>
        </w:rPr>
        <w:t>2021.</w:t>
      </w:r>
    </w:p>
    <w:p w14:paraId="019CEF2C" w14:textId="77777777" w:rsidR="00B75A77" w:rsidRPr="00872099" w:rsidRDefault="00B75A77" w:rsidP="00B75A77">
      <w:pPr>
        <w:rPr>
          <w:sz w:val="22"/>
          <w:szCs w:val="22"/>
        </w:rPr>
      </w:pPr>
      <w:r w:rsidRPr="00872099">
        <w:rPr>
          <w:sz w:val="22"/>
          <w:szCs w:val="22"/>
        </w:rPr>
        <w:t>The first draft of program logics will be required in March 2022, followed by</w:t>
      </w:r>
      <w:r>
        <w:rPr>
          <w:sz w:val="22"/>
          <w:szCs w:val="22"/>
        </w:rPr>
        <w:t xml:space="preserve"> a</w:t>
      </w:r>
      <w:r w:rsidRPr="00872099">
        <w:rPr>
          <w:sz w:val="22"/>
          <w:szCs w:val="22"/>
        </w:rPr>
        <w:t xml:space="preserve"> final version in June 2023.</w:t>
      </w:r>
    </w:p>
    <w:p w14:paraId="7C90250D" w14:textId="77777777" w:rsidR="00072FC0" w:rsidRDefault="00B75A77" w:rsidP="00072FC0">
      <w:pPr>
        <w:rPr>
          <w:sz w:val="22"/>
          <w:szCs w:val="22"/>
        </w:rPr>
      </w:pPr>
      <w:r>
        <w:rPr>
          <w:sz w:val="22"/>
          <w:szCs w:val="22"/>
        </w:rPr>
        <w:t>Additional g</w:t>
      </w:r>
      <w:r w:rsidRPr="00872099">
        <w:rPr>
          <w:sz w:val="22"/>
          <w:szCs w:val="22"/>
        </w:rPr>
        <w:t>uidance and supporting information will be provided to assist</w:t>
      </w:r>
      <w:r>
        <w:rPr>
          <w:sz w:val="22"/>
          <w:szCs w:val="22"/>
        </w:rPr>
        <w:t xml:space="preserve"> with this process</w:t>
      </w:r>
      <w:r w:rsidRPr="00872099">
        <w:rPr>
          <w:sz w:val="22"/>
          <w:szCs w:val="22"/>
        </w:rPr>
        <w:t>.</w:t>
      </w:r>
    </w:p>
    <w:p w14:paraId="40EA5B29" w14:textId="77777777" w:rsidR="00E03456" w:rsidRPr="005D33DD" w:rsidRDefault="00E03456" w:rsidP="001B3177">
      <w:pPr>
        <w:pStyle w:val="Heading1"/>
      </w:pPr>
      <w:bookmarkStart w:id="353" w:name="_Toc70413855"/>
      <w:bookmarkStart w:id="354" w:name="_Toc70416198"/>
      <w:bookmarkStart w:id="355" w:name="_Toc70417910"/>
      <w:bookmarkStart w:id="356" w:name="_Toc70494554"/>
      <w:bookmarkStart w:id="357" w:name="_Toc70413856"/>
      <w:bookmarkStart w:id="358" w:name="_Toc70416199"/>
      <w:bookmarkStart w:id="359" w:name="_Toc70417911"/>
      <w:bookmarkStart w:id="360" w:name="_Toc70494555"/>
      <w:bookmarkStart w:id="361" w:name="_Toc70413857"/>
      <w:bookmarkStart w:id="362" w:name="_Toc70416200"/>
      <w:bookmarkStart w:id="363" w:name="_Toc70417912"/>
      <w:bookmarkStart w:id="364" w:name="_Toc70494556"/>
      <w:bookmarkStart w:id="365" w:name="_Toc70599695"/>
      <w:bookmarkEnd w:id="353"/>
      <w:bookmarkEnd w:id="354"/>
      <w:bookmarkEnd w:id="355"/>
      <w:bookmarkEnd w:id="356"/>
      <w:bookmarkEnd w:id="357"/>
      <w:bookmarkEnd w:id="358"/>
      <w:bookmarkEnd w:id="359"/>
      <w:bookmarkEnd w:id="360"/>
      <w:bookmarkEnd w:id="361"/>
      <w:bookmarkEnd w:id="362"/>
      <w:bookmarkEnd w:id="363"/>
      <w:bookmarkEnd w:id="364"/>
      <w:r w:rsidRPr="00E03456">
        <w:t>Financial acquittal reports</w:t>
      </w:r>
      <w:bookmarkEnd w:id="352"/>
      <w:bookmarkEnd w:id="365"/>
    </w:p>
    <w:p w14:paraId="79B80770" w14:textId="0FFB97F5" w:rsidR="00B75A77" w:rsidRPr="001B3177" w:rsidRDefault="00B75A77" w:rsidP="00B75A77">
      <w:pPr>
        <w:keepNext/>
        <w:rPr>
          <w:rFonts w:cs="Arial"/>
          <w:sz w:val="22"/>
          <w:szCs w:val="22"/>
        </w:rPr>
      </w:pPr>
      <w:r w:rsidRPr="001B3177">
        <w:rPr>
          <w:rFonts w:cs="Arial"/>
          <w:sz w:val="22"/>
          <w:szCs w:val="22"/>
        </w:rPr>
        <w:t xml:space="preserve">FMHSS providers are required to submit a financial </w:t>
      </w:r>
      <w:r w:rsidR="00F46A31">
        <w:rPr>
          <w:rFonts w:cs="Arial"/>
          <w:sz w:val="22"/>
          <w:szCs w:val="22"/>
        </w:rPr>
        <w:t>declaration</w:t>
      </w:r>
      <w:r w:rsidRPr="001B3177">
        <w:rPr>
          <w:rFonts w:cs="Arial"/>
          <w:sz w:val="22"/>
          <w:szCs w:val="22"/>
        </w:rPr>
        <w:t xml:space="preserve"> for each financial year in their grant agreements. The </w:t>
      </w:r>
      <w:r w:rsidR="00A050B7" w:rsidRPr="00A050B7">
        <w:rPr>
          <w:rFonts w:cs="Arial"/>
          <w:sz w:val="22"/>
          <w:szCs w:val="22"/>
        </w:rPr>
        <w:t xml:space="preserve">financial declaration is a certification from the service provider stating that funds were spent for the purpose provided as outlined in the grant agreement and in-which the service provider must </w:t>
      </w:r>
      <w:r w:rsidRPr="001B3177">
        <w:rPr>
          <w:rFonts w:cs="Arial"/>
          <w:sz w:val="22"/>
          <w:szCs w:val="22"/>
        </w:rPr>
        <w:t xml:space="preserve">declare any unexpended funds. The </w:t>
      </w:r>
      <w:r w:rsidR="00A050B7">
        <w:rPr>
          <w:rFonts w:cs="Arial"/>
          <w:sz w:val="22"/>
          <w:szCs w:val="22"/>
        </w:rPr>
        <w:t>financial declaration</w:t>
      </w:r>
      <w:r w:rsidRPr="001B3177">
        <w:rPr>
          <w:rFonts w:cs="Arial"/>
          <w:sz w:val="22"/>
          <w:szCs w:val="22"/>
        </w:rPr>
        <w:t xml:space="preserve"> must be certified by </w:t>
      </w:r>
      <w:r w:rsidR="008B447E">
        <w:rPr>
          <w:rFonts w:cs="Arial"/>
          <w:sz w:val="22"/>
          <w:szCs w:val="22"/>
        </w:rPr>
        <w:t>your</w:t>
      </w:r>
      <w:r w:rsidRPr="001B3177">
        <w:rPr>
          <w:rFonts w:cs="Arial"/>
          <w:sz w:val="22"/>
          <w:szCs w:val="22"/>
        </w:rPr>
        <w:t xml:space="preserve"> Board, </w:t>
      </w:r>
      <w:r w:rsidR="008B447E">
        <w:rPr>
          <w:rFonts w:cs="Arial"/>
          <w:sz w:val="22"/>
          <w:szCs w:val="22"/>
        </w:rPr>
        <w:t xml:space="preserve">the </w:t>
      </w:r>
      <w:r w:rsidRPr="001B3177">
        <w:rPr>
          <w:rFonts w:cs="Arial"/>
          <w:sz w:val="22"/>
          <w:szCs w:val="22"/>
        </w:rPr>
        <w:t>Chief Executive Officer or other officer with appropriate authority to verify that grant funding has been spent in accordance with the grant agreement.</w:t>
      </w:r>
    </w:p>
    <w:p w14:paraId="240241D6" w14:textId="77777777" w:rsidR="00B75A77" w:rsidRPr="00B75A77" w:rsidRDefault="00B75A77" w:rsidP="00B75A77">
      <w:pPr>
        <w:rPr>
          <w:rFonts w:cs="Arial"/>
          <w:sz w:val="22"/>
          <w:szCs w:val="22"/>
        </w:rPr>
      </w:pPr>
      <w:r w:rsidRPr="00074DE8">
        <w:rPr>
          <w:rFonts w:cs="Arial"/>
          <w:sz w:val="22"/>
          <w:szCs w:val="22"/>
        </w:rPr>
        <w:t>Please refer to your grant agreement to ensure you meet the stipulated timeframes.</w:t>
      </w:r>
    </w:p>
    <w:p w14:paraId="05A462D2" w14:textId="77777777" w:rsidR="00E03456" w:rsidRPr="00E03456" w:rsidRDefault="00B75A77" w:rsidP="002519D4">
      <w:pPr>
        <w:pStyle w:val="ListBullet"/>
        <w:numPr>
          <w:ilvl w:val="0"/>
          <w:numId w:val="0"/>
        </w:numPr>
        <w:tabs>
          <w:tab w:val="clear" w:pos="170"/>
        </w:tabs>
        <w:rPr>
          <w:rFonts w:cs="Arial"/>
          <w:sz w:val="22"/>
          <w:szCs w:val="22"/>
        </w:rPr>
      </w:pPr>
      <w:r w:rsidRPr="001B3177">
        <w:rPr>
          <w:rFonts w:cs="Arial"/>
          <w:sz w:val="22"/>
          <w:szCs w:val="22"/>
        </w:rPr>
        <w:t xml:space="preserve">Further information on financial declarations can be found at </w:t>
      </w:r>
      <w:hyperlink r:id="rId52" w:history="1">
        <w:r w:rsidRPr="001B3177">
          <w:rPr>
            <w:rStyle w:val="Hyperlink"/>
            <w:rFonts w:cs="Arial"/>
            <w:szCs w:val="22"/>
          </w:rPr>
          <w:t>https://www.dss.gov.au/grants/information-for-grant-recipients/financial-declaration</w:t>
        </w:r>
      </w:hyperlink>
      <w:r w:rsidRPr="001B3177">
        <w:rPr>
          <w:rFonts w:cs="Arial"/>
          <w:sz w:val="22"/>
          <w:szCs w:val="22"/>
        </w:rPr>
        <w:t xml:space="preserve"> on the department’s website.</w:t>
      </w:r>
    </w:p>
    <w:p w14:paraId="0E6FCEFC" w14:textId="77777777" w:rsidR="00E03456" w:rsidRPr="005D33DD" w:rsidRDefault="00E03456" w:rsidP="001B3177">
      <w:pPr>
        <w:pStyle w:val="Heading1"/>
      </w:pPr>
      <w:bookmarkStart w:id="366" w:name="_Toc68768233"/>
      <w:bookmarkStart w:id="367" w:name="_Toc70599696"/>
      <w:r w:rsidRPr="005D33DD">
        <w:t>Unexpended funds</w:t>
      </w:r>
      <w:bookmarkEnd w:id="366"/>
      <w:bookmarkEnd w:id="367"/>
    </w:p>
    <w:p w14:paraId="726451F7" w14:textId="77777777" w:rsidR="00D67855" w:rsidRDefault="00D67855" w:rsidP="00E03456">
      <w:pPr>
        <w:rPr>
          <w:rFonts w:cs="Arial"/>
          <w:sz w:val="22"/>
          <w:szCs w:val="22"/>
        </w:rPr>
      </w:pPr>
      <w:r w:rsidRPr="004C3752">
        <w:rPr>
          <w:rFonts w:cs="Arial"/>
          <w:sz w:val="22"/>
          <w:szCs w:val="22"/>
        </w:rPr>
        <w:t>The department expects grant funding to be fully expended in the financial year in which it is allocated.</w:t>
      </w:r>
    </w:p>
    <w:p w14:paraId="3713C15F" w14:textId="58C6911B" w:rsidR="00B75A77" w:rsidRDefault="00E03456" w:rsidP="00A21E38">
      <w:pPr>
        <w:rPr>
          <w:rFonts w:cs="Arial"/>
          <w:sz w:val="22"/>
          <w:szCs w:val="22"/>
        </w:rPr>
      </w:pPr>
      <w:r w:rsidRPr="004C3752">
        <w:rPr>
          <w:rFonts w:cs="Arial"/>
          <w:sz w:val="22"/>
          <w:szCs w:val="22"/>
        </w:rPr>
        <w:t>If service providers do not expend all grant funding received in a financial year, the</w:t>
      </w:r>
      <w:r w:rsidR="00643789">
        <w:rPr>
          <w:rFonts w:cs="Arial"/>
          <w:sz w:val="22"/>
          <w:szCs w:val="22"/>
        </w:rPr>
        <w:t> </w:t>
      </w:r>
      <w:r w:rsidRPr="004C3752">
        <w:rPr>
          <w:rFonts w:cs="Arial"/>
          <w:sz w:val="22"/>
          <w:szCs w:val="22"/>
        </w:rPr>
        <w:t xml:space="preserve">department will either approve a </w:t>
      </w:r>
      <w:proofErr w:type="spellStart"/>
      <w:r w:rsidRPr="004C3752">
        <w:rPr>
          <w:rFonts w:cs="Arial"/>
          <w:sz w:val="22"/>
          <w:szCs w:val="22"/>
        </w:rPr>
        <w:t>roll over</w:t>
      </w:r>
      <w:proofErr w:type="spellEnd"/>
      <w:r w:rsidRPr="004C3752">
        <w:rPr>
          <w:rFonts w:cs="Arial"/>
          <w:sz w:val="22"/>
          <w:szCs w:val="22"/>
        </w:rPr>
        <w:t xml:space="preserve"> of the funds for use in the next financial year or recover the funds. FAM</w:t>
      </w:r>
      <w:r w:rsidR="00CA1C88">
        <w:rPr>
          <w:rFonts w:cs="Arial"/>
          <w:sz w:val="22"/>
          <w:szCs w:val="22"/>
        </w:rPr>
        <w:t>s</w:t>
      </w:r>
      <w:r w:rsidRPr="004C3752">
        <w:rPr>
          <w:rFonts w:cs="Arial"/>
          <w:sz w:val="22"/>
          <w:szCs w:val="22"/>
        </w:rPr>
        <w:t xml:space="preserve"> will liaise with providers on the treatment of unexpended funds after the department has reviewed financial acquittal reports.</w:t>
      </w:r>
    </w:p>
    <w:p w14:paraId="0BEE1A1A" w14:textId="77777777" w:rsidR="00B75A77" w:rsidRPr="005D33DD" w:rsidRDefault="00B75A77" w:rsidP="00B75A77">
      <w:pPr>
        <w:pStyle w:val="Heading1"/>
      </w:pPr>
      <w:bookmarkStart w:id="368" w:name="_Toc70599697"/>
      <w:r>
        <w:t>Review point</w:t>
      </w:r>
      <w:bookmarkEnd w:id="368"/>
    </w:p>
    <w:p w14:paraId="486C20F3" w14:textId="509E7EDB" w:rsidR="00B75A77" w:rsidRPr="002F3278" w:rsidRDefault="00B75A77" w:rsidP="00B75A77">
      <w:pPr>
        <w:keepNext/>
        <w:rPr>
          <w:sz w:val="22"/>
          <w:szCs w:val="22"/>
        </w:rPr>
      </w:pPr>
      <w:r w:rsidRPr="002F3278">
        <w:rPr>
          <w:sz w:val="22"/>
          <w:szCs w:val="22"/>
        </w:rPr>
        <w:t xml:space="preserve">In 2023-24, the department will review the performance of service providers delivering </w:t>
      </w:r>
      <w:r>
        <w:rPr>
          <w:sz w:val="22"/>
          <w:szCs w:val="22"/>
        </w:rPr>
        <w:t>FMHSS</w:t>
      </w:r>
      <w:r w:rsidRPr="002F3278">
        <w:rPr>
          <w:sz w:val="22"/>
          <w:szCs w:val="22"/>
        </w:rPr>
        <w:t>. The department will measure performance across the period 1 July 2021 to 31</w:t>
      </w:r>
      <w:r w:rsidR="00130095">
        <w:rPr>
          <w:sz w:val="22"/>
          <w:szCs w:val="22"/>
        </w:rPr>
        <w:t> </w:t>
      </w:r>
      <w:r w:rsidRPr="002F3278">
        <w:rPr>
          <w:sz w:val="22"/>
          <w:szCs w:val="22"/>
        </w:rPr>
        <w:t xml:space="preserve">August 2023 using the assessment criteria in the </w:t>
      </w:r>
      <w:r w:rsidRPr="008071A6">
        <w:rPr>
          <w:sz w:val="22"/>
          <w:szCs w:val="22"/>
        </w:rPr>
        <w:t xml:space="preserve">matrix </w:t>
      </w:r>
      <w:r w:rsidRPr="0006344F">
        <w:rPr>
          <w:sz w:val="22"/>
          <w:szCs w:val="22"/>
        </w:rPr>
        <w:t xml:space="preserve">at </w:t>
      </w:r>
      <w:r w:rsidRPr="0006344F">
        <w:rPr>
          <w:b/>
          <w:sz w:val="22"/>
          <w:szCs w:val="22"/>
        </w:rPr>
        <w:t>Appendix </w:t>
      </w:r>
      <w:r w:rsidR="00DC3D55" w:rsidRPr="0006344F">
        <w:rPr>
          <w:b/>
          <w:sz w:val="22"/>
          <w:szCs w:val="22"/>
        </w:rPr>
        <w:t>F</w:t>
      </w:r>
      <w:r w:rsidRPr="0006344F">
        <w:rPr>
          <w:sz w:val="22"/>
          <w:szCs w:val="22"/>
        </w:rPr>
        <w:t>.</w:t>
      </w:r>
      <w:r w:rsidR="00130095" w:rsidRPr="0006344F">
        <w:rPr>
          <w:sz w:val="22"/>
          <w:szCs w:val="22"/>
        </w:rPr>
        <w:t xml:space="preserve"> </w:t>
      </w:r>
      <w:r w:rsidRPr="0006344F">
        <w:rPr>
          <w:sz w:val="22"/>
          <w:szCs w:val="22"/>
        </w:rPr>
        <w:t>The</w:t>
      </w:r>
      <w:r w:rsidR="00130095">
        <w:rPr>
          <w:sz w:val="22"/>
          <w:szCs w:val="22"/>
        </w:rPr>
        <w:t> </w:t>
      </w:r>
      <w:r w:rsidRPr="002F3278">
        <w:rPr>
          <w:sz w:val="22"/>
          <w:szCs w:val="22"/>
        </w:rPr>
        <w:t>review will commence on 1 September 2023 (the review point) and the department will notify providers of their outcomes by 29 February 2024.</w:t>
      </w:r>
    </w:p>
    <w:p w14:paraId="7738EB62" w14:textId="7ED2026E" w:rsidR="00B75A77" w:rsidRPr="002F3278" w:rsidRDefault="00B75A77" w:rsidP="00B75A77">
      <w:pPr>
        <w:rPr>
          <w:sz w:val="22"/>
          <w:szCs w:val="22"/>
        </w:rPr>
      </w:pPr>
      <w:r w:rsidRPr="002F3278">
        <w:rPr>
          <w:sz w:val="22"/>
          <w:szCs w:val="22"/>
        </w:rPr>
        <w:t>The review point is an opportunity for the department and service providers to check if</w:t>
      </w:r>
      <w:r w:rsidR="00130095">
        <w:rPr>
          <w:sz w:val="22"/>
          <w:szCs w:val="22"/>
        </w:rPr>
        <w:t> </w:t>
      </w:r>
      <w:r w:rsidRPr="002F3278">
        <w:rPr>
          <w:sz w:val="22"/>
          <w:szCs w:val="22"/>
        </w:rPr>
        <w:t>grant activities are on track, identify areas for improvement, and work together to</w:t>
      </w:r>
      <w:r w:rsidR="00130095">
        <w:rPr>
          <w:sz w:val="22"/>
          <w:szCs w:val="22"/>
        </w:rPr>
        <w:t> </w:t>
      </w:r>
      <w:r w:rsidRPr="002F3278">
        <w:rPr>
          <w:sz w:val="22"/>
          <w:szCs w:val="22"/>
        </w:rPr>
        <w:t>achieve improved outcomes for families and children in Australia.</w:t>
      </w:r>
    </w:p>
    <w:p w14:paraId="5DAAF806" w14:textId="77777777" w:rsidR="00B75A77" w:rsidRPr="002F3278" w:rsidRDefault="00B75A77" w:rsidP="00B75A77">
      <w:pPr>
        <w:rPr>
          <w:sz w:val="22"/>
          <w:szCs w:val="22"/>
        </w:rPr>
      </w:pPr>
      <w:r w:rsidRPr="002F3278">
        <w:rPr>
          <w:sz w:val="22"/>
          <w:szCs w:val="22"/>
        </w:rPr>
        <w:t xml:space="preserve">Some assessment criteria for the review point take effect </w:t>
      </w:r>
      <w:r>
        <w:rPr>
          <w:sz w:val="22"/>
          <w:szCs w:val="22"/>
        </w:rPr>
        <w:t>at various points after 1 July </w:t>
      </w:r>
      <w:r w:rsidRPr="002F3278">
        <w:rPr>
          <w:sz w:val="22"/>
          <w:szCs w:val="22"/>
        </w:rPr>
        <w:t>2021 (e.g. criteria for reporting data in the Data Exchange)</w:t>
      </w:r>
      <w:r>
        <w:rPr>
          <w:sz w:val="22"/>
          <w:szCs w:val="22"/>
        </w:rPr>
        <w:t xml:space="preserve">. </w:t>
      </w:r>
      <w:r w:rsidRPr="002F3278">
        <w:rPr>
          <w:sz w:val="22"/>
          <w:szCs w:val="22"/>
        </w:rPr>
        <w:t xml:space="preserve">These criteria give </w:t>
      </w:r>
      <w:r w:rsidRPr="002F3278">
        <w:rPr>
          <w:sz w:val="22"/>
          <w:szCs w:val="22"/>
        </w:rPr>
        <w:lastRenderedPageBreak/>
        <w:t>service providers time to build their capability, troubleshoot problems and work towards targets by dates specified in the matrix.</w:t>
      </w:r>
    </w:p>
    <w:p w14:paraId="02F9EDE7" w14:textId="77777777" w:rsidR="00B75A77" w:rsidRPr="002F3278" w:rsidRDefault="00B75A77" w:rsidP="00B75A77">
      <w:pPr>
        <w:rPr>
          <w:sz w:val="22"/>
          <w:szCs w:val="22"/>
        </w:rPr>
      </w:pPr>
      <w:r w:rsidRPr="002F3278">
        <w:rPr>
          <w:sz w:val="22"/>
          <w:szCs w:val="22"/>
        </w:rPr>
        <w:t>The department has set targets for most assessment criteria, but providers will set their own targets for client numbers and client demographics in agreement with the department (see the AWP and associated guidance for further information)</w:t>
      </w:r>
      <w:r>
        <w:rPr>
          <w:sz w:val="22"/>
          <w:szCs w:val="22"/>
        </w:rPr>
        <w:t xml:space="preserve">. </w:t>
      </w:r>
      <w:r w:rsidRPr="002F3278">
        <w:rPr>
          <w:sz w:val="22"/>
          <w:szCs w:val="22"/>
        </w:rPr>
        <w:t xml:space="preserve">The targets set by the department </w:t>
      </w:r>
      <w:r>
        <w:rPr>
          <w:sz w:val="22"/>
          <w:szCs w:val="22"/>
        </w:rPr>
        <w:t>aim to be</w:t>
      </w:r>
      <w:r w:rsidRPr="002F3278">
        <w:rPr>
          <w:sz w:val="22"/>
          <w:szCs w:val="22"/>
        </w:rPr>
        <w:t xml:space="preserve"> ambitious but realistic; they are based on the requirements of grant agreements, past performance of service providers delivering</w:t>
      </w:r>
      <w:r>
        <w:rPr>
          <w:sz w:val="22"/>
          <w:szCs w:val="22"/>
        </w:rPr>
        <w:t xml:space="preserve"> FMHSS</w:t>
      </w:r>
      <w:r w:rsidRPr="002F3278">
        <w:rPr>
          <w:sz w:val="22"/>
          <w:szCs w:val="22"/>
        </w:rPr>
        <w:t xml:space="preserve"> and trends across other programs funded by the department</w:t>
      </w:r>
      <w:r>
        <w:rPr>
          <w:sz w:val="22"/>
          <w:szCs w:val="22"/>
        </w:rPr>
        <w:t xml:space="preserve">. </w:t>
      </w:r>
      <w:r w:rsidRPr="002F3278">
        <w:rPr>
          <w:sz w:val="22"/>
          <w:szCs w:val="22"/>
        </w:rPr>
        <w:t>The targets set the department’s expectations of performance by, and following, the review point.</w:t>
      </w:r>
    </w:p>
    <w:p w14:paraId="492863BA" w14:textId="22C05D01" w:rsidR="00B75A77" w:rsidRPr="002F3278" w:rsidRDefault="00B75A77" w:rsidP="00B75A77">
      <w:pPr>
        <w:rPr>
          <w:sz w:val="22"/>
          <w:szCs w:val="22"/>
        </w:rPr>
      </w:pPr>
      <w:r w:rsidRPr="002F3278">
        <w:rPr>
          <w:sz w:val="22"/>
          <w:szCs w:val="22"/>
        </w:rPr>
        <w:t xml:space="preserve">The department is committed to </w:t>
      </w:r>
      <w:r>
        <w:rPr>
          <w:sz w:val="22"/>
          <w:szCs w:val="22"/>
        </w:rPr>
        <w:t xml:space="preserve">the </w:t>
      </w:r>
      <w:r w:rsidRPr="002F3278">
        <w:rPr>
          <w:sz w:val="22"/>
          <w:szCs w:val="22"/>
        </w:rPr>
        <w:t>holistic assessment of performance</w:t>
      </w:r>
      <w:r>
        <w:rPr>
          <w:sz w:val="22"/>
          <w:szCs w:val="22"/>
        </w:rPr>
        <w:t xml:space="preserve">. </w:t>
      </w:r>
      <w:r w:rsidRPr="002F3278">
        <w:rPr>
          <w:sz w:val="22"/>
          <w:szCs w:val="22"/>
        </w:rPr>
        <w:t>When assessing performance against the assessment criteria, the department will draw on</w:t>
      </w:r>
      <w:r w:rsidR="00130095">
        <w:rPr>
          <w:sz w:val="22"/>
          <w:szCs w:val="22"/>
        </w:rPr>
        <w:t> </w:t>
      </w:r>
      <w:r w:rsidRPr="002F3278">
        <w:rPr>
          <w:sz w:val="22"/>
          <w:szCs w:val="22"/>
        </w:rPr>
        <w:t xml:space="preserve">qualitative information in </w:t>
      </w:r>
      <w:r>
        <w:rPr>
          <w:sz w:val="22"/>
          <w:szCs w:val="22"/>
        </w:rPr>
        <w:t>A</w:t>
      </w:r>
      <w:r w:rsidRPr="002F3278">
        <w:rPr>
          <w:sz w:val="22"/>
          <w:szCs w:val="22"/>
        </w:rPr>
        <w:t>WP reports a</w:t>
      </w:r>
      <w:r>
        <w:rPr>
          <w:sz w:val="22"/>
          <w:szCs w:val="22"/>
        </w:rPr>
        <w:t xml:space="preserve">s well as </w:t>
      </w:r>
      <w:r w:rsidRPr="002F3278">
        <w:rPr>
          <w:sz w:val="22"/>
          <w:szCs w:val="22"/>
        </w:rPr>
        <w:t>other sources where relevant.</w:t>
      </w:r>
    </w:p>
    <w:p w14:paraId="2D86A1E1" w14:textId="77777777" w:rsidR="00B75A77" w:rsidRPr="002F3278" w:rsidRDefault="00B75A77" w:rsidP="00B75A77">
      <w:pPr>
        <w:rPr>
          <w:sz w:val="22"/>
          <w:szCs w:val="22"/>
        </w:rPr>
      </w:pPr>
      <w:r w:rsidRPr="002F3278">
        <w:rPr>
          <w:sz w:val="22"/>
          <w:szCs w:val="22"/>
        </w:rPr>
        <w:t>If a provider does not meet one or more assessment criteria, the department will work with the provider to improve performance</w:t>
      </w:r>
      <w:r>
        <w:rPr>
          <w:sz w:val="22"/>
          <w:szCs w:val="22"/>
        </w:rPr>
        <w:t xml:space="preserve">. </w:t>
      </w:r>
      <w:r w:rsidRPr="002F3278">
        <w:rPr>
          <w:sz w:val="22"/>
          <w:szCs w:val="22"/>
        </w:rPr>
        <w:t>The department acknowledges that some providers may not meet some assessment criteria due to circumstances beyond their control</w:t>
      </w:r>
      <w:r>
        <w:rPr>
          <w:sz w:val="22"/>
          <w:szCs w:val="22"/>
        </w:rPr>
        <w:t xml:space="preserve">. </w:t>
      </w:r>
      <w:r w:rsidRPr="002F3278">
        <w:rPr>
          <w:sz w:val="22"/>
          <w:szCs w:val="22"/>
        </w:rPr>
        <w:t>If a provider has credible reasons for not meeting one or more criteria, and the department has no further concerns, it may decide there is no need to work with the provider to improve performance.</w:t>
      </w:r>
    </w:p>
    <w:p w14:paraId="20FCEDE9" w14:textId="1EBC8526" w:rsidR="00B75A77" w:rsidRPr="002F3278" w:rsidRDefault="00B75A77" w:rsidP="00B75A77">
      <w:pPr>
        <w:rPr>
          <w:sz w:val="22"/>
          <w:szCs w:val="22"/>
        </w:rPr>
      </w:pPr>
      <w:r w:rsidRPr="002F3278">
        <w:rPr>
          <w:sz w:val="22"/>
          <w:szCs w:val="22"/>
        </w:rPr>
        <w:t xml:space="preserve">Please note the assessment </w:t>
      </w:r>
      <w:r w:rsidRPr="008071A6">
        <w:rPr>
          <w:sz w:val="22"/>
          <w:szCs w:val="22"/>
        </w:rPr>
        <w:t xml:space="preserve">criteria at </w:t>
      </w:r>
      <w:r w:rsidR="00DC3D55">
        <w:rPr>
          <w:b/>
          <w:sz w:val="22"/>
          <w:szCs w:val="22"/>
        </w:rPr>
        <w:t>Attachment F</w:t>
      </w:r>
      <w:r w:rsidRPr="008071A6">
        <w:rPr>
          <w:sz w:val="22"/>
          <w:szCs w:val="22"/>
        </w:rPr>
        <w:t xml:space="preserve"> are distinct</w:t>
      </w:r>
      <w:r w:rsidRPr="002F3278">
        <w:rPr>
          <w:sz w:val="22"/>
          <w:szCs w:val="22"/>
        </w:rPr>
        <w:t xml:space="preserve"> from performance indicators in grant agreements</w:t>
      </w:r>
      <w:r>
        <w:rPr>
          <w:sz w:val="22"/>
          <w:szCs w:val="22"/>
        </w:rPr>
        <w:t xml:space="preserve">. </w:t>
      </w:r>
      <w:r w:rsidRPr="002F3278">
        <w:rPr>
          <w:sz w:val="22"/>
          <w:szCs w:val="22"/>
        </w:rPr>
        <w:t>The assessment criteria measure performance against targets whereas the performance indicators measure performance by comparing similar service providers to one another</w:t>
      </w:r>
      <w:r>
        <w:rPr>
          <w:sz w:val="22"/>
          <w:szCs w:val="22"/>
        </w:rPr>
        <w:t xml:space="preserve">. </w:t>
      </w:r>
      <w:r w:rsidRPr="002F3278">
        <w:rPr>
          <w:sz w:val="22"/>
          <w:szCs w:val="22"/>
        </w:rPr>
        <w:t>While there is some overlap in the types of</w:t>
      </w:r>
      <w:r w:rsidR="00130095">
        <w:rPr>
          <w:sz w:val="22"/>
          <w:szCs w:val="22"/>
        </w:rPr>
        <w:t> </w:t>
      </w:r>
      <w:r w:rsidRPr="002F3278">
        <w:rPr>
          <w:sz w:val="22"/>
          <w:szCs w:val="22"/>
        </w:rPr>
        <w:t>performance measured by each method, the department will only use the assessment criteria to measure performance at the review point.</w:t>
      </w:r>
    </w:p>
    <w:p w14:paraId="223FCDD3" w14:textId="723EA051" w:rsidR="006D5481" w:rsidRPr="001B3177" w:rsidRDefault="00B75A77" w:rsidP="001B3177">
      <w:pPr>
        <w:rPr>
          <w:rFonts w:cs="Arial"/>
          <w:sz w:val="22"/>
          <w:szCs w:val="22"/>
        </w:rPr>
      </w:pPr>
      <w:r w:rsidRPr="002F3278">
        <w:rPr>
          <w:sz w:val="22"/>
          <w:szCs w:val="22"/>
        </w:rPr>
        <w:t xml:space="preserve">Service providers should contact their </w:t>
      </w:r>
      <w:r>
        <w:rPr>
          <w:sz w:val="22"/>
          <w:szCs w:val="22"/>
        </w:rPr>
        <w:t>FAMs</w:t>
      </w:r>
      <w:r w:rsidRPr="002F3278">
        <w:rPr>
          <w:sz w:val="22"/>
          <w:szCs w:val="22"/>
        </w:rPr>
        <w:t xml:space="preserve"> if they have questions about the review point.</w:t>
      </w:r>
    </w:p>
    <w:p w14:paraId="04C7EAC0" w14:textId="77777777" w:rsidR="00DD593D" w:rsidRDefault="00DD593D">
      <w:pPr>
        <w:spacing w:before="0" w:after="200" w:line="276" w:lineRule="auto"/>
        <w:rPr>
          <w:rFonts w:ascii="Georgia" w:hAnsi="Georgia" w:cs="Arial"/>
          <w:bCs/>
          <w:color w:val="500778"/>
          <w:kern w:val="32"/>
          <w:sz w:val="36"/>
          <w:szCs w:val="32"/>
        </w:rPr>
      </w:pPr>
      <w:bookmarkStart w:id="369" w:name="_Toc68768881"/>
      <w:bookmarkStart w:id="370" w:name="_Toc68775104"/>
      <w:bookmarkStart w:id="371" w:name="_Toc68786806"/>
      <w:bookmarkStart w:id="372" w:name="_Toc68866110"/>
      <w:bookmarkStart w:id="373" w:name="_Toc68874040"/>
      <w:bookmarkStart w:id="374" w:name="_Toc68768882"/>
      <w:bookmarkStart w:id="375" w:name="_Toc68775105"/>
      <w:bookmarkStart w:id="376" w:name="_Toc68786807"/>
      <w:bookmarkStart w:id="377" w:name="_Toc68866111"/>
      <w:bookmarkStart w:id="378" w:name="_Toc68874041"/>
      <w:bookmarkEnd w:id="369"/>
      <w:bookmarkEnd w:id="370"/>
      <w:bookmarkEnd w:id="371"/>
      <w:bookmarkEnd w:id="372"/>
      <w:bookmarkEnd w:id="373"/>
      <w:bookmarkEnd w:id="374"/>
      <w:bookmarkEnd w:id="375"/>
      <w:bookmarkEnd w:id="376"/>
      <w:bookmarkEnd w:id="377"/>
      <w:bookmarkEnd w:id="378"/>
      <w:r>
        <w:br w:type="page"/>
      </w:r>
    </w:p>
    <w:p w14:paraId="04858C17" w14:textId="77777777" w:rsidR="00430A2C" w:rsidRPr="003A6046" w:rsidRDefault="00430A2C" w:rsidP="001B3177">
      <w:pPr>
        <w:pStyle w:val="Heading2"/>
      </w:pPr>
      <w:bookmarkStart w:id="379" w:name="_Toc70599698"/>
      <w:r w:rsidRPr="003A6046">
        <w:lastRenderedPageBreak/>
        <w:t>Grant Administration</w:t>
      </w:r>
      <w:bookmarkEnd w:id="379"/>
    </w:p>
    <w:p w14:paraId="125BF4A6" w14:textId="77777777" w:rsidR="005D33DD" w:rsidRPr="002F3278" w:rsidRDefault="005D33DD" w:rsidP="00161FD6">
      <w:pPr>
        <w:pStyle w:val="Heading1"/>
      </w:pPr>
      <w:bookmarkStart w:id="380" w:name="_Toc70599699"/>
      <w:r w:rsidRPr="002F3278">
        <w:t>Grant recipients</w:t>
      </w:r>
      <w:r w:rsidR="00670E21">
        <w:t>’</w:t>
      </w:r>
      <w:r w:rsidRPr="002F3278">
        <w:t xml:space="preserve"> responsibilities and accountabilities under the Activity</w:t>
      </w:r>
      <w:bookmarkEnd w:id="380"/>
    </w:p>
    <w:p w14:paraId="6CC530CF" w14:textId="77777777" w:rsidR="00B75A77" w:rsidRPr="00793C11" w:rsidRDefault="00B75A77" w:rsidP="00B75A77">
      <w:pPr>
        <w:spacing w:after="0"/>
        <w:rPr>
          <w:rFonts w:cs="Arial"/>
          <w:sz w:val="22"/>
          <w:szCs w:val="22"/>
        </w:rPr>
      </w:pPr>
      <w:r w:rsidRPr="00922A33">
        <w:rPr>
          <w:rFonts w:cs="Arial"/>
          <w:sz w:val="22"/>
          <w:szCs w:val="22"/>
        </w:rPr>
        <w:t xml:space="preserve">In entering into a grant agreement with </w:t>
      </w:r>
      <w:r w:rsidRPr="00793C11">
        <w:rPr>
          <w:rFonts w:cs="Arial"/>
          <w:sz w:val="22"/>
          <w:szCs w:val="22"/>
        </w:rPr>
        <w:t>the department, the grant recipient must comply with all requirements outlined in the suite of documents that comprise the agreement including:</w:t>
      </w:r>
    </w:p>
    <w:p w14:paraId="63EE715B" w14:textId="77777777" w:rsidR="00B75A77" w:rsidRPr="00161FD6" w:rsidRDefault="00B75A77" w:rsidP="00B75A77">
      <w:pPr>
        <w:numPr>
          <w:ilvl w:val="0"/>
          <w:numId w:val="71"/>
        </w:numPr>
        <w:spacing w:before="0" w:after="0" w:line="240" w:lineRule="auto"/>
        <w:contextualSpacing/>
        <w:rPr>
          <w:rFonts w:eastAsia="Calibri" w:cs="Arial"/>
          <w:spacing w:val="0"/>
          <w:sz w:val="22"/>
          <w:szCs w:val="22"/>
          <w:lang w:eastAsia="en-US"/>
        </w:rPr>
      </w:pPr>
      <w:r w:rsidRPr="00161FD6">
        <w:rPr>
          <w:rFonts w:eastAsia="Calibri" w:cs="Arial"/>
          <w:spacing w:val="0"/>
          <w:sz w:val="22"/>
          <w:szCs w:val="22"/>
          <w:lang w:eastAsia="en-US"/>
        </w:rPr>
        <w:t xml:space="preserve">the </w:t>
      </w:r>
      <w:r w:rsidRPr="00922A33">
        <w:rPr>
          <w:rFonts w:eastAsia="Calibri" w:cs="Arial"/>
          <w:spacing w:val="0"/>
          <w:sz w:val="22"/>
          <w:szCs w:val="22"/>
          <w:lang w:eastAsia="en-US"/>
        </w:rPr>
        <w:t xml:space="preserve">Commonwealth Standard Grant Conditions (Schedule </w:t>
      </w:r>
      <w:r w:rsidRPr="00793C11">
        <w:rPr>
          <w:rFonts w:eastAsia="Calibri" w:cs="Arial"/>
          <w:spacing w:val="0"/>
          <w:sz w:val="22"/>
          <w:szCs w:val="22"/>
          <w:lang w:eastAsia="en-US"/>
        </w:rPr>
        <w:t>1)</w:t>
      </w:r>
      <w:r w:rsidR="00130095">
        <w:rPr>
          <w:rFonts w:eastAsia="Calibri" w:cs="Arial"/>
          <w:spacing w:val="0"/>
          <w:sz w:val="22"/>
          <w:szCs w:val="22"/>
          <w:lang w:eastAsia="en-US"/>
        </w:rPr>
        <w:t>;</w:t>
      </w:r>
      <w:r w:rsidRPr="00922A33">
        <w:rPr>
          <w:rFonts w:eastAsia="Calibri" w:cs="Arial"/>
          <w:spacing w:val="0"/>
          <w:sz w:val="22"/>
          <w:szCs w:val="22"/>
          <w:lang w:eastAsia="en-US"/>
        </w:rPr>
        <w:t xml:space="preserve"> </w:t>
      </w:r>
    </w:p>
    <w:p w14:paraId="4D7F8926" w14:textId="77777777" w:rsidR="00B75A77" w:rsidRPr="00922A33" w:rsidRDefault="00B75A77" w:rsidP="00B75A77">
      <w:pPr>
        <w:numPr>
          <w:ilvl w:val="0"/>
          <w:numId w:val="71"/>
        </w:numPr>
        <w:spacing w:before="0" w:after="0" w:line="276" w:lineRule="auto"/>
        <w:ind w:hanging="357"/>
        <w:contextualSpacing/>
        <w:rPr>
          <w:rFonts w:eastAsia="Calibri" w:cs="Arial"/>
          <w:spacing w:val="0"/>
          <w:sz w:val="22"/>
          <w:szCs w:val="22"/>
          <w:lang w:eastAsia="en-US"/>
        </w:rPr>
      </w:pPr>
      <w:r w:rsidRPr="00922A33">
        <w:rPr>
          <w:rFonts w:eastAsia="Calibri" w:cs="Arial"/>
          <w:spacing w:val="0"/>
          <w:sz w:val="22"/>
          <w:szCs w:val="22"/>
          <w:lang w:eastAsia="en-US"/>
        </w:rPr>
        <w:t>Commonwealth Standard Grant Agreement Supplementary Provisions</w:t>
      </w:r>
      <w:r w:rsidR="00130095">
        <w:rPr>
          <w:rFonts w:eastAsia="Calibri" w:cs="Arial"/>
          <w:spacing w:val="0"/>
          <w:sz w:val="22"/>
          <w:szCs w:val="22"/>
          <w:lang w:eastAsia="en-US"/>
        </w:rPr>
        <w:t>;</w:t>
      </w:r>
    </w:p>
    <w:p w14:paraId="30BD4F85" w14:textId="1780CFF5"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 xml:space="preserve">the </w:t>
      </w:r>
      <w:hyperlink r:id="rId53" w:anchor="k=Community%20Mental%20Health%20activity%20program%20guidelines" w:history="1">
        <w:r w:rsidRPr="00161FD6">
          <w:rPr>
            <w:rFonts w:eastAsia="Calibri" w:cs="Arial"/>
            <w:spacing w:val="0"/>
            <w:sz w:val="22"/>
            <w:szCs w:val="22"/>
            <w:lang w:eastAsia="en-US"/>
          </w:rPr>
          <w:t>CMH Program Guidelines</w:t>
        </w:r>
      </w:hyperlink>
      <w:r w:rsidR="00130095">
        <w:rPr>
          <w:rFonts w:eastAsia="Calibri" w:cs="Arial"/>
          <w:spacing w:val="0"/>
          <w:sz w:val="22"/>
          <w:szCs w:val="22"/>
          <w:lang w:eastAsia="en-US"/>
        </w:rPr>
        <w:t>;</w:t>
      </w:r>
      <w:r w:rsidRPr="00161FD6">
        <w:rPr>
          <w:rFonts w:eastAsia="Calibri" w:cs="Arial"/>
          <w:spacing w:val="0"/>
          <w:sz w:val="22"/>
          <w:szCs w:val="22"/>
          <w:lang w:eastAsia="en-US"/>
        </w:rPr>
        <w:t xml:space="preserve"> and </w:t>
      </w:r>
    </w:p>
    <w:p w14:paraId="69A07D8D"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proofErr w:type="gramStart"/>
      <w:r w:rsidRPr="00161FD6">
        <w:rPr>
          <w:rFonts w:eastAsia="Calibri" w:cs="Arial"/>
          <w:spacing w:val="0"/>
          <w:sz w:val="22"/>
          <w:szCs w:val="22"/>
          <w:lang w:eastAsia="en-US"/>
        </w:rPr>
        <w:t>these</w:t>
      </w:r>
      <w:proofErr w:type="gramEnd"/>
      <w:r w:rsidRPr="00161FD6">
        <w:rPr>
          <w:rFonts w:eastAsia="Calibri" w:cs="Arial"/>
          <w:spacing w:val="0"/>
          <w:sz w:val="22"/>
          <w:szCs w:val="22"/>
          <w:lang w:eastAsia="en-US"/>
        </w:rPr>
        <w:t xml:space="preserve"> Operational Guidelines.</w:t>
      </w:r>
    </w:p>
    <w:p w14:paraId="4CFD7B10" w14:textId="77777777" w:rsidR="00B75A77" w:rsidRPr="00922A33" w:rsidRDefault="00B75A77" w:rsidP="00B75A77">
      <w:pPr>
        <w:spacing w:after="0"/>
        <w:rPr>
          <w:rFonts w:cs="Arial"/>
          <w:sz w:val="22"/>
          <w:szCs w:val="22"/>
        </w:rPr>
      </w:pPr>
      <w:r w:rsidRPr="00922A33">
        <w:rPr>
          <w:rFonts w:cs="Arial"/>
          <w:sz w:val="22"/>
          <w:szCs w:val="22"/>
        </w:rPr>
        <w:t>Grant recipients are responsible for ensuring:</w:t>
      </w:r>
    </w:p>
    <w:p w14:paraId="336703C8"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the terms and conditions of the grant agreement are met</w:t>
      </w:r>
      <w:r w:rsidR="00130095">
        <w:rPr>
          <w:rFonts w:eastAsia="Calibri" w:cs="Arial"/>
          <w:spacing w:val="0"/>
          <w:sz w:val="22"/>
          <w:szCs w:val="22"/>
          <w:lang w:eastAsia="en-US"/>
        </w:rPr>
        <w:t>;</w:t>
      </w:r>
    </w:p>
    <w:p w14:paraId="1208E9DF"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service provision is effective, efficient, and appropriately targeted</w:t>
      </w:r>
      <w:r w:rsidR="00130095">
        <w:rPr>
          <w:rFonts w:eastAsia="Calibri" w:cs="Arial"/>
          <w:spacing w:val="0"/>
          <w:sz w:val="22"/>
          <w:szCs w:val="22"/>
          <w:lang w:eastAsia="en-US"/>
        </w:rPr>
        <w:t>;</w:t>
      </w:r>
    </w:p>
    <w:p w14:paraId="7B00DE29"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highest standards of duty of care are applied</w:t>
      </w:r>
      <w:r w:rsidR="00130095">
        <w:rPr>
          <w:rFonts w:eastAsia="Calibri" w:cs="Arial"/>
          <w:spacing w:val="0"/>
          <w:sz w:val="22"/>
          <w:szCs w:val="22"/>
          <w:lang w:eastAsia="en-US"/>
        </w:rPr>
        <w:t>;</w:t>
      </w:r>
    </w:p>
    <w:p w14:paraId="6B57B60A"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services are operated in line with, and comply with the requirements as set out within all state and territory and Commonwealth legislation and regulations</w:t>
      </w:r>
      <w:r w:rsidR="00130095">
        <w:rPr>
          <w:rFonts w:eastAsia="Calibri" w:cs="Arial"/>
          <w:spacing w:val="0"/>
          <w:sz w:val="22"/>
          <w:szCs w:val="22"/>
          <w:lang w:eastAsia="en-US"/>
        </w:rPr>
        <w:t>;</w:t>
      </w:r>
    </w:p>
    <w:p w14:paraId="1EEF943F" w14:textId="70E21BF2"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Aboriginal and Torres Strait Islander people have equal and equitable access to</w:t>
      </w:r>
      <w:r w:rsidR="00130095">
        <w:rPr>
          <w:rFonts w:eastAsia="Calibri" w:cs="Arial"/>
          <w:spacing w:val="0"/>
          <w:sz w:val="22"/>
          <w:szCs w:val="22"/>
          <w:lang w:eastAsia="en-US"/>
        </w:rPr>
        <w:t> </w:t>
      </w:r>
      <w:r w:rsidRPr="00161FD6">
        <w:rPr>
          <w:rFonts w:eastAsia="Calibri" w:cs="Arial"/>
          <w:spacing w:val="0"/>
          <w:sz w:val="22"/>
          <w:szCs w:val="22"/>
          <w:lang w:eastAsia="en-US"/>
        </w:rPr>
        <w:t>services</w:t>
      </w:r>
      <w:r w:rsidR="00130095">
        <w:rPr>
          <w:rFonts w:eastAsia="Calibri" w:cs="Arial"/>
          <w:spacing w:val="0"/>
          <w:sz w:val="22"/>
          <w:szCs w:val="22"/>
          <w:lang w:eastAsia="en-US"/>
        </w:rPr>
        <w:t>;</w:t>
      </w:r>
    </w:p>
    <w:p w14:paraId="6816FD0A" w14:textId="6C4D7B8C"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r w:rsidRPr="00161FD6">
        <w:rPr>
          <w:rFonts w:eastAsia="Calibri" w:cs="Arial"/>
          <w:spacing w:val="0"/>
          <w:sz w:val="22"/>
          <w:szCs w:val="22"/>
          <w:lang w:eastAsia="en-US"/>
        </w:rPr>
        <w:t>they work collaboratively to deliver the program</w:t>
      </w:r>
      <w:r w:rsidR="00130095">
        <w:rPr>
          <w:rFonts w:eastAsia="Calibri" w:cs="Arial"/>
          <w:spacing w:val="0"/>
          <w:sz w:val="22"/>
          <w:szCs w:val="22"/>
          <w:lang w:eastAsia="en-US"/>
        </w:rPr>
        <w:t>;</w:t>
      </w:r>
      <w:r w:rsidRPr="00161FD6">
        <w:rPr>
          <w:rFonts w:eastAsia="Calibri" w:cs="Arial"/>
          <w:spacing w:val="0"/>
          <w:sz w:val="22"/>
          <w:szCs w:val="22"/>
          <w:lang w:eastAsia="en-US"/>
        </w:rPr>
        <w:t xml:space="preserve"> and</w:t>
      </w:r>
    </w:p>
    <w:p w14:paraId="54F665C3" w14:textId="77777777" w:rsidR="00B75A77" w:rsidRPr="00161FD6" w:rsidRDefault="00B75A77" w:rsidP="00B75A77">
      <w:pPr>
        <w:pStyle w:val="ListParagraph"/>
        <w:numPr>
          <w:ilvl w:val="0"/>
          <w:numId w:val="71"/>
        </w:numPr>
        <w:spacing w:before="0" w:after="0" w:line="240" w:lineRule="auto"/>
        <w:rPr>
          <w:rFonts w:eastAsia="Calibri" w:cs="Arial"/>
          <w:spacing w:val="0"/>
          <w:sz w:val="22"/>
          <w:szCs w:val="22"/>
          <w:lang w:eastAsia="en-US"/>
        </w:rPr>
      </w:pPr>
      <w:proofErr w:type="gramStart"/>
      <w:r w:rsidRPr="00161FD6">
        <w:rPr>
          <w:rFonts w:eastAsia="Calibri" w:cs="Arial"/>
          <w:spacing w:val="0"/>
          <w:sz w:val="22"/>
          <w:szCs w:val="22"/>
          <w:lang w:eastAsia="en-US"/>
        </w:rPr>
        <w:t>they</w:t>
      </w:r>
      <w:proofErr w:type="gramEnd"/>
      <w:r w:rsidRPr="00161FD6">
        <w:rPr>
          <w:rFonts w:eastAsia="Calibri" w:cs="Arial"/>
          <w:spacing w:val="0"/>
          <w:sz w:val="22"/>
          <w:szCs w:val="22"/>
          <w:lang w:eastAsia="en-US"/>
        </w:rPr>
        <w:t xml:space="preserve"> contribute to the overall development and improvement of the program such as sharing best practice.</w:t>
      </w:r>
    </w:p>
    <w:p w14:paraId="0BAAD0B8" w14:textId="77777777" w:rsidR="00B75A77" w:rsidRPr="00922A33" w:rsidRDefault="00B75A77" w:rsidP="00B75A77">
      <w:pPr>
        <w:spacing w:after="0"/>
        <w:rPr>
          <w:rFonts w:cs="Arial"/>
          <w:sz w:val="22"/>
          <w:szCs w:val="22"/>
        </w:rPr>
      </w:pPr>
      <w:r w:rsidRPr="00922A33">
        <w:rPr>
          <w:rFonts w:cs="Arial"/>
          <w:sz w:val="22"/>
          <w:szCs w:val="22"/>
        </w:rPr>
        <w:t>Relevant Commonwealth, State and Territory legislation include, but are not limited to:</w:t>
      </w:r>
    </w:p>
    <w:p w14:paraId="3315E562"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State and territory mental health acts</w:t>
      </w:r>
      <w:r w:rsidR="00130095">
        <w:rPr>
          <w:rFonts w:cs="Arial"/>
          <w:color w:val="000000" w:themeColor="text1"/>
          <w:sz w:val="22"/>
          <w:szCs w:val="22"/>
        </w:rPr>
        <w:t>;</w:t>
      </w:r>
    </w:p>
    <w:p w14:paraId="6A0D9F77"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 xml:space="preserve">State and territory child protection acts and the </w:t>
      </w:r>
      <w:r w:rsidRPr="00793C11">
        <w:rPr>
          <w:rFonts w:cs="Arial"/>
          <w:i/>
          <w:iCs/>
          <w:color w:val="000000" w:themeColor="text1"/>
          <w:sz w:val="22"/>
          <w:szCs w:val="22"/>
        </w:rPr>
        <w:t>Family Law Amendment Act 2008</w:t>
      </w:r>
      <w:r w:rsidR="00130095">
        <w:rPr>
          <w:rFonts w:cs="Arial"/>
          <w:i/>
          <w:iCs/>
          <w:color w:val="000000" w:themeColor="text1"/>
          <w:sz w:val="22"/>
          <w:szCs w:val="22"/>
        </w:rPr>
        <w:t>;</w:t>
      </w:r>
    </w:p>
    <w:p w14:paraId="27AB8148" w14:textId="40A6A772" w:rsidR="00B75A77" w:rsidRPr="00793C11"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Privacy Act 2012</w:t>
      </w:r>
      <w:r w:rsidRPr="00793C11">
        <w:rPr>
          <w:rFonts w:cs="Arial"/>
          <w:color w:val="000000" w:themeColor="text1"/>
          <w:sz w:val="22"/>
          <w:szCs w:val="22"/>
        </w:rPr>
        <w:t xml:space="preserve"> and the National Privacy Principles (NPPs)</w:t>
      </w:r>
      <w:r w:rsidR="00130095">
        <w:rPr>
          <w:rFonts w:cs="Arial"/>
          <w:color w:val="000000" w:themeColor="text1"/>
          <w:sz w:val="22"/>
          <w:szCs w:val="22"/>
        </w:rPr>
        <w:t>;</w:t>
      </w:r>
    </w:p>
    <w:p w14:paraId="798B73F4"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Racial Discrimination Amendment Act 1980</w:t>
      </w:r>
      <w:r w:rsidR="00130095">
        <w:rPr>
          <w:rFonts w:cs="Arial"/>
          <w:i/>
          <w:iCs/>
          <w:color w:val="000000" w:themeColor="text1"/>
          <w:sz w:val="22"/>
          <w:szCs w:val="22"/>
        </w:rPr>
        <w:t>;</w:t>
      </w:r>
    </w:p>
    <w:p w14:paraId="75EC5ECF"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Social Security and Other Legislation Amendment (Income Support Bonus) Act 2013</w:t>
      </w:r>
      <w:r w:rsidR="00130095">
        <w:rPr>
          <w:rFonts w:cs="Arial"/>
          <w:i/>
          <w:iCs/>
          <w:color w:val="000000" w:themeColor="text1"/>
          <w:sz w:val="22"/>
          <w:szCs w:val="22"/>
        </w:rPr>
        <w:t>;</w:t>
      </w:r>
    </w:p>
    <w:p w14:paraId="07FE1F1E" w14:textId="6EEE455C" w:rsidR="00B75A77" w:rsidRPr="00793C11"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Sex Discrimination Act 1984</w:t>
      </w:r>
      <w:r w:rsidR="00130095">
        <w:rPr>
          <w:rFonts w:cs="Arial"/>
          <w:i/>
          <w:iCs/>
          <w:color w:val="000000" w:themeColor="text1"/>
          <w:sz w:val="22"/>
          <w:szCs w:val="22"/>
        </w:rPr>
        <w:t>;</w:t>
      </w:r>
    </w:p>
    <w:p w14:paraId="3AFC7560" w14:textId="1BC6C485" w:rsidR="00B75A77" w:rsidRPr="00793C11"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Sex Discrimination Amendment Act 2013</w:t>
      </w:r>
      <w:r w:rsidR="00130095">
        <w:rPr>
          <w:rFonts w:cs="Arial"/>
          <w:i/>
          <w:iCs/>
          <w:color w:val="000000" w:themeColor="text1"/>
          <w:sz w:val="22"/>
          <w:szCs w:val="22"/>
        </w:rPr>
        <w:t>;</w:t>
      </w:r>
    </w:p>
    <w:p w14:paraId="022FB58D"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Disability Discrimination Amendment Act 2005</w:t>
      </w:r>
      <w:r w:rsidR="00130095">
        <w:rPr>
          <w:rFonts w:cs="Arial"/>
          <w:i/>
          <w:iCs/>
          <w:color w:val="000000" w:themeColor="text1"/>
          <w:sz w:val="22"/>
          <w:szCs w:val="22"/>
        </w:rPr>
        <w:t>;</w:t>
      </w:r>
    </w:p>
    <w:p w14:paraId="7B54953F"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i/>
          <w:iCs/>
          <w:color w:val="000000" w:themeColor="text1"/>
          <w:sz w:val="22"/>
          <w:szCs w:val="22"/>
        </w:rPr>
        <w:t>National Disability Insurance Scheme Act 2013</w:t>
      </w:r>
      <w:r w:rsidR="00130095">
        <w:rPr>
          <w:rFonts w:cs="Arial"/>
          <w:i/>
          <w:iCs/>
          <w:color w:val="000000" w:themeColor="text1"/>
          <w:sz w:val="22"/>
          <w:szCs w:val="22"/>
        </w:rPr>
        <w:t>;</w:t>
      </w:r>
    </w:p>
    <w:p w14:paraId="76EE8679"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National Standards for Disability Services 2013</w:t>
      </w:r>
      <w:r w:rsidR="00130095">
        <w:rPr>
          <w:rFonts w:cs="Arial"/>
          <w:color w:val="000000" w:themeColor="text1"/>
          <w:sz w:val="22"/>
          <w:szCs w:val="22"/>
        </w:rPr>
        <w:t>;</w:t>
      </w:r>
    </w:p>
    <w:p w14:paraId="37A9D927"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National Standards for Mental Health Services 2013</w:t>
      </w:r>
      <w:r w:rsidR="00130095">
        <w:rPr>
          <w:rFonts w:cs="Arial"/>
          <w:color w:val="000000" w:themeColor="text1"/>
          <w:sz w:val="22"/>
          <w:szCs w:val="22"/>
        </w:rPr>
        <w:t>;</w:t>
      </w:r>
    </w:p>
    <w:p w14:paraId="09FC7720" w14:textId="139BAA2F" w:rsidR="00B75A77" w:rsidRPr="00793C11"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Work Health and Safety Act 201</w:t>
      </w:r>
      <w:r w:rsidR="00130095">
        <w:rPr>
          <w:rFonts w:cs="Arial"/>
          <w:color w:val="000000" w:themeColor="text1"/>
          <w:sz w:val="22"/>
          <w:szCs w:val="22"/>
        </w:rPr>
        <w:t>1;</w:t>
      </w:r>
    </w:p>
    <w:p w14:paraId="3572C4D1" w14:textId="37FB1E17" w:rsidR="00B75A77" w:rsidRPr="00793C11"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r w:rsidRPr="00793C11">
        <w:rPr>
          <w:rFonts w:cs="Arial"/>
          <w:color w:val="000000" w:themeColor="text1"/>
          <w:sz w:val="22"/>
          <w:szCs w:val="22"/>
        </w:rPr>
        <w:t>any applicable state or territory law relating to discrimination</w:t>
      </w:r>
      <w:r w:rsidR="00130095">
        <w:rPr>
          <w:rFonts w:cs="Arial"/>
          <w:color w:val="000000" w:themeColor="text1"/>
          <w:sz w:val="22"/>
          <w:szCs w:val="22"/>
        </w:rPr>
        <w:t>;</w:t>
      </w:r>
      <w:r w:rsidRPr="00793C11">
        <w:rPr>
          <w:rFonts w:cs="Arial"/>
          <w:color w:val="000000" w:themeColor="text1"/>
          <w:sz w:val="22"/>
          <w:szCs w:val="22"/>
        </w:rPr>
        <w:t xml:space="preserve"> and </w:t>
      </w:r>
    </w:p>
    <w:p w14:paraId="0EF556A0" w14:textId="77777777" w:rsidR="00B75A77" w:rsidRPr="00922A33" w:rsidRDefault="00B75A77" w:rsidP="00B75A77">
      <w:pPr>
        <w:pStyle w:val="ListParagraph"/>
        <w:numPr>
          <w:ilvl w:val="1"/>
          <w:numId w:val="80"/>
        </w:numPr>
        <w:autoSpaceDE w:val="0"/>
        <w:autoSpaceDN w:val="0"/>
        <w:spacing w:before="60" w:after="0" w:line="240" w:lineRule="auto"/>
        <w:ind w:left="1417" w:hanging="357"/>
        <w:rPr>
          <w:rFonts w:cs="Arial"/>
          <w:color w:val="000000" w:themeColor="text1"/>
          <w:sz w:val="22"/>
          <w:szCs w:val="22"/>
        </w:rPr>
      </w:pPr>
      <w:proofErr w:type="gramStart"/>
      <w:r w:rsidRPr="00793C11">
        <w:rPr>
          <w:rFonts w:cs="Arial"/>
          <w:color w:val="000000" w:themeColor="text1"/>
          <w:sz w:val="22"/>
          <w:szCs w:val="22"/>
        </w:rPr>
        <w:t>any</w:t>
      </w:r>
      <w:proofErr w:type="gramEnd"/>
      <w:r w:rsidRPr="00793C11">
        <w:rPr>
          <w:rFonts w:cs="Arial"/>
          <w:color w:val="000000" w:themeColor="text1"/>
          <w:sz w:val="22"/>
          <w:szCs w:val="22"/>
        </w:rPr>
        <w:t xml:space="preserve"> state or territory laws regarding young people who are under 18 years of age</w:t>
      </w:r>
      <w:r w:rsidR="00130095">
        <w:rPr>
          <w:rFonts w:cs="Arial"/>
          <w:color w:val="000000" w:themeColor="text1"/>
          <w:sz w:val="22"/>
          <w:szCs w:val="22"/>
        </w:rPr>
        <w:t>.</w:t>
      </w:r>
    </w:p>
    <w:p w14:paraId="750903A6" w14:textId="77777777" w:rsidR="00B75A77" w:rsidRPr="00793C11" w:rsidRDefault="00B75A77" w:rsidP="00B75A77">
      <w:pPr>
        <w:pStyle w:val="ListParagraph"/>
        <w:spacing w:after="0"/>
        <w:ind w:left="360"/>
        <w:rPr>
          <w:rFonts w:cs="Arial"/>
          <w:sz w:val="22"/>
          <w:szCs w:val="22"/>
        </w:rPr>
      </w:pPr>
    </w:p>
    <w:p w14:paraId="75DDFB1A" w14:textId="37C062D1" w:rsidR="005D33DD" w:rsidRPr="00DF3821" w:rsidRDefault="00B75A77" w:rsidP="00683499">
      <w:pPr>
        <w:pStyle w:val="ListParagraph"/>
        <w:numPr>
          <w:ilvl w:val="0"/>
          <w:numId w:val="40"/>
        </w:numPr>
        <w:spacing w:before="0" w:after="120" w:line="276" w:lineRule="auto"/>
        <w:rPr>
          <w:rFonts w:cs="Arial"/>
          <w:sz w:val="22"/>
          <w:szCs w:val="22"/>
        </w:rPr>
      </w:pPr>
      <w:r w:rsidRPr="00793C11">
        <w:rPr>
          <w:rFonts w:cs="Arial"/>
          <w:sz w:val="22"/>
          <w:szCs w:val="22"/>
        </w:rPr>
        <w:t>FMHSS providers should also be aware of any case-based law that may apply to,</w:t>
      </w:r>
      <w:r w:rsidR="00922A33">
        <w:rPr>
          <w:rFonts w:cs="Arial"/>
          <w:sz w:val="22"/>
          <w:szCs w:val="22"/>
        </w:rPr>
        <w:t> </w:t>
      </w:r>
      <w:r w:rsidRPr="00922A33">
        <w:rPr>
          <w:rFonts w:cs="Arial"/>
          <w:sz w:val="22"/>
          <w:szCs w:val="22"/>
        </w:rPr>
        <w:t xml:space="preserve">or affect, their service delivery. </w:t>
      </w:r>
      <w:r w:rsidRPr="00793C11">
        <w:rPr>
          <w:rFonts w:cs="Arial"/>
          <w:sz w:val="22"/>
          <w:szCs w:val="22"/>
        </w:rPr>
        <w:t>They must also ensure FMHSS meet health and safety requirements and all licence, certification and/or registration requirements in the locations they are providing services</w:t>
      </w:r>
      <w:r w:rsidR="005D33DD" w:rsidRPr="00793C11">
        <w:rPr>
          <w:rFonts w:cs="Arial"/>
          <w:sz w:val="22"/>
          <w:szCs w:val="22"/>
        </w:rPr>
        <w:t>.</w:t>
      </w:r>
    </w:p>
    <w:p w14:paraId="5FF701C4" w14:textId="2076434D" w:rsidR="00074DE8" w:rsidRPr="002F3278" w:rsidRDefault="00074DE8" w:rsidP="00DC3D55">
      <w:pPr>
        <w:pStyle w:val="Heading1"/>
      </w:pPr>
      <w:bookmarkStart w:id="381" w:name="_Toc70599700"/>
      <w:r>
        <w:lastRenderedPageBreak/>
        <w:t xml:space="preserve">Other key requirements, policies, information </w:t>
      </w:r>
      <w:r w:rsidR="006467E6">
        <w:t>&amp;</w:t>
      </w:r>
      <w:r>
        <w:t xml:space="preserve"> factsheets for service providers</w:t>
      </w:r>
      <w:bookmarkEnd w:id="381"/>
    </w:p>
    <w:p w14:paraId="220B96A5" w14:textId="77777777" w:rsidR="00074DE8" w:rsidRPr="006479AF" w:rsidRDefault="00074DE8" w:rsidP="00DC3D55">
      <w:pPr>
        <w:keepNext/>
        <w:keepLines/>
        <w:spacing w:after="120"/>
        <w:rPr>
          <w:rFonts w:eastAsiaTheme="minorHAnsi" w:cstheme="minorBidi"/>
          <w:spacing w:val="0"/>
          <w:sz w:val="22"/>
          <w:szCs w:val="22"/>
          <w:lang w:eastAsia="en-US"/>
        </w:rPr>
      </w:pPr>
      <w:r w:rsidRPr="005C377F">
        <w:rPr>
          <w:rFonts w:eastAsiaTheme="minorHAnsi" w:cstheme="minorBidi"/>
          <w:spacing w:val="0"/>
          <w:sz w:val="22"/>
          <w:szCs w:val="22"/>
          <w:lang w:eastAsia="en-US"/>
        </w:rPr>
        <w:t xml:space="preserve">All </w:t>
      </w:r>
      <w:r w:rsidRPr="006479AF">
        <w:rPr>
          <w:rFonts w:eastAsiaTheme="minorHAnsi" w:cstheme="minorBidi"/>
          <w:spacing w:val="0"/>
          <w:sz w:val="22"/>
          <w:szCs w:val="22"/>
          <w:lang w:eastAsia="en-US"/>
        </w:rPr>
        <w:t>service providers must comply with the:</w:t>
      </w:r>
    </w:p>
    <w:p w14:paraId="319EF4A2" w14:textId="77777777" w:rsidR="00074DE8" w:rsidRPr="00C175B5" w:rsidRDefault="007036AE" w:rsidP="00DC3D55">
      <w:pPr>
        <w:keepNext/>
        <w:keepLines/>
        <w:numPr>
          <w:ilvl w:val="0"/>
          <w:numId w:val="45"/>
        </w:numPr>
        <w:spacing w:before="0" w:after="120" w:line="276" w:lineRule="auto"/>
        <w:ind w:left="1077" w:hanging="357"/>
        <w:rPr>
          <w:rFonts w:eastAsiaTheme="minorHAnsi" w:cstheme="minorBidi"/>
          <w:spacing w:val="0"/>
          <w:sz w:val="22"/>
          <w:szCs w:val="22"/>
          <w:lang w:eastAsia="en-US"/>
        </w:rPr>
      </w:pPr>
      <w:hyperlink r:id="rId54" w:anchor="search=Community%20Mental%20Health%20activity%20program%20guidelines" w:history="1">
        <w:r w:rsidR="00074DE8" w:rsidRPr="00C175B5">
          <w:rPr>
            <w:rStyle w:val="Hyperlink"/>
            <w:szCs w:val="22"/>
          </w:rPr>
          <w:t>Community Mental Health (CMH) Program Guidelines</w:t>
        </w:r>
      </w:hyperlink>
      <w:r w:rsidR="00074DE8">
        <w:rPr>
          <w:sz w:val="22"/>
          <w:szCs w:val="22"/>
        </w:rPr>
        <w:t xml:space="preserve"> </w:t>
      </w:r>
      <w:r w:rsidR="00074DE8" w:rsidRPr="006479AF">
        <w:rPr>
          <w:rFonts w:eastAsiaTheme="minorHAnsi" w:cs="Arial"/>
          <w:color w:val="2C2A29"/>
          <w:spacing w:val="0"/>
          <w:sz w:val="22"/>
          <w:szCs w:val="22"/>
          <w:shd w:val="clear" w:color="auto" w:fill="FFFFFF"/>
          <w:lang w:eastAsia="en-US"/>
        </w:rPr>
        <w:t xml:space="preserve">which provides overarching guidance for all </w:t>
      </w:r>
      <w:r w:rsidR="00074DE8" w:rsidRPr="00C175B5">
        <w:rPr>
          <w:rFonts w:eastAsiaTheme="minorHAnsi" w:cs="Arial"/>
          <w:color w:val="2C2A29"/>
          <w:spacing w:val="0"/>
          <w:sz w:val="22"/>
          <w:szCs w:val="22"/>
          <w:shd w:val="clear" w:color="auto" w:fill="FFFFFF"/>
          <w:lang w:eastAsia="en-US"/>
        </w:rPr>
        <w:t>activities delivered under Community Mental Health, including FMHSS.</w:t>
      </w:r>
    </w:p>
    <w:p w14:paraId="3A1BC9A3" w14:textId="7887C810" w:rsidR="00074DE8" w:rsidRPr="005C377F" w:rsidRDefault="00074DE8" w:rsidP="00074DE8">
      <w:pPr>
        <w:spacing w:after="120"/>
        <w:rPr>
          <w:rFonts w:eastAsiaTheme="minorHAnsi" w:cstheme="minorBidi"/>
          <w:spacing w:val="0"/>
          <w:sz w:val="22"/>
          <w:szCs w:val="22"/>
          <w:lang w:eastAsia="en-US"/>
        </w:rPr>
      </w:pPr>
      <w:r w:rsidRPr="005C377F">
        <w:rPr>
          <w:rFonts w:eastAsiaTheme="minorHAnsi" w:cstheme="minorBidi"/>
          <w:spacing w:val="0"/>
          <w:sz w:val="22"/>
          <w:szCs w:val="22"/>
          <w:lang w:eastAsia="en-US"/>
        </w:rPr>
        <w:t>The following policies on the DSS and Community Grants Hub websites also apply to</w:t>
      </w:r>
      <w:r w:rsidR="00922A33">
        <w:rPr>
          <w:rFonts w:eastAsiaTheme="minorHAnsi" w:cstheme="minorBidi"/>
          <w:spacing w:val="0"/>
          <w:sz w:val="22"/>
          <w:szCs w:val="22"/>
          <w:lang w:eastAsia="en-US"/>
        </w:rPr>
        <w:t> </w:t>
      </w:r>
      <w:r w:rsidRPr="005C377F">
        <w:rPr>
          <w:rFonts w:eastAsiaTheme="minorHAnsi" w:cstheme="minorBidi"/>
          <w:spacing w:val="0"/>
          <w:sz w:val="22"/>
          <w:szCs w:val="22"/>
          <w:lang w:eastAsia="en-US"/>
        </w:rPr>
        <w:t>FMHSS:</w:t>
      </w:r>
    </w:p>
    <w:p w14:paraId="57134370" w14:textId="77777777" w:rsidR="00074DE8" w:rsidRPr="005C377F" w:rsidRDefault="007036AE" w:rsidP="00074DE8">
      <w:pPr>
        <w:numPr>
          <w:ilvl w:val="0"/>
          <w:numId w:val="46"/>
        </w:numPr>
        <w:spacing w:before="0" w:after="120" w:line="240" w:lineRule="auto"/>
        <w:ind w:left="1077" w:hanging="357"/>
        <w:rPr>
          <w:rFonts w:ascii="Calibri" w:eastAsiaTheme="minorHAnsi" w:hAnsi="Calibri" w:cstheme="minorBidi"/>
          <w:spacing w:val="0"/>
          <w:sz w:val="22"/>
          <w:szCs w:val="22"/>
          <w:lang w:eastAsia="en-US"/>
        </w:rPr>
      </w:pPr>
      <w:hyperlink r:id="rId55" w:history="1">
        <w:r w:rsidR="00074DE8" w:rsidRPr="005C377F">
          <w:rPr>
            <w:rFonts w:eastAsiaTheme="minorHAnsi" w:cstheme="minorBidi"/>
            <w:color w:val="0000FF"/>
            <w:spacing w:val="0"/>
            <w:sz w:val="22"/>
            <w:szCs w:val="22"/>
            <w:u w:val="single"/>
            <w:lang w:eastAsia="en-US"/>
          </w:rPr>
          <w:t>Access and Equity Policy</w:t>
        </w:r>
      </w:hyperlink>
    </w:p>
    <w:p w14:paraId="190EF5A2" w14:textId="77777777" w:rsidR="00074DE8" w:rsidRPr="005C377F" w:rsidRDefault="007036AE" w:rsidP="00074DE8">
      <w:pPr>
        <w:numPr>
          <w:ilvl w:val="0"/>
          <w:numId w:val="46"/>
        </w:numPr>
        <w:spacing w:before="0" w:after="120" w:line="240" w:lineRule="auto"/>
        <w:ind w:left="1077" w:hanging="357"/>
        <w:rPr>
          <w:rFonts w:eastAsiaTheme="minorHAnsi" w:cstheme="minorBidi"/>
          <w:spacing w:val="0"/>
          <w:sz w:val="22"/>
          <w:szCs w:val="22"/>
          <w:lang w:eastAsia="en-US"/>
        </w:rPr>
      </w:pPr>
      <w:hyperlink r:id="rId56" w:history="1">
        <w:r w:rsidR="00074DE8" w:rsidRPr="005C377F">
          <w:rPr>
            <w:rFonts w:eastAsiaTheme="minorHAnsi" w:cstheme="minorBidi"/>
            <w:color w:val="0000FF"/>
            <w:spacing w:val="0"/>
            <w:sz w:val="22"/>
            <w:szCs w:val="22"/>
            <w:u w:val="single"/>
            <w:lang w:eastAsia="en-US"/>
          </w:rPr>
          <w:t>Communication Policy for Services, Activities and Events</w:t>
        </w:r>
      </w:hyperlink>
    </w:p>
    <w:p w14:paraId="6DF20870" w14:textId="77777777" w:rsidR="00074DE8" w:rsidRPr="005C377F" w:rsidRDefault="007036AE" w:rsidP="00074DE8">
      <w:pPr>
        <w:numPr>
          <w:ilvl w:val="0"/>
          <w:numId w:val="46"/>
        </w:numPr>
        <w:spacing w:before="0" w:after="120" w:line="276" w:lineRule="auto"/>
        <w:ind w:left="1077" w:hanging="357"/>
        <w:rPr>
          <w:rFonts w:eastAsiaTheme="minorHAnsi" w:cstheme="minorBidi"/>
          <w:spacing w:val="0"/>
          <w:sz w:val="22"/>
          <w:szCs w:val="22"/>
          <w:lang w:eastAsia="en-US"/>
        </w:rPr>
      </w:pPr>
      <w:hyperlink r:id="rId57" w:history="1">
        <w:r w:rsidR="00074DE8" w:rsidRPr="005C377F">
          <w:rPr>
            <w:rFonts w:eastAsiaTheme="minorHAnsi" w:cstheme="minorBidi"/>
            <w:color w:val="0000FF"/>
            <w:spacing w:val="0"/>
            <w:sz w:val="22"/>
            <w:szCs w:val="22"/>
            <w:u w:val="single"/>
            <w:lang w:eastAsia="en-US"/>
          </w:rPr>
          <w:t>Complaints Process for Grant Recipients</w:t>
        </w:r>
      </w:hyperlink>
    </w:p>
    <w:p w14:paraId="793AA08D" w14:textId="77777777" w:rsidR="00074DE8" w:rsidRPr="005C377F" w:rsidRDefault="007036AE" w:rsidP="00074DE8">
      <w:pPr>
        <w:numPr>
          <w:ilvl w:val="0"/>
          <w:numId w:val="46"/>
        </w:numPr>
        <w:spacing w:before="0" w:after="120" w:line="240" w:lineRule="auto"/>
        <w:ind w:left="1077" w:hanging="357"/>
        <w:rPr>
          <w:rFonts w:eastAsiaTheme="minorHAnsi" w:cstheme="minorBidi"/>
          <w:spacing w:val="0"/>
          <w:sz w:val="22"/>
          <w:szCs w:val="22"/>
          <w:lang w:eastAsia="en-US"/>
        </w:rPr>
      </w:pPr>
      <w:hyperlink r:id="rId58" w:history="1">
        <w:r w:rsidR="00074DE8" w:rsidRPr="005C377F">
          <w:rPr>
            <w:rFonts w:eastAsiaTheme="minorHAnsi" w:cstheme="minorBidi"/>
            <w:color w:val="0000FF"/>
            <w:spacing w:val="0"/>
            <w:sz w:val="22"/>
            <w:szCs w:val="22"/>
            <w:u w:val="single"/>
            <w:lang w:eastAsia="en-US"/>
          </w:rPr>
          <w:t xml:space="preserve">Grant Recipient Complaints and </w:t>
        </w:r>
        <w:proofErr w:type="spellStart"/>
        <w:r w:rsidR="00074DE8" w:rsidRPr="005C377F">
          <w:rPr>
            <w:rFonts w:eastAsiaTheme="minorHAnsi" w:cstheme="minorBidi"/>
            <w:color w:val="0000FF"/>
            <w:spacing w:val="0"/>
            <w:sz w:val="22"/>
            <w:szCs w:val="22"/>
            <w:u w:val="single"/>
            <w:lang w:eastAsia="en-US"/>
          </w:rPr>
          <w:t>Whistleblower</w:t>
        </w:r>
        <w:proofErr w:type="spellEnd"/>
        <w:r w:rsidR="00074DE8" w:rsidRPr="005C377F">
          <w:rPr>
            <w:rFonts w:eastAsiaTheme="minorHAnsi" w:cstheme="minorBidi"/>
            <w:color w:val="0000FF"/>
            <w:spacing w:val="0"/>
            <w:sz w:val="22"/>
            <w:szCs w:val="22"/>
            <w:u w:val="single"/>
            <w:lang w:eastAsia="en-US"/>
          </w:rPr>
          <w:t xml:space="preserve"> Provisions</w:t>
        </w:r>
      </w:hyperlink>
    </w:p>
    <w:p w14:paraId="592E48C4" w14:textId="77777777" w:rsidR="00074DE8" w:rsidRPr="005C377F" w:rsidRDefault="007036AE" w:rsidP="00074DE8">
      <w:pPr>
        <w:numPr>
          <w:ilvl w:val="0"/>
          <w:numId w:val="46"/>
        </w:numPr>
        <w:spacing w:before="0" w:after="120" w:line="240" w:lineRule="auto"/>
        <w:ind w:left="1077" w:hanging="357"/>
        <w:rPr>
          <w:rFonts w:eastAsiaTheme="minorHAnsi" w:cstheme="minorBidi"/>
          <w:spacing w:val="0"/>
          <w:sz w:val="22"/>
          <w:szCs w:val="22"/>
          <w:lang w:eastAsia="en-US"/>
        </w:rPr>
      </w:pPr>
      <w:hyperlink r:id="rId59" w:history="1">
        <w:r w:rsidR="00074DE8" w:rsidRPr="005C377F">
          <w:rPr>
            <w:rFonts w:eastAsiaTheme="minorHAnsi" w:cstheme="minorBidi"/>
            <w:color w:val="0000FF"/>
            <w:spacing w:val="0"/>
            <w:sz w:val="22"/>
            <w:szCs w:val="22"/>
            <w:u w:val="single"/>
            <w:lang w:eastAsia="en-US"/>
          </w:rPr>
          <w:t>National Redress Scheme Grant Connected Policy</w:t>
        </w:r>
      </w:hyperlink>
    </w:p>
    <w:p w14:paraId="5FAA77AB" w14:textId="77777777" w:rsidR="00074DE8" w:rsidRPr="005C377F" w:rsidRDefault="007036AE" w:rsidP="00074DE8">
      <w:pPr>
        <w:numPr>
          <w:ilvl w:val="0"/>
          <w:numId w:val="46"/>
        </w:numPr>
        <w:spacing w:before="0" w:after="120" w:line="276" w:lineRule="auto"/>
        <w:ind w:left="1077" w:hanging="357"/>
        <w:rPr>
          <w:rFonts w:eastAsiaTheme="minorHAnsi" w:cstheme="minorBidi"/>
          <w:spacing w:val="0"/>
          <w:sz w:val="22"/>
          <w:szCs w:val="22"/>
          <w:lang w:eastAsia="en-US"/>
        </w:rPr>
      </w:pPr>
      <w:hyperlink r:id="rId60" w:history="1">
        <w:r w:rsidR="00074DE8" w:rsidRPr="005C377F">
          <w:rPr>
            <w:rFonts w:eastAsiaTheme="minorHAnsi" w:cstheme="minorBidi"/>
            <w:color w:val="0000FF"/>
            <w:spacing w:val="0"/>
            <w:sz w:val="22"/>
            <w:szCs w:val="22"/>
            <w:u w:val="single"/>
            <w:lang w:eastAsia="en-US"/>
          </w:rPr>
          <w:t>Online Safety</w:t>
        </w:r>
      </w:hyperlink>
    </w:p>
    <w:p w14:paraId="29BDCD9D" w14:textId="77777777" w:rsidR="00074DE8" w:rsidRPr="005C377F" w:rsidRDefault="007036AE" w:rsidP="00074DE8">
      <w:pPr>
        <w:numPr>
          <w:ilvl w:val="0"/>
          <w:numId w:val="46"/>
        </w:numPr>
        <w:spacing w:before="0" w:after="120" w:line="276" w:lineRule="auto"/>
        <w:ind w:left="1077" w:hanging="357"/>
        <w:rPr>
          <w:rFonts w:eastAsiaTheme="minorHAnsi" w:cstheme="minorBidi"/>
          <w:spacing w:val="0"/>
          <w:sz w:val="22"/>
          <w:szCs w:val="22"/>
          <w:lang w:eastAsia="en-US"/>
        </w:rPr>
      </w:pPr>
      <w:hyperlink r:id="rId61" w:history="1">
        <w:r w:rsidR="00074DE8" w:rsidRPr="005C377F">
          <w:rPr>
            <w:rFonts w:eastAsiaTheme="minorHAnsi" w:cstheme="minorBidi"/>
            <w:color w:val="0000FF"/>
            <w:spacing w:val="0"/>
            <w:sz w:val="22"/>
            <w:szCs w:val="22"/>
            <w:u w:val="single"/>
            <w:lang w:eastAsia="en-US"/>
          </w:rPr>
          <w:t>Vulnerable Persons, Police Checks and Criminal Offences</w:t>
        </w:r>
      </w:hyperlink>
    </w:p>
    <w:p w14:paraId="7185C87D" w14:textId="77777777" w:rsidR="00074DE8" w:rsidRPr="005C377F" w:rsidRDefault="00074DE8" w:rsidP="00074DE8">
      <w:pPr>
        <w:spacing w:after="120"/>
        <w:rPr>
          <w:rFonts w:eastAsiaTheme="minorHAnsi" w:cstheme="minorBidi"/>
          <w:spacing w:val="0"/>
          <w:sz w:val="22"/>
          <w:szCs w:val="22"/>
          <w:lang w:eastAsia="en-US"/>
        </w:rPr>
      </w:pPr>
      <w:r w:rsidRPr="005C377F">
        <w:rPr>
          <w:rFonts w:eastAsiaTheme="minorHAnsi" w:cstheme="minorBidi"/>
          <w:spacing w:val="0"/>
          <w:sz w:val="22"/>
          <w:szCs w:val="22"/>
          <w:lang w:eastAsia="en-US"/>
        </w:rPr>
        <w:t>The Community Grants Hub website also has some helpful factsheets for service providers:</w:t>
      </w:r>
    </w:p>
    <w:p w14:paraId="3469560D" w14:textId="77777777" w:rsidR="00074DE8" w:rsidRPr="005C377F" w:rsidRDefault="007036AE" w:rsidP="00074DE8">
      <w:pPr>
        <w:numPr>
          <w:ilvl w:val="0"/>
          <w:numId w:val="47"/>
        </w:numPr>
        <w:spacing w:before="0" w:after="120" w:line="276" w:lineRule="auto"/>
        <w:ind w:left="1077" w:hanging="357"/>
        <w:rPr>
          <w:rFonts w:eastAsiaTheme="minorHAnsi" w:cstheme="minorBidi"/>
          <w:spacing w:val="0"/>
          <w:sz w:val="22"/>
          <w:szCs w:val="22"/>
          <w:lang w:eastAsia="en-US"/>
        </w:rPr>
      </w:pPr>
      <w:hyperlink r:id="rId62" w:history="1">
        <w:r w:rsidR="00074DE8" w:rsidRPr="005C377F">
          <w:rPr>
            <w:rFonts w:eastAsiaTheme="minorHAnsi" w:cstheme="minorBidi"/>
            <w:color w:val="0000FF"/>
            <w:spacing w:val="0"/>
            <w:sz w:val="22"/>
            <w:szCs w:val="22"/>
            <w:u w:val="single"/>
            <w:lang w:eastAsia="en-US"/>
          </w:rPr>
          <w:t>Factsheet on business processes</w:t>
        </w:r>
      </w:hyperlink>
    </w:p>
    <w:p w14:paraId="48170744" w14:textId="77777777" w:rsidR="00074DE8" w:rsidRPr="005C377F" w:rsidRDefault="007036AE" w:rsidP="00074DE8">
      <w:pPr>
        <w:numPr>
          <w:ilvl w:val="0"/>
          <w:numId w:val="47"/>
        </w:numPr>
        <w:spacing w:before="0" w:after="120" w:line="276" w:lineRule="auto"/>
        <w:ind w:left="1077" w:hanging="357"/>
        <w:rPr>
          <w:rFonts w:eastAsiaTheme="minorHAnsi" w:cstheme="minorBidi"/>
          <w:spacing w:val="0"/>
          <w:sz w:val="22"/>
          <w:szCs w:val="22"/>
          <w:lang w:eastAsia="en-US"/>
        </w:rPr>
      </w:pPr>
      <w:hyperlink r:id="rId63" w:history="1">
        <w:r w:rsidR="00074DE8" w:rsidRPr="005C377F">
          <w:rPr>
            <w:rFonts w:eastAsiaTheme="minorHAnsi" w:cstheme="minorBidi"/>
            <w:color w:val="0000FF"/>
            <w:spacing w:val="0"/>
            <w:sz w:val="22"/>
            <w:szCs w:val="22"/>
            <w:u w:val="single"/>
            <w:lang w:eastAsia="en-US"/>
          </w:rPr>
          <w:t>Factsheet on strategic planning</w:t>
        </w:r>
      </w:hyperlink>
    </w:p>
    <w:p w14:paraId="367E8DAD" w14:textId="77777777" w:rsidR="00074DE8" w:rsidRPr="005C377F" w:rsidRDefault="007036AE" w:rsidP="00074DE8">
      <w:pPr>
        <w:numPr>
          <w:ilvl w:val="0"/>
          <w:numId w:val="47"/>
        </w:numPr>
        <w:spacing w:before="0" w:after="120" w:line="276" w:lineRule="auto"/>
        <w:ind w:left="1077" w:hanging="357"/>
        <w:rPr>
          <w:rFonts w:eastAsiaTheme="minorHAnsi" w:cstheme="minorBidi"/>
          <w:spacing w:val="0"/>
          <w:sz w:val="22"/>
          <w:szCs w:val="22"/>
          <w:lang w:eastAsia="en-US"/>
        </w:rPr>
      </w:pPr>
      <w:hyperlink r:id="rId64" w:history="1">
        <w:r w:rsidR="00074DE8" w:rsidRPr="005C377F">
          <w:rPr>
            <w:rFonts w:eastAsiaTheme="minorHAnsi" w:cstheme="minorBidi"/>
            <w:color w:val="0000FF"/>
            <w:spacing w:val="0"/>
            <w:sz w:val="22"/>
            <w:szCs w:val="22"/>
            <w:u w:val="single"/>
            <w:lang w:eastAsia="en-US"/>
          </w:rPr>
          <w:t>Factsheet on workforce design</w:t>
        </w:r>
      </w:hyperlink>
    </w:p>
    <w:p w14:paraId="300DF4C0" w14:textId="60D40B32" w:rsidR="00A77D89" w:rsidRPr="00683499" w:rsidRDefault="00074DE8" w:rsidP="00683499">
      <w:pPr>
        <w:spacing w:before="0" w:after="120" w:line="276" w:lineRule="auto"/>
        <w:rPr>
          <w:rFonts w:eastAsiaTheme="minorHAnsi" w:cstheme="minorBidi"/>
          <w:spacing w:val="0"/>
          <w:sz w:val="22"/>
          <w:szCs w:val="22"/>
          <w:lang w:eastAsia="en-US"/>
        </w:rPr>
      </w:pPr>
      <w:r w:rsidRPr="005C377F">
        <w:rPr>
          <w:rFonts w:eastAsiaTheme="minorHAnsi" w:cstheme="minorBidi"/>
          <w:spacing w:val="0"/>
          <w:sz w:val="22"/>
          <w:szCs w:val="22"/>
          <w:lang w:eastAsia="en-US"/>
        </w:rPr>
        <w:t>The department strongly encourages service providers to visit the Australian Institute of</w:t>
      </w:r>
      <w:r w:rsidR="00922A33">
        <w:rPr>
          <w:rFonts w:eastAsiaTheme="minorHAnsi" w:cstheme="minorBidi"/>
          <w:spacing w:val="0"/>
          <w:sz w:val="22"/>
          <w:szCs w:val="22"/>
          <w:lang w:eastAsia="en-US"/>
        </w:rPr>
        <w:t> </w:t>
      </w:r>
      <w:r w:rsidRPr="005C377F">
        <w:rPr>
          <w:rFonts w:eastAsiaTheme="minorHAnsi" w:cstheme="minorBidi"/>
          <w:spacing w:val="0"/>
          <w:sz w:val="22"/>
          <w:szCs w:val="22"/>
          <w:lang w:eastAsia="en-US"/>
        </w:rPr>
        <w:t xml:space="preserve">Family Studies’ </w:t>
      </w:r>
      <w:hyperlink r:id="rId65" w:history="1">
        <w:r w:rsidRPr="005C377F">
          <w:rPr>
            <w:rFonts w:eastAsiaTheme="minorHAnsi" w:cstheme="minorBidi"/>
            <w:color w:val="0000FF"/>
            <w:spacing w:val="0"/>
            <w:sz w:val="22"/>
            <w:szCs w:val="22"/>
            <w:u w:val="single"/>
            <w:lang w:eastAsia="en-US"/>
          </w:rPr>
          <w:t>Child Family Community Australia (CFCA) webpage</w:t>
        </w:r>
      </w:hyperlink>
      <w:r w:rsidRPr="005C377F">
        <w:rPr>
          <w:rFonts w:eastAsiaTheme="minorHAnsi" w:cstheme="minorBidi"/>
          <w:spacing w:val="0"/>
          <w:sz w:val="22"/>
          <w:szCs w:val="22"/>
          <w:lang w:eastAsia="en-US"/>
        </w:rPr>
        <w:t xml:space="preserve"> for free research and information for service providers that work in the child, family and community welfare sector.</w:t>
      </w:r>
      <w:bookmarkStart w:id="382" w:name="_Toc41647465"/>
    </w:p>
    <w:p w14:paraId="2273277E" w14:textId="77777777" w:rsidR="006238CD" w:rsidRPr="003A6046" w:rsidRDefault="006238CD" w:rsidP="00161FD6">
      <w:pPr>
        <w:pStyle w:val="Heading1"/>
      </w:pPr>
      <w:bookmarkStart w:id="383" w:name="_Toc70599701"/>
      <w:r w:rsidRPr="003A6046">
        <w:t>Privacy</w:t>
      </w:r>
      <w:bookmarkEnd w:id="382"/>
      <w:bookmarkEnd w:id="383"/>
    </w:p>
    <w:p w14:paraId="52BEFC6F" w14:textId="2E2CAB36" w:rsidR="00643789" w:rsidRPr="00AE2599" w:rsidRDefault="00074DE8" w:rsidP="00AE2599">
      <w:pPr>
        <w:rPr>
          <w:sz w:val="22"/>
          <w:szCs w:val="22"/>
        </w:rPr>
      </w:pPr>
      <w:r w:rsidRPr="00A10A27">
        <w:rPr>
          <w:sz w:val="22"/>
          <w:szCs w:val="22"/>
        </w:rPr>
        <w:t>In accordance with the G</w:t>
      </w:r>
      <w:r>
        <w:rPr>
          <w:sz w:val="22"/>
          <w:szCs w:val="22"/>
        </w:rPr>
        <w:t xml:space="preserve">rant </w:t>
      </w:r>
      <w:r w:rsidRPr="00A10A27">
        <w:rPr>
          <w:sz w:val="22"/>
          <w:szCs w:val="22"/>
        </w:rPr>
        <w:t>A</w:t>
      </w:r>
      <w:r>
        <w:rPr>
          <w:sz w:val="22"/>
          <w:szCs w:val="22"/>
        </w:rPr>
        <w:t>greement</w:t>
      </w:r>
      <w:r w:rsidRPr="00A10A27">
        <w:rPr>
          <w:sz w:val="22"/>
          <w:szCs w:val="22"/>
        </w:rPr>
        <w:t xml:space="preserve"> General Conditions, all FMHSS providers must comply with their obligations under the </w:t>
      </w:r>
      <w:r w:rsidRPr="00A10A27">
        <w:rPr>
          <w:i/>
          <w:sz w:val="22"/>
          <w:szCs w:val="22"/>
        </w:rPr>
        <w:t xml:space="preserve">Privacy Act 1988 </w:t>
      </w:r>
      <w:r w:rsidRPr="00A10A27">
        <w:rPr>
          <w:sz w:val="22"/>
          <w:szCs w:val="22"/>
        </w:rPr>
        <w:t>(Privacy Act)</w:t>
      </w:r>
      <w:r>
        <w:rPr>
          <w:sz w:val="22"/>
          <w:szCs w:val="22"/>
        </w:rPr>
        <w:t xml:space="preserve">. </w:t>
      </w:r>
      <w:r w:rsidRPr="00A10A27">
        <w:rPr>
          <w:sz w:val="22"/>
          <w:szCs w:val="22"/>
        </w:rPr>
        <w:t>Information about the National Privacy Principles (NPPs) can be found in the G</w:t>
      </w:r>
      <w:r>
        <w:rPr>
          <w:sz w:val="22"/>
          <w:szCs w:val="22"/>
        </w:rPr>
        <w:t xml:space="preserve">rant </w:t>
      </w:r>
      <w:r w:rsidRPr="00A10A27">
        <w:rPr>
          <w:sz w:val="22"/>
          <w:szCs w:val="22"/>
        </w:rPr>
        <w:t>A</w:t>
      </w:r>
      <w:r>
        <w:rPr>
          <w:sz w:val="22"/>
          <w:szCs w:val="22"/>
        </w:rPr>
        <w:t>greement</w:t>
      </w:r>
      <w:r w:rsidRPr="00A10A27">
        <w:rPr>
          <w:sz w:val="22"/>
          <w:szCs w:val="22"/>
        </w:rPr>
        <w:t xml:space="preserve"> General Conditions.</w:t>
      </w:r>
    </w:p>
    <w:p w14:paraId="03E70984" w14:textId="77777777" w:rsidR="000A468E" w:rsidRPr="005D33DD" w:rsidRDefault="000A468E" w:rsidP="00AE2599">
      <w:pPr>
        <w:pStyle w:val="Heading1"/>
      </w:pPr>
      <w:bookmarkStart w:id="384" w:name="_Toc70599702"/>
      <w:r w:rsidRPr="005D33DD">
        <w:t>Grant Recipient Portal</w:t>
      </w:r>
      <w:bookmarkEnd w:id="384"/>
    </w:p>
    <w:p w14:paraId="5164C29A" w14:textId="77777777" w:rsidR="00074DE8" w:rsidRPr="00AE2599" w:rsidRDefault="00074DE8" w:rsidP="00074DE8">
      <w:pPr>
        <w:keepNext/>
        <w:spacing w:after="0"/>
        <w:rPr>
          <w:rFonts w:cs="Arial"/>
          <w:sz w:val="22"/>
          <w:szCs w:val="22"/>
          <w:shd w:val="clear" w:color="auto" w:fill="FFFFFF"/>
        </w:rPr>
      </w:pPr>
      <w:r w:rsidRPr="00AE2599">
        <w:rPr>
          <w:rFonts w:cs="Arial"/>
          <w:sz w:val="22"/>
          <w:szCs w:val="22"/>
          <w:shd w:val="clear" w:color="auto" w:fill="FFFFFF"/>
        </w:rPr>
        <w:t>The </w:t>
      </w:r>
      <w:hyperlink r:id="rId66" w:history="1">
        <w:r w:rsidRPr="00610B3A">
          <w:rPr>
            <w:rFonts w:eastAsiaTheme="minorHAnsi" w:cstheme="minorBidi"/>
            <w:color w:val="0000FF"/>
            <w:spacing w:val="0"/>
            <w:sz w:val="22"/>
            <w:szCs w:val="22"/>
            <w:u w:val="single"/>
            <w:lang w:eastAsia="en-US"/>
          </w:rPr>
          <w:t>Grant Recipient Portal</w:t>
        </w:r>
      </w:hyperlink>
      <w:r w:rsidRPr="00AE2599">
        <w:rPr>
          <w:rFonts w:cs="Arial"/>
          <w:sz w:val="22"/>
          <w:szCs w:val="22"/>
          <w:shd w:val="clear" w:color="auto" w:fill="FFFFFF"/>
        </w:rPr>
        <w:t> is a platform where grant recipients in</w:t>
      </w:r>
      <w:bookmarkStart w:id="385" w:name="_GoBack"/>
      <w:bookmarkEnd w:id="385"/>
      <w:r w:rsidRPr="00AE2599">
        <w:rPr>
          <w:rFonts w:cs="Arial"/>
          <w:sz w:val="22"/>
          <w:szCs w:val="22"/>
          <w:shd w:val="clear" w:color="auto" w:fill="FFFFFF"/>
        </w:rPr>
        <w:t>teract with the department’s systems and services to self-manage their grant information. The Portal has been designed to make grant management simple and easy. The Portal allows grant recipients to:</w:t>
      </w:r>
    </w:p>
    <w:p w14:paraId="218A69E2" w14:textId="1554C6CC"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access their grants information in one place</w:t>
      </w:r>
      <w:r w:rsidR="00922A33">
        <w:rPr>
          <w:rFonts w:eastAsia="Calibri" w:cs="Arial"/>
          <w:spacing w:val="0"/>
          <w:sz w:val="22"/>
          <w:szCs w:val="22"/>
          <w:lang w:eastAsia="en-US"/>
        </w:rPr>
        <w:t>;</w:t>
      </w:r>
    </w:p>
    <w:p w14:paraId="560CD812" w14:textId="5BF8BB55"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view their activities and milestones</w:t>
      </w:r>
      <w:r w:rsidR="00922A33">
        <w:rPr>
          <w:rFonts w:eastAsia="Calibri" w:cs="Arial"/>
          <w:spacing w:val="0"/>
          <w:sz w:val="22"/>
          <w:szCs w:val="22"/>
          <w:lang w:eastAsia="en-US"/>
        </w:rPr>
        <w:t>;</w:t>
      </w:r>
    </w:p>
    <w:p w14:paraId="45CA03A1" w14:textId="044C4D19"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download copies of their payment advices</w:t>
      </w:r>
      <w:r w:rsidR="00922A33">
        <w:rPr>
          <w:rFonts w:eastAsia="Calibri" w:cs="Arial"/>
          <w:spacing w:val="0"/>
          <w:sz w:val="22"/>
          <w:szCs w:val="22"/>
          <w:lang w:eastAsia="en-US"/>
        </w:rPr>
        <w:t>;</w:t>
      </w:r>
    </w:p>
    <w:p w14:paraId="71FA1033" w14:textId="63559F29"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update their organisational details and adding additional organisational users</w:t>
      </w:r>
      <w:r w:rsidR="00922A33">
        <w:rPr>
          <w:rFonts w:eastAsia="Calibri" w:cs="Arial"/>
          <w:spacing w:val="0"/>
          <w:sz w:val="22"/>
          <w:szCs w:val="22"/>
          <w:lang w:eastAsia="en-US"/>
        </w:rPr>
        <w:t>;</w:t>
      </w:r>
    </w:p>
    <w:p w14:paraId="214C7721" w14:textId="12019BAA"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update their organisation’s bank account details</w:t>
      </w:r>
      <w:r w:rsidR="00922A33">
        <w:rPr>
          <w:rFonts w:eastAsia="Calibri" w:cs="Arial"/>
          <w:spacing w:val="0"/>
          <w:sz w:val="22"/>
          <w:szCs w:val="22"/>
          <w:lang w:eastAsia="en-US"/>
        </w:rPr>
        <w:t>;</w:t>
      </w:r>
    </w:p>
    <w:p w14:paraId="0D82F78C" w14:textId="50695C99" w:rsidR="00074DE8" w:rsidRPr="00AE2599" w:rsidRDefault="00074DE8" w:rsidP="00074DE8">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submit financial acquittals</w:t>
      </w:r>
      <w:r w:rsidR="00922A33">
        <w:rPr>
          <w:rFonts w:eastAsia="Calibri" w:cs="Arial"/>
          <w:spacing w:val="0"/>
          <w:sz w:val="22"/>
          <w:szCs w:val="22"/>
          <w:lang w:eastAsia="en-US"/>
        </w:rPr>
        <w:t>;</w:t>
      </w:r>
      <w:r w:rsidRPr="00AE2599">
        <w:rPr>
          <w:rFonts w:eastAsia="Calibri" w:cs="Arial"/>
          <w:spacing w:val="0"/>
          <w:sz w:val="22"/>
          <w:szCs w:val="22"/>
          <w:lang w:eastAsia="en-US"/>
        </w:rPr>
        <w:t xml:space="preserve"> and </w:t>
      </w:r>
    </w:p>
    <w:p w14:paraId="09CF0BA3" w14:textId="4B6C05A7" w:rsidR="00074DE8" w:rsidRPr="00DC3D55" w:rsidRDefault="00074DE8" w:rsidP="00DC3D55">
      <w:pPr>
        <w:pStyle w:val="ListParagraph"/>
        <w:numPr>
          <w:ilvl w:val="0"/>
          <w:numId w:val="71"/>
        </w:numPr>
        <w:spacing w:before="0" w:after="0" w:line="240" w:lineRule="auto"/>
        <w:rPr>
          <w:rFonts w:eastAsia="Calibri" w:cs="Arial"/>
          <w:spacing w:val="0"/>
          <w:sz w:val="22"/>
          <w:szCs w:val="22"/>
          <w:lang w:eastAsia="en-US"/>
        </w:rPr>
      </w:pPr>
      <w:proofErr w:type="gramStart"/>
      <w:r w:rsidRPr="00AE2599">
        <w:rPr>
          <w:rFonts w:eastAsia="Calibri" w:cs="Arial"/>
          <w:spacing w:val="0"/>
          <w:sz w:val="22"/>
          <w:szCs w:val="22"/>
          <w:lang w:eastAsia="en-US"/>
        </w:rPr>
        <w:t>submit</w:t>
      </w:r>
      <w:proofErr w:type="gramEnd"/>
      <w:r w:rsidRPr="00AE2599">
        <w:rPr>
          <w:rFonts w:eastAsia="Calibri" w:cs="Arial"/>
          <w:spacing w:val="0"/>
          <w:sz w:val="22"/>
          <w:szCs w:val="22"/>
          <w:lang w:eastAsia="en-US"/>
        </w:rPr>
        <w:t xml:space="preserve"> AWPs.</w:t>
      </w:r>
    </w:p>
    <w:p w14:paraId="66FE1473" w14:textId="2DB20BEF" w:rsidR="00074DE8" w:rsidRDefault="00074DE8" w:rsidP="000A468E">
      <w:pPr>
        <w:rPr>
          <w:rFonts w:cs="Arial"/>
          <w:sz w:val="22"/>
          <w:szCs w:val="22"/>
        </w:rPr>
      </w:pPr>
      <w:r w:rsidRPr="00BC5FD7">
        <w:rPr>
          <w:rFonts w:cs="Arial"/>
          <w:sz w:val="22"/>
          <w:szCs w:val="22"/>
        </w:rPr>
        <w:lastRenderedPageBreak/>
        <w:t>The department encourages all grant recipients to use the Grant Recipient Portal. For</w:t>
      </w:r>
      <w:r w:rsidR="00922A33">
        <w:rPr>
          <w:rFonts w:cs="Arial"/>
          <w:sz w:val="22"/>
          <w:szCs w:val="22"/>
        </w:rPr>
        <w:t> </w:t>
      </w:r>
      <w:r w:rsidRPr="00BC5FD7">
        <w:rPr>
          <w:rFonts w:cs="Arial"/>
          <w:sz w:val="22"/>
          <w:szCs w:val="22"/>
        </w:rPr>
        <w:t xml:space="preserve">further information on accessing and using the Portal, please visit the </w:t>
      </w:r>
      <w:hyperlink r:id="rId67" w:history="1">
        <w:r w:rsidRPr="00AE2599">
          <w:rPr>
            <w:rStyle w:val="Hyperlink"/>
            <w:rFonts w:cs="Arial"/>
            <w:szCs w:val="22"/>
          </w:rPr>
          <w:t>Community Grants Hub website</w:t>
        </w:r>
      </w:hyperlink>
      <w:r w:rsidRPr="00BC5FD7">
        <w:rPr>
          <w:rFonts w:cs="Arial"/>
          <w:sz w:val="22"/>
          <w:szCs w:val="22"/>
        </w:rPr>
        <w:t xml:space="preserve"> or contact the </w:t>
      </w:r>
      <w:hyperlink r:id="rId68" w:history="1">
        <w:r w:rsidRPr="00AE2599">
          <w:rPr>
            <w:rStyle w:val="Hyperlink"/>
            <w:rFonts w:cs="Arial"/>
            <w:szCs w:val="22"/>
          </w:rPr>
          <w:t>Community Grants Hub</w:t>
        </w:r>
      </w:hyperlink>
      <w:r w:rsidRPr="00BC5FD7">
        <w:rPr>
          <w:rFonts w:cs="Arial"/>
          <w:sz w:val="22"/>
          <w:szCs w:val="22"/>
        </w:rPr>
        <w:t>.</w:t>
      </w:r>
    </w:p>
    <w:p w14:paraId="3C636E5F" w14:textId="77777777" w:rsidR="00074DE8" w:rsidRPr="005D33DD" w:rsidRDefault="00074DE8" w:rsidP="00074DE8">
      <w:pPr>
        <w:pStyle w:val="Heading1"/>
      </w:pPr>
      <w:bookmarkStart w:id="386" w:name="_Toc70599703"/>
      <w:r>
        <w:t>Primary contact person</w:t>
      </w:r>
      <w:bookmarkEnd w:id="386"/>
    </w:p>
    <w:p w14:paraId="4D8E103F" w14:textId="77777777" w:rsidR="00074DE8" w:rsidRDefault="00074DE8" w:rsidP="000A468E">
      <w:pPr>
        <w:rPr>
          <w:sz w:val="22"/>
          <w:szCs w:val="22"/>
        </w:rPr>
      </w:pPr>
      <w:r w:rsidRPr="00A10A27">
        <w:rPr>
          <w:sz w:val="22"/>
          <w:szCs w:val="22"/>
        </w:rPr>
        <w:t xml:space="preserve">The FMHSS provider must notify the department within five days </w:t>
      </w:r>
      <w:r>
        <w:rPr>
          <w:sz w:val="22"/>
          <w:szCs w:val="22"/>
        </w:rPr>
        <w:t>i</w:t>
      </w:r>
      <w:r w:rsidRPr="00A10A27">
        <w:rPr>
          <w:sz w:val="22"/>
          <w:szCs w:val="22"/>
        </w:rPr>
        <w:t xml:space="preserve">f the primary contact person named in the cover letter accompanying the </w:t>
      </w:r>
      <w:r>
        <w:rPr>
          <w:sz w:val="22"/>
          <w:szCs w:val="22"/>
        </w:rPr>
        <w:t xml:space="preserve">Grant </w:t>
      </w:r>
      <w:r w:rsidRPr="00A10A27">
        <w:rPr>
          <w:sz w:val="22"/>
          <w:szCs w:val="22"/>
        </w:rPr>
        <w:t>A</w:t>
      </w:r>
      <w:r>
        <w:rPr>
          <w:sz w:val="22"/>
          <w:szCs w:val="22"/>
        </w:rPr>
        <w:t>greement</w:t>
      </w:r>
      <w:r w:rsidRPr="00A10A27">
        <w:rPr>
          <w:sz w:val="22"/>
          <w:szCs w:val="22"/>
        </w:rPr>
        <w:t xml:space="preserve"> changes, or the primary contact’s details change.</w:t>
      </w:r>
    </w:p>
    <w:p w14:paraId="5E1223A4" w14:textId="77777777" w:rsidR="00074DE8" w:rsidRPr="005D33DD" w:rsidRDefault="00074DE8" w:rsidP="00074DE8">
      <w:pPr>
        <w:pStyle w:val="Heading1"/>
      </w:pPr>
      <w:bookmarkStart w:id="387" w:name="_Toc70599704"/>
      <w:r>
        <w:t>Changes to your organisation</w:t>
      </w:r>
      <w:bookmarkEnd w:id="387"/>
    </w:p>
    <w:p w14:paraId="78EE33D9" w14:textId="77777777" w:rsidR="00074DE8" w:rsidRDefault="00074DE8" w:rsidP="000A468E">
      <w:pPr>
        <w:rPr>
          <w:sz w:val="22"/>
          <w:szCs w:val="22"/>
        </w:rPr>
      </w:pPr>
      <w:r w:rsidRPr="00A10A27">
        <w:rPr>
          <w:sz w:val="22"/>
          <w:szCs w:val="22"/>
        </w:rPr>
        <w:t xml:space="preserve">Organisations undergoing significant change (such as a change of name, change of legal entity, or change of ABN) must provide 30 days written notice to </w:t>
      </w:r>
      <w:r>
        <w:rPr>
          <w:sz w:val="22"/>
          <w:szCs w:val="22"/>
        </w:rPr>
        <w:t xml:space="preserve">the department </w:t>
      </w:r>
      <w:r w:rsidRPr="00A10A27">
        <w:rPr>
          <w:sz w:val="22"/>
          <w:szCs w:val="22"/>
        </w:rPr>
        <w:t>via the FAM.</w:t>
      </w:r>
    </w:p>
    <w:p w14:paraId="654813E6" w14:textId="77777777" w:rsidR="00074DE8" w:rsidRPr="005D33DD" w:rsidRDefault="00421943" w:rsidP="00074DE8">
      <w:pPr>
        <w:pStyle w:val="Heading1"/>
      </w:pPr>
      <w:bookmarkStart w:id="388" w:name="_Toc70599705"/>
      <w:r>
        <w:t>Disclosure of personnel and personnel changes</w:t>
      </w:r>
      <w:bookmarkEnd w:id="388"/>
    </w:p>
    <w:p w14:paraId="1930595D" w14:textId="77777777" w:rsidR="000A468E" w:rsidRPr="004C3752" w:rsidRDefault="00421943" w:rsidP="000A468E">
      <w:pPr>
        <w:rPr>
          <w:rFonts w:cs="Arial"/>
          <w:sz w:val="22"/>
          <w:szCs w:val="22"/>
        </w:rPr>
      </w:pPr>
      <w:r w:rsidRPr="00A10A27">
        <w:rPr>
          <w:sz w:val="22"/>
          <w:szCs w:val="22"/>
        </w:rPr>
        <w:t>FMHSS providers must advi</w:t>
      </w:r>
      <w:r>
        <w:rPr>
          <w:sz w:val="22"/>
          <w:szCs w:val="22"/>
        </w:rPr>
        <w:t>s</w:t>
      </w:r>
      <w:r w:rsidRPr="00A10A27">
        <w:rPr>
          <w:sz w:val="22"/>
          <w:szCs w:val="22"/>
        </w:rPr>
        <w:t xml:space="preserve">e </w:t>
      </w:r>
      <w:r w:rsidRPr="007223F5">
        <w:rPr>
          <w:sz w:val="22"/>
          <w:szCs w:val="22"/>
        </w:rPr>
        <w:t xml:space="preserve">the department </w:t>
      </w:r>
      <w:r w:rsidRPr="00A10A27">
        <w:rPr>
          <w:sz w:val="22"/>
          <w:szCs w:val="22"/>
        </w:rPr>
        <w:t xml:space="preserve">of the details of personnel providing services (if requested by </w:t>
      </w:r>
      <w:r w:rsidRPr="007223F5">
        <w:rPr>
          <w:sz w:val="22"/>
          <w:szCs w:val="22"/>
        </w:rPr>
        <w:t>the department</w:t>
      </w:r>
      <w:r w:rsidRPr="00A10A27">
        <w:rPr>
          <w:sz w:val="22"/>
          <w:szCs w:val="22"/>
        </w:rPr>
        <w:t>)</w:t>
      </w:r>
      <w:r>
        <w:rPr>
          <w:sz w:val="22"/>
          <w:szCs w:val="22"/>
        </w:rPr>
        <w:t xml:space="preserve">. </w:t>
      </w:r>
      <w:r w:rsidRPr="00A10A27">
        <w:rPr>
          <w:sz w:val="22"/>
          <w:szCs w:val="22"/>
        </w:rPr>
        <w:t xml:space="preserve">Providers must notify </w:t>
      </w:r>
      <w:r w:rsidRPr="007223F5">
        <w:rPr>
          <w:sz w:val="22"/>
          <w:szCs w:val="22"/>
        </w:rPr>
        <w:t xml:space="preserve">the department </w:t>
      </w:r>
      <w:r w:rsidRPr="00A10A27">
        <w:rPr>
          <w:sz w:val="22"/>
          <w:szCs w:val="22"/>
        </w:rPr>
        <w:t>in writing if there are changes to staffing structures that may negatively impact service delivery.</w:t>
      </w:r>
    </w:p>
    <w:p w14:paraId="6AC960F3" w14:textId="77777777" w:rsidR="007B19C7" w:rsidRPr="003A6046" w:rsidRDefault="007B19C7" w:rsidP="00AE2599">
      <w:pPr>
        <w:pStyle w:val="Heading1"/>
      </w:pPr>
      <w:bookmarkStart w:id="389" w:name="_Toc68786813"/>
      <w:bookmarkStart w:id="390" w:name="_Toc68866117"/>
      <w:bookmarkStart w:id="391" w:name="_Toc68874048"/>
      <w:bookmarkStart w:id="392" w:name="_Toc68786814"/>
      <w:bookmarkStart w:id="393" w:name="_Toc68866118"/>
      <w:bookmarkStart w:id="394" w:name="_Toc68874049"/>
      <w:bookmarkStart w:id="395" w:name="_Toc70599706"/>
      <w:bookmarkEnd w:id="389"/>
      <w:bookmarkEnd w:id="390"/>
      <w:bookmarkEnd w:id="391"/>
      <w:bookmarkEnd w:id="392"/>
      <w:bookmarkEnd w:id="393"/>
      <w:bookmarkEnd w:id="394"/>
      <w:r w:rsidRPr="003A6046">
        <w:t>Complaints</w:t>
      </w:r>
      <w:bookmarkEnd w:id="395"/>
    </w:p>
    <w:p w14:paraId="4A994862" w14:textId="77C79F30" w:rsidR="00421943" w:rsidRDefault="00421943" w:rsidP="00421943">
      <w:pPr>
        <w:ind w:left="76"/>
        <w:rPr>
          <w:sz w:val="22"/>
          <w:szCs w:val="22"/>
        </w:rPr>
      </w:pPr>
      <w:r w:rsidRPr="00AC320E">
        <w:rPr>
          <w:sz w:val="22"/>
          <w:szCs w:val="22"/>
        </w:rPr>
        <w:t xml:space="preserve">The department </w:t>
      </w:r>
      <w:r>
        <w:rPr>
          <w:sz w:val="22"/>
          <w:szCs w:val="22"/>
        </w:rPr>
        <w:t>requires</w:t>
      </w:r>
      <w:r w:rsidRPr="00AC320E">
        <w:rPr>
          <w:sz w:val="22"/>
          <w:szCs w:val="22"/>
        </w:rPr>
        <w:t xml:space="preserve"> </w:t>
      </w:r>
      <w:r>
        <w:rPr>
          <w:sz w:val="22"/>
          <w:szCs w:val="22"/>
        </w:rPr>
        <w:t xml:space="preserve">FMHSS </w:t>
      </w:r>
      <w:r w:rsidRPr="00AC320E">
        <w:rPr>
          <w:sz w:val="22"/>
          <w:szCs w:val="22"/>
        </w:rPr>
        <w:t>providers to have a transparent and accessible complaints handling policy</w:t>
      </w:r>
      <w:r>
        <w:rPr>
          <w:sz w:val="22"/>
          <w:szCs w:val="22"/>
        </w:rPr>
        <w:t>. P</w:t>
      </w:r>
      <w:r w:rsidRPr="00A10A27">
        <w:rPr>
          <w:sz w:val="22"/>
          <w:szCs w:val="22"/>
        </w:rPr>
        <w:t xml:space="preserve">roviders </w:t>
      </w:r>
      <w:r>
        <w:rPr>
          <w:sz w:val="22"/>
          <w:szCs w:val="22"/>
        </w:rPr>
        <w:t xml:space="preserve">are expected </w:t>
      </w:r>
      <w:r w:rsidRPr="00A10A27">
        <w:rPr>
          <w:sz w:val="22"/>
          <w:szCs w:val="22"/>
        </w:rPr>
        <w:t>to make their complaints policies and processes readily available to staff,</w:t>
      </w:r>
      <w:r w:rsidRPr="006479AF">
        <w:rPr>
          <w:sz w:val="22"/>
          <w:szCs w:val="22"/>
        </w:rPr>
        <w:t xml:space="preserve"> participants and the public</w:t>
      </w:r>
      <w:r>
        <w:rPr>
          <w:sz w:val="22"/>
          <w:szCs w:val="22"/>
        </w:rPr>
        <w:t xml:space="preserve">. </w:t>
      </w:r>
      <w:r w:rsidRPr="002C18D0">
        <w:rPr>
          <w:sz w:val="22"/>
          <w:szCs w:val="22"/>
        </w:rPr>
        <w:t>Providers should al</w:t>
      </w:r>
      <w:r w:rsidR="00704371">
        <w:rPr>
          <w:sz w:val="22"/>
          <w:szCs w:val="22"/>
        </w:rPr>
        <w:t xml:space="preserve">so maintain appropriate </w:t>
      </w:r>
      <w:proofErr w:type="spellStart"/>
      <w:r w:rsidR="00704371">
        <w:rPr>
          <w:sz w:val="22"/>
          <w:szCs w:val="22"/>
        </w:rPr>
        <w:t>whistle</w:t>
      </w:r>
      <w:r w:rsidRPr="002C18D0">
        <w:rPr>
          <w:sz w:val="22"/>
          <w:szCs w:val="22"/>
        </w:rPr>
        <w:t>blower</w:t>
      </w:r>
      <w:proofErr w:type="spellEnd"/>
      <w:r w:rsidRPr="002C18D0">
        <w:rPr>
          <w:sz w:val="22"/>
          <w:szCs w:val="22"/>
        </w:rPr>
        <w:t xml:space="preserve"> provisions.</w:t>
      </w:r>
    </w:p>
    <w:p w14:paraId="757AA60C" w14:textId="3EF4B7EC" w:rsidR="00421943" w:rsidRPr="00A10A27" w:rsidRDefault="00421943" w:rsidP="00421943">
      <w:pPr>
        <w:ind w:left="76"/>
        <w:rPr>
          <w:sz w:val="22"/>
          <w:szCs w:val="22"/>
        </w:rPr>
      </w:pPr>
      <w:r w:rsidRPr="006479AF">
        <w:rPr>
          <w:sz w:val="22"/>
          <w:szCs w:val="22"/>
        </w:rPr>
        <w:t>A </w:t>
      </w:r>
      <w:r w:rsidRPr="00A10A27">
        <w:rPr>
          <w:sz w:val="22"/>
          <w:szCs w:val="22"/>
        </w:rPr>
        <w:t>complaints policy should include options for escalation both within an organisation and to the department if necessary (e.g. a participant is unhappy with a provider’s handling of their complaint)</w:t>
      </w:r>
      <w:r>
        <w:rPr>
          <w:sz w:val="22"/>
          <w:szCs w:val="22"/>
        </w:rPr>
        <w:t xml:space="preserve">. </w:t>
      </w:r>
      <w:r w:rsidRPr="00A10A27">
        <w:rPr>
          <w:sz w:val="22"/>
          <w:szCs w:val="22"/>
        </w:rPr>
        <w:t>The department expects providers to inform participants of</w:t>
      </w:r>
      <w:r w:rsidR="00922A33">
        <w:rPr>
          <w:sz w:val="22"/>
          <w:szCs w:val="22"/>
        </w:rPr>
        <w:t> </w:t>
      </w:r>
      <w:r w:rsidRPr="00A10A27">
        <w:rPr>
          <w:sz w:val="22"/>
          <w:szCs w:val="22"/>
        </w:rPr>
        <w:t xml:space="preserve">their right to lodge complaints directly </w:t>
      </w:r>
      <w:r>
        <w:rPr>
          <w:sz w:val="22"/>
          <w:szCs w:val="22"/>
        </w:rPr>
        <w:t xml:space="preserve">to the department </w:t>
      </w:r>
      <w:r w:rsidRPr="00A10A27">
        <w:rPr>
          <w:sz w:val="22"/>
          <w:szCs w:val="22"/>
        </w:rPr>
        <w:t xml:space="preserve">via the </w:t>
      </w:r>
      <w:hyperlink r:id="rId69" w:history="1">
        <w:r w:rsidRPr="007F67E5">
          <w:rPr>
            <w:rStyle w:val="Hyperlink"/>
            <w:rFonts w:eastAsiaTheme="majorEastAsia"/>
            <w:szCs w:val="22"/>
          </w:rPr>
          <w:t>Feedback and Complaints</w:t>
        </w:r>
      </w:hyperlink>
      <w:r w:rsidRPr="00A10A27">
        <w:rPr>
          <w:sz w:val="22"/>
          <w:szCs w:val="22"/>
        </w:rPr>
        <w:t xml:space="preserve"> webpage.</w:t>
      </w:r>
    </w:p>
    <w:p w14:paraId="7D412160" w14:textId="77777777" w:rsidR="00421943" w:rsidRDefault="00421943" w:rsidP="00421943">
      <w:pPr>
        <w:ind w:left="76"/>
        <w:rPr>
          <w:sz w:val="22"/>
          <w:szCs w:val="22"/>
        </w:rPr>
      </w:pPr>
      <w:r w:rsidRPr="00A10A27">
        <w:rPr>
          <w:sz w:val="22"/>
          <w:szCs w:val="22"/>
        </w:rPr>
        <w:t>A complaint made by a participant should not adversely affect the relationship between a service provider and the participant</w:t>
      </w:r>
      <w:r>
        <w:rPr>
          <w:sz w:val="22"/>
          <w:szCs w:val="22"/>
        </w:rPr>
        <w:t xml:space="preserve">. </w:t>
      </w:r>
    </w:p>
    <w:p w14:paraId="46AA6C5E" w14:textId="77777777" w:rsidR="00421943" w:rsidRPr="00A10A27" w:rsidRDefault="00421943" w:rsidP="00421943">
      <w:pPr>
        <w:ind w:left="76"/>
        <w:rPr>
          <w:sz w:val="22"/>
          <w:szCs w:val="22"/>
        </w:rPr>
      </w:pPr>
      <w:r w:rsidRPr="00A10A27">
        <w:rPr>
          <w:sz w:val="22"/>
          <w:szCs w:val="22"/>
        </w:rPr>
        <w:t>Please refer to the following webpages for further information:</w:t>
      </w:r>
    </w:p>
    <w:p w14:paraId="130C1BCE" w14:textId="77777777" w:rsidR="00421943" w:rsidRPr="00A10A27" w:rsidRDefault="007036AE" w:rsidP="00421943">
      <w:pPr>
        <w:pStyle w:val="ListParagraph"/>
        <w:numPr>
          <w:ilvl w:val="0"/>
          <w:numId w:val="51"/>
        </w:numPr>
        <w:spacing w:before="0" w:after="0" w:line="240" w:lineRule="auto"/>
        <w:contextualSpacing w:val="0"/>
        <w:rPr>
          <w:sz w:val="22"/>
          <w:szCs w:val="22"/>
        </w:rPr>
      </w:pPr>
      <w:hyperlink r:id="rId70" w:history="1">
        <w:r w:rsidR="00421943" w:rsidRPr="007F67E5">
          <w:rPr>
            <w:rStyle w:val="Hyperlink"/>
            <w:rFonts w:eastAsiaTheme="majorEastAsia"/>
            <w:szCs w:val="22"/>
          </w:rPr>
          <w:t>DSS Feedback and Complaints</w:t>
        </w:r>
      </w:hyperlink>
    </w:p>
    <w:p w14:paraId="52937684" w14:textId="7F874D3D" w:rsidR="00421943" w:rsidRPr="00A10A27" w:rsidRDefault="007036AE" w:rsidP="00421943">
      <w:pPr>
        <w:pStyle w:val="ListParagraph"/>
        <w:numPr>
          <w:ilvl w:val="0"/>
          <w:numId w:val="51"/>
        </w:numPr>
        <w:spacing w:before="0" w:after="0" w:line="240" w:lineRule="auto"/>
        <w:contextualSpacing w:val="0"/>
        <w:rPr>
          <w:sz w:val="22"/>
          <w:szCs w:val="22"/>
        </w:rPr>
      </w:pPr>
      <w:hyperlink r:id="rId71" w:history="1">
        <w:r w:rsidR="00421943" w:rsidRPr="007F67E5">
          <w:rPr>
            <w:rStyle w:val="Hyperlink"/>
            <w:rFonts w:eastAsiaTheme="majorEastAsia"/>
            <w:szCs w:val="22"/>
          </w:rPr>
          <w:t>Grant R</w:t>
        </w:r>
        <w:r w:rsidR="00704371">
          <w:rPr>
            <w:rStyle w:val="Hyperlink"/>
            <w:rFonts w:eastAsiaTheme="majorEastAsia"/>
            <w:szCs w:val="22"/>
          </w:rPr>
          <w:t xml:space="preserve">ecipient Complaints and </w:t>
        </w:r>
        <w:proofErr w:type="spellStart"/>
        <w:r w:rsidR="00704371">
          <w:rPr>
            <w:rStyle w:val="Hyperlink"/>
            <w:rFonts w:eastAsiaTheme="majorEastAsia"/>
            <w:szCs w:val="22"/>
          </w:rPr>
          <w:t>Whistle</w:t>
        </w:r>
        <w:r w:rsidR="00421943" w:rsidRPr="007F67E5">
          <w:rPr>
            <w:rStyle w:val="Hyperlink"/>
            <w:rFonts w:eastAsiaTheme="majorEastAsia"/>
            <w:szCs w:val="22"/>
          </w:rPr>
          <w:t>blower</w:t>
        </w:r>
        <w:proofErr w:type="spellEnd"/>
        <w:r w:rsidR="00421943" w:rsidRPr="007F67E5">
          <w:rPr>
            <w:rStyle w:val="Hyperlink"/>
            <w:rFonts w:eastAsiaTheme="majorEastAsia"/>
            <w:szCs w:val="22"/>
          </w:rPr>
          <w:t xml:space="preserve"> Provisions</w:t>
        </w:r>
      </w:hyperlink>
      <w:r w:rsidR="00421943" w:rsidRPr="00A10A27">
        <w:rPr>
          <w:sz w:val="22"/>
          <w:szCs w:val="22"/>
        </w:rPr>
        <w:t xml:space="preserve"> </w:t>
      </w:r>
    </w:p>
    <w:p w14:paraId="7E368722" w14:textId="77777777" w:rsidR="00DD2B3B" w:rsidRPr="00166FEF" w:rsidRDefault="007036AE" w:rsidP="00AE2599">
      <w:pPr>
        <w:pStyle w:val="ListParagraph"/>
      </w:pPr>
      <w:hyperlink r:id="rId72" w:history="1">
        <w:r w:rsidR="00421943" w:rsidRPr="007F67E5">
          <w:rPr>
            <w:rStyle w:val="Hyperlink"/>
            <w:rFonts w:eastAsiaTheme="majorEastAsia"/>
            <w:szCs w:val="22"/>
          </w:rPr>
          <w:t>Contacting DSS</w:t>
        </w:r>
      </w:hyperlink>
      <w:r w:rsidR="00421943" w:rsidRPr="00A10A27">
        <w:rPr>
          <w:sz w:val="22"/>
          <w:szCs w:val="22"/>
        </w:rPr>
        <w:t>.</w:t>
      </w:r>
    </w:p>
    <w:p w14:paraId="0CEB13BF" w14:textId="77777777" w:rsidR="003C0E10" w:rsidRPr="003C0E10" w:rsidRDefault="003C0E10" w:rsidP="00AE2599">
      <w:pPr>
        <w:pStyle w:val="Heading1"/>
      </w:pPr>
      <w:bookmarkStart w:id="396" w:name="_Toc49512902"/>
      <w:bookmarkStart w:id="397" w:name="_Toc70599707"/>
      <w:r w:rsidRPr="003C0E10">
        <w:t>Hot Issues and Media</w:t>
      </w:r>
      <w:bookmarkEnd w:id="396"/>
      <w:bookmarkEnd w:id="397"/>
    </w:p>
    <w:p w14:paraId="31614B8C" w14:textId="77777777" w:rsidR="003C0E10" w:rsidRPr="00683499" w:rsidRDefault="003C0E10" w:rsidP="003C0E10">
      <w:pPr>
        <w:keepNext/>
        <w:keepLines/>
        <w:spacing w:after="120"/>
        <w:rPr>
          <w:rFonts w:cs="Arial"/>
          <w:sz w:val="22"/>
          <w:szCs w:val="22"/>
        </w:rPr>
      </w:pPr>
      <w:r w:rsidRPr="00683499">
        <w:rPr>
          <w:rFonts w:cs="Arial"/>
          <w:sz w:val="22"/>
          <w:szCs w:val="22"/>
        </w:rPr>
        <w:t xml:space="preserve">Demand for, and increased public, media or political interest/scrutiny will periodically spike due to </w:t>
      </w:r>
      <w:r w:rsidR="00D460B9">
        <w:rPr>
          <w:rFonts w:cs="Arial"/>
          <w:sz w:val="22"/>
          <w:szCs w:val="22"/>
        </w:rPr>
        <w:t>a variety of i</w:t>
      </w:r>
      <w:r w:rsidRPr="00683499">
        <w:rPr>
          <w:rFonts w:cs="Arial"/>
          <w:sz w:val="22"/>
          <w:szCs w:val="22"/>
        </w:rPr>
        <w:t>ssues, including:</w:t>
      </w:r>
    </w:p>
    <w:p w14:paraId="7C9C066F" w14:textId="77777777" w:rsidR="003C0E10" w:rsidRPr="00AE2599" w:rsidRDefault="003C0E10" w:rsidP="00AE2599">
      <w:pPr>
        <w:pStyle w:val="ListParagraph"/>
        <w:numPr>
          <w:ilvl w:val="0"/>
          <w:numId w:val="71"/>
        </w:numPr>
        <w:spacing w:before="0" w:after="0" w:line="240" w:lineRule="auto"/>
        <w:rPr>
          <w:rFonts w:eastAsia="Calibri"/>
          <w:sz w:val="22"/>
          <w:szCs w:val="22"/>
        </w:rPr>
      </w:pPr>
      <w:r w:rsidRPr="00AE2599">
        <w:rPr>
          <w:rFonts w:eastAsia="Calibri" w:cs="Arial"/>
          <w:spacing w:val="0"/>
          <w:sz w:val="22"/>
          <w:szCs w:val="22"/>
          <w:lang w:eastAsia="en-US"/>
        </w:rPr>
        <w:t>something that is of interest to the target group;</w:t>
      </w:r>
    </w:p>
    <w:p w14:paraId="08AFC298" w14:textId="77777777" w:rsidR="003C0E10" w:rsidRPr="00AE2599" w:rsidRDefault="003C0E10" w:rsidP="00AE2599">
      <w:pPr>
        <w:pStyle w:val="ListParagraph"/>
        <w:numPr>
          <w:ilvl w:val="0"/>
          <w:numId w:val="71"/>
        </w:numPr>
        <w:spacing w:before="0" w:after="0" w:line="240" w:lineRule="auto"/>
        <w:rPr>
          <w:rFonts w:eastAsia="Calibri"/>
          <w:sz w:val="22"/>
          <w:szCs w:val="22"/>
        </w:rPr>
      </w:pPr>
      <w:r w:rsidRPr="00AE2599">
        <w:rPr>
          <w:rFonts w:eastAsia="Calibri" w:cs="Arial"/>
          <w:spacing w:val="0"/>
          <w:sz w:val="22"/>
          <w:szCs w:val="22"/>
          <w:lang w:eastAsia="en-US"/>
        </w:rPr>
        <w:t>launches of new initiatives; and</w:t>
      </w:r>
    </w:p>
    <w:p w14:paraId="59C8F4D8" w14:textId="77777777" w:rsidR="003C0E10" w:rsidRPr="00AE2599" w:rsidRDefault="003C0E10" w:rsidP="00AE2599">
      <w:pPr>
        <w:pStyle w:val="ListParagraph"/>
        <w:numPr>
          <w:ilvl w:val="0"/>
          <w:numId w:val="71"/>
        </w:numPr>
        <w:spacing w:before="0" w:after="0" w:line="240" w:lineRule="auto"/>
        <w:rPr>
          <w:rFonts w:eastAsia="Calibri"/>
          <w:sz w:val="22"/>
          <w:szCs w:val="22"/>
        </w:rPr>
      </w:pPr>
      <w:proofErr w:type="gramStart"/>
      <w:r w:rsidRPr="00AE2599">
        <w:rPr>
          <w:rFonts w:eastAsia="Calibri" w:cs="Arial"/>
          <w:spacing w:val="0"/>
          <w:sz w:val="22"/>
          <w:szCs w:val="22"/>
          <w:lang w:eastAsia="en-US"/>
        </w:rPr>
        <w:t>parliamentary</w:t>
      </w:r>
      <w:proofErr w:type="gramEnd"/>
      <w:r w:rsidRPr="00AE2599">
        <w:rPr>
          <w:rFonts w:eastAsia="Calibri" w:cs="Arial"/>
          <w:spacing w:val="0"/>
          <w:sz w:val="22"/>
          <w:szCs w:val="22"/>
          <w:lang w:eastAsia="en-US"/>
        </w:rPr>
        <w:t xml:space="preserve"> proceedings, including senate estimate hearings and question time.</w:t>
      </w:r>
    </w:p>
    <w:p w14:paraId="0D65E215" w14:textId="77777777" w:rsidR="003C0E10" w:rsidRPr="00683499" w:rsidRDefault="003C0E10" w:rsidP="003C0E10">
      <w:pPr>
        <w:autoSpaceDE w:val="0"/>
        <w:autoSpaceDN w:val="0"/>
        <w:adjustRightInd w:val="0"/>
        <w:rPr>
          <w:rStyle w:val="BookTitle"/>
          <w:rFonts w:cs="Arial"/>
          <w:i w:val="0"/>
          <w:iCs w:val="0"/>
          <w:smallCaps w:val="0"/>
          <w:spacing w:val="0"/>
          <w:sz w:val="22"/>
          <w:szCs w:val="22"/>
        </w:rPr>
      </w:pPr>
      <w:r w:rsidRPr="00683499">
        <w:rPr>
          <w:rStyle w:val="BookTitle"/>
          <w:rFonts w:cs="Arial"/>
          <w:i w:val="0"/>
          <w:iCs w:val="0"/>
          <w:smallCaps w:val="0"/>
          <w:spacing w:val="0"/>
          <w:sz w:val="22"/>
          <w:szCs w:val="22"/>
        </w:rPr>
        <w:lastRenderedPageBreak/>
        <w:t xml:space="preserve">Identifying these </w:t>
      </w:r>
      <w:r w:rsidR="00D460B9">
        <w:rPr>
          <w:rStyle w:val="BookTitle"/>
          <w:rFonts w:cs="Arial"/>
          <w:i w:val="0"/>
          <w:iCs w:val="0"/>
          <w:smallCaps w:val="0"/>
          <w:spacing w:val="0"/>
          <w:sz w:val="22"/>
          <w:szCs w:val="22"/>
        </w:rPr>
        <w:t>i</w:t>
      </w:r>
      <w:r w:rsidRPr="00683499">
        <w:rPr>
          <w:rStyle w:val="BookTitle"/>
          <w:rFonts w:cs="Arial"/>
          <w:i w:val="0"/>
          <w:iCs w:val="0"/>
          <w:smallCaps w:val="0"/>
          <w:spacing w:val="0"/>
          <w:sz w:val="22"/>
          <w:szCs w:val="22"/>
        </w:rPr>
        <w:t>ssues and sharing the information with the department will enable more proactive service delivery responses.</w:t>
      </w:r>
    </w:p>
    <w:p w14:paraId="189EEA6A" w14:textId="77777777" w:rsidR="003C0E10" w:rsidRPr="00683499" w:rsidRDefault="003C0E10" w:rsidP="003C0E10">
      <w:pPr>
        <w:autoSpaceDE w:val="0"/>
        <w:autoSpaceDN w:val="0"/>
        <w:adjustRightInd w:val="0"/>
        <w:rPr>
          <w:rStyle w:val="BookTitle"/>
          <w:rFonts w:cs="Arial"/>
          <w:i w:val="0"/>
          <w:iCs w:val="0"/>
          <w:smallCaps w:val="0"/>
          <w:spacing w:val="0"/>
          <w:sz w:val="22"/>
          <w:szCs w:val="22"/>
        </w:rPr>
      </w:pPr>
      <w:r w:rsidRPr="00683499">
        <w:rPr>
          <w:rStyle w:val="BookTitle"/>
          <w:rFonts w:cs="Arial"/>
          <w:i w:val="0"/>
          <w:iCs w:val="0"/>
          <w:smallCaps w:val="0"/>
          <w:spacing w:val="0"/>
          <w:sz w:val="22"/>
          <w:szCs w:val="22"/>
        </w:rPr>
        <w:t>Service providers must also alert the department of any less urgent issues, particularly where they affect services to clients.</w:t>
      </w:r>
    </w:p>
    <w:p w14:paraId="2393B37C" w14:textId="2C620D10" w:rsidR="00EE42BC" w:rsidRDefault="003C0E10" w:rsidP="003C0E10">
      <w:pPr>
        <w:rPr>
          <w:rStyle w:val="BookTitle"/>
          <w:rFonts w:cs="Arial"/>
          <w:i w:val="0"/>
          <w:iCs w:val="0"/>
          <w:smallCaps w:val="0"/>
          <w:spacing w:val="0"/>
          <w:sz w:val="22"/>
          <w:szCs w:val="22"/>
        </w:rPr>
      </w:pPr>
      <w:r w:rsidRPr="00683499">
        <w:rPr>
          <w:rStyle w:val="BookTitle"/>
          <w:rFonts w:cs="Arial"/>
          <w:i w:val="0"/>
          <w:iCs w:val="0"/>
          <w:smallCaps w:val="0"/>
          <w:spacing w:val="0"/>
          <w:sz w:val="22"/>
          <w:szCs w:val="22"/>
        </w:rPr>
        <w:t>The department must be informed if service providers are planning to engage with the media</w:t>
      </w:r>
      <w:r w:rsidR="001724D6">
        <w:rPr>
          <w:rStyle w:val="BookTitle"/>
          <w:rFonts w:cs="Arial"/>
          <w:i w:val="0"/>
          <w:iCs w:val="0"/>
          <w:smallCaps w:val="0"/>
          <w:spacing w:val="0"/>
          <w:sz w:val="22"/>
          <w:szCs w:val="22"/>
        </w:rPr>
        <w:t xml:space="preserve">. </w:t>
      </w:r>
      <w:r w:rsidRPr="00683499">
        <w:rPr>
          <w:rStyle w:val="BookTitle"/>
          <w:rFonts w:cs="Arial"/>
          <w:i w:val="0"/>
          <w:iCs w:val="0"/>
          <w:smallCaps w:val="0"/>
          <w:spacing w:val="0"/>
          <w:sz w:val="22"/>
          <w:szCs w:val="22"/>
        </w:rPr>
        <w:t>It is important that the department is made aware in advance of what issues will be raised as this will allow the department time to prepare for any follow-up enquiries and/or to brief relevant stakeholders as necessary.</w:t>
      </w:r>
    </w:p>
    <w:p w14:paraId="745960C1" w14:textId="0EBEC377" w:rsidR="003C0E10" w:rsidRPr="00683499" w:rsidRDefault="000C612A" w:rsidP="003C0E10">
      <w:pPr>
        <w:rPr>
          <w:rFonts w:cs="Arial"/>
          <w:spacing w:val="0"/>
          <w:sz w:val="22"/>
          <w:szCs w:val="22"/>
        </w:rPr>
      </w:pPr>
      <w:r w:rsidRPr="00683499">
        <w:rPr>
          <w:rFonts w:cs="Arial"/>
          <w:sz w:val="22"/>
          <w:szCs w:val="22"/>
        </w:rPr>
        <w:t>For further information, please refer to</w:t>
      </w:r>
      <w:r w:rsidR="00643789">
        <w:rPr>
          <w:rFonts w:cs="Arial"/>
          <w:sz w:val="22"/>
          <w:szCs w:val="22"/>
        </w:rPr>
        <w:t> </w:t>
      </w:r>
      <w:r w:rsidRPr="00683499">
        <w:rPr>
          <w:rFonts w:cs="Arial"/>
          <w:sz w:val="22"/>
          <w:szCs w:val="22"/>
        </w:rPr>
        <w:t xml:space="preserve">the </w:t>
      </w:r>
      <w:hyperlink r:id="rId73" w:history="1">
        <w:r w:rsidRPr="00683499">
          <w:rPr>
            <w:rStyle w:val="Hyperlink"/>
            <w:rFonts w:eastAsiaTheme="majorEastAsia" w:cs="Arial"/>
            <w:szCs w:val="22"/>
          </w:rPr>
          <w:t>DSS Communication Policy for Services, Activities and Events</w:t>
        </w:r>
      </w:hyperlink>
      <w:r w:rsidRPr="00683499">
        <w:rPr>
          <w:rFonts w:cs="Arial"/>
          <w:sz w:val="22"/>
          <w:szCs w:val="22"/>
        </w:rPr>
        <w:t>.</w:t>
      </w:r>
    </w:p>
    <w:p w14:paraId="23E1BB9C" w14:textId="77777777" w:rsidR="007058BA" w:rsidRPr="00D64F2E" w:rsidRDefault="007058BA" w:rsidP="00AE2599">
      <w:pPr>
        <w:pStyle w:val="Heading1"/>
      </w:pPr>
      <w:bookmarkStart w:id="398" w:name="_Toc70599708"/>
      <w:r w:rsidRPr="00D64F2E">
        <w:t>Critical Incidents</w:t>
      </w:r>
      <w:bookmarkEnd w:id="398"/>
    </w:p>
    <w:p w14:paraId="25E70DF0" w14:textId="6B493804" w:rsidR="00EE42BC" w:rsidRPr="00BC5FD7" w:rsidRDefault="00EE42BC" w:rsidP="00EE42BC">
      <w:pPr>
        <w:keepNext/>
        <w:spacing w:after="0"/>
        <w:rPr>
          <w:rFonts w:cs="Arial"/>
          <w:sz w:val="22"/>
          <w:szCs w:val="22"/>
        </w:rPr>
      </w:pPr>
      <w:r w:rsidRPr="00BC5FD7">
        <w:rPr>
          <w:rFonts w:cs="Arial"/>
          <w:sz w:val="22"/>
          <w:szCs w:val="22"/>
        </w:rPr>
        <w:t>FMHSS providers should notify the department within 24 hours of any incidents occurring (or 24 hours from when they are discovered) that may adversely impact the delivery of</w:t>
      </w:r>
      <w:r w:rsidR="00922A33">
        <w:rPr>
          <w:rFonts w:cs="Arial"/>
          <w:sz w:val="22"/>
          <w:szCs w:val="22"/>
        </w:rPr>
        <w:t> </w:t>
      </w:r>
      <w:r w:rsidRPr="00BC5FD7">
        <w:rPr>
          <w:rFonts w:cs="Arial"/>
          <w:sz w:val="22"/>
          <w:szCs w:val="22"/>
        </w:rPr>
        <w:t>services to FMHSS participants or the reputation of the department.</w:t>
      </w:r>
    </w:p>
    <w:p w14:paraId="2C0E87DB" w14:textId="18C11F82" w:rsidR="00EE42BC" w:rsidRPr="004B6DD5" w:rsidRDefault="00EE42BC" w:rsidP="00EE42BC">
      <w:pPr>
        <w:spacing w:after="0"/>
        <w:rPr>
          <w:rFonts w:cs="Arial"/>
          <w:sz w:val="22"/>
          <w:szCs w:val="22"/>
        </w:rPr>
      </w:pPr>
      <w:r w:rsidRPr="00BC5FD7">
        <w:rPr>
          <w:rFonts w:cs="Arial"/>
          <w:sz w:val="22"/>
          <w:szCs w:val="22"/>
        </w:rPr>
        <w:t>FMHSS participant includes a child or young person who is receiving direct support from the FMHSS Provider. Although the FHMSS Activity is family-focused and carer-inclusive and requires Providers to consider the family member’s or carer’s role in contributing to</w:t>
      </w:r>
      <w:r w:rsidR="00922A33">
        <w:rPr>
          <w:rFonts w:cs="Arial"/>
          <w:sz w:val="22"/>
          <w:szCs w:val="22"/>
        </w:rPr>
        <w:t> </w:t>
      </w:r>
      <w:r w:rsidRPr="00BC5FD7">
        <w:rPr>
          <w:rFonts w:cs="Arial"/>
          <w:sz w:val="22"/>
          <w:szCs w:val="22"/>
        </w:rPr>
        <w:t>the m</w:t>
      </w:r>
      <w:r w:rsidRPr="004B6DD5">
        <w:rPr>
          <w:rFonts w:cs="Arial"/>
          <w:sz w:val="22"/>
          <w:szCs w:val="22"/>
        </w:rPr>
        <w:t>ental health wellbeing of a child or young person, any incident reporting should be about the participant in the FMHSS.</w:t>
      </w:r>
    </w:p>
    <w:p w14:paraId="447EA3F7" w14:textId="77777777" w:rsidR="00EE42BC" w:rsidRPr="00BC5FD7" w:rsidRDefault="00EE42BC" w:rsidP="00AE2599">
      <w:pPr>
        <w:rPr>
          <w:rFonts w:cs="Arial"/>
          <w:sz w:val="22"/>
          <w:szCs w:val="22"/>
        </w:rPr>
      </w:pPr>
      <w:r w:rsidRPr="004B6DD5">
        <w:rPr>
          <w:rFonts w:cs="Arial"/>
          <w:sz w:val="22"/>
          <w:szCs w:val="22"/>
        </w:rPr>
        <w:t xml:space="preserve">Critical incidents can </w:t>
      </w:r>
      <w:r w:rsidRPr="00857EB3">
        <w:rPr>
          <w:rFonts w:cs="Arial"/>
          <w:iCs/>
          <w:sz w:val="22"/>
          <w:szCs w:val="22"/>
        </w:rPr>
        <w:t>include</w:t>
      </w:r>
      <w:r w:rsidRPr="00BC5FD7">
        <w:rPr>
          <w:rFonts w:cs="Arial"/>
          <w:sz w:val="22"/>
          <w:szCs w:val="22"/>
        </w:rPr>
        <w:t xml:space="preserve"> such things as:</w:t>
      </w:r>
    </w:p>
    <w:p w14:paraId="4965188A"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death, injury or abuse of FMHSS participants while in the care of the provider</w:t>
      </w:r>
      <w:r w:rsidR="00922A33">
        <w:rPr>
          <w:rFonts w:eastAsia="Calibri" w:cs="Arial"/>
          <w:spacing w:val="0"/>
          <w:sz w:val="22"/>
          <w:szCs w:val="22"/>
          <w:lang w:eastAsia="en-US"/>
        </w:rPr>
        <w:t>;</w:t>
      </w:r>
    </w:p>
    <w:p w14:paraId="466B4FDB"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death, injury or abuse of FMHSS staff or volunteers</w:t>
      </w:r>
      <w:r w:rsidR="00922A33">
        <w:rPr>
          <w:rFonts w:eastAsia="Calibri" w:cs="Arial"/>
          <w:spacing w:val="0"/>
          <w:sz w:val="22"/>
          <w:szCs w:val="22"/>
          <w:lang w:eastAsia="en-US"/>
        </w:rPr>
        <w:t>;</w:t>
      </w:r>
    </w:p>
    <w:p w14:paraId="1DE369B7"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inappropriate conduct between FMHSS participants and employees</w:t>
      </w:r>
      <w:r w:rsidR="00922A33">
        <w:rPr>
          <w:rFonts w:eastAsia="Calibri" w:cs="Arial"/>
          <w:spacing w:val="0"/>
          <w:sz w:val="22"/>
          <w:szCs w:val="22"/>
          <w:lang w:eastAsia="en-US"/>
        </w:rPr>
        <w:t>;</w:t>
      </w:r>
    </w:p>
    <w:p w14:paraId="385B4D33"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significant damage to, or destruction of, property impacting service delivery</w:t>
      </w:r>
      <w:r w:rsidR="00922A33">
        <w:rPr>
          <w:rFonts w:eastAsia="Calibri" w:cs="Arial"/>
          <w:spacing w:val="0"/>
          <w:sz w:val="22"/>
          <w:szCs w:val="22"/>
          <w:lang w:eastAsia="en-US"/>
        </w:rPr>
        <w:t>;</w:t>
      </w:r>
    </w:p>
    <w:p w14:paraId="21AD6E74"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adverse community reaction to FMHSS activities</w:t>
      </w:r>
      <w:r w:rsidR="00922A33">
        <w:rPr>
          <w:rFonts w:eastAsia="Calibri" w:cs="Arial"/>
          <w:spacing w:val="0"/>
          <w:sz w:val="22"/>
          <w:szCs w:val="22"/>
          <w:lang w:eastAsia="en-US"/>
        </w:rPr>
        <w:t>;</w:t>
      </w:r>
    </w:p>
    <w:p w14:paraId="15731237" w14:textId="1A382E48"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negative media coverage</w:t>
      </w:r>
      <w:r w:rsidR="00922A33">
        <w:rPr>
          <w:rFonts w:eastAsia="Calibri" w:cs="Arial"/>
          <w:spacing w:val="0"/>
          <w:sz w:val="22"/>
          <w:szCs w:val="22"/>
          <w:lang w:eastAsia="en-US"/>
        </w:rPr>
        <w:t>;</w:t>
      </w:r>
      <w:r w:rsidRPr="00AE2599">
        <w:rPr>
          <w:rFonts w:eastAsia="Calibri" w:cs="Arial"/>
          <w:spacing w:val="0"/>
          <w:sz w:val="22"/>
          <w:szCs w:val="22"/>
          <w:lang w:eastAsia="en-US"/>
        </w:rPr>
        <w:t xml:space="preserve"> and</w:t>
      </w:r>
    </w:p>
    <w:p w14:paraId="7A8E72B0" w14:textId="77777777" w:rsidR="00EE42BC" w:rsidRPr="00AE2599" w:rsidRDefault="00EE42BC" w:rsidP="00EE42BC">
      <w:pPr>
        <w:pStyle w:val="ListParagraph"/>
        <w:numPr>
          <w:ilvl w:val="0"/>
          <w:numId w:val="71"/>
        </w:numPr>
        <w:spacing w:before="0" w:after="0" w:line="240" w:lineRule="auto"/>
        <w:rPr>
          <w:rFonts w:eastAsia="Calibri" w:cs="Arial"/>
          <w:spacing w:val="0"/>
          <w:sz w:val="22"/>
          <w:szCs w:val="22"/>
          <w:lang w:eastAsia="en-US"/>
        </w:rPr>
      </w:pPr>
      <w:proofErr w:type="gramStart"/>
      <w:r w:rsidRPr="00AE2599">
        <w:rPr>
          <w:rFonts w:eastAsia="Calibri" w:cs="Arial"/>
          <w:spacing w:val="0"/>
          <w:sz w:val="22"/>
          <w:szCs w:val="22"/>
          <w:lang w:eastAsia="en-US"/>
        </w:rPr>
        <w:t>misuse</w:t>
      </w:r>
      <w:proofErr w:type="gramEnd"/>
      <w:r w:rsidRPr="00AE2599">
        <w:rPr>
          <w:rFonts w:eastAsia="Calibri" w:cs="Arial"/>
          <w:spacing w:val="0"/>
          <w:sz w:val="22"/>
          <w:szCs w:val="22"/>
          <w:lang w:eastAsia="en-US"/>
        </w:rPr>
        <w:t xml:space="preserve"> of FMHSS funding.</w:t>
      </w:r>
    </w:p>
    <w:p w14:paraId="45D2B84F" w14:textId="77777777" w:rsidR="00EE42BC" w:rsidRPr="00BC5FD7" w:rsidRDefault="00EE42BC" w:rsidP="00EE42BC">
      <w:pPr>
        <w:spacing w:after="0"/>
        <w:rPr>
          <w:rFonts w:cs="Arial"/>
          <w:sz w:val="22"/>
          <w:szCs w:val="22"/>
        </w:rPr>
      </w:pPr>
      <w:r w:rsidRPr="00857EB3">
        <w:rPr>
          <w:rFonts w:cs="Arial"/>
          <w:sz w:val="22"/>
          <w:szCs w:val="22"/>
        </w:rPr>
        <w:t>To notify the department, the FMHSS service provider Site Manager must complete the Incident Report Form (</w:t>
      </w:r>
      <w:r w:rsidRPr="0006344F">
        <w:rPr>
          <w:rFonts w:cs="Arial"/>
          <w:sz w:val="22"/>
          <w:szCs w:val="22"/>
        </w:rPr>
        <w:t xml:space="preserve">at </w:t>
      </w:r>
      <w:r w:rsidRPr="0006344F">
        <w:rPr>
          <w:rFonts w:cs="Arial"/>
          <w:b/>
          <w:sz w:val="22"/>
          <w:szCs w:val="22"/>
        </w:rPr>
        <w:t>Appendix H</w:t>
      </w:r>
      <w:r w:rsidRPr="0006344F">
        <w:rPr>
          <w:rFonts w:cs="Arial"/>
          <w:sz w:val="22"/>
          <w:szCs w:val="22"/>
        </w:rPr>
        <w:t>) and</w:t>
      </w:r>
      <w:r w:rsidRPr="00857EB3">
        <w:rPr>
          <w:rFonts w:cs="Arial"/>
          <w:sz w:val="22"/>
          <w:szCs w:val="22"/>
        </w:rPr>
        <w:t xml:space="preserve"> forward it to their FAM. </w:t>
      </w:r>
      <w:r w:rsidRPr="00BC5FD7">
        <w:rPr>
          <w:rFonts w:cs="Arial"/>
          <w:sz w:val="22"/>
          <w:szCs w:val="22"/>
        </w:rPr>
        <w:t>The service provider should telephone their FAM to advise the email is coming, and should confirm the department has received the email via telephone or an email read receipt.</w:t>
      </w:r>
    </w:p>
    <w:p w14:paraId="3FF5779B" w14:textId="77777777" w:rsidR="00EE42BC" w:rsidRPr="00BC5FD7" w:rsidRDefault="00EE42BC" w:rsidP="00EE42BC">
      <w:pPr>
        <w:rPr>
          <w:rFonts w:cs="Arial"/>
          <w:sz w:val="22"/>
          <w:szCs w:val="22"/>
        </w:rPr>
      </w:pPr>
      <w:r w:rsidRPr="00BC5FD7">
        <w:rPr>
          <w:rFonts w:cs="Arial"/>
          <w:sz w:val="22"/>
          <w:szCs w:val="22"/>
        </w:rPr>
        <w:t>The department expects all FMHSS service providers to be familiar with the Incident Report Form template.</w:t>
      </w:r>
    </w:p>
    <w:p w14:paraId="46FA4508" w14:textId="77777777" w:rsidR="00683499" w:rsidRPr="006A0B70" w:rsidRDefault="00EE42BC" w:rsidP="00683499">
      <w:pPr>
        <w:rPr>
          <w:sz w:val="22"/>
          <w:szCs w:val="22"/>
        </w:rPr>
      </w:pPr>
      <w:r w:rsidRPr="00857EB3">
        <w:rPr>
          <w:rFonts w:cs="Arial"/>
          <w:sz w:val="22"/>
          <w:szCs w:val="22"/>
        </w:rPr>
        <w:t>Information supplied to the department should be de-identified. Names and addresses may be requested if the department becomes involved in judicial proceedings as a result of the incident.</w:t>
      </w:r>
    </w:p>
    <w:p w14:paraId="0103E879" w14:textId="158AA78B" w:rsidR="006D5481" w:rsidRPr="007400E6" w:rsidRDefault="009111D5" w:rsidP="007400E6">
      <w:pPr>
        <w:pStyle w:val="Pullouttext"/>
        <w:jc w:val="left"/>
        <w:rPr>
          <w:sz w:val="24"/>
          <w:szCs w:val="24"/>
        </w:rPr>
      </w:pPr>
      <w:bookmarkStart w:id="399" w:name="_Toc43469891"/>
      <w:bookmarkStart w:id="400" w:name="_Toc49515912"/>
      <w:r w:rsidRPr="007400E6">
        <w:rPr>
          <w:sz w:val="24"/>
          <w:szCs w:val="24"/>
          <w:lang w:eastAsia="en-US"/>
        </w:rPr>
        <w:t>Reports to DSS should only be prepared after immediate duty of care and reporting requirements have been addressed.  For example, if someone is in immediate danger please call 000. If an incident is a matter for police or child protection, liaison and resolution with these authorities is always the priority.</w:t>
      </w:r>
    </w:p>
    <w:p w14:paraId="0DFA2BF9" w14:textId="77777777" w:rsidR="00DD593D" w:rsidRDefault="00DD593D">
      <w:pPr>
        <w:spacing w:before="0" w:after="200" w:line="276" w:lineRule="auto"/>
        <w:rPr>
          <w:rFonts w:ascii="Georgia" w:hAnsi="Georgia" w:cs="Arial"/>
          <w:bCs/>
          <w:color w:val="500778"/>
          <w:kern w:val="32"/>
          <w:sz w:val="36"/>
          <w:szCs w:val="32"/>
        </w:rPr>
      </w:pPr>
      <w:bookmarkStart w:id="401" w:name="_Toc43733006"/>
      <w:bookmarkStart w:id="402" w:name="_Toc49432323"/>
      <w:bookmarkStart w:id="403" w:name="_Toc49518634"/>
      <w:bookmarkStart w:id="404" w:name="_Toc68768892"/>
      <w:bookmarkStart w:id="405" w:name="_Toc68775115"/>
      <w:bookmarkStart w:id="406" w:name="_Toc68786821"/>
      <w:bookmarkStart w:id="407" w:name="_Toc68866125"/>
      <w:bookmarkStart w:id="408" w:name="_Toc68874056"/>
      <w:bookmarkStart w:id="409" w:name="_Toc43733008"/>
      <w:bookmarkStart w:id="410" w:name="_Toc49432325"/>
      <w:bookmarkStart w:id="411" w:name="_Toc49518636"/>
      <w:bookmarkStart w:id="412" w:name="_Toc68768894"/>
      <w:bookmarkStart w:id="413" w:name="_Toc68775117"/>
      <w:bookmarkStart w:id="414" w:name="_Toc68786823"/>
      <w:bookmarkStart w:id="415" w:name="_Toc68866127"/>
      <w:bookmarkStart w:id="416" w:name="_Toc6887405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br w:type="page"/>
      </w:r>
    </w:p>
    <w:p w14:paraId="5175A3E8" w14:textId="77777777" w:rsidR="007B19C7" w:rsidRPr="003A6046" w:rsidRDefault="007B19C7" w:rsidP="00AE2599">
      <w:pPr>
        <w:pStyle w:val="Heading2"/>
      </w:pPr>
      <w:bookmarkStart w:id="417" w:name="_Toc70599709"/>
      <w:r w:rsidRPr="003A6046">
        <w:lastRenderedPageBreak/>
        <w:t>Glossary</w:t>
      </w:r>
      <w:bookmarkEnd w:id="417"/>
    </w:p>
    <w:p w14:paraId="291DE651" w14:textId="30B67A63" w:rsidR="00EE42BC" w:rsidRPr="00AE2599" w:rsidRDefault="00EE42BC" w:rsidP="00AE2599">
      <w:pPr>
        <w:spacing w:after="120"/>
        <w:rPr>
          <w:rFonts w:cs="Arial"/>
          <w:sz w:val="22"/>
          <w:szCs w:val="22"/>
        </w:rPr>
      </w:pPr>
      <w:r w:rsidRPr="00AE2599">
        <w:rPr>
          <w:rFonts w:cs="Arial"/>
          <w:b/>
          <w:sz w:val="22"/>
          <w:szCs w:val="22"/>
        </w:rPr>
        <w:t>Activity Work Plan (AWP)</w:t>
      </w:r>
      <w:r w:rsidRPr="00AE2599">
        <w:rPr>
          <w:rFonts w:cs="Arial"/>
          <w:sz w:val="22"/>
          <w:szCs w:val="22"/>
        </w:rPr>
        <w:t xml:space="preserve"> –</w:t>
      </w:r>
      <w:r w:rsidRPr="00AE2599">
        <w:rPr>
          <w:rFonts w:cs="Arial"/>
          <w:b/>
          <w:sz w:val="22"/>
          <w:szCs w:val="22"/>
        </w:rPr>
        <w:t xml:space="preserve"> </w:t>
      </w:r>
      <w:r w:rsidRPr="00AE2599">
        <w:rPr>
          <w:rFonts w:cs="Arial"/>
          <w:sz w:val="22"/>
          <w:szCs w:val="22"/>
        </w:rPr>
        <w:t>is the document that details the activities that will be</w:t>
      </w:r>
      <w:r w:rsidR="00922A33">
        <w:rPr>
          <w:rFonts w:cs="Arial"/>
          <w:sz w:val="22"/>
          <w:szCs w:val="22"/>
        </w:rPr>
        <w:t> </w:t>
      </w:r>
      <w:r w:rsidRPr="00AE2599">
        <w:rPr>
          <w:rFonts w:cs="Arial"/>
          <w:sz w:val="22"/>
          <w:szCs w:val="22"/>
        </w:rPr>
        <w:t>implemented under the Grant Agreement.</w:t>
      </w:r>
    </w:p>
    <w:p w14:paraId="7B198A4A" w14:textId="4C4EFF05" w:rsidR="007E215B" w:rsidRDefault="00EE42BC" w:rsidP="00AE2599">
      <w:pPr>
        <w:pStyle w:val="ListParagraph"/>
        <w:spacing w:after="120"/>
        <w:ind w:left="0"/>
        <w:contextualSpacing w:val="0"/>
        <w:rPr>
          <w:rFonts w:cs="Arial"/>
          <w:sz w:val="22"/>
          <w:szCs w:val="22"/>
        </w:rPr>
      </w:pPr>
      <w:r w:rsidRPr="00AE2599">
        <w:rPr>
          <w:rFonts w:cs="Arial"/>
          <w:b/>
          <w:sz w:val="22"/>
          <w:szCs w:val="22"/>
        </w:rPr>
        <w:t>Assessment</w:t>
      </w:r>
      <w:r w:rsidRPr="00AE2599">
        <w:rPr>
          <w:rFonts w:cs="Arial"/>
          <w:sz w:val="22"/>
          <w:szCs w:val="22"/>
        </w:rPr>
        <w:t xml:space="preserve"> – an initial conversation, after screening has occurred, to determine grounds of which a child or young person is seeking a service. It will provide a</w:t>
      </w:r>
      <w:r w:rsidR="00922A33">
        <w:rPr>
          <w:rFonts w:cs="Arial"/>
          <w:sz w:val="22"/>
          <w:szCs w:val="22"/>
        </w:rPr>
        <w:t> </w:t>
      </w:r>
      <w:r w:rsidRPr="00AE2599">
        <w:rPr>
          <w:rFonts w:cs="Arial"/>
          <w:sz w:val="22"/>
          <w:szCs w:val="22"/>
        </w:rPr>
        <w:t>preliminary understanding of the life circumstances (risk factors and protective factors) of a child or young person and his/her family, and a level of insight into the needs and strengths of the child or young person and his/her family.</w:t>
      </w:r>
    </w:p>
    <w:p w14:paraId="1DDB230F" w14:textId="19B50331"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Children, Young People, Families or Carers Experiencing Significant Risk Factors</w:t>
      </w:r>
      <w:r w:rsidRPr="00AE2599">
        <w:rPr>
          <w:rFonts w:cs="Arial"/>
          <w:sz w:val="22"/>
          <w:szCs w:val="22"/>
        </w:rPr>
        <w:t xml:space="preserve"> </w:t>
      </w:r>
      <w:r w:rsidR="00922A33">
        <w:rPr>
          <w:rFonts w:cs="Arial"/>
          <w:sz w:val="22"/>
          <w:szCs w:val="22"/>
        </w:rPr>
        <w:t>T</w:t>
      </w:r>
      <w:r w:rsidRPr="00AE2599">
        <w:rPr>
          <w:rFonts w:cs="Arial"/>
          <w:sz w:val="22"/>
          <w:szCs w:val="22"/>
        </w:rPr>
        <w:t>here are significant mental health risk factors for children who experience homelessness, unemployment, drug and alcohol abuse, domestic violence, disability and/or history of trauma. They have a higher risk of poor mental health outcomes later in</w:t>
      </w:r>
      <w:r w:rsidR="00922A33">
        <w:rPr>
          <w:rFonts w:cs="Arial"/>
          <w:sz w:val="22"/>
          <w:szCs w:val="22"/>
        </w:rPr>
        <w:t> </w:t>
      </w:r>
      <w:r w:rsidRPr="00AE2599">
        <w:rPr>
          <w:rFonts w:cs="Arial"/>
          <w:sz w:val="22"/>
          <w:szCs w:val="22"/>
        </w:rPr>
        <w:t>life. Such children and young people are regarded as vulnerable and disadvantaged and are regarded as special needs groups for the purposes of these services.</w:t>
      </w:r>
    </w:p>
    <w:p w14:paraId="7ADCB8C2" w14:textId="22E10EE4"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 xml:space="preserve">Service Area </w:t>
      </w:r>
      <w:r w:rsidRPr="00AE2599">
        <w:rPr>
          <w:rFonts w:cs="Arial"/>
          <w:sz w:val="22"/>
          <w:szCs w:val="22"/>
        </w:rPr>
        <w:t>– refers to the geographically defined area in which a particular service is</w:t>
      </w:r>
      <w:r w:rsidR="00922A33">
        <w:rPr>
          <w:rFonts w:cs="Arial"/>
          <w:sz w:val="22"/>
          <w:szCs w:val="22"/>
        </w:rPr>
        <w:t> </w:t>
      </w:r>
      <w:r w:rsidRPr="00AE2599">
        <w:rPr>
          <w:rFonts w:cs="Arial"/>
          <w:sz w:val="22"/>
          <w:szCs w:val="22"/>
        </w:rPr>
        <w:t xml:space="preserve">delivered and in which participants must reside in order to qualify for services from that service provider. </w:t>
      </w:r>
    </w:p>
    <w:p w14:paraId="00A8E12B" w14:textId="77777777"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Cultural competency / sensitivity</w:t>
      </w:r>
      <w:r w:rsidRPr="00AE2599">
        <w:rPr>
          <w:rFonts w:cs="Arial"/>
          <w:sz w:val="22"/>
          <w:szCs w:val="22"/>
        </w:rPr>
        <w:t xml:space="preserve"> –</w:t>
      </w:r>
      <w:r w:rsidRPr="00AE2599">
        <w:rPr>
          <w:rFonts w:cs="Arial"/>
          <w:b/>
          <w:sz w:val="22"/>
          <w:szCs w:val="22"/>
        </w:rPr>
        <w:t xml:space="preserve"> </w:t>
      </w:r>
      <w:r w:rsidRPr="00AE2599">
        <w:rPr>
          <w:rFonts w:cs="Arial"/>
          <w:sz w:val="22"/>
          <w:szCs w:val="22"/>
        </w:rPr>
        <w:t>Cultural competence is awareness of cultural differences. It is the ability to understand, communicate with, and effectively interact with people across cultures. Cultural competence encompasses:</w:t>
      </w:r>
    </w:p>
    <w:p w14:paraId="69D2D74E"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being aware of one’s own world view</w:t>
      </w:r>
      <w:r w:rsidR="00922A33">
        <w:rPr>
          <w:rFonts w:eastAsia="Calibri" w:cs="Arial"/>
          <w:spacing w:val="0"/>
          <w:sz w:val="22"/>
          <w:szCs w:val="22"/>
          <w:lang w:eastAsia="en-US"/>
        </w:rPr>
        <w:t>;</w:t>
      </w:r>
    </w:p>
    <w:p w14:paraId="589ABD60"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developing positive attitudes towards cultural differences</w:t>
      </w:r>
      <w:r w:rsidR="00922A33">
        <w:rPr>
          <w:rFonts w:eastAsia="Calibri" w:cs="Arial"/>
          <w:spacing w:val="0"/>
          <w:sz w:val="22"/>
          <w:szCs w:val="22"/>
          <w:lang w:eastAsia="en-US"/>
        </w:rPr>
        <w:t>;</w:t>
      </w:r>
    </w:p>
    <w:p w14:paraId="436002B6"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gaining knowledge of different cultural practices and world views</w:t>
      </w:r>
      <w:r w:rsidR="00922A33">
        <w:rPr>
          <w:rFonts w:eastAsia="Calibri" w:cs="Arial"/>
          <w:spacing w:val="0"/>
          <w:sz w:val="22"/>
          <w:szCs w:val="22"/>
          <w:lang w:eastAsia="en-US"/>
        </w:rPr>
        <w:t>; and</w:t>
      </w:r>
    </w:p>
    <w:p w14:paraId="5554DD1A"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proofErr w:type="gramStart"/>
      <w:r w:rsidRPr="00AE2599">
        <w:rPr>
          <w:rFonts w:eastAsia="Calibri" w:cs="Arial"/>
          <w:spacing w:val="0"/>
          <w:sz w:val="22"/>
          <w:szCs w:val="22"/>
          <w:lang w:eastAsia="en-US"/>
        </w:rPr>
        <w:t>developing</w:t>
      </w:r>
      <w:proofErr w:type="gramEnd"/>
      <w:r w:rsidRPr="00AE2599">
        <w:rPr>
          <w:rFonts w:eastAsia="Calibri" w:cs="Arial"/>
          <w:spacing w:val="0"/>
          <w:sz w:val="22"/>
          <w:szCs w:val="22"/>
          <w:lang w:eastAsia="en-US"/>
        </w:rPr>
        <w:t xml:space="preserve"> skills for communication and interaction across cultures</w:t>
      </w:r>
      <w:r w:rsidR="00B26DC2">
        <w:rPr>
          <w:rStyle w:val="FootnoteReference"/>
          <w:rFonts w:eastAsia="Calibri" w:cs="Arial"/>
          <w:spacing w:val="0"/>
          <w:sz w:val="22"/>
          <w:szCs w:val="22"/>
          <w:lang w:eastAsia="en-US"/>
        </w:rPr>
        <w:footnoteReference w:id="3"/>
      </w:r>
      <w:r w:rsidRPr="00AE2599">
        <w:rPr>
          <w:rFonts w:eastAsia="Calibri" w:cs="Arial"/>
          <w:spacing w:val="0"/>
          <w:sz w:val="22"/>
          <w:szCs w:val="22"/>
          <w:lang w:eastAsia="en-US"/>
        </w:rPr>
        <w:t>.</w:t>
      </w:r>
    </w:p>
    <w:p w14:paraId="33B3183F" w14:textId="77777777" w:rsidR="00EE42BC" w:rsidRPr="00AE2599" w:rsidRDefault="00EE42BC" w:rsidP="00AE2599">
      <w:pPr>
        <w:pStyle w:val="ListParagraph"/>
        <w:spacing w:after="120"/>
        <w:ind w:left="0"/>
        <w:contextualSpacing w:val="0"/>
        <w:rPr>
          <w:rFonts w:cs="Arial"/>
          <w:sz w:val="22"/>
          <w:szCs w:val="22"/>
        </w:rPr>
      </w:pPr>
      <w:r w:rsidRPr="00AE2599">
        <w:rPr>
          <w:rFonts w:cs="Arial"/>
          <w:sz w:val="22"/>
          <w:szCs w:val="22"/>
        </w:rPr>
        <w:t>A person who is culturally competent can communicate sensitively and effectively with people who have different languages, cultures, religions, genders, ethnicities, disabilities, ages and sexualities. Culturally competent staff strive to provide services consistent with a person’s needs and values.</w:t>
      </w:r>
    </w:p>
    <w:p w14:paraId="78B5EEA4" w14:textId="2B352240"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Culturally and Linguistically Diverse (CALD)</w:t>
      </w:r>
      <w:r w:rsidRPr="00AE2599">
        <w:rPr>
          <w:rFonts w:cs="Arial"/>
          <w:sz w:val="22"/>
          <w:szCs w:val="22"/>
        </w:rPr>
        <w:t xml:space="preserve"> –</w:t>
      </w:r>
      <w:r w:rsidRPr="00AE2599">
        <w:rPr>
          <w:rFonts w:cs="Arial"/>
          <w:b/>
          <w:sz w:val="22"/>
          <w:szCs w:val="22"/>
        </w:rPr>
        <w:t xml:space="preserve"> </w:t>
      </w:r>
      <w:r w:rsidRPr="00AE2599">
        <w:rPr>
          <w:rFonts w:cs="Arial"/>
          <w:sz w:val="22"/>
          <w:szCs w:val="22"/>
        </w:rPr>
        <w:t>People from CALD backgrounds are defined as people who identify “…</w:t>
      </w:r>
      <w:r w:rsidRPr="00AE2599">
        <w:rPr>
          <w:rFonts w:cs="Arial"/>
          <w:i/>
          <w:sz w:val="22"/>
          <w:szCs w:val="22"/>
        </w:rPr>
        <w:t>as having a specific cultural or linguistic affiliation by</w:t>
      </w:r>
      <w:r w:rsidR="00922A33">
        <w:rPr>
          <w:rFonts w:cs="Arial"/>
          <w:i/>
          <w:sz w:val="22"/>
          <w:szCs w:val="22"/>
        </w:rPr>
        <w:t> </w:t>
      </w:r>
      <w:r w:rsidRPr="00AE2599">
        <w:rPr>
          <w:rFonts w:cs="Arial"/>
          <w:i/>
          <w:sz w:val="22"/>
          <w:szCs w:val="22"/>
        </w:rPr>
        <w:t>virtue of their place of birth, ancestry, ethnic origin, religion, preferred language, language(s) spoken at home, or because of their parents’ identification on a similar basis</w:t>
      </w:r>
      <w:r w:rsidR="00B26DC2">
        <w:rPr>
          <w:rStyle w:val="FootnoteReference"/>
          <w:rFonts w:cs="Arial"/>
          <w:i/>
          <w:sz w:val="22"/>
          <w:szCs w:val="22"/>
        </w:rPr>
        <w:footnoteReference w:id="4"/>
      </w:r>
      <w:r w:rsidRPr="00AE2599">
        <w:rPr>
          <w:rFonts w:cs="Arial"/>
          <w:sz w:val="22"/>
          <w:szCs w:val="22"/>
        </w:rPr>
        <w:t>.</w:t>
      </w:r>
    </w:p>
    <w:p w14:paraId="76910DE6" w14:textId="1B6575C2"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Family</w:t>
      </w:r>
      <w:r w:rsidRPr="00AE2599">
        <w:rPr>
          <w:rFonts w:cs="Arial"/>
          <w:sz w:val="22"/>
          <w:szCs w:val="22"/>
        </w:rPr>
        <w:t xml:space="preserve"> – the definition of ‘family’ in these Operational Guidelines is ‘</w:t>
      </w:r>
      <w:r w:rsidRPr="00AE2599">
        <w:rPr>
          <w:rFonts w:cs="Arial"/>
          <w:i/>
          <w:sz w:val="22"/>
          <w:szCs w:val="22"/>
        </w:rPr>
        <w:t>a group of people identified by the participant as their family. This includes all familial arrangements, such as same-sex relationships, kinship, de facto, etc.</w:t>
      </w:r>
      <w:r w:rsidRPr="00AE2599">
        <w:rPr>
          <w:rFonts w:cs="Arial"/>
          <w:sz w:val="22"/>
          <w:szCs w:val="22"/>
        </w:rPr>
        <w:t>’ Carers are included as family members for the purposes of these guidelines. Their role is to support the child or young people in</w:t>
      </w:r>
      <w:r w:rsidR="00922A33">
        <w:rPr>
          <w:rFonts w:cs="Arial"/>
          <w:sz w:val="22"/>
          <w:szCs w:val="22"/>
        </w:rPr>
        <w:t> </w:t>
      </w:r>
      <w:r w:rsidRPr="00AE2599">
        <w:rPr>
          <w:rFonts w:cs="Arial"/>
          <w:sz w:val="22"/>
          <w:szCs w:val="22"/>
        </w:rPr>
        <w:t>all aspects as they participate in FMHSS. The support may include:</w:t>
      </w:r>
    </w:p>
    <w:p w14:paraId="35CF285E"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lastRenderedPageBreak/>
        <w:t>encouraging the child or young people to express their feelings and thoughts,</w:t>
      </w:r>
    </w:p>
    <w:p w14:paraId="674C62B5"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identifying appropriate goals,</w:t>
      </w:r>
    </w:p>
    <w:p w14:paraId="78739B4F"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participating in all assessments and reviews,</w:t>
      </w:r>
    </w:p>
    <w:p w14:paraId="061A1293" w14:textId="3B2812C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updating the child or young person’s change in circumstances with the provider such as changes in the child or young person’s mental health or relocating out of</w:t>
      </w:r>
      <w:r w:rsidR="00922A33">
        <w:rPr>
          <w:rFonts w:eastAsia="Calibri" w:cs="Arial"/>
          <w:spacing w:val="0"/>
          <w:sz w:val="22"/>
          <w:szCs w:val="22"/>
          <w:lang w:eastAsia="en-US"/>
        </w:rPr>
        <w:t> </w:t>
      </w:r>
      <w:r w:rsidRPr="00AE2599">
        <w:rPr>
          <w:rFonts w:eastAsia="Calibri" w:cs="Arial"/>
          <w:spacing w:val="0"/>
          <w:sz w:val="22"/>
          <w:szCs w:val="22"/>
          <w:lang w:eastAsia="en-US"/>
        </w:rPr>
        <w:t>service area,</w:t>
      </w:r>
    </w:p>
    <w:p w14:paraId="31474208"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assisting with the transport of a child or young person to appointments for comfort and reassurance,</w:t>
      </w:r>
    </w:p>
    <w:p w14:paraId="15BD0254"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collaborating with Providers,</w:t>
      </w:r>
    </w:p>
    <w:p w14:paraId="0F0F06B1"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r w:rsidRPr="00AE2599">
        <w:rPr>
          <w:rFonts w:eastAsia="Calibri" w:cs="Arial"/>
          <w:spacing w:val="0"/>
          <w:sz w:val="22"/>
          <w:szCs w:val="22"/>
          <w:lang w:eastAsia="en-US"/>
        </w:rPr>
        <w:t>working closely with Providers to monitor the child or young person’s progress, and</w:t>
      </w:r>
    </w:p>
    <w:p w14:paraId="4E80744A" w14:textId="77777777" w:rsidR="00EE42BC" w:rsidRPr="00AE2599" w:rsidRDefault="00EE42BC">
      <w:pPr>
        <w:pStyle w:val="ListParagraph"/>
        <w:numPr>
          <w:ilvl w:val="0"/>
          <w:numId w:val="71"/>
        </w:numPr>
        <w:spacing w:before="0" w:after="0" w:line="240" w:lineRule="auto"/>
        <w:rPr>
          <w:rFonts w:eastAsia="Calibri" w:cs="Arial"/>
          <w:spacing w:val="0"/>
          <w:sz w:val="22"/>
          <w:szCs w:val="22"/>
          <w:lang w:eastAsia="en-US"/>
        </w:rPr>
      </w:pPr>
      <w:proofErr w:type="gramStart"/>
      <w:r w:rsidRPr="00AE2599">
        <w:rPr>
          <w:rFonts w:eastAsia="Calibri" w:cs="Arial"/>
          <w:spacing w:val="0"/>
          <w:sz w:val="22"/>
          <w:szCs w:val="22"/>
          <w:lang w:eastAsia="en-US"/>
        </w:rPr>
        <w:t>maintaining</w:t>
      </w:r>
      <w:proofErr w:type="gramEnd"/>
      <w:r w:rsidRPr="00AE2599">
        <w:rPr>
          <w:rFonts w:eastAsia="Calibri" w:cs="Arial"/>
          <w:spacing w:val="0"/>
          <w:sz w:val="22"/>
          <w:szCs w:val="22"/>
          <w:lang w:eastAsia="en-US"/>
        </w:rPr>
        <w:t xml:space="preserve"> meeting schedules.</w:t>
      </w:r>
    </w:p>
    <w:p w14:paraId="30FA195E" w14:textId="7ABA20CE" w:rsidR="00EE42BC" w:rsidRPr="00AE2599" w:rsidRDefault="00EE42BC" w:rsidP="00AE2599">
      <w:pPr>
        <w:pStyle w:val="ListParagraph"/>
        <w:spacing w:after="120"/>
        <w:ind w:left="0"/>
        <w:contextualSpacing w:val="0"/>
        <w:rPr>
          <w:rFonts w:cs="Arial"/>
          <w:sz w:val="22"/>
          <w:szCs w:val="22"/>
        </w:rPr>
      </w:pPr>
      <w:r w:rsidRPr="00AE2599">
        <w:rPr>
          <w:rFonts w:cs="Arial"/>
          <w:b/>
          <w:sz w:val="22"/>
          <w:szCs w:val="22"/>
        </w:rPr>
        <w:t>Family Action Plan (FAP)</w:t>
      </w:r>
      <w:r w:rsidRPr="00AE2599">
        <w:rPr>
          <w:rFonts w:cs="Arial"/>
          <w:sz w:val="22"/>
          <w:szCs w:val="22"/>
        </w:rPr>
        <w:t xml:space="preserve"> – the Family Action Plan (FAP) is negotiated between child, young person and family, and the practitioner to record the goals, needs and strengths of</w:t>
      </w:r>
      <w:r w:rsidR="00922A33">
        <w:rPr>
          <w:rFonts w:cs="Arial"/>
          <w:sz w:val="22"/>
          <w:szCs w:val="22"/>
        </w:rPr>
        <w:t> </w:t>
      </w:r>
      <w:r w:rsidRPr="00AE2599">
        <w:rPr>
          <w:rFonts w:cs="Arial"/>
          <w:sz w:val="22"/>
          <w:szCs w:val="22"/>
        </w:rPr>
        <w:t>the referred child or young person, and each significant adult in his/her family who will also be working with the provider. These are reviewed every three months unless there are significant changes that require the FMHSS provider to immediately update the FAP.</w:t>
      </w:r>
    </w:p>
    <w:p w14:paraId="05AC06DD" w14:textId="1F997005" w:rsidR="00EE42BC" w:rsidRPr="00AE2599" w:rsidRDefault="00EE42BC" w:rsidP="00AE2599">
      <w:pPr>
        <w:keepLines/>
        <w:spacing w:after="120"/>
        <w:rPr>
          <w:rFonts w:cs="Arial"/>
          <w:sz w:val="22"/>
          <w:szCs w:val="22"/>
        </w:rPr>
      </w:pPr>
      <w:r w:rsidRPr="00AE2599">
        <w:rPr>
          <w:rFonts w:cs="Arial"/>
          <w:b/>
          <w:sz w:val="22"/>
          <w:szCs w:val="22"/>
        </w:rPr>
        <w:t>Families and Children (</w:t>
      </w:r>
      <w:proofErr w:type="spellStart"/>
      <w:r w:rsidRPr="00AE2599">
        <w:rPr>
          <w:rFonts w:cs="Arial"/>
          <w:b/>
          <w:sz w:val="22"/>
          <w:szCs w:val="22"/>
        </w:rPr>
        <w:t>FaC</w:t>
      </w:r>
      <w:proofErr w:type="spellEnd"/>
      <w:r w:rsidRPr="00AE2599">
        <w:rPr>
          <w:rFonts w:cs="Arial"/>
          <w:b/>
          <w:sz w:val="22"/>
          <w:szCs w:val="22"/>
        </w:rPr>
        <w:t>) Activity</w:t>
      </w:r>
      <w:r w:rsidRPr="00AE2599">
        <w:rPr>
          <w:rFonts w:cs="Arial"/>
          <w:sz w:val="22"/>
          <w:szCs w:val="22"/>
        </w:rPr>
        <w:t xml:space="preserve"> –</w:t>
      </w:r>
      <w:r w:rsidRPr="00AE2599">
        <w:rPr>
          <w:rFonts w:cs="Arial"/>
          <w:b/>
          <w:sz w:val="22"/>
          <w:szCs w:val="22"/>
        </w:rPr>
        <w:t xml:space="preserve"> </w:t>
      </w:r>
      <w:r w:rsidRPr="00AE2599">
        <w:rPr>
          <w:rFonts w:cs="Arial"/>
          <w:sz w:val="22"/>
          <w:szCs w:val="22"/>
        </w:rPr>
        <w:t>is delivered under the Families and Communities Program and aims to support families, strengthen relationships, improve the wellbeing of children and young people and increase participation of people in</w:t>
      </w:r>
      <w:r w:rsidR="00922A33">
        <w:rPr>
          <w:rFonts w:cs="Arial"/>
          <w:sz w:val="22"/>
          <w:szCs w:val="22"/>
        </w:rPr>
        <w:t> </w:t>
      </w:r>
      <w:r w:rsidRPr="00AE2599">
        <w:rPr>
          <w:rFonts w:cs="Arial"/>
          <w:sz w:val="22"/>
          <w:szCs w:val="22"/>
        </w:rPr>
        <w:t>community life to enhance family and community functioning.</w:t>
      </w:r>
    </w:p>
    <w:p w14:paraId="33900C5A" w14:textId="77777777" w:rsidR="00EE42BC" w:rsidRPr="00AE2599" w:rsidRDefault="00EE42BC" w:rsidP="00AE2599">
      <w:pPr>
        <w:pStyle w:val="Default"/>
        <w:spacing w:before="120" w:after="120"/>
        <w:rPr>
          <w:sz w:val="22"/>
          <w:szCs w:val="22"/>
        </w:rPr>
      </w:pPr>
      <w:r w:rsidRPr="00AE2599">
        <w:rPr>
          <w:b/>
          <w:sz w:val="22"/>
          <w:szCs w:val="22"/>
        </w:rPr>
        <w:t xml:space="preserve">Families and Communities Program </w:t>
      </w:r>
      <w:r w:rsidRPr="00AE2599">
        <w:rPr>
          <w:sz w:val="22"/>
          <w:szCs w:val="22"/>
        </w:rPr>
        <w:t>– provides a range of services, focused on strengthening relationships</w:t>
      </w:r>
      <w:r w:rsidRPr="00AE2599">
        <w:rPr>
          <w:rFonts w:eastAsia="Times New Roman"/>
          <w:color w:val="auto"/>
          <w:spacing w:val="4"/>
          <w:sz w:val="22"/>
          <w:szCs w:val="22"/>
          <w:lang w:eastAsia="en-AU"/>
        </w:rPr>
        <w:t>, support families, improve wellbeing of children and young people, reduce the cost of family breakdown, strengthen family and community functioning and facilitate the settlement of migrants and humanitarian entrants into the community</w:t>
      </w:r>
      <w:r w:rsidRPr="00AE2599">
        <w:rPr>
          <w:sz w:val="22"/>
          <w:szCs w:val="22"/>
        </w:rPr>
        <w:t xml:space="preserve"> </w:t>
      </w:r>
    </w:p>
    <w:p w14:paraId="383697C9" w14:textId="6A97E157" w:rsidR="00EE42BC" w:rsidRPr="00AE2599" w:rsidRDefault="00EE42BC" w:rsidP="00AE2599">
      <w:pPr>
        <w:pStyle w:val="ListParagraph"/>
        <w:spacing w:after="120"/>
        <w:ind w:left="0"/>
        <w:rPr>
          <w:rFonts w:cs="Arial"/>
          <w:sz w:val="22"/>
          <w:szCs w:val="22"/>
        </w:rPr>
      </w:pPr>
      <w:r w:rsidRPr="00AE2599">
        <w:rPr>
          <w:rFonts w:cs="Arial"/>
          <w:b/>
          <w:sz w:val="22"/>
          <w:szCs w:val="22"/>
        </w:rPr>
        <w:t>‘First to know’ agencies</w:t>
      </w:r>
      <w:r w:rsidRPr="00AE2599">
        <w:rPr>
          <w:rFonts w:cs="Arial"/>
          <w:sz w:val="22"/>
          <w:szCs w:val="22"/>
        </w:rPr>
        <w:t xml:space="preserve"> – are agencies that are often the first to have concerns that a</w:t>
      </w:r>
      <w:r w:rsidR="00922A33">
        <w:rPr>
          <w:rFonts w:cs="Arial"/>
          <w:sz w:val="22"/>
          <w:szCs w:val="22"/>
        </w:rPr>
        <w:t> </w:t>
      </w:r>
      <w:r w:rsidRPr="00AE2599">
        <w:rPr>
          <w:rFonts w:cs="Arial"/>
          <w:sz w:val="22"/>
          <w:szCs w:val="22"/>
        </w:rPr>
        <w:t>child or young person may be experiencing difficulties or any form of abuse. They include schools, childcare centres, general practitioners, child protection agencies, police and hospitals.</w:t>
      </w:r>
    </w:p>
    <w:p w14:paraId="2169D19D" w14:textId="77777777" w:rsidR="00EE42BC" w:rsidRPr="00AE2599" w:rsidRDefault="00EE42BC" w:rsidP="00AE2599">
      <w:pPr>
        <w:pStyle w:val="Default"/>
        <w:spacing w:before="120" w:after="120"/>
        <w:rPr>
          <w:sz w:val="22"/>
          <w:szCs w:val="22"/>
        </w:rPr>
      </w:pPr>
      <w:r w:rsidRPr="00BC5FD7">
        <w:rPr>
          <w:b/>
          <w:sz w:val="22"/>
          <w:szCs w:val="22"/>
        </w:rPr>
        <w:t>Funding arrangement manager (FAM)</w:t>
      </w:r>
      <w:r w:rsidRPr="00BC5FD7">
        <w:rPr>
          <w:sz w:val="22"/>
          <w:szCs w:val="22"/>
        </w:rPr>
        <w:t xml:space="preserve"> (formerly called grant agreement manager) – departmental officer responsible for the ongoing management of the grant recipient and their compliance with the grant agreement.</w:t>
      </w:r>
    </w:p>
    <w:p w14:paraId="739B3478" w14:textId="77777777" w:rsidR="007E215B" w:rsidRPr="00922A33" w:rsidRDefault="00EE42BC" w:rsidP="00AE2599">
      <w:pPr>
        <w:pStyle w:val="Default"/>
        <w:spacing w:before="120" w:after="120"/>
        <w:rPr>
          <w:sz w:val="22"/>
          <w:szCs w:val="22"/>
        </w:rPr>
      </w:pPr>
      <w:r w:rsidRPr="00AE2599">
        <w:rPr>
          <w:b/>
          <w:sz w:val="22"/>
          <w:szCs w:val="22"/>
        </w:rPr>
        <w:t xml:space="preserve">Grant Agreement </w:t>
      </w:r>
      <w:r w:rsidRPr="00AE2599">
        <w:rPr>
          <w:sz w:val="22"/>
          <w:szCs w:val="22"/>
        </w:rPr>
        <w:t>– the legally binding contract between the department and the service provider</w:t>
      </w:r>
      <w:r w:rsidR="007E215B" w:rsidRPr="00922A33">
        <w:rPr>
          <w:sz w:val="22"/>
          <w:szCs w:val="22"/>
        </w:rPr>
        <w:t>.</w:t>
      </w:r>
    </w:p>
    <w:p w14:paraId="2438E7E4" w14:textId="77777777" w:rsidR="00EE42BC" w:rsidRPr="00AE2599" w:rsidRDefault="00EE42BC" w:rsidP="00AE2599">
      <w:pPr>
        <w:pStyle w:val="Default"/>
        <w:spacing w:before="120" w:after="120"/>
        <w:rPr>
          <w:b/>
          <w:sz w:val="22"/>
          <w:szCs w:val="22"/>
        </w:rPr>
      </w:pPr>
      <w:r w:rsidRPr="00AE2599">
        <w:rPr>
          <w:b/>
          <w:sz w:val="22"/>
          <w:szCs w:val="22"/>
        </w:rPr>
        <w:t xml:space="preserve">Humanitarian entrants </w:t>
      </w:r>
      <w:r w:rsidRPr="00AE2599">
        <w:rPr>
          <w:sz w:val="22"/>
          <w:szCs w:val="22"/>
        </w:rPr>
        <w:t xml:space="preserve">– people who hold or have held a </w:t>
      </w:r>
      <w:hyperlink r:id="rId74" w:history="1">
        <w:r w:rsidRPr="00AE2599">
          <w:rPr>
            <w:sz w:val="22"/>
            <w:szCs w:val="22"/>
          </w:rPr>
          <w:t>humanitarian visa</w:t>
        </w:r>
      </w:hyperlink>
      <w:r w:rsidRPr="00AE2599">
        <w:rPr>
          <w:b/>
          <w:sz w:val="22"/>
          <w:szCs w:val="22"/>
        </w:rPr>
        <w:t>.</w:t>
      </w:r>
    </w:p>
    <w:p w14:paraId="3624D8E4" w14:textId="77777777" w:rsidR="00EE42BC" w:rsidRPr="00AE2599" w:rsidRDefault="00EE42BC" w:rsidP="00AE2599">
      <w:pPr>
        <w:spacing w:after="120"/>
        <w:rPr>
          <w:rFonts w:cs="Arial"/>
          <w:sz w:val="22"/>
          <w:szCs w:val="22"/>
        </w:rPr>
      </w:pPr>
      <w:r w:rsidRPr="00AE2599">
        <w:rPr>
          <w:rFonts w:cs="Arial"/>
          <w:b/>
          <w:sz w:val="22"/>
          <w:szCs w:val="22"/>
        </w:rPr>
        <w:t>Participant</w:t>
      </w:r>
      <w:r w:rsidRPr="00AE2599">
        <w:rPr>
          <w:rFonts w:cs="Arial"/>
          <w:sz w:val="22"/>
          <w:szCs w:val="22"/>
        </w:rPr>
        <w:t xml:space="preserve"> – refers to a child or young person who is receiving direct non-clinical community mental health support service from the FMHSS provider.</w:t>
      </w:r>
    </w:p>
    <w:p w14:paraId="3EA16C1C" w14:textId="77777777" w:rsidR="00EE42BC" w:rsidRPr="00AE2599" w:rsidRDefault="00EE42BC" w:rsidP="00AE2599">
      <w:pPr>
        <w:pStyle w:val="Default"/>
        <w:spacing w:before="120" w:after="120"/>
        <w:rPr>
          <w:sz w:val="22"/>
          <w:szCs w:val="22"/>
        </w:rPr>
      </w:pPr>
      <w:r w:rsidRPr="00AE2599">
        <w:rPr>
          <w:b/>
          <w:sz w:val="22"/>
          <w:szCs w:val="22"/>
        </w:rPr>
        <w:t xml:space="preserve">Program Guidelines </w:t>
      </w:r>
      <w:r w:rsidRPr="00AE2599">
        <w:rPr>
          <w:sz w:val="22"/>
          <w:szCs w:val="22"/>
        </w:rPr>
        <w:t>– are the guidelines applicable to a Sub-Activity.</w:t>
      </w:r>
    </w:p>
    <w:p w14:paraId="51BD3A60" w14:textId="27DC391E" w:rsidR="00EE42BC" w:rsidRPr="00AE2599" w:rsidRDefault="00EE42BC" w:rsidP="00AE2599">
      <w:pPr>
        <w:pStyle w:val="Default"/>
        <w:spacing w:before="120" w:after="120"/>
        <w:rPr>
          <w:sz w:val="22"/>
          <w:szCs w:val="22"/>
        </w:rPr>
      </w:pPr>
      <w:r w:rsidRPr="00AE2599">
        <w:rPr>
          <w:b/>
          <w:sz w:val="22"/>
          <w:szCs w:val="22"/>
        </w:rPr>
        <w:t>Screening</w:t>
      </w:r>
      <w:r w:rsidRPr="00AE2599">
        <w:rPr>
          <w:sz w:val="22"/>
          <w:szCs w:val="22"/>
        </w:rPr>
        <w:t xml:space="preserve"> – the initial process by which a FMHSS provider determines if the service is</w:t>
      </w:r>
      <w:r w:rsidR="00922A33" w:rsidRPr="00922A33">
        <w:rPr>
          <w:sz w:val="22"/>
          <w:szCs w:val="22"/>
        </w:rPr>
        <w:t> </w:t>
      </w:r>
      <w:r w:rsidRPr="00AE2599">
        <w:rPr>
          <w:sz w:val="22"/>
          <w:szCs w:val="22"/>
        </w:rPr>
        <w:t>appropriate for the child or young person, their family or carer, and broadly what type of support is required as a first step. This screening reflects point in time information and does not in any way prohibit further assistance.</w:t>
      </w:r>
    </w:p>
    <w:p w14:paraId="6375444C" w14:textId="77777777" w:rsidR="00EE42BC" w:rsidRPr="00AE2599" w:rsidRDefault="00EE42BC" w:rsidP="00AE2599">
      <w:pPr>
        <w:pStyle w:val="Default"/>
        <w:spacing w:before="120" w:after="120"/>
        <w:rPr>
          <w:sz w:val="22"/>
          <w:szCs w:val="22"/>
        </w:rPr>
      </w:pPr>
      <w:r w:rsidRPr="00AE2599">
        <w:rPr>
          <w:b/>
          <w:sz w:val="22"/>
          <w:szCs w:val="22"/>
        </w:rPr>
        <w:t>The department</w:t>
      </w:r>
      <w:r w:rsidRPr="00AE2599">
        <w:rPr>
          <w:sz w:val="22"/>
          <w:szCs w:val="22"/>
        </w:rPr>
        <w:t xml:space="preserve"> – The Australian Government Department of Social Services.</w:t>
      </w:r>
    </w:p>
    <w:p w14:paraId="24CA0621" w14:textId="77777777" w:rsidR="001D43C9" w:rsidRPr="00AE2599" w:rsidRDefault="00EE42BC" w:rsidP="00AE2599">
      <w:pPr>
        <w:spacing w:after="120"/>
        <w:rPr>
          <w:sz w:val="22"/>
          <w:szCs w:val="22"/>
        </w:rPr>
      </w:pPr>
      <w:r w:rsidRPr="00AE2599">
        <w:rPr>
          <w:rFonts w:cs="Arial"/>
          <w:b/>
          <w:sz w:val="22"/>
          <w:szCs w:val="22"/>
        </w:rPr>
        <w:t>Young people leaving out-of-home care</w:t>
      </w:r>
      <w:r w:rsidRPr="00AE2599">
        <w:rPr>
          <w:rFonts w:cs="Arial"/>
          <w:sz w:val="22"/>
          <w:szCs w:val="22"/>
        </w:rPr>
        <w:t xml:space="preserve"> – </w:t>
      </w:r>
      <w:r w:rsidRPr="00AE2599">
        <w:rPr>
          <w:rFonts w:cs="Arial"/>
          <w:iCs/>
          <w:sz w:val="22"/>
          <w:szCs w:val="22"/>
        </w:rPr>
        <w:t>the</w:t>
      </w:r>
      <w:r w:rsidRPr="00AE2599">
        <w:rPr>
          <w:rFonts w:cs="Arial"/>
          <w:sz w:val="22"/>
          <w:szCs w:val="22"/>
        </w:rPr>
        <w:t xml:space="preserve"> ‘young people leaving care’ target group refers specifically to young people who have been in the formal care of the state and are in the process of transitioning to independence.</w:t>
      </w:r>
    </w:p>
    <w:p w14:paraId="175C30FE" w14:textId="3C242F77" w:rsidR="00755258" w:rsidRDefault="00755258" w:rsidP="006862AC">
      <w:pPr>
        <w:rPr>
          <w:rFonts w:cs="Arial"/>
          <w:highlight w:val="cyan"/>
        </w:rPr>
      </w:pPr>
    </w:p>
    <w:p w14:paraId="3EA2C44C" w14:textId="77777777" w:rsidR="00755258" w:rsidRPr="00683499" w:rsidRDefault="00755258" w:rsidP="00AE2599">
      <w:pPr>
        <w:pStyle w:val="Heading2"/>
      </w:pPr>
      <w:bookmarkStart w:id="418" w:name="_Toc68865765"/>
      <w:bookmarkStart w:id="419" w:name="_Toc70599710"/>
      <w:r w:rsidRPr="00683499">
        <w:lastRenderedPageBreak/>
        <w:t>Appendices</w:t>
      </w:r>
      <w:bookmarkEnd w:id="418"/>
      <w:bookmarkEnd w:id="419"/>
    </w:p>
    <w:p w14:paraId="05517C8B" w14:textId="1FC8016E" w:rsidR="00755258" w:rsidRPr="0030502C" w:rsidRDefault="00755258" w:rsidP="00AE2599">
      <w:pPr>
        <w:pStyle w:val="Heading1"/>
      </w:pPr>
      <w:bookmarkStart w:id="420" w:name="_Toc68865766"/>
      <w:bookmarkStart w:id="421" w:name="_Toc70599711"/>
      <w:r w:rsidRPr="00DF3821">
        <w:t xml:space="preserve">Appendix </w:t>
      </w:r>
      <w:r w:rsidR="006D5481" w:rsidRPr="00DF3821">
        <w:t>A</w:t>
      </w:r>
      <w:r w:rsidRPr="00DF3821">
        <w:t xml:space="preserve"> – </w:t>
      </w:r>
      <w:bookmarkEnd w:id="420"/>
      <w:r w:rsidR="007E215B" w:rsidRPr="0030502C">
        <w:t>Family Action Plan</w:t>
      </w:r>
      <w:bookmarkEnd w:id="421"/>
    </w:p>
    <w:p w14:paraId="22238750" w14:textId="77777777" w:rsidR="007E215B" w:rsidRPr="00B47D87" w:rsidRDefault="007E215B" w:rsidP="00B47D87">
      <w:pPr>
        <w:pStyle w:val="Heading4"/>
      </w:pPr>
      <w:bookmarkStart w:id="422" w:name="_Toc70599712"/>
      <w:r w:rsidRPr="00B47D87">
        <w:t>What is a Family Action Plan?</w:t>
      </w:r>
      <w:bookmarkEnd w:id="422"/>
    </w:p>
    <w:p w14:paraId="480ABEFC" w14:textId="77777777" w:rsidR="007E215B" w:rsidRPr="00A10A27" w:rsidRDefault="007E215B" w:rsidP="007E215B">
      <w:pPr>
        <w:spacing w:after="0"/>
        <w:rPr>
          <w:rFonts w:cs="Arial"/>
          <w:sz w:val="22"/>
          <w:szCs w:val="22"/>
        </w:rPr>
      </w:pPr>
      <w:r w:rsidRPr="00A10A27">
        <w:rPr>
          <w:rFonts w:cs="Arial"/>
          <w:sz w:val="22"/>
          <w:szCs w:val="22"/>
        </w:rPr>
        <w:t xml:space="preserve">The Family Action Plan (FAP) is used to record the goals, needs, strengths, difficulties and progress of the referred child or young person, and each significant person in their family who is also working with the provider. </w:t>
      </w:r>
    </w:p>
    <w:p w14:paraId="5F4DA8DB" w14:textId="77777777" w:rsidR="007E215B" w:rsidRPr="00A10A27" w:rsidRDefault="007E215B" w:rsidP="007E215B">
      <w:pPr>
        <w:spacing w:after="0"/>
        <w:rPr>
          <w:sz w:val="22"/>
          <w:szCs w:val="22"/>
        </w:rPr>
      </w:pPr>
      <w:r w:rsidRPr="00A10A27">
        <w:rPr>
          <w:sz w:val="22"/>
          <w:szCs w:val="22"/>
        </w:rPr>
        <w:t xml:space="preserve">A FAP should be developed for all children and young people assessed as requiring intensive, long-term, early intervention support, with the support of their families. FAPs should be reviewed and revised </w:t>
      </w:r>
      <w:r w:rsidRPr="00A10A27">
        <w:rPr>
          <w:i/>
          <w:sz w:val="22"/>
          <w:szCs w:val="22"/>
        </w:rPr>
        <w:t>at least once every three months</w:t>
      </w:r>
      <w:r w:rsidRPr="00A10A27">
        <w:rPr>
          <w:sz w:val="22"/>
          <w:szCs w:val="22"/>
        </w:rPr>
        <w:t xml:space="preserve">. </w:t>
      </w:r>
    </w:p>
    <w:p w14:paraId="4153B532" w14:textId="77777777" w:rsidR="007E215B" w:rsidRDefault="007E215B" w:rsidP="007E215B">
      <w:pPr>
        <w:spacing w:after="0"/>
        <w:rPr>
          <w:rFonts w:cs="Arial"/>
          <w:sz w:val="22"/>
          <w:szCs w:val="22"/>
        </w:rPr>
      </w:pPr>
      <w:r w:rsidRPr="00A10A27">
        <w:rPr>
          <w:rFonts w:cs="Arial"/>
          <w:sz w:val="22"/>
          <w:szCs w:val="22"/>
        </w:rPr>
        <w:t xml:space="preserve">The life domain goals or issues that may be considered when developing the FAP include: </w:t>
      </w:r>
    </w:p>
    <w:p w14:paraId="435B1E9F"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 xml:space="preserve">Physical health </w:t>
      </w:r>
    </w:p>
    <w:p w14:paraId="19B2A357"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 xml:space="preserve">Mental health and emotional wellbeing </w:t>
      </w:r>
    </w:p>
    <w:p w14:paraId="7530F175"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Relationships (including social networks and relationships, and family relationships and functioning)</w:t>
      </w:r>
    </w:p>
    <w:p w14:paraId="71ABFFD3"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Material wellbeing (including housing and self-care and living skills)</w:t>
      </w:r>
    </w:p>
    <w:p w14:paraId="6E823843"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Learning and development (including school attendance/learning and sport/recreational activities)</w:t>
      </w:r>
    </w:p>
    <w:p w14:paraId="14B550DD" w14:textId="77777777" w:rsidR="007E215B" w:rsidRPr="00A419A0" w:rsidRDefault="007E215B" w:rsidP="007E215B">
      <w:pPr>
        <w:numPr>
          <w:ilvl w:val="0"/>
          <w:numId w:val="84"/>
        </w:numPr>
        <w:spacing w:before="0" w:after="0" w:line="276" w:lineRule="auto"/>
        <w:rPr>
          <w:rFonts w:cs="Arial"/>
          <w:sz w:val="22"/>
          <w:szCs w:val="22"/>
        </w:rPr>
      </w:pPr>
      <w:r w:rsidRPr="00A419A0">
        <w:rPr>
          <w:rFonts w:cs="Arial"/>
          <w:sz w:val="22"/>
          <w:szCs w:val="22"/>
        </w:rPr>
        <w:t>Safety (including child and family safety).</w:t>
      </w:r>
    </w:p>
    <w:p w14:paraId="0AEBDEC4" w14:textId="77777777" w:rsidR="007E215B" w:rsidRDefault="007E215B" w:rsidP="007E215B">
      <w:pPr>
        <w:spacing w:after="0"/>
        <w:rPr>
          <w:sz w:val="22"/>
          <w:szCs w:val="22"/>
        </w:rPr>
      </w:pPr>
      <w:r w:rsidRPr="00A10A27">
        <w:rPr>
          <w:sz w:val="22"/>
          <w:szCs w:val="22"/>
        </w:rPr>
        <w:t>The voices of children and young people should be sought, heard and included in the development of FAPs</w:t>
      </w:r>
      <w:r>
        <w:rPr>
          <w:sz w:val="22"/>
          <w:szCs w:val="22"/>
        </w:rPr>
        <w:t xml:space="preserve">. </w:t>
      </w:r>
      <w:r w:rsidRPr="00A10A27">
        <w:rPr>
          <w:sz w:val="22"/>
          <w:szCs w:val="22"/>
        </w:rPr>
        <w:t xml:space="preserve">FAPs are living documents and remain the property of the child or young person. </w:t>
      </w:r>
    </w:p>
    <w:p w14:paraId="15CDCCB0" w14:textId="77777777" w:rsidR="007E215B" w:rsidRDefault="007E215B" w:rsidP="00B47D87">
      <w:pPr>
        <w:pStyle w:val="Heading4"/>
      </w:pPr>
      <w:bookmarkStart w:id="423" w:name="_Toc70599713"/>
      <w:r>
        <w:t>Developing a Family Action Plan</w:t>
      </w:r>
      <w:bookmarkEnd w:id="423"/>
    </w:p>
    <w:p w14:paraId="13323A5B" w14:textId="77777777" w:rsidR="007E215B" w:rsidRPr="00A10A27" w:rsidRDefault="007E215B" w:rsidP="007E215B">
      <w:pPr>
        <w:spacing w:after="0"/>
        <w:rPr>
          <w:rFonts w:cs="Arial"/>
          <w:sz w:val="22"/>
          <w:szCs w:val="22"/>
        </w:rPr>
      </w:pPr>
      <w:r w:rsidRPr="00A10A27">
        <w:rPr>
          <w:rFonts w:cs="Arial"/>
          <w:sz w:val="22"/>
          <w:szCs w:val="22"/>
        </w:rPr>
        <w:t xml:space="preserve">A FAP template is provided in </w:t>
      </w:r>
      <w:r>
        <w:rPr>
          <w:rFonts w:cs="Arial"/>
          <w:sz w:val="22"/>
          <w:szCs w:val="22"/>
        </w:rPr>
        <w:t>below</w:t>
      </w:r>
      <w:r w:rsidRPr="00A10A27">
        <w:rPr>
          <w:rFonts w:cs="Arial"/>
          <w:sz w:val="22"/>
          <w:szCs w:val="22"/>
        </w:rPr>
        <w:t xml:space="preserve">. This template is simple and can be modified to make it more interesting and engaging for participants, depending on their age, cultural background and other personal interests. </w:t>
      </w:r>
      <w:r>
        <w:rPr>
          <w:rFonts w:cs="Arial"/>
          <w:sz w:val="22"/>
          <w:szCs w:val="22"/>
        </w:rPr>
        <w:t>The department</w:t>
      </w:r>
      <w:r w:rsidRPr="00A10A27">
        <w:rPr>
          <w:rFonts w:cs="Arial"/>
          <w:sz w:val="22"/>
          <w:szCs w:val="22"/>
        </w:rPr>
        <w:t xml:space="preserve"> </w:t>
      </w:r>
      <w:r>
        <w:rPr>
          <w:rFonts w:cs="Arial"/>
          <w:sz w:val="22"/>
          <w:szCs w:val="22"/>
        </w:rPr>
        <w:t>requests</w:t>
      </w:r>
      <w:r w:rsidRPr="00A10A27">
        <w:rPr>
          <w:rFonts w:cs="Arial"/>
          <w:sz w:val="22"/>
          <w:szCs w:val="22"/>
        </w:rPr>
        <w:t xml:space="preserve"> </w:t>
      </w:r>
      <w:r>
        <w:rPr>
          <w:rFonts w:cs="Arial"/>
          <w:sz w:val="22"/>
          <w:szCs w:val="22"/>
        </w:rPr>
        <w:t>p</w:t>
      </w:r>
      <w:r w:rsidRPr="00A10A27">
        <w:rPr>
          <w:rFonts w:cs="Arial"/>
          <w:sz w:val="22"/>
          <w:szCs w:val="22"/>
        </w:rPr>
        <w:t xml:space="preserve">roviders to base their modified FAP on the template contained in this document. </w:t>
      </w:r>
    </w:p>
    <w:p w14:paraId="08F5744D" w14:textId="77777777" w:rsidR="007E215B" w:rsidRPr="00A10A27" w:rsidRDefault="007E215B" w:rsidP="007E215B">
      <w:pPr>
        <w:spacing w:after="0"/>
        <w:rPr>
          <w:rFonts w:cs="Arial"/>
          <w:sz w:val="22"/>
          <w:szCs w:val="22"/>
        </w:rPr>
      </w:pPr>
      <w:r w:rsidRPr="00A10A27">
        <w:rPr>
          <w:rFonts w:cs="Arial"/>
          <w:sz w:val="22"/>
          <w:szCs w:val="22"/>
        </w:rPr>
        <w:t>The FAP has at least two sections – one for the child or young person and one for each of the significant other family members who are working with the provider to support the child or young person.</w:t>
      </w:r>
    </w:p>
    <w:p w14:paraId="4B7B6D23" w14:textId="539B65EE" w:rsidR="007E215B" w:rsidRPr="00A10A27" w:rsidRDefault="007E215B" w:rsidP="007E215B">
      <w:pPr>
        <w:spacing w:after="0"/>
        <w:rPr>
          <w:rFonts w:cs="Arial"/>
          <w:sz w:val="22"/>
          <w:szCs w:val="22"/>
        </w:rPr>
      </w:pPr>
      <w:r w:rsidRPr="00A10A27">
        <w:rPr>
          <w:rFonts w:cs="Arial"/>
          <w:sz w:val="22"/>
          <w:szCs w:val="22"/>
        </w:rPr>
        <w:t>The FAP is linked with the mandatory client level data in DEX (described on pages 48-49 of the Data Exchange Protocols</w:t>
      </w:r>
      <w:r w:rsidRPr="00A9042F">
        <w:rPr>
          <w:rStyle w:val="Hyperlink"/>
          <w:rFonts w:eastAsiaTheme="majorEastAsia"/>
          <w:u w:val="none"/>
        </w:rPr>
        <w:t>,</w:t>
      </w:r>
      <w:r w:rsidR="00A9042F">
        <w:rPr>
          <w:rStyle w:val="Hyperlink"/>
          <w:rFonts w:eastAsiaTheme="majorEastAsia"/>
          <w:u w:val="none"/>
        </w:rPr>
        <w:t xml:space="preserve"> </w:t>
      </w:r>
      <w:hyperlink r:id="rId75" w:history="1">
        <w:r w:rsidR="00A9042F" w:rsidRPr="00A9042F">
          <w:rPr>
            <w:rStyle w:val="Hyperlink"/>
            <w:rFonts w:eastAsiaTheme="majorEastAsia" w:cs="Arial"/>
            <w:szCs w:val="22"/>
          </w:rPr>
          <w:t>https://dex.dss.gov.au/data-exchange-protocols/</w:t>
        </w:r>
      </w:hyperlink>
      <w:r w:rsidRPr="00A10A27">
        <w:rPr>
          <w:rFonts w:cs="Arial"/>
          <w:sz w:val="22"/>
          <w:szCs w:val="22"/>
        </w:rPr>
        <w:t xml:space="preserve">). </w:t>
      </w:r>
    </w:p>
    <w:p w14:paraId="5916B646" w14:textId="77777777" w:rsidR="007E215B" w:rsidRPr="00A10A27" w:rsidRDefault="007E215B" w:rsidP="007E215B">
      <w:pPr>
        <w:spacing w:after="0"/>
        <w:rPr>
          <w:rFonts w:cs="Arial"/>
          <w:sz w:val="22"/>
          <w:szCs w:val="22"/>
        </w:rPr>
      </w:pPr>
      <w:r w:rsidRPr="00A10A27">
        <w:rPr>
          <w:rFonts w:cs="Arial"/>
          <w:sz w:val="22"/>
          <w:szCs w:val="22"/>
        </w:rPr>
        <w:t>If appropriate, a FAP can also include:</w:t>
      </w:r>
    </w:p>
    <w:p w14:paraId="575B7E1C" w14:textId="77777777" w:rsidR="007E215B" w:rsidRPr="00A10A27" w:rsidRDefault="007E215B" w:rsidP="007E215B">
      <w:pPr>
        <w:pStyle w:val="CommentText"/>
        <w:numPr>
          <w:ilvl w:val="0"/>
          <w:numId w:val="87"/>
        </w:numPr>
        <w:spacing w:before="0" w:after="0"/>
        <w:rPr>
          <w:sz w:val="22"/>
          <w:szCs w:val="22"/>
        </w:rPr>
      </w:pPr>
      <w:r w:rsidRPr="00A10A27">
        <w:rPr>
          <w:sz w:val="22"/>
          <w:szCs w:val="22"/>
        </w:rPr>
        <w:t>The child/young person’s strengths.</w:t>
      </w:r>
    </w:p>
    <w:p w14:paraId="6C01DA7A" w14:textId="77777777" w:rsidR="007E215B" w:rsidRPr="00A10A27" w:rsidRDefault="007E215B" w:rsidP="007E215B">
      <w:pPr>
        <w:pStyle w:val="CommentText"/>
        <w:numPr>
          <w:ilvl w:val="0"/>
          <w:numId w:val="87"/>
        </w:numPr>
        <w:spacing w:before="0" w:after="0"/>
        <w:rPr>
          <w:sz w:val="22"/>
          <w:szCs w:val="22"/>
        </w:rPr>
      </w:pPr>
      <w:r w:rsidRPr="00A10A27">
        <w:rPr>
          <w:sz w:val="22"/>
          <w:szCs w:val="22"/>
        </w:rPr>
        <w:t>What they can do to help themselves.</w:t>
      </w:r>
    </w:p>
    <w:p w14:paraId="1E276026" w14:textId="77777777" w:rsidR="007E215B" w:rsidRPr="00A10A27" w:rsidRDefault="007E215B" w:rsidP="007E215B">
      <w:pPr>
        <w:pStyle w:val="CommentText"/>
        <w:numPr>
          <w:ilvl w:val="0"/>
          <w:numId w:val="87"/>
        </w:numPr>
        <w:spacing w:before="0" w:after="0"/>
        <w:rPr>
          <w:sz w:val="22"/>
          <w:szCs w:val="22"/>
        </w:rPr>
      </w:pPr>
      <w:r w:rsidRPr="00A10A27">
        <w:rPr>
          <w:sz w:val="22"/>
          <w:szCs w:val="22"/>
        </w:rPr>
        <w:t>Which other people can help them and how</w:t>
      </w:r>
    </w:p>
    <w:p w14:paraId="67A065F2" w14:textId="77777777" w:rsidR="007E215B" w:rsidRPr="00A10A27" w:rsidRDefault="007E215B" w:rsidP="007E215B">
      <w:pPr>
        <w:pStyle w:val="CommentText"/>
        <w:numPr>
          <w:ilvl w:val="0"/>
          <w:numId w:val="87"/>
        </w:numPr>
        <w:spacing w:before="0" w:after="0"/>
        <w:rPr>
          <w:sz w:val="22"/>
          <w:szCs w:val="22"/>
        </w:rPr>
      </w:pPr>
      <w:r w:rsidRPr="00A10A27">
        <w:rPr>
          <w:sz w:val="22"/>
          <w:szCs w:val="22"/>
        </w:rPr>
        <w:t>How will they know they are finding it easier to manage their issues</w:t>
      </w:r>
    </w:p>
    <w:p w14:paraId="0F73F472" w14:textId="77777777" w:rsidR="007E215B" w:rsidRPr="00A10A27" w:rsidRDefault="007E215B" w:rsidP="007E215B">
      <w:pPr>
        <w:pStyle w:val="CommentText"/>
        <w:numPr>
          <w:ilvl w:val="0"/>
          <w:numId w:val="87"/>
        </w:numPr>
        <w:spacing w:before="0" w:after="0"/>
        <w:rPr>
          <w:sz w:val="22"/>
          <w:szCs w:val="22"/>
        </w:rPr>
      </w:pPr>
      <w:r w:rsidRPr="00A10A27">
        <w:rPr>
          <w:sz w:val="22"/>
          <w:szCs w:val="22"/>
        </w:rPr>
        <w:t>How will they know they are finding it more difficult to manage their issues</w:t>
      </w:r>
    </w:p>
    <w:p w14:paraId="6E7572BB" w14:textId="77777777" w:rsidR="007E215B" w:rsidRPr="00A10A27" w:rsidRDefault="007E215B" w:rsidP="007E215B">
      <w:pPr>
        <w:pStyle w:val="CommentText"/>
        <w:numPr>
          <w:ilvl w:val="0"/>
          <w:numId w:val="87"/>
        </w:numPr>
        <w:spacing w:before="0" w:after="0"/>
        <w:rPr>
          <w:sz w:val="22"/>
          <w:szCs w:val="22"/>
        </w:rPr>
      </w:pPr>
      <w:r w:rsidRPr="00A10A27">
        <w:rPr>
          <w:sz w:val="22"/>
          <w:szCs w:val="22"/>
        </w:rPr>
        <w:t>What can they do if they start finding it more difficult to manage their issues, and what do they want other people to do?</w:t>
      </w:r>
    </w:p>
    <w:p w14:paraId="2ABF6E6A" w14:textId="77777777" w:rsidR="007E215B" w:rsidRDefault="007E215B" w:rsidP="007E215B">
      <w:pPr>
        <w:keepLines/>
        <w:spacing w:after="0"/>
        <w:rPr>
          <w:rFonts w:cs="Arial"/>
          <w:sz w:val="22"/>
          <w:szCs w:val="22"/>
        </w:rPr>
      </w:pPr>
      <w:r>
        <w:rPr>
          <w:rFonts w:cs="Arial"/>
          <w:sz w:val="22"/>
          <w:szCs w:val="22"/>
        </w:rPr>
        <w:lastRenderedPageBreak/>
        <w:t>The department</w:t>
      </w:r>
      <w:r w:rsidRPr="00A10A27">
        <w:rPr>
          <w:rFonts w:cs="Arial"/>
          <w:sz w:val="22"/>
          <w:szCs w:val="22"/>
        </w:rPr>
        <w:t xml:space="preserve"> is also able to access data to compare the progress made by different sub-groups of participants. For example, it would be useful to know that 60% of children who wanted to work on their school attendance had improved their attendance rate over the first three months of service.</w:t>
      </w:r>
    </w:p>
    <w:p w14:paraId="0CFBA35D" w14:textId="77777777" w:rsidR="007E215B" w:rsidRDefault="007E215B" w:rsidP="00AE2599">
      <w:pPr>
        <w:keepLines/>
        <w:spacing w:after="0"/>
        <w:rPr>
          <w:rFonts w:cs="Arial"/>
          <w:sz w:val="22"/>
          <w:szCs w:val="22"/>
        </w:rPr>
      </w:pPr>
      <w:r w:rsidRPr="00A10A27">
        <w:rPr>
          <w:rFonts w:cs="Arial"/>
          <w:sz w:val="22"/>
          <w:szCs w:val="22"/>
        </w:rPr>
        <w:t>The FAP is not intended to replace detailed notes kept by the practitioner.</w:t>
      </w:r>
    </w:p>
    <w:p w14:paraId="2CB6EBDF" w14:textId="77777777" w:rsidR="007E215B" w:rsidRDefault="007E215B" w:rsidP="00B47D87">
      <w:pPr>
        <w:pStyle w:val="Heading4"/>
      </w:pPr>
      <w:bookmarkStart w:id="424" w:name="_Toc70494577"/>
      <w:bookmarkStart w:id="425" w:name="_Toc70494578"/>
      <w:bookmarkStart w:id="426" w:name="_Toc70599714"/>
      <w:bookmarkEnd w:id="424"/>
      <w:bookmarkEnd w:id="425"/>
      <w:r>
        <w:t>Family Action Plan Principles</w:t>
      </w:r>
      <w:bookmarkEnd w:id="426"/>
    </w:p>
    <w:p w14:paraId="00838FA0" w14:textId="77777777" w:rsidR="007E215B" w:rsidRPr="00A10A27" w:rsidRDefault="007E215B" w:rsidP="007E215B">
      <w:pPr>
        <w:widowControl w:val="0"/>
        <w:overflowPunct w:val="0"/>
        <w:autoSpaceDE w:val="0"/>
        <w:autoSpaceDN w:val="0"/>
        <w:adjustRightInd w:val="0"/>
        <w:spacing w:after="0" w:line="259" w:lineRule="auto"/>
        <w:ind w:left="3" w:right="240"/>
        <w:rPr>
          <w:rFonts w:cs="Arial"/>
          <w:sz w:val="22"/>
          <w:szCs w:val="22"/>
        </w:rPr>
      </w:pPr>
      <w:r w:rsidRPr="00A10A27">
        <w:rPr>
          <w:rFonts w:cs="Arial"/>
          <w:sz w:val="22"/>
          <w:szCs w:val="22"/>
        </w:rPr>
        <w:t>The following principles should be followed when working with participants (children, young people and their families) to develop their FAP:</w:t>
      </w:r>
    </w:p>
    <w:p w14:paraId="522996C9" w14:textId="77777777" w:rsidR="007E215B" w:rsidRPr="00BC5FD7" w:rsidRDefault="007E215B" w:rsidP="00AE2599">
      <w:pPr>
        <w:pStyle w:val="CommentText"/>
        <w:numPr>
          <w:ilvl w:val="0"/>
          <w:numId w:val="87"/>
        </w:numPr>
        <w:spacing w:before="0" w:after="0"/>
        <w:rPr>
          <w:sz w:val="22"/>
          <w:szCs w:val="22"/>
        </w:rPr>
      </w:pPr>
      <w:r w:rsidRPr="00BC5FD7">
        <w:rPr>
          <w:sz w:val="22"/>
          <w:szCs w:val="22"/>
        </w:rPr>
        <w:t xml:space="preserve">The child or young person is central to all planning processes and their voices should be heard and recorded in the FAP. </w:t>
      </w:r>
    </w:p>
    <w:p w14:paraId="208A7690" w14:textId="77777777" w:rsidR="007E215B" w:rsidRPr="00BC5FD7" w:rsidRDefault="007E215B" w:rsidP="00AE2599">
      <w:pPr>
        <w:pStyle w:val="CommentText"/>
        <w:numPr>
          <w:ilvl w:val="0"/>
          <w:numId w:val="87"/>
        </w:numPr>
        <w:spacing w:before="0" w:after="0"/>
        <w:rPr>
          <w:sz w:val="22"/>
          <w:szCs w:val="22"/>
        </w:rPr>
      </w:pPr>
      <w:r w:rsidRPr="00BC5FD7">
        <w:rPr>
          <w:sz w:val="22"/>
          <w:szCs w:val="22"/>
        </w:rPr>
        <w:t xml:space="preserve">Discussions between the participant and their support worker should be based on the participant’s life goals, not on what other people think should be their goals. </w:t>
      </w:r>
    </w:p>
    <w:p w14:paraId="7AF33392" w14:textId="77777777" w:rsidR="007E215B" w:rsidRPr="004B6DD5" w:rsidRDefault="007E215B" w:rsidP="00AE2599">
      <w:pPr>
        <w:pStyle w:val="CommentText"/>
        <w:numPr>
          <w:ilvl w:val="0"/>
          <w:numId w:val="87"/>
        </w:numPr>
        <w:spacing w:before="0" w:after="0"/>
        <w:rPr>
          <w:sz w:val="22"/>
          <w:szCs w:val="22"/>
        </w:rPr>
      </w:pPr>
      <w:r w:rsidRPr="004B6DD5">
        <w:rPr>
          <w:sz w:val="22"/>
          <w:szCs w:val="22"/>
        </w:rPr>
        <w:t>The FAP should focus on the participant’s goals, aspirations and preferences and affirm the strengths, talents and capacities of the person.</w:t>
      </w:r>
    </w:p>
    <w:p w14:paraId="5F0E7042" w14:textId="77777777" w:rsidR="007E215B" w:rsidRPr="004B6DD5" w:rsidRDefault="007E215B" w:rsidP="00AE2599">
      <w:pPr>
        <w:pStyle w:val="CommentText"/>
        <w:numPr>
          <w:ilvl w:val="0"/>
          <w:numId w:val="87"/>
        </w:numPr>
        <w:spacing w:before="0" w:after="0"/>
        <w:rPr>
          <w:sz w:val="22"/>
          <w:szCs w:val="22"/>
        </w:rPr>
      </w:pPr>
      <w:r w:rsidRPr="004B6DD5">
        <w:rPr>
          <w:sz w:val="22"/>
          <w:szCs w:val="22"/>
        </w:rPr>
        <w:t>Other participants (e.g. family members) involved in the development of the FAP, need to be willing to discuss their goals in relation to outcomes for the child or young person.</w:t>
      </w:r>
    </w:p>
    <w:p w14:paraId="47F57682" w14:textId="77777777" w:rsidR="007E215B" w:rsidRPr="00922A33" w:rsidRDefault="007E215B" w:rsidP="00AE2599">
      <w:pPr>
        <w:pStyle w:val="CommentText"/>
        <w:numPr>
          <w:ilvl w:val="0"/>
          <w:numId w:val="87"/>
        </w:numPr>
        <w:spacing w:before="0" w:after="0"/>
        <w:rPr>
          <w:sz w:val="22"/>
          <w:szCs w:val="22"/>
        </w:rPr>
      </w:pPr>
      <w:r w:rsidRPr="00922A33">
        <w:rPr>
          <w:sz w:val="22"/>
          <w:szCs w:val="22"/>
        </w:rPr>
        <w:t xml:space="preserve">The FAP is a living document that should be regularly reviewed and updated every three months at a minimum. </w:t>
      </w:r>
    </w:p>
    <w:p w14:paraId="2ED02D99" w14:textId="77777777" w:rsidR="007E215B" w:rsidRPr="00BC5FD7" w:rsidRDefault="007E215B" w:rsidP="00AE2599">
      <w:pPr>
        <w:pStyle w:val="CommentText"/>
        <w:numPr>
          <w:ilvl w:val="0"/>
          <w:numId w:val="87"/>
        </w:numPr>
        <w:spacing w:before="0" w:after="0"/>
        <w:rPr>
          <w:sz w:val="22"/>
          <w:szCs w:val="22"/>
        </w:rPr>
      </w:pPr>
      <w:r w:rsidRPr="00793C11">
        <w:rPr>
          <w:sz w:val="22"/>
          <w:szCs w:val="22"/>
        </w:rPr>
        <w:t>The FAP is owned by the participant and not the service provider. It is considered as ‘</w:t>
      </w:r>
      <w:r w:rsidRPr="00AE2599">
        <w:rPr>
          <w:sz w:val="22"/>
          <w:szCs w:val="22"/>
        </w:rPr>
        <w:t>Mary’s FAP’</w:t>
      </w:r>
      <w:r w:rsidRPr="00BC5FD7">
        <w:rPr>
          <w:sz w:val="22"/>
          <w:szCs w:val="22"/>
        </w:rPr>
        <w:t xml:space="preserve"> rather than ‘</w:t>
      </w:r>
      <w:r w:rsidRPr="00AE2599">
        <w:rPr>
          <w:sz w:val="22"/>
          <w:szCs w:val="22"/>
        </w:rPr>
        <w:t>the FAP for Mary’</w:t>
      </w:r>
      <w:r w:rsidRPr="00BC5FD7">
        <w:rPr>
          <w:sz w:val="22"/>
          <w:szCs w:val="22"/>
        </w:rPr>
        <w:t xml:space="preserve">. The participant should always be able to have a copy of their FAP and know exactly what is in it. Nothing should be in the FAP that the participant did not agree to. </w:t>
      </w:r>
    </w:p>
    <w:p w14:paraId="03720E4B" w14:textId="77777777" w:rsidR="007E215B" w:rsidRPr="00BC5FD7" w:rsidRDefault="007E215B" w:rsidP="00AE2599">
      <w:pPr>
        <w:pStyle w:val="CommentText"/>
        <w:numPr>
          <w:ilvl w:val="0"/>
          <w:numId w:val="87"/>
        </w:numPr>
        <w:spacing w:before="0" w:after="0"/>
        <w:rPr>
          <w:sz w:val="22"/>
          <w:szCs w:val="22"/>
        </w:rPr>
      </w:pPr>
      <w:r w:rsidRPr="00BC5FD7">
        <w:rPr>
          <w:sz w:val="22"/>
          <w:szCs w:val="22"/>
        </w:rPr>
        <w:t xml:space="preserve">The FAP should use the participant’s language or way of expressing their needs and goals, and not service or clinical language. </w:t>
      </w:r>
    </w:p>
    <w:p w14:paraId="499B0034" w14:textId="77777777" w:rsidR="007E215B" w:rsidRPr="00AE2599" w:rsidRDefault="007E215B" w:rsidP="00AE2599">
      <w:pPr>
        <w:pStyle w:val="CommentText"/>
        <w:numPr>
          <w:ilvl w:val="0"/>
          <w:numId w:val="87"/>
        </w:numPr>
        <w:spacing w:before="0" w:after="0"/>
        <w:rPr>
          <w:sz w:val="22"/>
          <w:szCs w:val="22"/>
        </w:rPr>
      </w:pPr>
      <w:r w:rsidRPr="004B6DD5">
        <w:rPr>
          <w:sz w:val="22"/>
          <w:szCs w:val="22"/>
        </w:rPr>
        <w:t xml:space="preserve">The process of planning and developing a FAP is a shared responsibility between a support worker and the participant. It is not something prepared without the participant. </w:t>
      </w:r>
    </w:p>
    <w:p w14:paraId="3B9C6CA4" w14:textId="77777777" w:rsidR="00755258" w:rsidRDefault="00755258" w:rsidP="00755258">
      <w:r>
        <w:br w:type="page"/>
      </w:r>
    </w:p>
    <w:p w14:paraId="7B00A392" w14:textId="6BD18C02" w:rsidR="00755258" w:rsidRPr="0030502C" w:rsidRDefault="00755258" w:rsidP="00AE2599">
      <w:pPr>
        <w:pStyle w:val="Heading1"/>
      </w:pPr>
      <w:bookmarkStart w:id="427" w:name="_Toc68865767"/>
      <w:bookmarkStart w:id="428" w:name="_Toc70599715"/>
      <w:r w:rsidRPr="00DF3821">
        <w:lastRenderedPageBreak/>
        <w:t xml:space="preserve">Appendix </w:t>
      </w:r>
      <w:r w:rsidR="006D5481" w:rsidRPr="00DF3821">
        <w:t>B</w:t>
      </w:r>
      <w:r w:rsidRPr="00DF3821">
        <w:t xml:space="preserve"> –</w:t>
      </w:r>
      <w:bookmarkEnd w:id="427"/>
      <w:r w:rsidR="007E215B" w:rsidRPr="0030502C">
        <w:t xml:space="preserve"> Family Action Plan template</w:t>
      </w:r>
      <w:bookmarkEnd w:id="428"/>
    </w:p>
    <w:p w14:paraId="629009A1" w14:textId="77777777" w:rsidR="007E215B" w:rsidRPr="00A10A27" w:rsidRDefault="007E215B" w:rsidP="007E215B">
      <w:pPr>
        <w:spacing w:before="240" w:after="0"/>
        <w:rPr>
          <w:rFonts w:eastAsia="Calibri" w:cs="Arial"/>
          <w:sz w:val="22"/>
          <w:szCs w:val="22"/>
        </w:rPr>
      </w:pPr>
      <w:r w:rsidRPr="00A10A27">
        <w:rPr>
          <w:rFonts w:cs="Arial"/>
          <w:sz w:val="22"/>
          <w:szCs w:val="22"/>
        </w:rPr>
        <w:t>Providers are</w:t>
      </w:r>
      <w:r w:rsidRPr="00A10A27">
        <w:rPr>
          <w:rFonts w:eastAsia="Calibri" w:cs="Arial"/>
          <w:sz w:val="22"/>
          <w:szCs w:val="22"/>
        </w:rPr>
        <w:t xml:space="preserve"> not required to use this exact template; they can develop their own to suit their local participants and target groups, etc. </w:t>
      </w:r>
    </w:p>
    <w:p w14:paraId="4ACE4D6A" w14:textId="77777777" w:rsidR="007E215B" w:rsidRPr="00A10A27" w:rsidRDefault="007E215B" w:rsidP="007E215B">
      <w:pPr>
        <w:spacing w:after="0" w:line="240" w:lineRule="auto"/>
        <w:rPr>
          <w:rFonts w:asciiTheme="minorHAnsi" w:eastAsia="Calibri" w:hAnsiTheme="minorHAnsi" w:cstheme="minorHAnsi"/>
          <w:sz w:val="22"/>
          <w:szCs w:val="22"/>
        </w:rPr>
      </w:pPr>
    </w:p>
    <w:p w14:paraId="677CB2DF" w14:textId="77777777" w:rsidR="007E215B" w:rsidRPr="00AE2599" w:rsidRDefault="007E215B" w:rsidP="007E215B">
      <w:pPr>
        <w:ind w:left="60"/>
        <w:rPr>
          <w:rFonts w:eastAsia="Calibri" w:cs="Arial"/>
          <w:b/>
          <w:sz w:val="22"/>
          <w:szCs w:val="22"/>
          <w:u w:val="single"/>
        </w:rPr>
      </w:pPr>
      <w:r w:rsidRPr="00AE2599">
        <w:rPr>
          <w:rFonts w:eastAsia="Calibri" w:cs="Arial"/>
          <w:b/>
          <w:sz w:val="22"/>
          <w:szCs w:val="22"/>
          <w:u w:val="single"/>
        </w:rPr>
        <w:t>Part 1: Child/young person</w:t>
      </w:r>
    </w:p>
    <w:p w14:paraId="35E70D46" w14:textId="77777777" w:rsidR="007E215B" w:rsidRPr="00AE2599" w:rsidRDefault="007E215B" w:rsidP="007E215B">
      <w:pPr>
        <w:ind w:left="60"/>
        <w:rPr>
          <w:rFonts w:eastAsia="Calibri" w:cs="Arial"/>
          <w:sz w:val="22"/>
          <w:szCs w:val="22"/>
        </w:rPr>
      </w:pPr>
      <w:r w:rsidRPr="00AE2599">
        <w:rPr>
          <w:rFonts w:eastAsia="Calibri" w:cs="Arial"/>
          <w:b/>
          <w:sz w:val="22"/>
          <w:szCs w:val="22"/>
        </w:rPr>
        <w:t>Name (first name only required):</w:t>
      </w:r>
      <w:r w:rsidRPr="00AE2599">
        <w:rPr>
          <w:rFonts w:eastAsia="Calibri" w:cs="Arial"/>
          <w:sz w:val="22"/>
          <w:szCs w:val="22"/>
        </w:rPr>
        <w:t xml:space="preserve"> _____________________________________________</w:t>
      </w:r>
    </w:p>
    <w:p w14:paraId="7BF4FE5C" w14:textId="77777777" w:rsidR="007E215B" w:rsidRPr="00AE2599" w:rsidRDefault="007E215B" w:rsidP="007E215B">
      <w:pPr>
        <w:ind w:left="60"/>
        <w:rPr>
          <w:rFonts w:eastAsia="Calibri" w:cs="Arial"/>
          <w:sz w:val="22"/>
          <w:szCs w:val="22"/>
        </w:rPr>
      </w:pPr>
      <w:r w:rsidRPr="00AE2599">
        <w:rPr>
          <w:rFonts w:eastAsia="Calibri" w:cs="Arial"/>
          <w:b/>
          <w:sz w:val="22"/>
          <w:szCs w:val="22"/>
        </w:rPr>
        <w:t>Date plan developed</w:t>
      </w:r>
      <w:r w:rsidRPr="00AE2599">
        <w:rPr>
          <w:rFonts w:eastAsia="Calibri" w:cs="Arial"/>
          <w:sz w:val="22"/>
          <w:szCs w:val="22"/>
        </w:rPr>
        <w:t>: ______________________________________________________</w:t>
      </w:r>
    </w:p>
    <w:p w14:paraId="00CEF7A7" w14:textId="77777777" w:rsidR="007E215B" w:rsidRPr="00AE2599" w:rsidRDefault="007E215B" w:rsidP="007E215B">
      <w:pPr>
        <w:ind w:left="60"/>
        <w:rPr>
          <w:rFonts w:eastAsia="Calibri" w:cs="Arial"/>
          <w:b/>
          <w:sz w:val="22"/>
          <w:szCs w:val="22"/>
        </w:rPr>
      </w:pPr>
      <w:r w:rsidRPr="00AE2599">
        <w:rPr>
          <w:rFonts w:eastAsia="Calibri" w:cs="Arial"/>
          <w:b/>
          <w:sz w:val="22"/>
          <w:szCs w:val="22"/>
        </w:rPr>
        <w:t>Areas of need identified in assessment (the things I want to work on):</w:t>
      </w:r>
    </w:p>
    <w:p w14:paraId="1EFF6842" w14:textId="77777777" w:rsidR="007E215B" w:rsidRPr="00AE2599" w:rsidRDefault="007E215B" w:rsidP="007E215B">
      <w:pPr>
        <w:pStyle w:val="ListParagraph"/>
        <w:numPr>
          <w:ilvl w:val="0"/>
          <w:numId w:val="91"/>
        </w:numPr>
        <w:spacing w:before="0" w:after="240" w:line="276" w:lineRule="auto"/>
        <w:rPr>
          <w:rFonts w:eastAsia="Calibri" w:cs="Arial"/>
          <w:sz w:val="22"/>
          <w:szCs w:val="22"/>
        </w:rPr>
      </w:pPr>
      <w:r w:rsidRPr="00AE2599">
        <w:rPr>
          <w:rFonts w:eastAsia="Calibri" w:cs="Arial"/>
          <w:sz w:val="22"/>
          <w:szCs w:val="22"/>
        </w:rPr>
        <w:t>----------------------------------------------------------------------------------------------------------</w:t>
      </w:r>
    </w:p>
    <w:p w14:paraId="474F745C" w14:textId="77777777" w:rsidR="007E215B" w:rsidRPr="00AE2599" w:rsidRDefault="007E215B" w:rsidP="007E215B">
      <w:pPr>
        <w:pStyle w:val="ListParagraph"/>
        <w:numPr>
          <w:ilvl w:val="0"/>
          <w:numId w:val="91"/>
        </w:numPr>
        <w:spacing w:before="0" w:after="240" w:line="276" w:lineRule="auto"/>
        <w:rPr>
          <w:rFonts w:eastAsia="Calibri" w:cs="Arial"/>
          <w:sz w:val="22"/>
          <w:szCs w:val="22"/>
        </w:rPr>
      </w:pPr>
      <w:r w:rsidRPr="00AE2599">
        <w:rPr>
          <w:rFonts w:eastAsia="Calibri" w:cs="Arial"/>
          <w:sz w:val="22"/>
          <w:szCs w:val="22"/>
        </w:rPr>
        <w:t>----------------------------------------------------------------------------------------------------------</w:t>
      </w:r>
    </w:p>
    <w:p w14:paraId="4E2FBE3B" w14:textId="77777777" w:rsidR="007E215B" w:rsidRPr="00AE2599" w:rsidRDefault="007E215B" w:rsidP="007E215B">
      <w:pPr>
        <w:pStyle w:val="ListParagraph"/>
        <w:numPr>
          <w:ilvl w:val="0"/>
          <w:numId w:val="91"/>
        </w:numPr>
        <w:spacing w:before="0" w:after="240" w:line="276" w:lineRule="auto"/>
        <w:rPr>
          <w:rFonts w:eastAsia="Calibri" w:cs="Arial"/>
          <w:sz w:val="22"/>
          <w:szCs w:val="22"/>
        </w:rPr>
      </w:pPr>
      <w:r w:rsidRPr="00AE2599">
        <w:rPr>
          <w:rFonts w:eastAsia="Calibri" w:cs="Arial"/>
          <w:sz w:val="22"/>
          <w:szCs w:val="22"/>
        </w:rPr>
        <w:t>----------------------------------------------------------------------------------------------------------</w:t>
      </w:r>
    </w:p>
    <w:p w14:paraId="18A1C6A3" w14:textId="77777777" w:rsidR="007E215B" w:rsidRPr="00AE2599" w:rsidRDefault="007E215B" w:rsidP="007E215B">
      <w:pPr>
        <w:pStyle w:val="ListParagraph"/>
        <w:numPr>
          <w:ilvl w:val="0"/>
          <w:numId w:val="91"/>
        </w:numPr>
        <w:spacing w:before="0" w:after="240" w:line="276" w:lineRule="auto"/>
        <w:rPr>
          <w:rFonts w:eastAsia="Calibri" w:cs="Arial"/>
          <w:sz w:val="22"/>
          <w:szCs w:val="22"/>
        </w:rPr>
      </w:pPr>
      <w:r w:rsidRPr="00AE2599">
        <w:rPr>
          <w:rFonts w:eastAsia="Calibri" w:cs="Arial"/>
          <w:sz w:val="22"/>
          <w:szCs w:val="22"/>
        </w:rPr>
        <w:t>----------------------------------------------------------------------------------------------------------</w:t>
      </w:r>
    </w:p>
    <w:p w14:paraId="114E0F98" w14:textId="77777777" w:rsidR="007E215B" w:rsidRPr="00AE2599" w:rsidRDefault="007E215B" w:rsidP="007E215B">
      <w:pPr>
        <w:pStyle w:val="ListParagraph"/>
        <w:numPr>
          <w:ilvl w:val="0"/>
          <w:numId w:val="91"/>
        </w:numPr>
        <w:spacing w:before="0" w:after="240" w:line="276" w:lineRule="auto"/>
        <w:rPr>
          <w:rFonts w:eastAsia="Calibri" w:cs="Arial"/>
          <w:sz w:val="22"/>
          <w:szCs w:val="22"/>
        </w:rPr>
      </w:pPr>
      <w:r w:rsidRPr="00AE2599">
        <w:rPr>
          <w:rFonts w:eastAsia="Calibri" w:cs="Arial"/>
          <w:sz w:val="22"/>
          <w:szCs w:val="22"/>
        </w:rPr>
        <w:t>---------------------------------------------------------------------------------------------------------</w:t>
      </w:r>
    </w:p>
    <w:p w14:paraId="7AB8EC6B" w14:textId="77777777" w:rsidR="007E215B" w:rsidRPr="00AE2599" w:rsidRDefault="007E215B" w:rsidP="007E215B">
      <w:pPr>
        <w:ind w:left="60"/>
        <w:rPr>
          <w:rFonts w:eastAsia="Calibri" w:cs="Arial"/>
          <w:b/>
          <w:sz w:val="22"/>
          <w:szCs w:val="22"/>
        </w:rPr>
      </w:pPr>
      <w:r w:rsidRPr="00AE2599">
        <w:rPr>
          <w:rFonts w:eastAsia="Calibri" w:cs="Arial"/>
          <w:b/>
          <w:sz w:val="22"/>
          <w:szCs w:val="22"/>
        </w:rPr>
        <w:t>For practitioner - which life domain goals does this fit in?</w:t>
      </w:r>
    </w:p>
    <w:tbl>
      <w:tblPr>
        <w:tblStyle w:val="TableGrid"/>
        <w:tblW w:w="0" w:type="auto"/>
        <w:tblLook w:val="04A0" w:firstRow="1" w:lastRow="0" w:firstColumn="1" w:lastColumn="0" w:noHBand="0" w:noVBand="1"/>
      </w:tblPr>
      <w:tblGrid>
        <w:gridCol w:w="6662"/>
        <w:gridCol w:w="2354"/>
      </w:tblGrid>
      <w:tr w:rsidR="007E215B" w:rsidRPr="00857EB3" w14:paraId="3F247C80" w14:textId="77777777" w:rsidTr="00BC5FD7">
        <w:tc>
          <w:tcPr>
            <w:tcW w:w="6771" w:type="dxa"/>
          </w:tcPr>
          <w:p w14:paraId="2352B989" w14:textId="77777777" w:rsidR="007E215B" w:rsidRPr="00AE2599" w:rsidRDefault="007E215B" w:rsidP="00BC5FD7">
            <w:pPr>
              <w:rPr>
                <w:rFonts w:eastAsia="Calibri" w:cs="Arial"/>
                <w:b/>
                <w:sz w:val="22"/>
                <w:szCs w:val="22"/>
              </w:rPr>
            </w:pPr>
            <w:r w:rsidRPr="00AE2599">
              <w:rPr>
                <w:rFonts w:eastAsia="Calibri" w:cs="Arial"/>
                <w:b/>
                <w:sz w:val="22"/>
                <w:szCs w:val="22"/>
              </w:rPr>
              <w:t>Life domain</w:t>
            </w:r>
          </w:p>
        </w:tc>
        <w:tc>
          <w:tcPr>
            <w:tcW w:w="2411" w:type="dxa"/>
          </w:tcPr>
          <w:p w14:paraId="37A48F91" w14:textId="77777777" w:rsidR="007E215B" w:rsidRPr="00AE2599" w:rsidRDefault="007E215B" w:rsidP="00BC5FD7">
            <w:pPr>
              <w:rPr>
                <w:rFonts w:eastAsia="Calibri" w:cs="Arial"/>
                <w:b/>
                <w:sz w:val="22"/>
                <w:szCs w:val="22"/>
              </w:rPr>
            </w:pPr>
          </w:p>
        </w:tc>
      </w:tr>
      <w:tr w:rsidR="007E215B" w:rsidRPr="00857EB3" w14:paraId="18BCF386" w14:textId="77777777" w:rsidTr="00BC5FD7">
        <w:tc>
          <w:tcPr>
            <w:tcW w:w="6771" w:type="dxa"/>
          </w:tcPr>
          <w:p w14:paraId="75C917A2"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Physical health</w:t>
            </w:r>
          </w:p>
        </w:tc>
        <w:tc>
          <w:tcPr>
            <w:tcW w:w="2411" w:type="dxa"/>
          </w:tcPr>
          <w:p w14:paraId="3E9C9996" w14:textId="77777777" w:rsidR="007E215B" w:rsidRPr="00AE2599" w:rsidRDefault="007E215B" w:rsidP="00BC5FD7">
            <w:pPr>
              <w:rPr>
                <w:rFonts w:eastAsia="Calibri" w:cs="Arial"/>
                <w:b/>
                <w:sz w:val="22"/>
                <w:szCs w:val="22"/>
              </w:rPr>
            </w:pPr>
          </w:p>
        </w:tc>
      </w:tr>
      <w:tr w:rsidR="007E215B" w:rsidRPr="00857EB3" w14:paraId="75C1CDD5" w14:textId="77777777" w:rsidTr="00BC5FD7">
        <w:tc>
          <w:tcPr>
            <w:tcW w:w="6771" w:type="dxa"/>
          </w:tcPr>
          <w:p w14:paraId="23D721F7"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 xml:space="preserve">Mental health &amp; emotional wellbeing </w:t>
            </w:r>
          </w:p>
        </w:tc>
        <w:tc>
          <w:tcPr>
            <w:tcW w:w="2411" w:type="dxa"/>
          </w:tcPr>
          <w:p w14:paraId="0F3EC2BF" w14:textId="77777777" w:rsidR="007E215B" w:rsidRPr="00AE2599" w:rsidRDefault="007E215B" w:rsidP="00BC5FD7">
            <w:pPr>
              <w:rPr>
                <w:rFonts w:eastAsia="Calibri" w:cs="Arial"/>
                <w:b/>
                <w:sz w:val="22"/>
                <w:szCs w:val="22"/>
              </w:rPr>
            </w:pPr>
          </w:p>
        </w:tc>
      </w:tr>
      <w:tr w:rsidR="007E215B" w:rsidRPr="00857EB3" w14:paraId="6C0CD66C" w14:textId="77777777" w:rsidTr="00BC5FD7">
        <w:tc>
          <w:tcPr>
            <w:tcW w:w="6771" w:type="dxa"/>
          </w:tcPr>
          <w:p w14:paraId="27026A47"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Relationships (including social networks and relationships, and family relationships and functioning)</w:t>
            </w:r>
          </w:p>
        </w:tc>
        <w:tc>
          <w:tcPr>
            <w:tcW w:w="2411" w:type="dxa"/>
          </w:tcPr>
          <w:p w14:paraId="22B3F00D" w14:textId="77777777" w:rsidR="007E215B" w:rsidRPr="00AE2599" w:rsidRDefault="007E215B" w:rsidP="00BC5FD7">
            <w:pPr>
              <w:rPr>
                <w:rFonts w:eastAsia="Calibri" w:cs="Arial"/>
                <w:b/>
                <w:sz w:val="22"/>
                <w:szCs w:val="22"/>
              </w:rPr>
            </w:pPr>
          </w:p>
        </w:tc>
      </w:tr>
      <w:tr w:rsidR="007E215B" w:rsidRPr="00857EB3" w14:paraId="73B61313" w14:textId="77777777" w:rsidTr="00BC5FD7">
        <w:tc>
          <w:tcPr>
            <w:tcW w:w="6771" w:type="dxa"/>
          </w:tcPr>
          <w:p w14:paraId="438AD3D0"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Material wellbeing (including housing and self-care and living skills)</w:t>
            </w:r>
          </w:p>
        </w:tc>
        <w:tc>
          <w:tcPr>
            <w:tcW w:w="2411" w:type="dxa"/>
          </w:tcPr>
          <w:p w14:paraId="3FEC9FAA" w14:textId="77777777" w:rsidR="007E215B" w:rsidRPr="00AE2599" w:rsidRDefault="007E215B" w:rsidP="00BC5FD7">
            <w:pPr>
              <w:rPr>
                <w:rFonts w:eastAsia="Calibri" w:cs="Arial"/>
                <w:b/>
                <w:sz w:val="22"/>
                <w:szCs w:val="22"/>
              </w:rPr>
            </w:pPr>
          </w:p>
        </w:tc>
      </w:tr>
      <w:tr w:rsidR="007E215B" w:rsidRPr="00857EB3" w14:paraId="0B7E5AEF" w14:textId="77777777" w:rsidTr="00BC5FD7">
        <w:tc>
          <w:tcPr>
            <w:tcW w:w="6771" w:type="dxa"/>
          </w:tcPr>
          <w:p w14:paraId="2B06A355"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Learning and development (including school attendance/learning and sport/recreational activities)</w:t>
            </w:r>
          </w:p>
        </w:tc>
        <w:tc>
          <w:tcPr>
            <w:tcW w:w="2411" w:type="dxa"/>
          </w:tcPr>
          <w:p w14:paraId="38B4CF38" w14:textId="77777777" w:rsidR="007E215B" w:rsidRPr="00AE2599" w:rsidRDefault="007E215B" w:rsidP="00BC5FD7">
            <w:pPr>
              <w:rPr>
                <w:rFonts w:eastAsia="Calibri" w:cs="Arial"/>
                <w:b/>
                <w:sz w:val="22"/>
                <w:szCs w:val="22"/>
              </w:rPr>
            </w:pPr>
          </w:p>
        </w:tc>
      </w:tr>
      <w:tr w:rsidR="007E215B" w:rsidRPr="00857EB3" w14:paraId="02461D4D" w14:textId="77777777" w:rsidTr="00BC5FD7">
        <w:tc>
          <w:tcPr>
            <w:tcW w:w="6771" w:type="dxa"/>
          </w:tcPr>
          <w:p w14:paraId="09733029" w14:textId="77777777" w:rsidR="007E215B" w:rsidRPr="00AE2599" w:rsidRDefault="007E215B" w:rsidP="007E215B">
            <w:pPr>
              <w:numPr>
                <w:ilvl w:val="0"/>
                <w:numId w:val="90"/>
              </w:numPr>
              <w:spacing w:before="0" w:after="60" w:line="240" w:lineRule="auto"/>
              <w:ind w:left="357" w:hanging="357"/>
              <w:rPr>
                <w:rFonts w:eastAsia="Calibri" w:cs="Arial"/>
                <w:sz w:val="22"/>
                <w:szCs w:val="22"/>
              </w:rPr>
            </w:pPr>
            <w:r w:rsidRPr="00AE2599">
              <w:rPr>
                <w:rFonts w:eastAsia="Calibri" w:cs="Arial"/>
                <w:sz w:val="22"/>
                <w:szCs w:val="22"/>
              </w:rPr>
              <w:t>Safety (including child and family safety)</w:t>
            </w:r>
          </w:p>
        </w:tc>
        <w:tc>
          <w:tcPr>
            <w:tcW w:w="2411" w:type="dxa"/>
          </w:tcPr>
          <w:p w14:paraId="230B4440" w14:textId="77777777" w:rsidR="007E215B" w:rsidRPr="00AE2599" w:rsidRDefault="007E215B" w:rsidP="00BC5FD7">
            <w:pPr>
              <w:rPr>
                <w:rFonts w:eastAsia="Calibri" w:cs="Arial"/>
                <w:b/>
                <w:sz w:val="22"/>
                <w:szCs w:val="22"/>
              </w:rPr>
            </w:pPr>
          </w:p>
        </w:tc>
      </w:tr>
    </w:tbl>
    <w:p w14:paraId="56DEC27A" w14:textId="77777777" w:rsidR="007E215B" w:rsidRPr="00AE2599" w:rsidRDefault="007E215B" w:rsidP="007E215B">
      <w:pPr>
        <w:ind w:left="60"/>
        <w:rPr>
          <w:rFonts w:eastAsia="Calibri" w:cs="Arial"/>
          <w:b/>
          <w:sz w:val="22"/>
          <w:szCs w:val="22"/>
        </w:rPr>
      </w:pPr>
    </w:p>
    <w:p w14:paraId="3AD7A24E" w14:textId="77777777" w:rsidR="007E215B" w:rsidRPr="00AE2599" w:rsidRDefault="007E215B" w:rsidP="007E215B">
      <w:pPr>
        <w:ind w:left="60"/>
        <w:rPr>
          <w:rFonts w:eastAsia="Calibri" w:cs="Arial"/>
          <w:b/>
          <w:sz w:val="22"/>
          <w:szCs w:val="22"/>
        </w:rPr>
      </w:pPr>
      <w:r w:rsidRPr="00AE2599">
        <w:rPr>
          <w:rFonts w:eastAsia="Calibri" w:cs="Arial"/>
          <w:b/>
          <w:sz w:val="22"/>
          <w:szCs w:val="22"/>
        </w:rPr>
        <w:t>What I’m good at or what I don’t need help with:</w:t>
      </w:r>
    </w:p>
    <w:p w14:paraId="7D7A6EF6" w14:textId="77777777" w:rsidR="007E215B" w:rsidRPr="00AE2599" w:rsidRDefault="007E215B" w:rsidP="007E215B">
      <w:pPr>
        <w:pStyle w:val="ListParagraph"/>
        <w:numPr>
          <w:ilvl w:val="0"/>
          <w:numId w:val="92"/>
        </w:numPr>
        <w:spacing w:before="0" w:after="240" w:line="276" w:lineRule="auto"/>
        <w:rPr>
          <w:rFonts w:eastAsia="Calibri" w:cs="Arial"/>
          <w:sz w:val="22"/>
          <w:szCs w:val="22"/>
        </w:rPr>
      </w:pPr>
      <w:r w:rsidRPr="00AE2599">
        <w:rPr>
          <w:rFonts w:eastAsia="Calibri" w:cs="Arial"/>
          <w:sz w:val="22"/>
          <w:szCs w:val="22"/>
        </w:rPr>
        <w:t>---------------------------------------------------------------------------------------------------------</w:t>
      </w:r>
    </w:p>
    <w:p w14:paraId="5CFFD165" w14:textId="77777777" w:rsidR="007E215B" w:rsidRPr="00AE2599" w:rsidRDefault="007E215B" w:rsidP="007E215B">
      <w:pPr>
        <w:pStyle w:val="ListParagraph"/>
        <w:numPr>
          <w:ilvl w:val="0"/>
          <w:numId w:val="92"/>
        </w:numPr>
        <w:spacing w:before="0" w:after="240" w:line="276" w:lineRule="auto"/>
        <w:rPr>
          <w:rFonts w:eastAsia="Calibri" w:cs="Arial"/>
          <w:sz w:val="22"/>
          <w:szCs w:val="22"/>
        </w:rPr>
      </w:pPr>
      <w:r w:rsidRPr="00AE2599">
        <w:rPr>
          <w:rFonts w:eastAsia="Calibri" w:cs="Arial"/>
          <w:sz w:val="22"/>
          <w:szCs w:val="22"/>
        </w:rPr>
        <w:t>---------------------------------------------------------------------------------------------------------</w:t>
      </w:r>
    </w:p>
    <w:p w14:paraId="5D10FD9C" w14:textId="77777777" w:rsidR="007E215B" w:rsidRPr="00AE2599" w:rsidRDefault="007E215B" w:rsidP="007E215B">
      <w:pPr>
        <w:pStyle w:val="ListParagraph"/>
        <w:numPr>
          <w:ilvl w:val="0"/>
          <w:numId w:val="92"/>
        </w:numPr>
        <w:spacing w:before="0" w:after="240" w:line="276" w:lineRule="auto"/>
        <w:rPr>
          <w:rFonts w:eastAsia="Calibri" w:cs="Arial"/>
          <w:sz w:val="22"/>
          <w:szCs w:val="22"/>
        </w:rPr>
      </w:pPr>
      <w:r w:rsidRPr="00AE2599">
        <w:rPr>
          <w:rFonts w:eastAsia="Calibri" w:cs="Arial"/>
          <w:sz w:val="22"/>
          <w:szCs w:val="22"/>
        </w:rPr>
        <w:t>----------------------------------------------------------------------------------------------------------</w:t>
      </w:r>
    </w:p>
    <w:p w14:paraId="6FDE356B" w14:textId="77777777" w:rsidR="007E215B" w:rsidRPr="00AE2599" w:rsidRDefault="007E215B" w:rsidP="007E215B">
      <w:pPr>
        <w:pStyle w:val="ListParagraph"/>
        <w:numPr>
          <w:ilvl w:val="0"/>
          <w:numId w:val="92"/>
        </w:numPr>
        <w:spacing w:before="0" w:after="240" w:line="276" w:lineRule="auto"/>
        <w:rPr>
          <w:rFonts w:eastAsia="Calibri" w:cs="Arial"/>
          <w:sz w:val="22"/>
          <w:szCs w:val="22"/>
        </w:rPr>
      </w:pPr>
      <w:r w:rsidRPr="00AE2599">
        <w:rPr>
          <w:rFonts w:eastAsia="Calibri" w:cs="Arial"/>
          <w:sz w:val="22"/>
          <w:szCs w:val="22"/>
        </w:rPr>
        <w:t>---------------------------------------------------------------------------------------------------------</w:t>
      </w:r>
    </w:p>
    <w:p w14:paraId="3AB42B5A" w14:textId="77777777" w:rsidR="007E215B" w:rsidRPr="00AE2599" w:rsidRDefault="007E215B" w:rsidP="007E215B">
      <w:pPr>
        <w:pStyle w:val="ListParagraph"/>
        <w:numPr>
          <w:ilvl w:val="0"/>
          <w:numId w:val="92"/>
        </w:numPr>
        <w:spacing w:before="0" w:after="240" w:line="276" w:lineRule="auto"/>
        <w:rPr>
          <w:rFonts w:eastAsia="Calibri" w:cs="Arial"/>
          <w:b/>
          <w:spacing w:val="5"/>
          <w:sz w:val="22"/>
          <w:szCs w:val="22"/>
        </w:rPr>
      </w:pPr>
      <w:r w:rsidRPr="00AE2599">
        <w:rPr>
          <w:rFonts w:eastAsia="Calibri" w:cs="Arial"/>
          <w:sz w:val="22"/>
          <w:szCs w:val="22"/>
        </w:rPr>
        <w:t>---------------------------------------------------------------------------------------------------------</w:t>
      </w:r>
    </w:p>
    <w:p w14:paraId="2CF001AD" w14:textId="77777777" w:rsidR="007E215B" w:rsidRPr="00AE2599" w:rsidRDefault="007E215B" w:rsidP="007E215B">
      <w:pPr>
        <w:spacing w:after="0" w:line="240" w:lineRule="auto"/>
        <w:ind w:left="60"/>
        <w:rPr>
          <w:rFonts w:eastAsia="Calibri" w:cs="Arial"/>
          <w:b/>
          <w:sz w:val="22"/>
          <w:szCs w:val="22"/>
        </w:rPr>
      </w:pPr>
    </w:p>
    <w:p w14:paraId="0E7D057E" w14:textId="77777777" w:rsidR="00857EB3" w:rsidRDefault="00857EB3">
      <w:pPr>
        <w:spacing w:before="0" w:after="200" w:line="276" w:lineRule="auto"/>
        <w:rPr>
          <w:rFonts w:eastAsia="Calibri" w:cs="Arial"/>
          <w:b/>
          <w:sz w:val="22"/>
          <w:szCs w:val="22"/>
        </w:rPr>
      </w:pPr>
      <w:r>
        <w:rPr>
          <w:rFonts w:eastAsia="Calibri" w:cs="Arial"/>
          <w:b/>
          <w:sz w:val="22"/>
          <w:szCs w:val="22"/>
        </w:rPr>
        <w:br w:type="page"/>
      </w:r>
    </w:p>
    <w:p w14:paraId="6D487CBA" w14:textId="77777777" w:rsidR="007E215B" w:rsidRPr="00AE2599" w:rsidRDefault="007E215B" w:rsidP="007E215B">
      <w:pPr>
        <w:spacing w:after="0" w:line="240" w:lineRule="auto"/>
        <w:ind w:left="60"/>
        <w:rPr>
          <w:rFonts w:eastAsia="Calibri" w:cs="Arial"/>
          <w:b/>
          <w:sz w:val="22"/>
          <w:szCs w:val="22"/>
        </w:rPr>
      </w:pPr>
      <w:r w:rsidRPr="00AE2599">
        <w:rPr>
          <w:rFonts w:eastAsia="Calibri" w:cs="Arial"/>
          <w:b/>
          <w:sz w:val="22"/>
          <w:szCs w:val="22"/>
        </w:rPr>
        <w:lastRenderedPageBreak/>
        <w:t xml:space="preserve">What I can do to help me more easily progress towards my goals: </w:t>
      </w:r>
    </w:p>
    <w:p w14:paraId="10E5D021" w14:textId="77777777" w:rsidR="007E215B" w:rsidRPr="00AE2599" w:rsidRDefault="007E215B" w:rsidP="007E215B">
      <w:pPr>
        <w:spacing w:after="0" w:line="240" w:lineRule="auto"/>
        <w:ind w:left="62"/>
        <w:rPr>
          <w:rFonts w:eastAsia="Calibri" w:cs="Arial"/>
          <w:b/>
          <w:spacing w:val="5"/>
          <w:sz w:val="22"/>
          <w:szCs w:val="22"/>
        </w:rPr>
      </w:pPr>
      <w:r w:rsidRPr="00AE2599">
        <w:rPr>
          <w:rFonts w:eastAsia="Calibri" w:cs="Arial"/>
          <w:b/>
          <w:spacing w:val="5"/>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E2C79" w14:textId="77777777" w:rsidR="007E215B" w:rsidRPr="00AE2599" w:rsidRDefault="007E215B" w:rsidP="007E215B">
      <w:pPr>
        <w:ind w:left="60"/>
        <w:rPr>
          <w:rFonts w:eastAsia="Calibri" w:cs="Arial"/>
          <w:b/>
          <w:spacing w:val="5"/>
          <w:sz w:val="22"/>
          <w:szCs w:val="22"/>
        </w:rPr>
      </w:pPr>
    </w:p>
    <w:p w14:paraId="2CACF76C" w14:textId="77777777" w:rsidR="007E215B" w:rsidRPr="00AE2599" w:rsidRDefault="007E215B" w:rsidP="007E215B">
      <w:pPr>
        <w:keepNext/>
        <w:ind w:left="62"/>
        <w:rPr>
          <w:rFonts w:eastAsia="Calibri" w:cs="Arial"/>
          <w:b/>
          <w:sz w:val="22"/>
          <w:szCs w:val="22"/>
        </w:rPr>
      </w:pPr>
      <w:r w:rsidRPr="00AE2599">
        <w:rPr>
          <w:rFonts w:eastAsia="Calibri" w:cs="Arial"/>
          <w:b/>
          <w:sz w:val="22"/>
          <w:szCs w:val="22"/>
        </w:rPr>
        <w:t>People who can help me progress towards my goals: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992"/>
        <w:gridCol w:w="2977"/>
      </w:tblGrid>
      <w:tr w:rsidR="007E215B" w:rsidRPr="00857EB3" w14:paraId="0F999268" w14:textId="77777777" w:rsidTr="00BC5FD7">
        <w:tc>
          <w:tcPr>
            <w:tcW w:w="3061" w:type="dxa"/>
            <w:shd w:val="clear" w:color="auto" w:fill="auto"/>
          </w:tcPr>
          <w:p w14:paraId="029CBF6F"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62" w:type="dxa"/>
            <w:shd w:val="clear" w:color="auto" w:fill="auto"/>
          </w:tcPr>
          <w:p w14:paraId="5268A697"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parent, teacher, cousin etc.)</w:t>
            </w:r>
          </w:p>
        </w:tc>
        <w:tc>
          <w:tcPr>
            <w:tcW w:w="3059" w:type="dxa"/>
            <w:shd w:val="clear" w:color="auto" w:fill="auto"/>
          </w:tcPr>
          <w:p w14:paraId="13CBE193"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4AE48503" w14:textId="77777777" w:rsidTr="00BC5FD7">
        <w:tc>
          <w:tcPr>
            <w:tcW w:w="3061" w:type="dxa"/>
            <w:shd w:val="clear" w:color="auto" w:fill="auto"/>
          </w:tcPr>
          <w:p w14:paraId="119256A2" w14:textId="77777777" w:rsidR="007E215B" w:rsidRPr="00AE2599" w:rsidRDefault="007E215B" w:rsidP="00BC5FD7">
            <w:pPr>
              <w:rPr>
                <w:rFonts w:eastAsia="Calibri" w:cs="Arial"/>
                <w:b/>
                <w:spacing w:val="5"/>
                <w:sz w:val="22"/>
                <w:szCs w:val="22"/>
              </w:rPr>
            </w:pPr>
          </w:p>
        </w:tc>
        <w:tc>
          <w:tcPr>
            <w:tcW w:w="3062" w:type="dxa"/>
            <w:shd w:val="clear" w:color="auto" w:fill="auto"/>
          </w:tcPr>
          <w:p w14:paraId="361236D4" w14:textId="77777777" w:rsidR="007E215B" w:rsidRPr="00AE2599" w:rsidRDefault="007E215B" w:rsidP="00BC5FD7">
            <w:pPr>
              <w:rPr>
                <w:rFonts w:eastAsia="Calibri" w:cs="Arial"/>
                <w:b/>
                <w:spacing w:val="5"/>
                <w:sz w:val="22"/>
                <w:szCs w:val="22"/>
              </w:rPr>
            </w:pPr>
          </w:p>
        </w:tc>
        <w:tc>
          <w:tcPr>
            <w:tcW w:w="3059" w:type="dxa"/>
            <w:shd w:val="clear" w:color="auto" w:fill="auto"/>
          </w:tcPr>
          <w:p w14:paraId="73CE42C5" w14:textId="77777777" w:rsidR="007E215B" w:rsidRPr="00AE2599" w:rsidRDefault="007E215B" w:rsidP="00BC5FD7">
            <w:pPr>
              <w:rPr>
                <w:rFonts w:eastAsia="Calibri" w:cs="Arial"/>
                <w:b/>
                <w:spacing w:val="5"/>
                <w:sz w:val="22"/>
                <w:szCs w:val="22"/>
              </w:rPr>
            </w:pPr>
          </w:p>
        </w:tc>
      </w:tr>
      <w:tr w:rsidR="007E215B" w:rsidRPr="00857EB3" w14:paraId="5AB01590" w14:textId="77777777" w:rsidTr="00BC5FD7">
        <w:tc>
          <w:tcPr>
            <w:tcW w:w="3061" w:type="dxa"/>
            <w:shd w:val="clear" w:color="auto" w:fill="auto"/>
          </w:tcPr>
          <w:p w14:paraId="3BCFB143" w14:textId="77777777" w:rsidR="007E215B" w:rsidRPr="00AE2599" w:rsidRDefault="007E215B" w:rsidP="00BC5FD7">
            <w:pPr>
              <w:rPr>
                <w:rFonts w:eastAsia="Calibri" w:cs="Arial"/>
                <w:b/>
                <w:spacing w:val="5"/>
                <w:sz w:val="22"/>
                <w:szCs w:val="22"/>
              </w:rPr>
            </w:pPr>
          </w:p>
        </w:tc>
        <w:tc>
          <w:tcPr>
            <w:tcW w:w="3062" w:type="dxa"/>
            <w:shd w:val="clear" w:color="auto" w:fill="auto"/>
          </w:tcPr>
          <w:p w14:paraId="29D023C5" w14:textId="77777777" w:rsidR="007E215B" w:rsidRPr="00AE2599" w:rsidRDefault="007E215B" w:rsidP="00BC5FD7">
            <w:pPr>
              <w:rPr>
                <w:rFonts w:eastAsia="Calibri" w:cs="Arial"/>
                <w:b/>
                <w:spacing w:val="5"/>
                <w:sz w:val="22"/>
                <w:szCs w:val="22"/>
              </w:rPr>
            </w:pPr>
          </w:p>
        </w:tc>
        <w:tc>
          <w:tcPr>
            <w:tcW w:w="3059" w:type="dxa"/>
            <w:shd w:val="clear" w:color="auto" w:fill="auto"/>
          </w:tcPr>
          <w:p w14:paraId="30F8FA89" w14:textId="77777777" w:rsidR="007E215B" w:rsidRPr="00AE2599" w:rsidRDefault="007E215B" w:rsidP="00BC5FD7">
            <w:pPr>
              <w:rPr>
                <w:rFonts w:eastAsia="Calibri" w:cs="Arial"/>
                <w:b/>
                <w:spacing w:val="5"/>
                <w:sz w:val="22"/>
                <w:szCs w:val="22"/>
              </w:rPr>
            </w:pPr>
          </w:p>
        </w:tc>
      </w:tr>
      <w:tr w:rsidR="007E215B" w:rsidRPr="00857EB3" w14:paraId="0E80DA2B" w14:textId="77777777" w:rsidTr="00BC5FD7">
        <w:tc>
          <w:tcPr>
            <w:tcW w:w="3061" w:type="dxa"/>
            <w:shd w:val="clear" w:color="auto" w:fill="auto"/>
          </w:tcPr>
          <w:p w14:paraId="30380D34" w14:textId="77777777" w:rsidR="007E215B" w:rsidRPr="00AE2599" w:rsidRDefault="007E215B" w:rsidP="00BC5FD7">
            <w:pPr>
              <w:rPr>
                <w:rFonts w:eastAsia="Calibri" w:cs="Arial"/>
                <w:b/>
                <w:spacing w:val="5"/>
                <w:sz w:val="22"/>
                <w:szCs w:val="22"/>
              </w:rPr>
            </w:pPr>
          </w:p>
        </w:tc>
        <w:tc>
          <w:tcPr>
            <w:tcW w:w="3062" w:type="dxa"/>
            <w:shd w:val="clear" w:color="auto" w:fill="auto"/>
          </w:tcPr>
          <w:p w14:paraId="715F6033" w14:textId="77777777" w:rsidR="007E215B" w:rsidRPr="00AE2599" w:rsidRDefault="007E215B" w:rsidP="00BC5FD7">
            <w:pPr>
              <w:rPr>
                <w:rFonts w:eastAsia="Calibri" w:cs="Arial"/>
                <w:b/>
                <w:spacing w:val="5"/>
                <w:sz w:val="22"/>
                <w:szCs w:val="22"/>
              </w:rPr>
            </w:pPr>
          </w:p>
        </w:tc>
        <w:tc>
          <w:tcPr>
            <w:tcW w:w="3059" w:type="dxa"/>
            <w:shd w:val="clear" w:color="auto" w:fill="auto"/>
          </w:tcPr>
          <w:p w14:paraId="72FA7C56" w14:textId="77777777" w:rsidR="007E215B" w:rsidRPr="00AE2599" w:rsidRDefault="007E215B" w:rsidP="00BC5FD7">
            <w:pPr>
              <w:rPr>
                <w:rFonts w:eastAsia="Calibri" w:cs="Arial"/>
                <w:b/>
                <w:spacing w:val="5"/>
                <w:sz w:val="22"/>
                <w:szCs w:val="22"/>
              </w:rPr>
            </w:pPr>
          </w:p>
        </w:tc>
      </w:tr>
      <w:tr w:rsidR="007E215B" w:rsidRPr="00857EB3" w14:paraId="580C1AA3" w14:textId="77777777" w:rsidTr="00BC5FD7">
        <w:tc>
          <w:tcPr>
            <w:tcW w:w="3061" w:type="dxa"/>
            <w:shd w:val="clear" w:color="auto" w:fill="auto"/>
          </w:tcPr>
          <w:p w14:paraId="003E5EE5" w14:textId="77777777" w:rsidR="007E215B" w:rsidRPr="00AE2599" w:rsidRDefault="007E215B" w:rsidP="00BC5FD7">
            <w:pPr>
              <w:rPr>
                <w:rFonts w:eastAsia="Calibri" w:cs="Arial"/>
                <w:b/>
                <w:spacing w:val="5"/>
                <w:sz w:val="22"/>
                <w:szCs w:val="22"/>
              </w:rPr>
            </w:pPr>
          </w:p>
        </w:tc>
        <w:tc>
          <w:tcPr>
            <w:tcW w:w="3062" w:type="dxa"/>
            <w:shd w:val="clear" w:color="auto" w:fill="auto"/>
          </w:tcPr>
          <w:p w14:paraId="73CB1E4D" w14:textId="77777777" w:rsidR="007E215B" w:rsidRPr="00AE2599" w:rsidRDefault="007E215B" w:rsidP="00BC5FD7">
            <w:pPr>
              <w:rPr>
                <w:rFonts w:eastAsia="Calibri" w:cs="Arial"/>
                <w:b/>
                <w:spacing w:val="5"/>
                <w:sz w:val="22"/>
                <w:szCs w:val="22"/>
              </w:rPr>
            </w:pPr>
          </w:p>
        </w:tc>
        <w:tc>
          <w:tcPr>
            <w:tcW w:w="3059" w:type="dxa"/>
            <w:shd w:val="clear" w:color="auto" w:fill="auto"/>
          </w:tcPr>
          <w:p w14:paraId="52566922" w14:textId="77777777" w:rsidR="007E215B" w:rsidRPr="00AE2599" w:rsidRDefault="007E215B" w:rsidP="00BC5FD7">
            <w:pPr>
              <w:rPr>
                <w:rFonts w:eastAsia="Calibri" w:cs="Arial"/>
                <w:b/>
                <w:spacing w:val="5"/>
                <w:sz w:val="22"/>
                <w:szCs w:val="22"/>
              </w:rPr>
            </w:pPr>
          </w:p>
        </w:tc>
      </w:tr>
    </w:tbl>
    <w:p w14:paraId="6366BE86" w14:textId="77777777" w:rsidR="007E215B" w:rsidRPr="00AE2599" w:rsidRDefault="007E215B" w:rsidP="007E215B">
      <w:pPr>
        <w:ind w:left="60"/>
        <w:rPr>
          <w:rFonts w:eastAsia="Calibri" w:cs="Arial"/>
          <w:b/>
          <w:spacing w:val="5"/>
          <w:sz w:val="22"/>
          <w:szCs w:val="22"/>
        </w:rPr>
      </w:pPr>
    </w:p>
    <w:p w14:paraId="77A7F650" w14:textId="77777777" w:rsidR="007E215B" w:rsidRPr="00AE2599" w:rsidRDefault="007E215B" w:rsidP="007E215B">
      <w:pPr>
        <w:spacing w:after="160" w:line="288" w:lineRule="auto"/>
        <w:rPr>
          <w:rFonts w:eastAsia="Calibri" w:cs="Arial"/>
          <w:b/>
          <w:sz w:val="22"/>
          <w:szCs w:val="22"/>
        </w:rPr>
      </w:pPr>
      <w:r w:rsidRPr="00AE2599">
        <w:rPr>
          <w:rFonts w:eastAsia="Calibri" w:cs="Arial"/>
          <w:b/>
          <w:sz w:val="22"/>
          <w:szCs w:val="22"/>
        </w:rPr>
        <w:t>People who do not help me with positive changes: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992"/>
        <w:gridCol w:w="2977"/>
      </w:tblGrid>
      <w:tr w:rsidR="007E215B" w:rsidRPr="00857EB3" w14:paraId="2A95826C" w14:textId="77777777" w:rsidTr="00BC5FD7">
        <w:tc>
          <w:tcPr>
            <w:tcW w:w="3061" w:type="dxa"/>
            <w:shd w:val="clear" w:color="auto" w:fill="auto"/>
          </w:tcPr>
          <w:p w14:paraId="01A160E3"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62" w:type="dxa"/>
            <w:shd w:val="clear" w:color="auto" w:fill="auto"/>
          </w:tcPr>
          <w:p w14:paraId="270EA7D4"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parent, teacher, cousin etc.)</w:t>
            </w:r>
          </w:p>
        </w:tc>
        <w:tc>
          <w:tcPr>
            <w:tcW w:w="3059" w:type="dxa"/>
            <w:shd w:val="clear" w:color="auto" w:fill="auto"/>
          </w:tcPr>
          <w:p w14:paraId="78492ECE"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7F7B6AF8" w14:textId="77777777" w:rsidTr="00BC5FD7">
        <w:tc>
          <w:tcPr>
            <w:tcW w:w="3061" w:type="dxa"/>
            <w:shd w:val="clear" w:color="auto" w:fill="auto"/>
          </w:tcPr>
          <w:p w14:paraId="44B9228E" w14:textId="77777777" w:rsidR="007E215B" w:rsidRPr="00AE2599" w:rsidRDefault="007E215B" w:rsidP="00BC5FD7">
            <w:pPr>
              <w:rPr>
                <w:rFonts w:eastAsia="Calibri" w:cs="Arial"/>
                <w:b/>
                <w:spacing w:val="5"/>
                <w:sz w:val="22"/>
                <w:szCs w:val="22"/>
              </w:rPr>
            </w:pPr>
          </w:p>
        </w:tc>
        <w:tc>
          <w:tcPr>
            <w:tcW w:w="3062" w:type="dxa"/>
            <w:shd w:val="clear" w:color="auto" w:fill="auto"/>
          </w:tcPr>
          <w:p w14:paraId="0D6F79B4" w14:textId="77777777" w:rsidR="007E215B" w:rsidRPr="00AE2599" w:rsidRDefault="007E215B" w:rsidP="00BC5FD7">
            <w:pPr>
              <w:rPr>
                <w:rFonts w:eastAsia="Calibri" w:cs="Arial"/>
                <w:b/>
                <w:spacing w:val="5"/>
                <w:sz w:val="22"/>
                <w:szCs w:val="22"/>
              </w:rPr>
            </w:pPr>
          </w:p>
        </w:tc>
        <w:tc>
          <w:tcPr>
            <w:tcW w:w="3059" w:type="dxa"/>
            <w:shd w:val="clear" w:color="auto" w:fill="auto"/>
          </w:tcPr>
          <w:p w14:paraId="089CB93F" w14:textId="77777777" w:rsidR="007E215B" w:rsidRPr="00AE2599" w:rsidRDefault="007E215B" w:rsidP="00BC5FD7">
            <w:pPr>
              <w:rPr>
                <w:rFonts w:eastAsia="Calibri" w:cs="Arial"/>
                <w:b/>
                <w:spacing w:val="5"/>
                <w:sz w:val="22"/>
                <w:szCs w:val="22"/>
              </w:rPr>
            </w:pPr>
          </w:p>
        </w:tc>
      </w:tr>
      <w:tr w:rsidR="007E215B" w:rsidRPr="00857EB3" w14:paraId="6B08CC3A" w14:textId="77777777" w:rsidTr="00BC5FD7">
        <w:tc>
          <w:tcPr>
            <w:tcW w:w="3061" w:type="dxa"/>
            <w:shd w:val="clear" w:color="auto" w:fill="auto"/>
          </w:tcPr>
          <w:p w14:paraId="3CC39811" w14:textId="77777777" w:rsidR="007E215B" w:rsidRPr="00AE2599" w:rsidRDefault="007E215B" w:rsidP="00BC5FD7">
            <w:pPr>
              <w:rPr>
                <w:rFonts w:eastAsia="Calibri" w:cs="Arial"/>
                <w:b/>
                <w:spacing w:val="5"/>
                <w:sz w:val="22"/>
                <w:szCs w:val="22"/>
              </w:rPr>
            </w:pPr>
          </w:p>
        </w:tc>
        <w:tc>
          <w:tcPr>
            <w:tcW w:w="3062" w:type="dxa"/>
            <w:shd w:val="clear" w:color="auto" w:fill="auto"/>
          </w:tcPr>
          <w:p w14:paraId="36AD9446" w14:textId="77777777" w:rsidR="007E215B" w:rsidRPr="00AE2599" w:rsidRDefault="007E215B" w:rsidP="00BC5FD7">
            <w:pPr>
              <w:rPr>
                <w:rFonts w:eastAsia="Calibri" w:cs="Arial"/>
                <w:b/>
                <w:spacing w:val="5"/>
                <w:sz w:val="22"/>
                <w:szCs w:val="22"/>
              </w:rPr>
            </w:pPr>
          </w:p>
        </w:tc>
        <w:tc>
          <w:tcPr>
            <w:tcW w:w="3059" w:type="dxa"/>
            <w:shd w:val="clear" w:color="auto" w:fill="auto"/>
          </w:tcPr>
          <w:p w14:paraId="3C1E21F0" w14:textId="77777777" w:rsidR="007E215B" w:rsidRPr="00AE2599" w:rsidRDefault="007E215B" w:rsidP="00BC5FD7">
            <w:pPr>
              <w:rPr>
                <w:rFonts w:eastAsia="Calibri" w:cs="Arial"/>
                <w:b/>
                <w:spacing w:val="5"/>
                <w:sz w:val="22"/>
                <w:szCs w:val="22"/>
              </w:rPr>
            </w:pPr>
          </w:p>
        </w:tc>
      </w:tr>
      <w:tr w:rsidR="007E215B" w:rsidRPr="00857EB3" w14:paraId="3741F657" w14:textId="77777777" w:rsidTr="00BC5FD7">
        <w:tc>
          <w:tcPr>
            <w:tcW w:w="3061" w:type="dxa"/>
            <w:shd w:val="clear" w:color="auto" w:fill="auto"/>
          </w:tcPr>
          <w:p w14:paraId="4B8FB751" w14:textId="77777777" w:rsidR="007E215B" w:rsidRPr="00AE2599" w:rsidRDefault="007E215B" w:rsidP="00BC5FD7">
            <w:pPr>
              <w:rPr>
                <w:rFonts w:eastAsia="Calibri" w:cs="Arial"/>
                <w:b/>
                <w:spacing w:val="5"/>
                <w:sz w:val="22"/>
                <w:szCs w:val="22"/>
              </w:rPr>
            </w:pPr>
          </w:p>
        </w:tc>
        <w:tc>
          <w:tcPr>
            <w:tcW w:w="3062" w:type="dxa"/>
            <w:shd w:val="clear" w:color="auto" w:fill="auto"/>
          </w:tcPr>
          <w:p w14:paraId="63788E24" w14:textId="77777777" w:rsidR="007E215B" w:rsidRPr="00AE2599" w:rsidRDefault="007E215B" w:rsidP="00BC5FD7">
            <w:pPr>
              <w:rPr>
                <w:rFonts w:eastAsia="Calibri" w:cs="Arial"/>
                <w:b/>
                <w:spacing w:val="5"/>
                <w:sz w:val="22"/>
                <w:szCs w:val="22"/>
              </w:rPr>
            </w:pPr>
          </w:p>
        </w:tc>
        <w:tc>
          <w:tcPr>
            <w:tcW w:w="3059" w:type="dxa"/>
            <w:shd w:val="clear" w:color="auto" w:fill="auto"/>
          </w:tcPr>
          <w:p w14:paraId="22F1F49D" w14:textId="77777777" w:rsidR="007E215B" w:rsidRPr="00AE2599" w:rsidRDefault="007E215B" w:rsidP="00BC5FD7">
            <w:pPr>
              <w:rPr>
                <w:rFonts w:eastAsia="Calibri" w:cs="Arial"/>
                <w:b/>
                <w:spacing w:val="5"/>
                <w:sz w:val="22"/>
                <w:szCs w:val="22"/>
              </w:rPr>
            </w:pPr>
          </w:p>
        </w:tc>
      </w:tr>
      <w:tr w:rsidR="007E215B" w:rsidRPr="00857EB3" w14:paraId="535013DC" w14:textId="77777777" w:rsidTr="00BC5FD7">
        <w:tc>
          <w:tcPr>
            <w:tcW w:w="3061" w:type="dxa"/>
            <w:shd w:val="clear" w:color="auto" w:fill="auto"/>
          </w:tcPr>
          <w:p w14:paraId="78943022" w14:textId="77777777" w:rsidR="007E215B" w:rsidRPr="00AE2599" w:rsidRDefault="007E215B" w:rsidP="00BC5FD7">
            <w:pPr>
              <w:rPr>
                <w:rFonts w:eastAsia="Calibri" w:cs="Arial"/>
                <w:b/>
                <w:spacing w:val="5"/>
                <w:sz w:val="22"/>
                <w:szCs w:val="22"/>
              </w:rPr>
            </w:pPr>
          </w:p>
        </w:tc>
        <w:tc>
          <w:tcPr>
            <w:tcW w:w="3062" w:type="dxa"/>
            <w:shd w:val="clear" w:color="auto" w:fill="auto"/>
          </w:tcPr>
          <w:p w14:paraId="680781F5" w14:textId="77777777" w:rsidR="007E215B" w:rsidRPr="00AE2599" w:rsidRDefault="007E215B" w:rsidP="00BC5FD7">
            <w:pPr>
              <w:rPr>
                <w:rFonts w:eastAsia="Calibri" w:cs="Arial"/>
                <w:b/>
                <w:spacing w:val="5"/>
                <w:sz w:val="22"/>
                <w:szCs w:val="22"/>
              </w:rPr>
            </w:pPr>
          </w:p>
        </w:tc>
        <w:tc>
          <w:tcPr>
            <w:tcW w:w="3059" w:type="dxa"/>
            <w:shd w:val="clear" w:color="auto" w:fill="auto"/>
          </w:tcPr>
          <w:p w14:paraId="03118CB8" w14:textId="77777777" w:rsidR="007E215B" w:rsidRPr="00AE2599" w:rsidRDefault="007E215B" w:rsidP="00BC5FD7">
            <w:pPr>
              <w:rPr>
                <w:rFonts w:eastAsia="Calibri" w:cs="Arial"/>
                <w:b/>
                <w:spacing w:val="5"/>
                <w:sz w:val="22"/>
                <w:szCs w:val="22"/>
              </w:rPr>
            </w:pPr>
          </w:p>
        </w:tc>
      </w:tr>
    </w:tbl>
    <w:p w14:paraId="4216AE6C" w14:textId="77777777" w:rsidR="007E215B" w:rsidRPr="00AE2599" w:rsidRDefault="007E215B" w:rsidP="007E215B">
      <w:pPr>
        <w:ind w:left="60"/>
        <w:rPr>
          <w:rFonts w:eastAsia="Calibri" w:cs="Arial"/>
          <w:b/>
          <w:spacing w:val="5"/>
          <w:sz w:val="22"/>
          <w:szCs w:val="22"/>
        </w:rPr>
      </w:pPr>
    </w:p>
    <w:p w14:paraId="7B2E4B5C"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 xml:space="preserve">How I will know if I am finding it easier to manage my area(s) of need: </w:t>
      </w:r>
    </w:p>
    <w:p w14:paraId="3A0DF85E"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DF003" w14:textId="77777777" w:rsidR="007E215B" w:rsidRPr="00AE2599" w:rsidRDefault="007E215B" w:rsidP="007E215B">
      <w:pPr>
        <w:ind w:left="60"/>
        <w:rPr>
          <w:rFonts w:eastAsia="Calibri" w:cs="Arial"/>
          <w:b/>
          <w:spacing w:val="5"/>
          <w:sz w:val="22"/>
          <w:szCs w:val="22"/>
        </w:rPr>
      </w:pPr>
    </w:p>
    <w:p w14:paraId="5CED6FF7" w14:textId="77777777" w:rsidR="00857EB3" w:rsidRDefault="00857EB3">
      <w:pPr>
        <w:spacing w:before="0" w:after="200" w:line="276" w:lineRule="auto"/>
        <w:rPr>
          <w:rFonts w:eastAsia="Calibri" w:cs="Arial"/>
          <w:b/>
          <w:sz w:val="22"/>
          <w:szCs w:val="22"/>
        </w:rPr>
      </w:pPr>
      <w:r>
        <w:rPr>
          <w:rFonts w:eastAsia="Calibri" w:cs="Arial"/>
          <w:b/>
          <w:sz w:val="22"/>
          <w:szCs w:val="22"/>
        </w:rPr>
        <w:br w:type="page"/>
      </w:r>
    </w:p>
    <w:p w14:paraId="1BED3E82"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lastRenderedPageBreak/>
        <w:t xml:space="preserve">What I can do if I start to have more difficulties: </w:t>
      </w:r>
    </w:p>
    <w:p w14:paraId="7783CAA7"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______________________________________________________________________</w:t>
      </w:r>
    </w:p>
    <w:p w14:paraId="1602692C"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_________________________________________________________________________________________________________________________________________________________________________________________________________________________________</w:t>
      </w:r>
    </w:p>
    <w:p w14:paraId="7589843D" w14:textId="77777777" w:rsidR="007E215B" w:rsidRPr="00AE2599" w:rsidRDefault="007E215B" w:rsidP="007E215B">
      <w:pPr>
        <w:ind w:left="60"/>
        <w:rPr>
          <w:rFonts w:eastAsia="Calibri" w:cs="Arial"/>
          <w:b/>
          <w:spacing w:val="5"/>
          <w:sz w:val="22"/>
          <w:szCs w:val="22"/>
        </w:rPr>
      </w:pPr>
    </w:p>
    <w:p w14:paraId="37A30E66"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What I want other people to do if I start having more difficulties: ____________________________________________________________________</w:t>
      </w:r>
    </w:p>
    <w:p w14:paraId="056C2AD0"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_________________________________________________________________________________________________________________________________________________________________________________________________________________________________</w:t>
      </w:r>
    </w:p>
    <w:p w14:paraId="21B3132E" w14:textId="77777777" w:rsidR="007E215B" w:rsidRPr="00AE2599" w:rsidRDefault="007E215B" w:rsidP="007E215B">
      <w:pPr>
        <w:ind w:left="60"/>
        <w:rPr>
          <w:rFonts w:eastAsia="Calibri" w:cs="Arial"/>
          <w:b/>
          <w:sz w:val="22"/>
          <w:szCs w:val="22"/>
        </w:rPr>
      </w:pPr>
    </w:p>
    <w:p w14:paraId="6DF3863A"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 xml:space="preserve">Things I can do for myself: </w:t>
      </w:r>
    </w:p>
    <w:p w14:paraId="327159F4"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94BB49" w14:textId="77777777" w:rsidR="007E215B" w:rsidRPr="00AE2599" w:rsidRDefault="007E215B" w:rsidP="007E215B">
      <w:pPr>
        <w:ind w:left="60"/>
        <w:rPr>
          <w:rFonts w:eastAsia="Calibri" w:cs="Arial"/>
          <w:b/>
          <w:sz w:val="22"/>
          <w:szCs w:val="22"/>
        </w:rPr>
      </w:pPr>
    </w:p>
    <w:p w14:paraId="01E1AA9A" w14:textId="77777777" w:rsidR="007E215B" w:rsidRPr="00AE2599" w:rsidRDefault="007E215B" w:rsidP="007E215B">
      <w:pPr>
        <w:spacing w:after="160" w:line="288" w:lineRule="auto"/>
        <w:rPr>
          <w:rFonts w:eastAsia="Calibri" w:cs="Arial"/>
          <w:b/>
          <w:sz w:val="22"/>
          <w:szCs w:val="22"/>
        </w:rPr>
      </w:pPr>
      <w:r w:rsidRPr="00AE2599">
        <w:rPr>
          <w:rFonts w:eastAsia="Calibri" w:cs="Arial"/>
          <w:b/>
          <w:sz w:val="22"/>
          <w:szCs w:val="22"/>
        </w:rPr>
        <w:t>For practitioner: Child/young person’s SDQ scores</w:t>
      </w:r>
    </w:p>
    <w:tbl>
      <w:tblPr>
        <w:tblStyle w:val="TableGrid"/>
        <w:tblW w:w="0" w:type="auto"/>
        <w:jc w:val="center"/>
        <w:tblLook w:val="04A0" w:firstRow="1" w:lastRow="0" w:firstColumn="1" w:lastColumn="0" w:noHBand="0" w:noVBand="1"/>
      </w:tblPr>
      <w:tblGrid>
        <w:gridCol w:w="5070"/>
        <w:gridCol w:w="2268"/>
      </w:tblGrid>
      <w:tr w:rsidR="007E215B" w:rsidRPr="00857EB3" w14:paraId="45801974" w14:textId="77777777" w:rsidTr="00BC5FD7">
        <w:trPr>
          <w:jc w:val="center"/>
        </w:trPr>
        <w:tc>
          <w:tcPr>
            <w:tcW w:w="5070" w:type="dxa"/>
          </w:tcPr>
          <w:p w14:paraId="495A8992" w14:textId="77777777" w:rsidR="007E215B" w:rsidRPr="00AE2599" w:rsidRDefault="007E215B" w:rsidP="00BC5FD7">
            <w:pPr>
              <w:pStyle w:val="ListParagraph"/>
              <w:autoSpaceDE w:val="0"/>
              <w:autoSpaceDN w:val="0"/>
              <w:adjustRightInd w:val="0"/>
              <w:spacing w:after="120"/>
              <w:ind w:left="360"/>
              <w:rPr>
                <w:rFonts w:cs="Arial"/>
                <w:b/>
                <w:sz w:val="22"/>
                <w:szCs w:val="22"/>
              </w:rPr>
            </w:pPr>
            <w:r w:rsidRPr="00AE2599">
              <w:rPr>
                <w:rFonts w:cs="Arial"/>
                <w:b/>
                <w:sz w:val="22"/>
                <w:szCs w:val="22"/>
              </w:rPr>
              <w:t>Scale</w:t>
            </w:r>
          </w:p>
        </w:tc>
        <w:tc>
          <w:tcPr>
            <w:tcW w:w="2268" w:type="dxa"/>
          </w:tcPr>
          <w:p w14:paraId="315C85A7" w14:textId="77777777" w:rsidR="007E215B" w:rsidRPr="00AE2599" w:rsidRDefault="007E215B" w:rsidP="00BC5FD7">
            <w:pPr>
              <w:autoSpaceDE w:val="0"/>
              <w:autoSpaceDN w:val="0"/>
              <w:adjustRightInd w:val="0"/>
              <w:spacing w:after="120"/>
              <w:jc w:val="center"/>
              <w:rPr>
                <w:rFonts w:cs="Arial"/>
                <w:b/>
                <w:sz w:val="22"/>
                <w:szCs w:val="22"/>
              </w:rPr>
            </w:pPr>
            <w:r w:rsidRPr="00AE2599">
              <w:rPr>
                <w:rFonts w:cs="Arial"/>
                <w:b/>
                <w:sz w:val="22"/>
                <w:szCs w:val="22"/>
              </w:rPr>
              <w:t>Score</w:t>
            </w:r>
          </w:p>
        </w:tc>
      </w:tr>
      <w:tr w:rsidR="007E215B" w:rsidRPr="00857EB3" w14:paraId="1BD1320E" w14:textId="77777777" w:rsidTr="00BC5FD7">
        <w:trPr>
          <w:jc w:val="center"/>
        </w:trPr>
        <w:tc>
          <w:tcPr>
            <w:tcW w:w="5070" w:type="dxa"/>
          </w:tcPr>
          <w:p w14:paraId="5E5D6369"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Emotional symptoms scale</w:t>
            </w:r>
          </w:p>
        </w:tc>
        <w:tc>
          <w:tcPr>
            <w:tcW w:w="2268" w:type="dxa"/>
          </w:tcPr>
          <w:p w14:paraId="3FBB9F0B" w14:textId="77777777" w:rsidR="007E215B" w:rsidRPr="00AE2599" w:rsidRDefault="007E215B" w:rsidP="00BC5FD7">
            <w:pPr>
              <w:autoSpaceDE w:val="0"/>
              <w:autoSpaceDN w:val="0"/>
              <w:adjustRightInd w:val="0"/>
              <w:spacing w:after="120"/>
              <w:rPr>
                <w:rFonts w:cs="Arial"/>
                <w:sz w:val="22"/>
                <w:szCs w:val="22"/>
              </w:rPr>
            </w:pPr>
          </w:p>
        </w:tc>
      </w:tr>
      <w:tr w:rsidR="007E215B" w:rsidRPr="00857EB3" w14:paraId="19168C5D" w14:textId="77777777" w:rsidTr="00BC5FD7">
        <w:trPr>
          <w:jc w:val="center"/>
        </w:trPr>
        <w:tc>
          <w:tcPr>
            <w:tcW w:w="5070" w:type="dxa"/>
          </w:tcPr>
          <w:p w14:paraId="4379FA62"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 xml:space="preserve">Conduct problems scale </w:t>
            </w:r>
          </w:p>
        </w:tc>
        <w:tc>
          <w:tcPr>
            <w:tcW w:w="2268" w:type="dxa"/>
          </w:tcPr>
          <w:p w14:paraId="39875D64" w14:textId="77777777" w:rsidR="007E215B" w:rsidRPr="00AE2599" w:rsidRDefault="007E215B" w:rsidP="00BC5FD7">
            <w:pPr>
              <w:autoSpaceDE w:val="0"/>
              <w:autoSpaceDN w:val="0"/>
              <w:adjustRightInd w:val="0"/>
              <w:spacing w:after="120"/>
              <w:rPr>
                <w:rFonts w:cs="Arial"/>
                <w:sz w:val="22"/>
                <w:szCs w:val="22"/>
              </w:rPr>
            </w:pPr>
          </w:p>
        </w:tc>
      </w:tr>
      <w:tr w:rsidR="007E215B" w:rsidRPr="00857EB3" w14:paraId="78964C8B" w14:textId="77777777" w:rsidTr="00BC5FD7">
        <w:trPr>
          <w:jc w:val="center"/>
        </w:trPr>
        <w:tc>
          <w:tcPr>
            <w:tcW w:w="5070" w:type="dxa"/>
          </w:tcPr>
          <w:p w14:paraId="111386C2"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 xml:space="preserve">Hyperactivity/inattention scale </w:t>
            </w:r>
          </w:p>
        </w:tc>
        <w:tc>
          <w:tcPr>
            <w:tcW w:w="2268" w:type="dxa"/>
          </w:tcPr>
          <w:p w14:paraId="35257215" w14:textId="77777777" w:rsidR="007E215B" w:rsidRPr="00AE2599" w:rsidRDefault="007E215B" w:rsidP="00BC5FD7">
            <w:pPr>
              <w:autoSpaceDE w:val="0"/>
              <w:autoSpaceDN w:val="0"/>
              <w:adjustRightInd w:val="0"/>
              <w:spacing w:after="120"/>
              <w:rPr>
                <w:rFonts w:cs="Arial"/>
                <w:sz w:val="22"/>
                <w:szCs w:val="22"/>
              </w:rPr>
            </w:pPr>
          </w:p>
        </w:tc>
      </w:tr>
      <w:tr w:rsidR="007E215B" w:rsidRPr="00857EB3" w14:paraId="485A1CAD" w14:textId="77777777" w:rsidTr="00BC5FD7">
        <w:trPr>
          <w:jc w:val="center"/>
        </w:trPr>
        <w:tc>
          <w:tcPr>
            <w:tcW w:w="5070" w:type="dxa"/>
          </w:tcPr>
          <w:p w14:paraId="39036430"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 xml:space="preserve">Peer relationship problems scale </w:t>
            </w:r>
          </w:p>
        </w:tc>
        <w:tc>
          <w:tcPr>
            <w:tcW w:w="2268" w:type="dxa"/>
          </w:tcPr>
          <w:p w14:paraId="52274A4C" w14:textId="77777777" w:rsidR="007E215B" w:rsidRPr="00AE2599" w:rsidRDefault="007E215B" w:rsidP="00BC5FD7">
            <w:pPr>
              <w:autoSpaceDE w:val="0"/>
              <w:autoSpaceDN w:val="0"/>
              <w:adjustRightInd w:val="0"/>
              <w:spacing w:after="120"/>
              <w:rPr>
                <w:rFonts w:cs="Arial"/>
                <w:sz w:val="22"/>
                <w:szCs w:val="22"/>
              </w:rPr>
            </w:pPr>
          </w:p>
        </w:tc>
      </w:tr>
      <w:tr w:rsidR="007E215B" w:rsidRPr="00857EB3" w14:paraId="7E431957" w14:textId="77777777" w:rsidTr="00BC5FD7">
        <w:trPr>
          <w:jc w:val="center"/>
        </w:trPr>
        <w:tc>
          <w:tcPr>
            <w:tcW w:w="5070" w:type="dxa"/>
          </w:tcPr>
          <w:p w14:paraId="440AF53C"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 xml:space="preserve">Prosocial behaviour scale </w:t>
            </w:r>
          </w:p>
        </w:tc>
        <w:tc>
          <w:tcPr>
            <w:tcW w:w="2268" w:type="dxa"/>
          </w:tcPr>
          <w:p w14:paraId="736ED736" w14:textId="77777777" w:rsidR="007E215B" w:rsidRPr="00AE2599" w:rsidRDefault="007E215B" w:rsidP="00BC5FD7">
            <w:pPr>
              <w:autoSpaceDE w:val="0"/>
              <w:autoSpaceDN w:val="0"/>
              <w:adjustRightInd w:val="0"/>
              <w:spacing w:after="120"/>
              <w:rPr>
                <w:rFonts w:cs="Arial"/>
                <w:sz w:val="22"/>
                <w:szCs w:val="22"/>
              </w:rPr>
            </w:pPr>
          </w:p>
        </w:tc>
      </w:tr>
      <w:tr w:rsidR="007E215B" w:rsidRPr="00857EB3" w14:paraId="15360E9A" w14:textId="77777777" w:rsidTr="00BC5FD7">
        <w:trPr>
          <w:jc w:val="center"/>
        </w:trPr>
        <w:tc>
          <w:tcPr>
            <w:tcW w:w="5070" w:type="dxa"/>
          </w:tcPr>
          <w:p w14:paraId="6F302001"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 xml:space="preserve">Total difficulties scale </w:t>
            </w:r>
          </w:p>
        </w:tc>
        <w:tc>
          <w:tcPr>
            <w:tcW w:w="2268" w:type="dxa"/>
          </w:tcPr>
          <w:p w14:paraId="2448BAE1" w14:textId="77777777" w:rsidR="007E215B" w:rsidRPr="00AE2599" w:rsidRDefault="007E215B" w:rsidP="00BC5FD7">
            <w:pPr>
              <w:pStyle w:val="BodyText"/>
              <w:autoSpaceDE w:val="0"/>
              <w:autoSpaceDN w:val="0"/>
              <w:adjustRightInd w:val="0"/>
              <w:spacing w:after="0"/>
              <w:rPr>
                <w:rFonts w:cs="Arial"/>
              </w:rPr>
            </w:pPr>
          </w:p>
        </w:tc>
      </w:tr>
      <w:tr w:rsidR="007E215B" w:rsidRPr="00857EB3" w14:paraId="338BD4B8" w14:textId="77777777" w:rsidTr="00BC5FD7">
        <w:trPr>
          <w:jc w:val="center"/>
        </w:trPr>
        <w:tc>
          <w:tcPr>
            <w:tcW w:w="5070" w:type="dxa"/>
          </w:tcPr>
          <w:p w14:paraId="55DADAA6"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Externalising score</w:t>
            </w:r>
          </w:p>
        </w:tc>
        <w:tc>
          <w:tcPr>
            <w:tcW w:w="2268" w:type="dxa"/>
          </w:tcPr>
          <w:p w14:paraId="4802EEB1" w14:textId="77777777" w:rsidR="007E215B" w:rsidRPr="00AE2599" w:rsidRDefault="007E215B" w:rsidP="00BC5FD7">
            <w:pPr>
              <w:pStyle w:val="BodyText"/>
              <w:autoSpaceDE w:val="0"/>
              <w:autoSpaceDN w:val="0"/>
              <w:adjustRightInd w:val="0"/>
              <w:spacing w:after="0"/>
              <w:rPr>
                <w:rFonts w:cs="Arial"/>
              </w:rPr>
            </w:pPr>
          </w:p>
        </w:tc>
      </w:tr>
      <w:tr w:rsidR="007E215B" w:rsidRPr="00857EB3" w14:paraId="08369674" w14:textId="77777777" w:rsidTr="00BC5FD7">
        <w:trPr>
          <w:jc w:val="center"/>
        </w:trPr>
        <w:tc>
          <w:tcPr>
            <w:tcW w:w="5070" w:type="dxa"/>
          </w:tcPr>
          <w:p w14:paraId="166C5736" w14:textId="77777777" w:rsidR="007E215B" w:rsidRPr="00AE2599" w:rsidRDefault="007E215B" w:rsidP="007E215B">
            <w:pPr>
              <w:pStyle w:val="ListParagraph"/>
              <w:numPr>
                <w:ilvl w:val="0"/>
                <w:numId w:val="93"/>
              </w:numPr>
              <w:autoSpaceDE w:val="0"/>
              <w:autoSpaceDN w:val="0"/>
              <w:adjustRightInd w:val="0"/>
              <w:spacing w:before="0" w:after="120" w:line="240" w:lineRule="auto"/>
              <w:rPr>
                <w:rFonts w:cs="Arial"/>
                <w:sz w:val="22"/>
                <w:szCs w:val="22"/>
              </w:rPr>
            </w:pPr>
            <w:r w:rsidRPr="00AE2599">
              <w:rPr>
                <w:rFonts w:cs="Arial"/>
                <w:sz w:val="22"/>
                <w:szCs w:val="22"/>
              </w:rPr>
              <w:t>Internalising score</w:t>
            </w:r>
          </w:p>
        </w:tc>
        <w:tc>
          <w:tcPr>
            <w:tcW w:w="2268" w:type="dxa"/>
          </w:tcPr>
          <w:p w14:paraId="555A6737" w14:textId="77777777" w:rsidR="007E215B" w:rsidRPr="00AE2599" w:rsidRDefault="007E215B" w:rsidP="00BC5FD7">
            <w:pPr>
              <w:pStyle w:val="BodyText"/>
              <w:autoSpaceDE w:val="0"/>
              <w:autoSpaceDN w:val="0"/>
              <w:adjustRightInd w:val="0"/>
              <w:spacing w:after="0"/>
              <w:rPr>
                <w:rFonts w:cs="Arial"/>
              </w:rPr>
            </w:pPr>
          </w:p>
        </w:tc>
      </w:tr>
    </w:tbl>
    <w:p w14:paraId="3136A214" w14:textId="77777777" w:rsidR="007E215B" w:rsidRPr="00AE2599" w:rsidRDefault="007E215B" w:rsidP="007E215B">
      <w:pPr>
        <w:ind w:left="60"/>
        <w:rPr>
          <w:rFonts w:eastAsia="Calibri" w:cs="Arial"/>
          <w:b/>
          <w:sz w:val="22"/>
          <w:szCs w:val="22"/>
        </w:rPr>
      </w:pPr>
    </w:p>
    <w:p w14:paraId="17F4AD1D" w14:textId="77777777" w:rsidR="007E215B" w:rsidRPr="00AE2599" w:rsidRDefault="007E215B" w:rsidP="007E215B">
      <w:pPr>
        <w:ind w:left="60"/>
        <w:rPr>
          <w:rFonts w:eastAsia="Calibri" w:cs="Arial"/>
          <w:b/>
          <w:sz w:val="22"/>
          <w:szCs w:val="22"/>
        </w:rPr>
      </w:pPr>
      <w:r w:rsidRPr="00AE2599">
        <w:rPr>
          <w:rFonts w:eastAsia="Calibri" w:cs="Arial"/>
          <w:b/>
          <w:sz w:val="22"/>
          <w:szCs w:val="22"/>
        </w:rPr>
        <w:t>Date this plan will be reviewed: --------------------------------------------------------------</w:t>
      </w:r>
    </w:p>
    <w:p w14:paraId="20A1EED4" w14:textId="77777777" w:rsidR="007E215B" w:rsidRPr="00AE2599" w:rsidRDefault="007E215B" w:rsidP="007E215B">
      <w:pPr>
        <w:spacing w:after="160" w:line="288" w:lineRule="auto"/>
        <w:rPr>
          <w:rFonts w:eastAsia="Calibri" w:cs="Arial"/>
          <w:b/>
          <w:sz w:val="22"/>
          <w:szCs w:val="22"/>
        </w:rPr>
      </w:pPr>
      <w:r w:rsidRPr="00AE2599">
        <w:rPr>
          <w:rFonts w:eastAsia="Calibri" w:cs="Arial"/>
          <w:b/>
          <w:sz w:val="22"/>
          <w:szCs w:val="22"/>
        </w:rPr>
        <w:br w:type="page"/>
      </w:r>
    </w:p>
    <w:p w14:paraId="7F5404D1" w14:textId="77777777" w:rsidR="007E215B" w:rsidRPr="00AE2599" w:rsidRDefault="007E215B" w:rsidP="007E215B">
      <w:pPr>
        <w:ind w:left="60"/>
        <w:rPr>
          <w:rFonts w:eastAsia="Calibri" w:cs="Arial"/>
          <w:b/>
          <w:sz w:val="22"/>
          <w:szCs w:val="22"/>
          <w:u w:val="single"/>
        </w:rPr>
      </w:pPr>
      <w:r w:rsidRPr="00AE2599">
        <w:rPr>
          <w:rFonts w:eastAsia="Calibri" w:cs="Arial"/>
          <w:b/>
          <w:sz w:val="22"/>
          <w:szCs w:val="22"/>
          <w:u w:val="single"/>
        </w:rPr>
        <w:lastRenderedPageBreak/>
        <w:t>Part 2: Parent/carer or adult person who will work with the child/young person</w:t>
      </w:r>
    </w:p>
    <w:p w14:paraId="5549C2E8" w14:textId="77777777" w:rsidR="007E215B" w:rsidRPr="00AE2599" w:rsidRDefault="007E215B" w:rsidP="007E215B">
      <w:pPr>
        <w:ind w:left="60"/>
        <w:rPr>
          <w:rFonts w:eastAsia="Calibri" w:cs="Arial"/>
          <w:b/>
          <w:sz w:val="22"/>
          <w:szCs w:val="22"/>
        </w:rPr>
      </w:pPr>
      <w:r w:rsidRPr="00AE2599">
        <w:rPr>
          <w:rFonts w:eastAsia="Calibri" w:cs="Arial"/>
          <w:b/>
          <w:sz w:val="22"/>
          <w:szCs w:val="22"/>
        </w:rPr>
        <w:t xml:space="preserve">Name (first name/s only required): </w:t>
      </w:r>
      <w:r w:rsidRPr="00AE2599">
        <w:rPr>
          <w:rFonts w:eastAsia="Calibri" w:cs="Arial"/>
          <w:sz w:val="22"/>
          <w:szCs w:val="22"/>
        </w:rPr>
        <w:t>__________________________________________________</w:t>
      </w:r>
    </w:p>
    <w:p w14:paraId="09C7173A" w14:textId="77777777" w:rsidR="007E215B" w:rsidRPr="00AE2599" w:rsidRDefault="007E215B" w:rsidP="007E215B">
      <w:pPr>
        <w:ind w:left="60"/>
        <w:rPr>
          <w:rFonts w:eastAsia="Calibri" w:cs="Arial"/>
          <w:b/>
          <w:sz w:val="22"/>
          <w:szCs w:val="22"/>
        </w:rPr>
      </w:pPr>
      <w:r w:rsidRPr="00AE2599">
        <w:rPr>
          <w:rFonts w:eastAsia="Calibri" w:cs="Arial"/>
          <w:b/>
          <w:sz w:val="22"/>
          <w:szCs w:val="22"/>
        </w:rPr>
        <w:t xml:space="preserve">Date plan was developed: </w:t>
      </w:r>
      <w:r w:rsidRPr="00AE2599">
        <w:rPr>
          <w:rFonts w:eastAsia="Calibri" w:cs="Arial"/>
          <w:sz w:val="22"/>
          <w:szCs w:val="22"/>
        </w:rPr>
        <w:t>__________________________________________________</w:t>
      </w:r>
    </w:p>
    <w:p w14:paraId="35D2B07D" w14:textId="77777777" w:rsidR="007E215B" w:rsidRPr="00AE2599" w:rsidRDefault="007E215B" w:rsidP="007E215B">
      <w:pPr>
        <w:spacing w:after="0" w:line="240" w:lineRule="auto"/>
        <w:ind w:left="62"/>
        <w:rPr>
          <w:rFonts w:eastAsia="Calibri" w:cs="Arial"/>
          <w:b/>
          <w:sz w:val="22"/>
          <w:szCs w:val="22"/>
        </w:rPr>
      </w:pPr>
    </w:p>
    <w:p w14:paraId="6EC96986"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 xml:space="preserve">Areas of need identified in the assessment (the things I want to work on to help this child/young person manage their issues more easily): </w:t>
      </w:r>
    </w:p>
    <w:p w14:paraId="3FE229C6"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96094" w14:textId="77777777" w:rsidR="007E215B" w:rsidRPr="00AE2599" w:rsidRDefault="007E215B" w:rsidP="007E215B">
      <w:pPr>
        <w:ind w:left="60"/>
        <w:rPr>
          <w:rFonts w:eastAsia="Calibri" w:cs="Arial"/>
          <w:b/>
          <w:spacing w:val="5"/>
          <w:sz w:val="22"/>
          <w:szCs w:val="22"/>
        </w:rPr>
      </w:pPr>
    </w:p>
    <w:p w14:paraId="7FAAEAD3" w14:textId="77777777" w:rsidR="007E215B" w:rsidRPr="00AE2599" w:rsidRDefault="007E215B" w:rsidP="007E215B">
      <w:pPr>
        <w:ind w:left="60"/>
        <w:rPr>
          <w:rFonts w:eastAsia="Calibri" w:cs="Arial"/>
          <w:b/>
          <w:sz w:val="22"/>
          <w:szCs w:val="22"/>
        </w:rPr>
      </w:pPr>
      <w:r w:rsidRPr="00AE2599">
        <w:rPr>
          <w:rFonts w:eastAsia="Calibri" w:cs="Arial"/>
          <w:b/>
          <w:sz w:val="22"/>
          <w:szCs w:val="22"/>
        </w:rPr>
        <w:t>For practitioner - which life domain goals or issues does this fit in?</w:t>
      </w:r>
    </w:p>
    <w:tbl>
      <w:tblPr>
        <w:tblStyle w:val="TableGrid"/>
        <w:tblW w:w="0" w:type="auto"/>
        <w:tblLook w:val="04A0" w:firstRow="1" w:lastRow="0" w:firstColumn="1" w:lastColumn="0" w:noHBand="0" w:noVBand="1"/>
      </w:tblPr>
      <w:tblGrid>
        <w:gridCol w:w="6665"/>
        <w:gridCol w:w="2351"/>
      </w:tblGrid>
      <w:tr w:rsidR="007E215B" w:rsidRPr="00857EB3" w14:paraId="100A3238" w14:textId="77777777" w:rsidTr="00BC5FD7">
        <w:tc>
          <w:tcPr>
            <w:tcW w:w="6771" w:type="dxa"/>
          </w:tcPr>
          <w:p w14:paraId="5AFF916B" w14:textId="77777777" w:rsidR="007E215B" w:rsidRPr="00AE2599" w:rsidRDefault="007E215B" w:rsidP="00BC5FD7">
            <w:pPr>
              <w:rPr>
                <w:rFonts w:eastAsia="Calibri" w:cs="Arial"/>
                <w:b/>
                <w:sz w:val="22"/>
                <w:szCs w:val="22"/>
              </w:rPr>
            </w:pPr>
            <w:r w:rsidRPr="00AE2599">
              <w:rPr>
                <w:rFonts w:eastAsia="Calibri" w:cs="Arial"/>
                <w:b/>
                <w:sz w:val="22"/>
                <w:szCs w:val="22"/>
              </w:rPr>
              <w:t>Life domain</w:t>
            </w:r>
          </w:p>
        </w:tc>
        <w:tc>
          <w:tcPr>
            <w:tcW w:w="2411" w:type="dxa"/>
          </w:tcPr>
          <w:p w14:paraId="197A9DF3" w14:textId="77777777" w:rsidR="007E215B" w:rsidRPr="00AE2599" w:rsidRDefault="007E215B" w:rsidP="00BC5FD7">
            <w:pPr>
              <w:rPr>
                <w:rFonts w:eastAsia="Calibri" w:cs="Arial"/>
                <w:b/>
                <w:sz w:val="22"/>
                <w:szCs w:val="22"/>
              </w:rPr>
            </w:pPr>
          </w:p>
        </w:tc>
      </w:tr>
      <w:tr w:rsidR="007E215B" w:rsidRPr="00857EB3" w14:paraId="0A55B48C" w14:textId="77777777" w:rsidTr="00BC5FD7">
        <w:tc>
          <w:tcPr>
            <w:tcW w:w="6771" w:type="dxa"/>
          </w:tcPr>
          <w:p w14:paraId="723557FF"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Physical health</w:t>
            </w:r>
          </w:p>
        </w:tc>
        <w:tc>
          <w:tcPr>
            <w:tcW w:w="2411" w:type="dxa"/>
          </w:tcPr>
          <w:p w14:paraId="037DC0AF" w14:textId="77777777" w:rsidR="007E215B" w:rsidRPr="00AE2599" w:rsidRDefault="007E215B" w:rsidP="00BC5FD7">
            <w:pPr>
              <w:rPr>
                <w:rFonts w:eastAsia="Calibri" w:cs="Arial"/>
                <w:b/>
                <w:sz w:val="22"/>
                <w:szCs w:val="22"/>
              </w:rPr>
            </w:pPr>
          </w:p>
        </w:tc>
      </w:tr>
      <w:tr w:rsidR="007E215B" w:rsidRPr="00857EB3" w14:paraId="00921923" w14:textId="77777777" w:rsidTr="00BC5FD7">
        <w:tc>
          <w:tcPr>
            <w:tcW w:w="6771" w:type="dxa"/>
          </w:tcPr>
          <w:p w14:paraId="14FC1077"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 xml:space="preserve">Mental health &amp; emotional wellbeing </w:t>
            </w:r>
          </w:p>
        </w:tc>
        <w:tc>
          <w:tcPr>
            <w:tcW w:w="2411" w:type="dxa"/>
          </w:tcPr>
          <w:p w14:paraId="25106226" w14:textId="77777777" w:rsidR="007E215B" w:rsidRPr="00AE2599" w:rsidRDefault="007E215B" w:rsidP="00BC5FD7">
            <w:pPr>
              <w:rPr>
                <w:rFonts w:eastAsia="Calibri" w:cs="Arial"/>
                <w:b/>
                <w:sz w:val="22"/>
                <w:szCs w:val="22"/>
              </w:rPr>
            </w:pPr>
          </w:p>
        </w:tc>
      </w:tr>
      <w:tr w:rsidR="007E215B" w:rsidRPr="00857EB3" w14:paraId="22A79980" w14:textId="77777777" w:rsidTr="00BC5FD7">
        <w:tc>
          <w:tcPr>
            <w:tcW w:w="6771" w:type="dxa"/>
          </w:tcPr>
          <w:p w14:paraId="7FDAF235"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Relationships (including social networks and relationships, and family relationships and functioning)</w:t>
            </w:r>
          </w:p>
        </w:tc>
        <w:tc>
          <w:tcPr>
            <w:tcW w:w="2411" w:type="dxa"/>
          </w:tcPr>
          <w:p w14:paraId="0D8AD8B0" w14:textId="77777777" w:rsidR="007E215B" w:rsidRPr="00AE2599" w:rsidRDefault="007E215B" w:rsidP="00BC5FD7">
            <w:pPr>
              <w:rPr>
                <w:rFonts w:eastAsia="Calibri" w:cs="Arial"/>
                <w:b/>
                <w:sz w:val="22"/>
                <w:szCs w:val="22"/>
              </w:rPr>
            </w:pPr>
          </w:p>
        </w:tc>
      </w:tr>
      <w:tr w:rsidR="007E215B" w:rsidRPr="00857EB3" w14:paraId="34C6AACB" w14:textId="77777777" w:rsidTr="00BC5FD7">
        <w:tc>
          <w:tcPr>
            <w:tcW w:w="6771" w:type="dxa"/>
          </w:tcPr>
          <w:p w14:paraId="12B89ADF"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Material wellbeing (including housing and self-care and living skills)</w:t>
            </w:r>
          </w:p>
        </w:tc>
        <w:tc>
          <w:tcPr>
            <w:tcW w:w="2411" w:type="dxa"/>
          </w:tcPr>
          <w:p w14:paraId="4F1A088B" w14:textId="77777777" w:rsidR="007E215B" w:rsidRPr="00AE2599" w:rsidRDefault="007E215B" w:rsidP="00BC5FD7">
            <w:pPr>
              <w:rPr>
                <w:rFonts w:eastAsia="Calibri" w:cs="Arial"/>
                <w:b/>
                <w:sz w:val="22"/>
                <w:szCs w:val="22"/>
              </w:rPr>
            </w:pPr>
          </w:p>
        </w:tc>
      </w:tr>
      <w:tr w:rsidR="007E215B" w:rsidRPr="00857EB3" w14:paraId="78C4E2A2" w14:textId="77777777" w:rsidTr="00BC5FD7">
        <w:tc>
          <w:tcPr>
            <w:tcW w:w="6771" w:type="dxa"/>
          </w:tcPr>
          <w:p w14:paraId="4492EF9C"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Learning and development (including school attendance/learning and sport/recreational activities)</w:t>
            </w:r>
          </w:p>
        </w:tc>
        <w:tc>
          <w:tcPr>
            <w:tcW w:w="2411" w:type="dxa"/>
          </w:tcPr>
          <w:p w14:paraId="53FF008C" w14:textId="77777777" w:rsidR="007E215B" w:rsidRPr="00AE2599" w:rsidRDefault="007E215B" w:rsidP="00BC5FD7">
            <w:pPr>
              <w:rPr>
                <w:rFonts w:eastAsia="Calibri" w:cs="Arial"/>
                <w:b/>
                <w:sz w:val="22"/>
                <w:szCs w:val="22"/>
              </w:rPr>
            </w:pPr>
          </w:p>
        </w:tc>
      </w:tr>
      <w:tr w:rsidR="007E215B" w:rsidRPr="00857EB3" w14:paraId="112C80D0" w14:textId="77777777" w:rsidTr="00BC5FD7">
        <w:tc>
          <w:tcPr>
            <w:tcW w:w="6771" w:type="dxa"/>
          </w:tcPr>
          <w:p w14:paraId="343750A5" w14:textId="77777777" w:rsidR="007E215B" w:rsidRPr="00AE2599" w:rsidRDefault="007E215B" w:rsidP="007E215B">
            <w:pPr>
              <w:pStyle w:val="ListParagraph"/>
              <w:numPr>
                <w:ilvl w:val="0"/>
                <w:numId w:val="95"/>
              </w:numPr>
              <w:spacing w:before="0" w:after="60" w:line="240" w:lineRule="auto"/>
              <w:rPr>
                <w:rFonts w:eastAsia="Calibri" w:cs="Arial"/>
                <w:sz w:val="22"/>
                <w:szCs w:val="22"/>
              </w:rPr>
            </w:pPr>
            <w:r w:rsidRPr="00AE2599">
              <w:rPr>
                <w:rFonts w:eastAsia="Calibri" w:cs="Arial"/>
                <w:sz w:val="22"/>
                <w:szCs w:val="22"/>
              </w:rPr>
              <w:t>Safety (including child and family safety)</w:t>
            </w:r>
          </w:p>
        </w:tc>
        <w:tc>
          <w:tcPr>
            <w:tcW w:w="2411" w:type="dxa"/>
          </w:tcPr>
          <w:p w14:paraId="491DA414" w14:textId="77777777" w:rsidR="007E215B" w:rsidRPr="00AE2599" w:rsidRDefault="007E215B" w:rsidP="00BC5FD7">
            <w:pPr>
              <w:rPr>
                <w:rFonts w:eastAsia="Calibri" w:cs="Arial"/>
                <w:b/>
                <w:sz w:val="22"/>
                <w:szCs w:val="22"/>
              </w:rPr>
            </w:pPr>
          </w:p>
        </w:tc>
      </w:tr>
    </w:tbl>
    <w:p w14:paraId="73567477" w14:textId="77777777" w:rsidR="007E215B" w:rsidRPr="00AE2599" w:rsidRDefault="007E215B" w:rsidP="007E215B">
      <w:pPr>
        <w:ind w:left="60"/>
        <w:rPr>
          <w:rFonts w:eastAsia="Calibri" w:cs="Arial"/>
          <w:b/>
          <w:sz w:val="22"/>
          <w:szCs w:val="22"/>
        </w:rPr>
      </w:pPr>
    </w:p>
    <w:p w14:paraId="56BEEF51"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What I’m good at or what I don’t need help with as the parent of this child/young person: </w:t>
      </w:r>
      <w:r w:rsidRPr="00AE2599">
        <w:rPr>
          <w:rFonts w:eastAsia="Calibri" w:cs="Arial"/>
          <w:sz w:val="22"/>
          <w:szCs w:val="22"/>
        </w:rPr>
        <w:t>___________________________________________________________________</w:t>
      </w:r>
    </w:p>
    <w:p w14:paraId="75EFDA74"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0D9C80CA" w14:textId="77777777" w:rsidR="007E215B" w:rsidRPr="00AE2599" w:rsidRDefault="007E215B" w:rsidP="007E215B">
      <w:pPr>
        <w:ind w:left="60"/>
        <w:rPr>
          <w:rFonts w:eastAsia="Calibri" w:cs="Arial"/>
          <w:b/>
          <w:sz w:val="22"/>
          <w:szCs w:val="22"/>
        </w:rPr>
      </w:pPr>
    </w:p>
    <w:p w14:paraId="4805878B"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What I can do to help this child/young person manage their issues more easily: </w:t>
      </w:r>
    </w:p>
    <w:p w14:paraId="172DC840"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7F02D" w14:textId="77777777" w:rsidR="007E215B" w:rsidRPr="00AE2599" w:rsidRDefault="007E215B" w:rsidP="007E215B">
      <w:pPr>
        <w:spacing w:after="0" w:line="240" w:lineRule="auto"/>
        <w:rPr>
          <w:rFonts w:eastAsia="Calibri" w:cs="Arial"/>
          <w:b/>
          <w:sz w:val="22"/>
          <w:szCs w:val="22"/>
        </w:rPr>
      </w:pPr>
    </w:p>
    <w:p w14:paraId="7875DFA3" w14:textId="77777777" w:rsidR="00857EB3" w:rsidRDefault="00857EB3">
      <w:pPr>
        <w:spacing w:before="0" w:after="200" w:line="276" w:lineRule="auto"/>
        <w:rPr>
          <w:rFonts w:eastAsia="Calibri" w:cs="Arial"/>
          <w:b/>
          <w:sz w:val="22"/>
          <w:szCs w:val="22"/>
        </w:rPr>
      </w:pPr>
      <w:r>
        <w:rPr>
          <w:rFonts w:eastAsia="Calibri" w:cs="Arial"/>
          <w:b/>
          <w:sz w:val="22"/>
          <w:szCs w:val="22"/>
        </w:rPr>
        <w:br w:type="page"/>
      </w:r>
    </w:p>
    <w:p w14:paraId="5D1162A1" w14:textId="77777777" w:rsidR="007E215B" w:rsidRPr="00AE2599" w:rsidRDefault="007E215B" w:rsidP="007E215B">
      <w:pPr>
        <w:spacing w:after="0" w:line="240" w:lineRule="auto"/>
        <w:rPr>
          <w:rFonts w:eastAsia="Calibri" w:cs="Arial"/>
          <w:b/>
          <w:sz w:val="22"/>
          <w:szCs w:val="22"/>
        </w:rPr>
      </w:pPr>
      <w:r w:rsidRPr="00AE2599">
        <w:rPr>
          <w:rFonts w:eastAsia="Calibri" w:cs="Arial"/>
          <w:b/>
          <w:sz w:val="22"/>
          <w:szCs w:val="22"/>
        </w:rPr>
        <w:lastRenderedPageBreak/>
        <w:t>People who can help me to support this child/young person:</w:t>
      </w:r>
    </w:p>
    <w:p w14:paraId="7F01A269" w14:textId="77777777" w:rsidR="007E215B" w:rsidRPr="00AE2599" w:rsidRDefault="007E215B" w:rsidP="007E215B">
      <w:pPr>
        <w:spacing w:after="0" w:line="240" w:lineRule="auto"/>
        <w:rPr>
          <w:rFonts w:eastAsia="Calibri" w:cs="Arial"/>
          <w:b/>
          <w:sz w:val="22"/>
          <w:szCs w:val="22"/>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92"/>
        <w:gridCol w:w="2979"/>
      </w:tblGrid>
      <w:tr w:rsidR="007E215B" w:rsidRPr="00857EB3" w14:paraId="427A104D" w14:textId="77777777" w:rsidTr="00BC5FD7">
        <w:tc>
          <w:tcPr>
            <w:tcW w:w="3060" w:type="dxa"/>
            <w:shd w:val="clear" w:color="auto" w:fill="auto"/>
          </w:tcPr>
          <w:p w14:paraId="7CC093DF"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62" w:type="dxa"/>
            <w:shd w:val="clear" w:color="auto" w:fill="auto"/>
          </w:tcPr>
          <w:p w14:paraId="02F5CA6D"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partner, friend, support worker, etc.)</w:t>
            </w:r>
          </w:p>
        </w:tc>
        <w:tc>
          <w:tcPr>
            <w:tcW w:w="3060" w:type="dxa"/>
            <w:shd w:val="clear" w:color="auto" w:fill="auto"/>
          </w:tcPr>
          <w:p w14:paraId="2A63672E"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77B0A0B5" w14:textId="77777777" w:rsidTr="00BC5FD7">
        <w:tc>
          <w:tcPr>
            <w:tcW w:w="3060" w:type="dxa"/>
            <w:shd w:val="clear" w:color="auto" w:fill="auto"/>
          </w:tcPr>
          <w:p w14:paraId="5FD03A7B" w14:textId="77777777" w:rsidR="007E215B" w:rsidRPr="00AE2599" w:rsidRDefault="007E215B" w:rsidP="00BC5FD7">
            <w:pPr>
              <w:rPr>
                <w:rFonts w:eastAsia="Calibri" w:cs="Arial"/>
                <w:b/>
                <w:spacing w:val="5"/>
                <w:sz w:val="22"/>
                <w:szCs w:val="22"/>
              </w:rPr>
            </w:pPr>
          </w:p>
        </w:tc>
        <w:tc>
          <w:tcPr>
            <w:tcW w:w="3062" w:type="dxa"/>
            <w:shd w:val="clear" w:color="auto" w:fill="auto"/>
          </w:tcPr>
          <w:p w14:paraId="526058B9" w14:textId="77777777" w:rsidR="007E215B" w:rsidRPr="00AE2599" w:rsidRDefault="007E215B" w:rsidP="00BC5FD7">
            <w:pPr>
              <w:rPr>
                <w:rFonts w:eastAsia="Calibri" w:cs="Arial"/>
                <w:b/>
                <w:spacing w:val="5"/>
                <w:sz w:val="22"/>
                <w:szCs w:val="22"/>
              </w:rPr>
            </w:pPr>
          </w:p>
        </w:tc>
        <w:tc>
          <w:tcPr>
            <w:tcW w:w="3060" w:type="dxa"/>
            <w:shd w:val="clear" w:color="auto" w:fill="auto"/>
          </w:tcPr>
          <w:p w14:paraId="55389B74" w14:textId="77777777" w:rsidR="007E215B" w:rsidRPr="00AE2599" w:rsidRDefault="007E215B" w:rsidP="00BC5FD7">
            <w:pPr>
              <w:rPr>
                <w:rFonts w:eastAsia="Calibri" w:cs="Arial"/>
                <w:b/>
                <w:spacing w:val="5"/>
                <w:sz w:val="22"/>
                <w:szCs w:val="22"/>
              </w:rPr>
            </w:pPr>
          </w:p>
        </w:tc>
      </w:tr>
      <w:tr w:rsidR="007E215B" w:rsidRPr="00857EB3" w14:paraId="4674BBA0" w14:textId="77777777" w:rsidTr="00BC5FD7">
        <w:tc>
          <w:tcPr>
            <w:tcW w:w="3060" w:type="dxa"/>
            <w:shd w:val="clear" w:color="auto" w:fill="auto"/>
          </w:tcPr>
          <w:p w14:paraId="4E122B5A" w14:textId="77777777" w:rsidR="007E215B" w:rsidRPr="00AE2599" w:rsidRDefault="007E215B" w:rsidP="00BC5FD7">
            <w:pPr>
              <w:rPr>
                <w:rFonts w:eastAsia="Calibri" w:cs="Arial"/>
                <w:b/>
                <w:spacing w:val="5"/>
                <w:sz w:val="22"/>
                <w:szCs w:val="22"/>
              </w:rPr>
            </w:pPr>
          </w:p>
        </w:tc>
        <w:tc>
          <w:tcPr>
            <w:tcW w:w="3062" w:type="dxa"/>
            <w:shd w:val="clear" w:color="auto" w:fill="auto"/>
          </w:tcPr>
          <w:p w14:paraId="2A15EF3E" w14:textId="77777777" w:rsidR="007E215B" w:rsidRPr="00AE2599" w:rsidRDefault="007E215B" w:rsidP="00BC5FD7">
            <w:pPr>
              <w:rPr>
                <w:rFonts w:eastAsia="Calibri" w:cs="Arial"/>
                <w:b/>
                <w:spacing w:val="5"/>
                <w:sz w:val="22"/>
                <w:szCs w:val="22"/>
              </w:rPr>
            </w:pPr>
          </w:p>
        </w:tc>
        <w:tc>
          <w:tcPr>
            <w:tcW w:w="3060" w:type="dxa"/>
            <w:shd w:val="clear" w:color="auto" w:fill="auto"/>
          </w:tcPr>
          <w:p w14:paraId="2687E54E" w14:textId="77777777" w:rsidR="007E215B" w:rsidRPr="00AE2599" w:rsidRDefault="007E215B" w:rsidP="00BC5FD7">
            <w:pPr>
              <w:rPr>
                <w:rFonts w:eastAsia="Calibri" w:cs="Arial"/>
                <w:b/>
                <w:spacing w:val="5"/>
                <w:sz w:val="22"/>
                <w:szCs w:val="22"/>
              </w:rPr>
            </w:pPr>
          </w:p>
        </w:tc>
      </w:tr>
      <w:tr w:rsidR="007E215B" w:rsidRPr="00857EB3" w14:paraId="78D545CC" w14:textId="77777777" w:rsidTr="00BC5FD7">
        <w:tc>
          <w:tcPr>
            <w:tcW w:w="3060" w:type="dxa"/>
            <w:shd w:val="clear" w:color="auto" w:fill="auto"/>
          </w:tcPr>
          <w:p w14:paraId="074EBE3F" w14:textId="77777777" w:rsidR="007E215B" w:rsidRPr="00AE2599" w:rsidRDefault="007E215B" w:rsidP="00BC5FD7">
            <w:pPr>
              <w:rPr>
                <w:rFonts w:eastAsia="Calibri" w:cs="Arial"/>
                <w:b/>
                <w:spacing w:val="5"/>
                <w:sz w:val="22"/>
                <w:szCs w:val="22"/>
              </w:rPr>
            </w:pPr>
          </w:p>
        </w:tc>
        <w:tc>
          <w:tcPr>
            <w:tcW w:w="3062" w:type="dxa"/>
            <w:shd w:val="clear" w:color="auto" w:fill="auto"/>
          </w:tcPr>
          <w:p w14:paraId="72E5378C" w14:textId="77777777" w:rsidR="007E215B" w:rsidRPr="00AE2599" w:rsidRDefault="007E215B" w:rsidP="00BC5FD7">
            <w:pPr>
              <w:rPr>
                <w:rFonts w:eastAsia="Calibri" w:cs="Arial"/>
                <w:b/>
                <w:spacing w:val="5"/>
                <w:sz w:val="22"/>
                <w:szCs w:val="22"/>
              </w:rPr>
            </w:pPr>
          </w:p>
        </w:tc>
        <w:tc>
          <w:tcPr>
            <w:tcW w:w="3060" w:type="dxa"/>
            <w:shd w:val="clear" w:color="auto" w:fill="auto"/>
          </w:tcPr>
          <w:p w14:paraId="5E90ECB2" w14:textId="77777777" w:rsidR="007E215B" w:rsidRPr="00AE2599" w:rsidRDefault="007E215B" w:rsidP="00BC5FD7">
            <w:pPr>
              <w:rPr>
                <w:rFonts w:eastAsia="Calibri" w:cs="Arial"/>
                <w:b/>
                <w:spacing w:val="5"/>
                <w:sz w:val="22"/>
                <w:szCs w:val="22"/>
              </w:rPr>
            </w:pPr>
          </w:p>
        </w:tc>
      </w:tr>
      <w:tr w:rsidR="007E215B" w:rsidRPr="00857EB3" w14:paraId="3D035908" w14:textId="77777777" w:rsidTr="00BC5FD7">
        <w:tc>
          <w:tcPr>
            <w:tcW w:w="3060" w:type="dxa"/>
            <w:shd w:val="clear" w:color="auto" w:fill="auto"/>
          </w:tcPr>
          <w:p w14:paraId="28E39AD9" w14:textId="77777777" w:rsidR="007E215B" w:rsidRPr="00AE2599" w:rsidRDefault="007E215B" w:rsidP="00BC5FD7">
            <w:pPr>
              <w:rPr>
                <w:rFonts w:eastAsia="Calibri" w:cs="Arial"/>
                <w:b/>
                <w:spacing w:val="5"/>
                <w:sz w:val="22"/>
                <w:szCs w:val="22"/>
              </w:rPr>
            </w:pPr>
          </w:p>
        </w:tc>
        <w:tc>
          <w:tcPr>
            <w:tcW w:w="3062" w:type="dxa"/>
            <w:shd w:val="clear" w:color="auto" w:fill="auto"/>
          </w:tcPr>
          <w:p w14:paraId="3EB83480" w14:textId="77777777" w:rsidR="007E215B" w:rsidRPr="00AE2599" w:rsidRDefault="007E215B" w:rsidP="00BC5FD7">
            <w:pPr>
              <w:rPr>
                <w:rFonts w:eastAsia="Calibri" w:cs="Arial"/>
                <w:b/>
                <w:spacing w:val="5"/>
                <w:sz w:val="22"/>
                <w:szCs w:val="22"/>
              </w:rPr>
            </w:pPr>
          </w:p>
        </w:tc>
        <w:tc>
          <w:tcPr>
            <w:tcW w:w="3060" w:type="dxa"/>
            <w:shd w:val="clear" w:color="auto" w:fill="auto"/>
          </w:tcPr>
          <w:p w14:paraId="3BC2D8C9" w14:textId="77777777" w:rsidR="007E215B" w:rsidRPr="00AE2599" w:rsidRDefault="007E215B" w:rsidP="00BC5FD7">
            <w:pPr>
              <w:rPr>
                <w:rFonts w:eastAsia="Calibri" w:cs="Arial"/>
                <w:b/>
                <w:spacing w:val="5"/>
                <w:sz w:val="22"/>
                <w:szCs w:val="22"/>
              </w:rPr>
            </w:pPr>
          </w:p>
        </w:tc>
      </w:tr>
    </w:tbl>
    <w:p w14:paraId="447B62B8" w14:textId="77777777" w:rsidR="007E215B" w:rsidRPr="00AE2599" w:rsidRDefault="007E215B" w:rsidP="007E215B">
      <w:pPr>
        <w:ind w:left="60"/>
        <w:rPr>
          <w:rFonts w:eastAsia="Calibri" w:cs="Arial"/>
          <w:b/>
          <w:spacing w:val="5"/>
          <w:sz w:val="22"/>
          <w:szCs w:val="22"/>
        </w:rPr>
      </w:pPr>
    </w:p>
    <w:p w14:paraId="4C870C60" w14:textId="77777777" w:rsidR="007E215B" w:rsidRPr="00AE2599" w:rsidRDefault="007E215B" w:rsidP="007E215B">
      <w:pPr>
        <w:spacing w:after="160" w:line="288" w:lineRule="auto"/>
        <w:rPr>
          <w:rFonts w:eastAsia="Calibri" w:cs="Arial"/>
          <w:b/>
          <w:sz w:val="22"/>
          <w:szCs w:val="22"/>
        </w:rPr>
      </w:pPr>
      <w:r w:rsidRPr="00AE2599">
        <w:rPr>
          <w:rFonts w:eastAsia="Calibri" w:cs="Arial"/>
          <w:b/>
          <w:sz w:val="22"/>
          <w:szCs w:val="22"/>
        </w:rPr>
        <w:t>People who do not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92"/>
        <w:gridCol w:w="2979"/>
      </w:tblGrid>
      <w:tr w:rsidR="007E215B" w:rsidRPr="00857EB3" w14:paraId="7B63FC7B" w14:textId="77777777" w:rsidTr="00BC5FD7">
        <w:tc>
          <w:tcPr>
            <w:tcW w:w="3060" w:type="dxa"/>
            <w:shd w:val="clear" w:color="auto" w:fill="auto"/>
          </w:tcPr>
          <w:p w14:paraId="73F2AF6A"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62" w:type="dxa"/>
            <w:shd w:val="clear" w:color="auto" w:fill="auto"/>
          </w:tcPr>
          <w:p w14:paraId="40406EF8"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partner, friend, support worker, etc.)</w:t>
            </w:r>
          </w:p>
        </w:tc>
        <w:tc>
          <w:tcPr>
            <w:tcW w:w="3060" w:type="dxa"/>
            <w:shd w:val="clear" w:color="auto" w:fill="auto"/>
          </w:tcPr>
          <w:p w14:paraId="02EDE482"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42DC1875" w14:textId="77777777" w:rsidTr="00BC5FD7">
        <w:tc>
          <w:tcPr>
            <w:tcW w:w="3060" w:type="dxa"/>
            <w:shd w:val="clear" w:color="auto" w:fill="auto"/>
          </w:tcPr>
          <w:p w14:paraId="45D9EFCC" w14:textId="77777777" w:rsidR="007E215B" w:rsidRPr="00AE2599" w:rsidRDefault="007E215B" w:rsidP="00BC5FD7">
            <w:pPr>
              <w:rPr>
                <w:rFonts w:eastAsia="Calibri" w:cs="Arial"/>
                <w:b/>
                <w:spacing w:val="5"/>
                <w:sz w:val="22"/>
                <w:szCs w:val="22"/>
              </w:rPr>
            </w:pPr>
          </w:p>
        </w:tc>
        <w:tc>
          <w:tcPr>
            <w:tcW w:w="3062" w:type="dxa"/>
            <w:shd w:val="clear" w:color="auto" w:fill="auto"/>
          </w:tcPr>
          <w:p w14:paraId="54D15247" w14:textId="77777777" w:rsidR="007E215B" w:rsidRPr="00AE2599" w:rsidRDefault="007E215B" w:rsidP="00BC5FD7">
            <w:pPr>
              <w:rPr>
                <w:rFonts w:eastAsia="Calibri" w:cs="Arial"/>
                <w:b/>
                <w:spacing w:val="5"/>
                <w:sz w:val="22"/>
                <w:szCs w:val="22"/>
              </w:rPr>
            </w:pPr>
          </w:p>
        </w:tc>
        <w:tc>
          <w:tcPr>
            <w:tcW w:w="3060" w:type="dxa"/>
            <w:shd w:val="clear" w:color="auto" w:fill="auto"/>
          </w:tcPr>
          <w:p w14:paraId="7D4E6094" w14:textId="77777777" w:rsidR="007E215B" w:rsidRPr="00AE2599" w:rsidRDefault="007E215B" w:rsidP="00BC5FD7">
            <w:pPr>
              <w:rPr>
                <w:rFonts w:eastAsia="Calibri" w:cs="Arial"/>
                <w:b/>
                <w:spacing w:val="5"/>
                <w:sz w:val="22"/>
                <w:szCs w:val="22"/>
              </w:rPr>
            </w:pPr>
          </w:p>
        </w:tc>
      </w:tr>
      <w:tr w:rsidR="007E215B" w:rsidRPr="00857EB3" w14:paraId="5DDC9607" w14:textId="77777777" w:rsidTr="00BC5FD7">
        <w:tc>
          <w:tcPr>
            <w:tcW w:w="3060" w:type="dxa"/>
            <w:shd w:val="clear" w:color="auto" w:fill="auto"/>
          </w:tcPr>
          <w:p w14:paraId="10A322BD" w14:textId="77777777" w:rsidR="007E215B" w:rsidRPr="00AE2599" w:rsidRDefault="007E215B" w:rsidP="00BC5FD7">
            <w:pPr>
              <w:rPr>
                <w:rFonts w:eastAsia="Calibri" w:cs="Arial"/>
                <w:b/>
                <w:spacing w:val="5"/>
                <w:sz w:val="22"/>
                <w:szCs w:val="22"/>
              </w:rPr>
            </w:pPr>
          </w:p>
        </w:tc>
        <w:tc>
          <w:tcPr>
            <w:tcW w:w="3062" w:type="dxa"/>
            <w:shd w:val="clear" w:color="auto" w:fill="auto"/>
          </w:tcPr>
          <w:p w14:paraId="5D786528" w14:textId="77777777" w:rsidR="007E215B" w:rsidRPr="00AE2599" w:rsidRDefault="007E215B" w:rsidP="00BC5FD7">
            <w:pPr>
              <w:rPr>
                <w:rFonts w:eastAsia="Calibri" w:cs="Arial"/>
                <w:b/>
                <w:spacing w:val="5"/>
                <w:sz w:val="22"/>
                <w:szCs w:val="22"/>
              </w:rPr>
            </w:pPr>
          </w:p>
        </w:tc>
        <w:tc>
          <w:tcPr>
            <w:tcW w:w="3060" w:type="dxa"/>
            <w:shd w:val="clear" w:color="auto" w:fill="auto"/>
          </w:tcPr>
          <w:p w14:paraId="6ECD87B8" w14:textId="77777777" w:rsidR="007E215B" w:rsidRPr="00AE2599" w:rsidRDefault="007E215B" w:rsidP="00BC5FD7">
            <w:pPr>
              <w:rPr>
                <w:rFonts w:eastAsia="Calibri" w:cs="Arial"/>
                <w:b/>
                <w:spacing w:val="5"/>
                <w:sz w:val="22"/>
                <w:szCs w:val="22"/>
              </w:rPr>
            </w:pPr>
          </w:p>
        </w:tc>
      </w:tr>
      <w:tr w:rsidR="007E215B" w:rsidRPr="00857EB3" w14:paraId="2753E5D5" w14:textId="77777777" w:rsidTr="00BC5FD7">
        <w:tc>
          <w:tcPr>
            <w:tcW w:w="3060" w:type="dxa"/>
            <w:shd w:val="clear" w:color="auto" w:fill="auto"/>
          </w:tcPr>
          <w:p w14:paraId="727471DE" w14:textId="77777777" w:rsidR="007E215B" w:rsidRPr="00AE2599" w:rsidRDefault="007E215B" w:rsidP="00BC5FD7">
            <w:pPr>
              <w:rPr>
                <w:rFonts w:eastAsia="Calibri" w:cs="Arial"/>
                <w:b/>
                <w:spacing w:val="5"/>
                <w:sz w:val="22"/>
                <w:szCs w:val="22"/>
              </w:rPr>
            </w:pPr>
          </w:p>
        </w:tc>
        <w:tc>
          <w:tcPr>
            <w:tcW w:w="3062" w:type="dxa"/>
            <w:shd w:val="clear" w:color="auto" w:fill="auto"/>
          </w:tcPr>
          <w:p w14:paraId="78413DFE" w14:textId="77777777" w:rsidR="007E215B" w:rsidRPr="00AE2599" w:rsidRDefault="007E215B" w:rsidP="00BC5FD7">
            <w:pPr>
              <w:rPr>
                <w:rFonts w:eastAsia="Calibri" w:cs="Arial"/>
                <w:b/>
                <w:spacing w:val="5"/>
                <w:sz w:val="22"/>
                <w:szCs w:val="22"/>
              </w:rPr>
            </w:pPr>
          </w:p>
        </w:tc>
        <w:tc>
          <w:tcPr>
            <w:tcW w:w="3060" w:type="dxa"/>
            <w:shd w:val="clear" w:color="auto" w:fill="auto"/>
          </w:tcPr>
          <w:p w14:paraId="79F42C49" w14:textId="77777777" w:rsidR="007E215B" w:rsidRPr="00AE2599" w:rsidRDefault="007E215B" w:rsidP="00BC5FD7">
            <w:pPr>
              <w:rPr>
                <w:rFonts w:eastAsia="Calibri" w:cs="Arial"/>
                <w:b/>
                <w:spacing w:val="5"/>
                <w:sz w:val="22"/>
                <w:szCs w:val="22"/>
              </w:rPr>
            </w:pPr>
          </w:p>
        </w:tc>
      </w:tr>
      <w:tr w:rsidR="007E215B" w:rsidRPr="00857EB3" w14:paraId="6D35EAFC" w14:textId="77777777" w:rsidTr="00BC5FD7">
        <w:tc>
          <w:tcPr>
            <w:tcW w:w="3060" w:type="dxa"/>
            <w:shd w:val="clear" w:color="auto" w:fill="auto"/>
          </w:tcPr>
          <w:p w14:paraId="58A4D2DA" w14:textId="77777777" w:rsidR="007E215B" w:rsidRPr="00AE2599" w:rsidRDefault="007E215B" w:rsidP="00BC5FD7">
            <w:pPr>
              <w:rPr>
                <w:rFonts w:eastAsia="Calibri" w:cs="Arial"/>
                <w:b/>
                <w:spacing w:val="5"/>
                <w:sz w:val="22"/>
                <w:szCs w:val="22"/>
              </w:rPr>
            </w:pPr>
          </w:p>
        </w:tc>
        <w:tc>
          <w:tcPr>
            <w:tcW w:w="3062" w:type="dxa"/>
            <w:shd w:val="clear" w:color="auto" w:fill="auto"/>
          </w:tcPr>
          <w:p w14:paraId="4639D10F" w14:textId="77777777" w:rsidR="007E215B" w:rsidRPr="00AE2599" w:rsidRDefault="007E215B" w:rsidP="00BC5FD7">
            <w:pPr>
              <w:rPr>
                <w:rFonts w:eastAsia="Calibri" w:cs="Arial"/>
                <w:b/>
                <w:spacing w:val="5"/>
                <w:sz w:val="22"/>
                <w:szCs w:val="22"/>
              </w:rPr>
            </w:pPr>
          </w:p>
        </w:tc>
        <w:tc>
          <w:tcPr>
            <w:tcW w:w="3060" w:type="dxa"/>
            <w:shd w:val="clear" w:color="auto" w:fill="auto"/>
          </w:tcPr>
          <w:p w14:paraId="3315FA73" w14:textId="77777777" w:rsidR="007E215B" w:rsidRPr="00AE2599" w:rsidRDefault="007E215B" w:rsidP="00BC5FD7">
            <w:pPr>
              <w:rPr>
                <w:rFonts w:eastAsia="Calibri" w:cs="Arial"/>
                <w:b/>
                <w:spacing w:val="5"/>
                <w:sz w:val="22"/>
                <w:szCs w:val="22"/>
              </w:rPr>
            </w:pPr>
          </w:p>
        </w:tc>
      </w:tr>
    </w:tbl>
    <w:p w14:paraId="4884C440" w14:textId="77777777" w:rsidR="007E215B" w:rsidRPr="00AE2599" w:rsidRDefault="007E215B" w:rsidP="007E215B">
      <w:pPr>
        <w:ind w:left="60"/>
        <w:rPr>
          <w:rFonts w:eastAsia="Calibri" w:cs="Arial"/>
          <w:b/>
          <w:spacing w:val="5"/>
          <w:sz w:val="22"/>
          <w:szCs w:val="22"/>
        </w:rPr>
      </w:pPr>
    </w:p>
    <w:p w14:paraId="2869AB16"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How I will know if this child/young person is finding it easier to manage their issues: </w:t>
      </w:r>
    </w:p>
    <w:p w14:paraId="78D52AAE" w14:textId="77777777" w:rsidR="007E215B" w:rsidRPr="00AE2599" w:rsidRDefault="007E215B" w:rsidP="007E215B">
      <w:pPr>
        <w:spacing w:after="0" w:line="240" w:lineRule="auto"/>
        <w:ind w:left="62"/>
        <w:rPr>
          <w:rFonts w:eastAsia="Calibri" w:cs="Arial"/>
          <w:spacing w:val="5"/>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33E30" w14:textId="77777777" w:rsidR="007E215B" w:rsidRPr="00AE2599" w:rsidRDefault="007E215B" w:rsidP="007E215B">
      <w:pPr>
        <w:ind w:left="60"/>
        <w:rPr>
          <w:rFonts w:eastAsia="Calibri" w:cs="Arial"/>
          <w:b/>
          <w:sz w:val="22"/>
          <w:szCs w:val="22"/>
        </w:rPr>
      </w:pPr>
    </w:p>
    <w:p w14:paraId="57057D58"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What I can do if I start to notice the child or young person is finding it more difficult to manage their issues: </w:t>
      </w:r>
      <w:r w:rsidRPr="00AE2599">
        <w:rPr>
          <w:rFonts w:eastAsia="Calibri" w:cs="Arial"/>
          <w:sz w:val="22"/>
          <w:szCs w:val="22"/>
        </w:rPr>
        <w:t>___________________________________________________________________</w:t>
      </w:r>
    </w:p>
    <w:p w14:paraId="08A684DF"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774401B3" w14:textId="77777777" w:rsidR="007E215B" w:rsidRPr="00AE2599" w:rsidRDefault="007E215B" w:rsidP="007E215B">
      <w:pPr>
        <w:ind w:left="60"/>
        <w:rPr>
          <w:rFonts w:eastAsia="Calibri" w:cs="Arial"/>
          <w:b/>
          <w:sz w:val="22"/>
          <w:szCs w:val="22"/>
        </w:rPr>
      </w:pPr>
    </w:p>
    <w:p w14:paraId="0702340E"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lastRenderedPageBreak/>
        <w:t xml:space="preserve">What I want other people to do to support me in helping this child/young person: </w:t>
      </w:r>
    </w:p>
    <w:p w14:paraId="7A93B2A8"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0F39D25E"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w:t>
      </w:r>
    </w:p>
    <w:p w14:paraId="38481307" w14:textId="77777777" w:rsidR="007E215B" w:rsidRPr="00AE2599" w:rsidRDefault="007E215B" w:rsidP="007E215B">
      <w:pPr>
        <w:rPr>
          <w:rFonts w:eastAsia="Calibri" w:cs="Arial"/>
          <w:b/>
          <w:sz w:val="22"/>
          <w:szCs w:val="22"/>
        </w:rPr>
      </w:pPr>
    </w:p>
    <w:p w14:paraId="400EB3D5"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Things I can do for myself if I start to feel that I am not helping this child/young person enough: </w:t>
      </w:r>
      <w:r w:rsidRPr="00AE2599">
        <w:rPr>
          <w:rFonts w:eastAsia="Calibri" w:cs="Arial"/>
          <w:sz w:val="22"/>
          <w:szCs w:val="22"/>
        </w:rPr>
        <w:t>___________________________________________________________________</w:t>
      </w:r>
    </w:p>
    <w:p w14:paraId="0F15C660"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51681C1A" w14:textId="77777777" w:rsidR="007E215B" w:rsidRPr="00AE2599" w:rsidRDefault="007E215B" w:rsidP="007E215B">
      <w:pPr>
        <w:ind w:left="60"/>
        <w:rPr>
          <w:rFonts w:eastAsia="Calibri" w:cs="Arial"/>
          <w:b/>
          <w:sz w:val="22"/>
          <w:szCs w:val="22"/>
        </w:rPr>
      </w:pPr>
    </w:p>
    <w:p w14:paraId="220AF95F" w14:textId="77777777" w:rsidR="007E215B" w:rsidRPr="00AE2599" w:rsidRDefault="007E215B" w:rsidP="007E215B">
      <w:pPr>
        <w:spacing w:after="0" w:line="240" w:lineRule="auto"/>
        <w:ind w:left="62"/>
        <w:rPr>
          <w:rFonts w:cs="Arial"/>
          <w:sz w:val="22"/>
          <w:szCs w:val="22"/>
        </w:rPr>
      </w:pPr>
      <w:r w:rsidRPr="00AE2599">
        <w:rPr>
          <w:rFonts w:cs="Arial"/>
          <w:b/>
          <w:sz w:val="22"/>
          <w:szCs w:val="22"/>
        </w:rPr>
        <w:t>Practitioners should note if the child/young person’s goals and their parent’s goals are not consistent and any tensions this may cause</w:t>
      </w:r>
      <w:r w:rsidRPr="00AE2599">
        <w:rPr>
          <w:rFonts w:cs="Arial"/>
          <w:sz w:val="22"/>
          <w:szCs w:val="22"/>
        </w:rPr>
        <w:t xml:space="preserve">: </w:t>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cs="Arial"/>
          <w:sz w:val="22"/>
          <w:szCs w:val="22"/>
        </w:rPr>
        <w:softHyphen/>
      </w:r>
      <w:r w:rsidRPr="00AE2599">
        <w:rPr>
          <w:rFonts w:eastAsia="Calibri" w:cs="Arial"/>
          <w:sz w:val="22"/>
          <w:szCs w:val="22"/>
        </w:rPr>
        <w:t>___________________________________________________________________</w:t>
      </w:r>
    </w:p>
    <w:p w14:paraId="1A0D88E1"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w:t>
      </w:r>
    </w:p>
    <w:p w14:paraId="1448F1A3"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sz w:val="22"/>
          <w:szCs w:val="22"/>
        </w:rPr>
        <w:t>______________________________________________________________________________________________________________________________________</w:t>
      </w:r>
    </w:p>
    <w:p w14:paraId="4D6AC225" w14:textId="77777777" w:rsidR="007E215B" w:rsidRPr="00AE2599" w:rsidRDefault="007E215B" w:rsidP="007E215B">
      <w:pPr>
        <w:ind w:left="60"/>
        <w:rPr>
          <w:rFonts w:eastAsia="Calibri" w:cs="Arial"/>
          <w:b/>
          <w:sz w:val="22"/>
          <w:szCs w:val="22"/>
        </w:rPr>
      </w:pPr>
    </w:p>
    <w:p w14:paraId="13A6EDAB" w14:textId="77777777" w:rsidR="007E215B" w:rsidRPr="00AE2599" w:rsidRDefault="007E215B" w:rsidP="007E215B">
      <w:pPr>
        <w:ind w:left="60"/>
        <w:rPr>
          <w:rFonts w:eastAsia="Calibri" w:cs="Arial"/>
          <w:b/>
          <w:sz w:val="22"/>
          <w:szCs w:val="22"/>
        </w:rPr>
      </w:pPr>
      <w:r w:rsidRPr="00AE2599">
        <w:rPr>
          <w:rFonts w:eastAsia="Calibri" w:cs="Arial"/>
          <w:b/>
          <w:sz w:val="22"/>
          <w:szCs w:val="22"/>
        </w:rPr>
        <w:t xml:space="preserve">Date this plan will be reviewed: </w:t>
      </w:r>
      <w:r w:rsidRPr="00AE2599">
        <w:rPr>
          <w:rFonts w:eastAsia="Calibri" w:cs="Arial"/>
          <w:sz w:val="22"/>
          <w:szCs w:val="22"/>
        </w:rPr>
        <w:t>_______________________________________________</w:t>
      </w:r>
    </w:p>
    <w:p w14:paraId="05F88600" w14:textId="77777777" w:rsidR="007E215B" w:rsidRPr="00AE2599" w:rsidRDefault="007E215B" w:rsidP="007E215B">
      <w:pPr>
        <w:spacing w:after="160" w:line="288" w:lineRule="auto"/>
        <w:ind w:left="2160"/>
        <w:rPr>
          <w:rFonts w:eastAsia="Calibri" w:cs="Arial"/>
          <w:b/>
          <w:sz w:val="22"/>
          <w:szCs w:val="22"/>
        </w:rPr>
      </w:pPr>
      <w:r w:rsidRPr="00AE2599">
        <w:rPr>
          <w:rFonts w:eastAsia="Calibri" w:cs="Arial"/>
          <w:b/>
          <w:sz w:val="22"/>
          <w:szCs w:val="22"/>
        </w:rPr>
        <w:br w:type="page"/>
      </w:r>
    </w:p>
    <w:p w14:paraId="2A396F6A" w14:textId="77777777" w:rsidR="007E215B" w:rsidRPr="00AE2599" w:rsidRDefault="007E215B" w:rsidP="007E215B">
      <w:pPr>
        <w:ind w:left="60"/>
        <w:rPr>
          <w:rFonts w:eastAsia="Calibri" w:cs="Arial"/>
          <w:b/>
          <w:sz w:val="22"/>
          <w:szCs w:val="22"/>
          <w:u w:val="single"/>
        </w:rPr>
      </w:pPr>
      <w:r w:rsidRPr="00AE2599">
        <w:rPr>
          <w:rFonts w:eastAsia="Calibri" w:cs="Arial"/>
          <w:b/>
          <w:sz w:val="22"/>
          <w:szCs w:val="22"/>
          <w:u w:val="single"/>
        </w:rPr>
        <w:lastRenderedPageBreak/>
        <w:t>Part 3: Sibling or other child/young person who will be working with the child/young person</w:t>
      </w:r>
    </w:p>
    <w:p w14:paraId="7873FEEF" w14:textId="77777777" w:rsidR="007E215B" w:rsidRPr="00AE2599" w:rsidRDefault="007E215B" w:rsidP="007E215B">
      <w:pPr>
        <w:ind w:left="60"/>
        <w:rPr>
          <w:rFonts w:eastAsia="Calibri" w:cs="Arial"/>
          <w:b/>
          <w:sz w:val="22"/>
          <w:szCs w:val="22"/>
        </w:rPr>
      </w:pPr>
    </w:p>
    <w:p w14:paraId="15081754" w14:textId="77777777" w:rsidR="007E215B" w:rsidRPr="00AE2599" w:rsidRDefault="007E215B" w:rsidP="007E215B">
      <w:pPr>
        <w:ind w:left="60"/>
        <w:rPr>
          <w:rFonts w:eastAsia="Calibri" w:cs="Arial"/>
          <w:b/>
          <w:sz w:val="22"/>
          <w:szCs w:val="22"/>
        </w:rPr>
      </w:pPr>
      <w:r w:rsidRPr="00AE2599">
        <w:rPr>
          <w:rFonts w:eastAsia="Calibri" w:cs="Arial"/>
          <w:b/>
          <w:sz w:val="22"/>
          <w:szCs w:val="22"/>
        </w:rPr>
        <w:t xml:space="preserve">Name (first name/s only required): </w:t>
      </w:r>
      <w:r w:rsidRPr="00AE2599">
        <w:rPr>
          <w:rFonts w:eastAsia="Calibri" w:cs="Arial"/>
          <w:sz w:val="22"/>
          <w:szCs w:val="22"/>
        </w:rPr>
        <w:t>_______________________________________________</w:t>
      </w:r>
    </w:p>
    <w:p w14:paraId="7273B8C5" w14:textId="77777777" w:rsidR="007E215B" w:rsidRPr="00AE2599" w:rsidRDefault="007E215B" w:rsidP="007E215B">
      <w:pPr>
        <w:ind w:left="60"/>
        <w:rPr>
          <w:rFonts w:eastAsia="Calibri" w:cs="Arial"/>
          <w:b/>
          <w:sz w:val="22"/>
          <w:szCs w:val="22"/>
        </w:rPr>
      </w:pPr>
      <w:r w:rsidRPr="00AE2599">
        <w:rPr>
          <w:rFonts w:eastAsia="Calibri" w:cs="Arial"/>
          <w:b/>
          <w:sz w:val="22"/>
          <w:szCs w:val="22"/>
        </w:rPr>
        <w:t xml:space="preserve">Date this plan was developed: </w:t>
      </w:r>
      <w:r w:rsidRPr="00AE2599">
        <w:rPr>
          <w:rFonts w:eastAsia="Calibri" w:cs="Arial"/>
          <w:sz w:val="22"/>
          <w:szCs w:val="22"/>
        </w:rPr>
        <w:t>_______________________________________________</w:t>
      </w:r>
    </w:p>
    <w:p w14:paraId="5C8453CD" w14:textId="77777777" w:rsidR="007E215B" w:rsidRPr="00AE2599" w:rsidRDefault="007E215B" w:rsidP="007E215B">
      <w:pPr>
        <w:spacing w:after="0" w:line="240" w:lineRule="auto"/>
        <w:ind w:left="60"/>
        <w:rPr>
          <w:rFonts w:eastAsia="Calibri" w:cs="Arial"/>
          <w:b/>
          <w:sz w:val="22"/>
          <w:szCs w:val="22"/>
        </w:rPr>
      </w:pPr>
    </w:p>
    <w:p w14:paraId="5B8FD196"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Areas of need were identified in the assessment (the things I want to work on to help this child/young person manage their issues): </w:t>
      </w:r>
      <w:r w:rsidRPr="00AE2599">
        <w:rPr>
          <w:rFonts w:eastAsia="Calibri" w:cs="Arial"/>
          <w:sz w:val="22"/>
          <w:szCs w:val="22"/>
        </w:rPr>
        <w:t>___________________________________________________________________</w:t>
      </w:r>
    </w:p>
    <w:p w14:paraId="376859D5"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394B2143" w14:textId="77777777" w:rsidR="007E215B" w:rsidRPr="00AE2599" w:rsidRDefault="007E215B" w:rsidP="007E215B">
      <w:pPr>
        <w:spacing w:after="0" w:line="240" w:lineRule="auto"/>
        <w:ind w:left="60"/>
        <w:rPr>
          <w:rFonts w:eastAsia="Calibri" w:cs="Arial"/>
          <w:b/>
          <w:spacing w:val="5"/>
          <w:sz w:val="22"/>
          <w:szCs w:val="22"/>
        </w:rPr>
      </w:pPr>
    </w:p>
    <w:p w14:paraId="1247DBDD" w14:textId="77777777" w:rsidR="007E215B" w:rsidRPr="00AE2599" w:rsidRDefault="007E215B" w:rsidP="007E215B">
      <w:pPr>
        <w:ind w:left="60"/>
        <w:rPr>
          <w:rFonts w:eastAsia="Calibri" w:cs="Arial"/>
          <w:b/>
          <w:sz w:val="22"/>
          <w:szCs w:val="22"/>
        </w:rPr>
      </w:pPr>
      <w:r w:rsidRPr="00AE2599">
        <w:rPr>
          <w:rFonts w:eastAsia="Calibri" w:cs="Arial"/>
          <w:b/>
          <w:sz w:val="22"/>
          <w:szCs w:val="22"/>
        </w:rPr>
        <w:t>For practitioner - which life domain goals or issues does this fit in?</w:t>
      </w:r>
    </w:p>
    <w:tbl>
      <w:tblPr>
        <w:tblStyle w:val="TableGrid"/>
        <w:tblW w:w="0" w:type="auto"/>
        <w:tblLook w:val="04A0" w:firstRow="1" w:lastRow="0" w:firstColumn="1" w:lastColumn="0" w:noHBand="0" w:noVBand="1"/>
      </w:tblPr>
      <w:tblGrid>
        <w:gridCol w:w="6665"/>
        <w:gridCol w:w="2351"/>
      </w:tblGrid>
      <w:tr w:rsidR="007E215B" w:rsidRPr="00857EB3" w14:paraId="3040531A" w14:textId="77777777" w:rsidTr="00BC5FD7">
        <w:tc>
          <w:tcPr>
            <w:tcW w:w="6771" w:type="dxa"/>
          </w:tcPr>
          <w:p w14:paraId="69CA5C90" w14:textId="77777777" w:rsidR="007E215B" w:rsidRPr="00AE2599" w:rsidRDefault="007E215B" w:rsidP="00BC5FD7">
            <w:pPr>
              <w:rPr>
                <w:rFonts w:eastAsia="Calibri" w:cs="Arial"/>
                <w:b/>
                <w:sz w:val="22"/>
                <w:szCs w:val="22"/>
              </w:rPr>
            </w:pPr>
            <w:r w:rsidRPr="00AE2599">
              <w:rPr>
                <w:rFonts w:eastAsia="Calibri" w:cs="Arial"/>
                <w:b/>
                <w:sz w:val="22"/>
                <w:szCs w:val="22"/>
              </w:rPr>
              <w:t>Life domain</w:t>
            </w:r>
          </w:p>
        </w:tc>
        <w:tc>
          <w:tcPr>
            <w:tcW w:w="2411" w:type="dxa"/>
          </w:tcPr>
          <w:p w14:paraId="134DF1C2" w14:textId="77777777" w:rsidR="007E215B" w:rsidRPr="00AE2599" w:rsidRDefault="007E215B" w:rsidP="00BC5FD7">
            <w:pPr>
              <w:rPr>
                <w:rFonts w:eastAsia="Calibri" w:cs="Arial"/>
                <w:b/>
                <w:sz w:val="22"/>
                <w:szCs w:val="22"/>
              </w:rPr>
            </w:pPr>
          </w:p>
        </w:tc>
      </w:tr>
      <w:tr w:rsidR="007E215B" w:rsidRPr="00857EB3" w14:paraId="5DF21AC5" w14:textId="77777777" w:rsidTr="00BC5FD7">
        <w:tc>
          <w:tcPr>
            <w:tcW w:w="6771" w:type="dxa"/>
          </w:tcPr>
          <w:p w14:paraId="2EC0EC0E"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Physical health</w:t>
            </w:r>
          </w:p>
        </w:tc>
        <w:tc>
          <w:tcPr>
            <w:tcW w:w="2411" w:type="dxa"/>
          </w:tcPr>
          <w:p w14:paraId="3A2CA63C" w14:textId="77777777" w:rsidR="007E215B" w:rsidRPr="00AE2599" w:rsidRDefault="007E215B" w:rsidP="00BC5FD7">
            <w:pPr>
              <w:rPr>
                <w:rFonts w:eastAsia="Calibri" w:cs="Arial"/>
                <w:b/>
                <w:sz w:val="22"/>
                <w:szCs w:val="22"/>
              </w:rPr>
            </w:pPr>
          </w:p>
        </w:tc>
      </w:tr>
      <w:tr w:rsidR="007E215B" w:rsidRPr="00857EB3" w14:paraId="246EE262" w14:textId="77777777" w:rsidTr="00BC5FD7">
        <w:tc>
          <w:tcPr>
            <w:tcW w:w="6771" w:type="dxa"/>
          </w:tcPr>
          <w:p w14:paraId="2BF9E2A4"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 xml:space="preserve">Mental health &amp; emotional wellbeing </w:t>
            </w:r>
          </w:p>
        </w:tc>
        <w:tc>
          <w:tcPr>
            <w:tcW w:w="2411" w:type="dxa"/>
          </w:tcPr>
          <w:p w14:paraId="2C7876B6" w14:textId="77777777" w:rsidR="007E215B" w:rsidRPr="00AE2599" w:rsidRDefault="007E215B" w:rsidP="00BC5FD7">
            <w:pPr>
              <w:rPr>
                <w:rFonts w:eastAsia="Calibri" w:cs="Arial"/>
                <w:b/>
                <w:sz w:val="22"/>
                <w:szCs w:val="22"/>
              </w:rPr>
            </w:pPr>
          </w:p>
        </w:tc>
      </w:tr>
      <w:tr w:rsidR="007E215B" w:rsidRPr="00857EB3" w14:paraId="51FB4EC4" w14:textId="77777777" w:rsidTr="00BC5FD7">
        <w:tc>
          <w:tcPr>
            <w:tcW w:w="6771" w:type="dxa"/>
          </w:tcPr>
          <w:p w14:paraId="4CEFA144"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Relationships (including social networks and relationships, and family relationships and functioning)</w:t>
            </w:r>
          </w:p>
        </w:tc>
        <w:tc>
          <w:tcPr>
            <w:tcW w:w="2411" w:type="dxa"/>
          </w:tcPr>
          <w:p w14:paraId="200A9B7A" w14:textId="77777777" w:rsidR="007E215B" w:rsidRPr="00AE2599" w:rsidRDefault="007E215B" w:rsidP="00BC5FD7">
            <w:pPr>
              <w:rPr>
                <w:rFonts w:eastAsia="Calibri" w:cs="Arial"/>
                <w:b/>
                <w:sz w:val="22"/>
                <w:szCs w:val="22"/>
              </w:rPr>
            </w:pPr>
          </w:p>
        </w:tc>
      </w:tr>
      <w:tr w:rsidR="007E215B" w:rsidRPr="00857EB3" w14:paraId="2775AC55" w14:textId="77777777" w:rsidTr="00BC5FD7">
        <w:tc>
          <w:tcPr>
            <w:tcW w:w="6771" w:type="dxa"/>
          </w:tcPr>
          <w:p w14:paraId="31099EEE"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Material wellbeing (including housing and self-care and living skills)</w:t>
            </w:r>
          </w:p>
        </w:tc>
        <w:tc>
          <w:tcPr>
            <w:tcW w:w="2411" w:type="dxa"/>
          </w:tcPr>
          <w:p w14:paraId="5922CF40" w14:textId="77777777" w:rsidR="007E215B" w:rsidRPr="00AE2599" w:rsidRDefault="007E215B" w:rsidP="00BC5FD7">
            <w:pPr>
              <w:rPr>
                <w:rFonts w:eastAsia="Calibri" w:cs="Arial"/>
                <w:b/>
                <w:sz w:val="22"/>
                <w:szCs w:val="22"/>
              </w:rPr>
            </w:pPr>
          </w:p>
        </w:tc>
      </w:tr>
      <w:tr w:rsidR="007E215B" w:rsidRPr="00857EB3" w14:paraId="416ADE5B" w14:textId="77777777" w:rsidTr="00BC5FD7">
        <w:tc>
          <w:tcPr>
            <w:tcW w:w="6771" w:type="dxa"/>
          </w:tcPr>
          <w:p w14:paraId="686109CD"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Learning and development (including school attendance/learning and sport/recreational activities)</w:t>
            </w:r>
          </w:p>
        </w:tc>
        <w:tc>
          <w:tcPr>
            <w:tcW w:w="2411" w:type="dxa"/>
          </w:tcPr>
          <w:p w14:paraId="6DC1DDE7" w14:textId="77777777" w:rsidR="007E215B" w:rsidRPr="00AE2599" w:rsidRDefault="007E215B" w:rsidP="00BC5FD7">
            <w:pPr>
              <w:rPr>
                <w:rFonts w:eastAsia="Calibri" w:cs="Arial"/>
                <w:b/>
                <w:sz w:val="22"/>
                <w:szCs w:val="22"/>
              </w:rPr>
            </w:pPr>
          </w:p>
        </w:tc>
      </w:tr>
      <w:tr w:rsidR="007E215B" w:rsidRPr="00857EB3" w14:paraId="6F0D2343" w14:textId="77777777" w:rsidTr="00BC5FD7">
        <w:tc>
          <w:tcPr>
            <w:tcW w:w="6771" w:type="dxa"/>
          </w:tcPr>
          <w:p w14:paraId="3BE11137" w14:textId="77777777" w:rsidR="007E215B" w:rsidRPr="00AE2599" w:rsidRDefault="007E215B" w:rsidP="007E215B">
            <w:pPr>
              <w:pStyle w:val="ListParagraph"/>
              <w:numPr>
                <w:ilvl w:val="0"/>
                <w:numId w:val="94"/>
              </w:numPr>
              <w:spacing w:before="0" w:after="60" w:line="240" w:lineRule="auto"/>
              <w:rPr>
                <w:rFonts w:eastAsia="Calibri" w:cs="Arial"/>
                <w:b/>
                <w:sz w:val="22"/>
                <w:szCs w:val="22"/>
              </w:rPr>
            </w:pPr>
            <w:r w:rsidRPr="00AE2599">
              <w:rPr>
                <w:rFonts w:eastAsia="Calibri" w:cs="Arial"/>
                <w:sz w:val="22"/>
                <w:szCs w:val="22"/>
              </w:rPr>
              <w:t>Safety (including child and family safety)</w:t>
            </w:r>
          </w:p>
        </w:tc>
        <w:tc>
          <w:tcPr>
            <w:tcW w:w="2411" w:type="dxa"/>
          </w:tcPr>
          <w:p w14:paraId="445E41BF" w14:textId="77777777" w:rsidR="007E215B" w:rsidRPr="00AE2599" w:rsidRDefault="007E215B" w:rsidP="00BC5FD7">
            <w:pPr>
              <w:rPr>
                <w:rFonts w:eastAsia="Calibri" w:cs="Arial"/>
                <w:b/>
                <w:sz w:val="22"/>
                <w:szCs w:val="22"/>
              </w:rPr>
            </w:pPr>
          </w:p>
        </w:tc>
      </w:tr>
    </w:tbl>
    <w:p w14:paraId="660EAA3D" w14:textId="77777777" w:rsidR="007E215B" w:rsidRPr="00AE2599" w:rsidRDefault="007E215B" w:rsidP="007E215B">
      <w:pPr>
        <w:ind w:left="60"/>
        <w:rPr>
          <w:rFonts w:eastAsia="Calibri" w:cs="Arial"/>
          <w:b/>
          <w:spacing w:val="5"/>
          <w:sz w:val="22"/>
          <w:szCs w:val="22"/>
        </w:rPr>
      </w:pPr>
    </w:p>
    <w:p w14:paraId="5BA5CB63"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What I’m good at or what I don’t need help with as a sibling or friend of this child or young person: </w:t>
      </w:r>
      <w:r w:rsidRPr="00AE2599">
        <w:rPr>
          <w:rFonts w:eastAsia="Calibri" w:cs="Arial"/>
          <w:sz w:val="22"/>
          <w:szCs w:val="22"/>
        </w:rPr>
        <w:t>___________________________________________________________________</w:t>
      </w:r>
    </w:p>
    <w:p w14:paraId="02787E05"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63872C41" w14:textId="77777777" w:rsidR="007E215B" w:rsidRPr="00AE2599" w:rsidRDefault="007E215B" w:rsidP="007E215B">
      <w:pPr>
        <w:spacing w:after="0" w:line="240" w:lineRule="auto"/>
        <w:ind w:left="62"/>
        <w:rPr>
          <w:rFonts w:eastAsia="Calibri" w:cs="Arial"/>
          <w:b/>
          <w:sz w:val="22"/>
          <w:szCs w:val="22"/>
        </w:rPr>
      </w:pPr>
    </w:p>
    <w:p w14:paraId="53B99A6C"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What I can do to help this child/young person manage their issues better: </w:t>
      </w:r>
      <w:r w:rsidRPr="00AE2599">
        <w:rPr>
          <w:rFonts w:eastAsia="Calibri" w:cs="Arial"/>
          <w:sz w:val="22"/>
          <w:szCs w:val="22"/>
        </w:rPr>
        <w:t>___________________________________________________________________</w:t>
      </w:r>
    </w:p>
    <w:p w14:paraId="126605CB"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6EF8E714" w14:textId="77777777" w:rsidR="007E215B" w:rsidRPr="00AE2599" w:rsidRDefault="007E215B" w:rsidP="007E215B">
      <w:pPr>
        <w:ind w:left="60"/>
        <w:rPr>
          <w:rFonts w:eastAsia="Calibri" w:cs="Arial"/>
          <w:sz w:val="22"/>
          <w:szCs w:val="22"/>
        </w:rPr>
      </w:pPr>
    </w:p>
    <w:p w14:paraId="5DC5DC28" w14:textId="77777777" w:rsidR="007E215B" w:rsidRPr="00AE2599" w:rsidRDefault="007E215B" w:rsidP="007E215B">
      <w:pPr>
        <w:ind w:left="60"/>
        <w:rPr>
          <w:rFonts w:eastAsia="Calibri" w:cs="Arial"/>
          <w:b/>
          <w:sz w:val="22"/>
          <w:szCs w:val="22"/>
        </w:rPr>
      </w:pPr>
      <w:r w:rsidRPr="00AE2599">
        <w:rPr>
          <w:rFonts w:eastAsia="Calibri" w:cs="Arial"/>
          <w:b/>
          <w:sz w:val="22"/>
          <w:szCs w:val="22"/>
        </w:rPr>
        <w:lastRenderedPageBreak/>
        <w:t>People who can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92"/>
        <w:gridCol w:w="2978"/>
      </w:tblGrid>
      <w:tr w:rsidR="007E215B" w:rsidRPr="00857EB3" w14:paraId="293E5331" w14:textId="77777777" w:rsidTr="00BC5FD7">
        <w:tc>
          <w:tcPr>
            <w:tcW w:w="3080" w:type="dxa"/>
            <w:shd w:val="clear" w:color="auto" w:fill="auto"/>
          </w:tcPr>
          <w:p w14:paraId="0A9BC7F8"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81" w:type="dxa"/>
            <w:shd w:val="clear" w:color="auto" w:fill="auto"/>
          </w:tcPr>
          <w:p w14:paraId="15533BFB"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partner, friend, support worker, etc.)</w:t>
            </w:r>
          </w:p>
        </w:tc>
        <w:tc>
          <w:tcPr>
            <w:tcW w:w="3081" w:type="dxa"/>
            <w:shd w:val="clear" w:color="auto" w:fill="auto"/>
          </w:tcPr>
          <w:p w14:paraId="3530B937"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43C10682" w14:textId="77777777" w:rsidTr="00BC5FD7">
        <w:tc>
          <w:tcPr>
            <w:tcW w:w="3080" w:type="dxa"/>
            <w:shd w:val="clear" w:color="auto" w:fill="auto"/>
          </w:tcPr>
          <w:p w14:paraId="570A3AF8" w14:textId="77777777" w:rsidR="007E215B" w:rsidRPr="00AE2599" w:rsidRDefault="007E215B" w:rsidP="00BC5FD7">
            <w:pPr>
              <w:rPr>
                <w:rFonts w:eastAsia="Calibri" w:cs="Arial"/>
                <w:b/>
                <w:sz w:val="22"/>
                <w:szCs w:val="22"/>
              </w:rPr>
            </w:pPr>
          </w:p>
        </w:tc>
        <w:tc>
          <w:tcPr>
            <w:tcW w:w="3081" w:type="dxa"/>
            <w:shd w:val="clear" w:color="auto" w:fill="auto"/>
          </w:tcPr>
          <w:p w14:paraId="3E851077" w14:textId="77777777" w:rsidR="007E215B" w:rsidRPr="00AE2599" w:rsidRDefault="007E215B" w:rsidP="00BC5FD7">
            <w:pPr>
              <w:rPr>
                <w:rFonts w:eastAsia="Calibri" w:cs="Arial"/>
                <w:b/>
                <w:sz w:val="22"/>
                <w:szCs w:val="22"/>
              </w:rPr>
            </w:pPr>
          </w:p>
        </w:tc>
        <w:tc>
          <w:tcPr>
            <w:tcW w:w="3081" w:type="dxa"/>
            <w:shd w:val="clear" w:color="auto" w:fill="auto"/>
          </w:tcPr>
          <w:p w14:paraId="11D56CF1" w14:textId="77777777" w:rsidR="007E215B" w:rsidRPr="00AE2599" w:rsidRDefault="007E215B" w:rsidP="00BC5FD7">
            <w:pPr>
              <w:rPr>
                <w:rFonts w:eastAsia="Calibri" w:cs="Arial"/>
                <w:b/>
                <w:sz w:val="22"/>
                <w:szCs w:val="22"/>
              </w:rPr>
            </w:pPr>
          </w:p>
        </w:tc>
      </w:tr>
      <w:tr w:rsidR="007E215B" w:rsidRPr="00857EB3" w14:paraId="28E49163" w14:textId="77777777" w:rsidTr="00BC5FD7">
        <w:tc>
          <w:tcPr>
            <w:tcW w:w="3080" w:type="dxa"/>
            <w:shd w:val="clear" w:color="auto" w:fill="auto"/>
          </w:tcPr>
          <w:p w14:paraId="5F238277" w14:textId="77777777" w:rsidR="007E215B" w:rsidRPr="00AE2599" w:rsidRDefault="007E215B" w:rsidP="00BC5FD7">
            <w:pPr>
              <w:rPr>
                <w:rFonts w:eastAsia="Calibri" w:cs="Arial"/>
                <w:b/>
                <w:sz w:val="22"/>
                <w:szCs w:val="22"/>
              </w:rPr>
            </w:pPr>
          </w:p>
        </w:tc>
        <w:tc>
          <w:tcPr>
            <w:tcW w:w="3081" w:type="dxa"/>
            <w:shd w:val="clear" w:color="auto" w:fill="auto"/>
          </w:tcPr>
          <w:p w14:paraId="7050F5E1" w14:textId="77777777" w:rsidR="007E215B" w:rsidRPr="00AE2599" w:rsidRDefault="007E215B" w:rsidP="00BC5FD7">
            <w:pPr>
              <w:rPr>
                <w:rFonts w:eastAsia="Calibri" w:cs="Arial"/>
                <w:b/>
                <w:sz w:val="22"/>
                <w:szCs w:val="22"/>
              </w:rPr>
            </w:pPr>
          </w:p>
        </w:tc>
        <w:tc>
          <w:tcPr>
            <w:tcW w:w="3081" w:type="dxa"/>
            <w:shd w:val="clear" w:color="auto" w:fill="auto"/>
          </w:tcPr>
          <w:p w14:paraId="6CF5B318" w14:textId="77777777" w:rsidR="007E215B" w:rsidRPr="00AE2599" w:rsidRDefault="007E215B" w:rsidP="00BC5FD7">
            <w:pPr>
              <w:rPr>
                <w:rFonts w:eastAsia="Calibri" w:cs="Arial"/>
                <w:b/>
                <w:sz w:val="22"/>
                <w:szCs w:val="22"/>
              </w:rPr>
            </w:pPr>
          </w:p>
        </w:tc>
      </w:tr>
      <w:tr w:rsidR="007E215B" w:rsidRPr="00857EB3" w14:paraId="103BECFE" w14:textId="77777777" w:rsidTr="00BC5FD7">
        <w:tc>
          <w:tcPr>
            <w:tcW w:w="3080" w:type="dxa"/>
            <w:shd w:val="clear" w:color="auto" w:fill="auto"/>
          </w:tcPr>
          <w:p w14:paraId="63AA4B92" w14:textId="77777777" w:rsidR="007E215B" w:rsidRPr="00AE2599" w:rsidRDefault="007E215B" w:rsidP="00BC5FD7">
            <w:pPr>
              <w:rPr>
                <w:rFonts w:eastAsia="Calibri" w:cs="Arial"/>
                <w:b/>
                <w:sz w:val="22"/>
                <w:szCs w:val="22"/>
              </w:rPr>
            </w:pPr>
          </w:p>
        </w:tc>
        <w:tc>
          <w:tcPr>
            <w:tcW w:w="3081" w:type="dxa"/>
            <w:shd w:val="clear" w:color="auto" w:fill="auto"/>
          </w:tcPr>
          <w:p w14:paraId="1721FA41" w14:textId="77777777" w:rsidR="007E215B" w:rsidRPr="00AE2599" w:rsidRDefault="007E215B" w:rsidP="00BC5FD7">
            <w:pPr>
              <w:rPr>
                <w:rFonts w:eastAsia="Calibri" w:cs="Arial"/>
                <w:b/>
                <w:sz w:val="22"/>
                <w:szCs w:val="22"/>
              </w:rPr>
            </w:pPr>
          </w:p>
        </w:tc>
        <w:tc>
          <w:tcPr>
            <w:tcW w:w="3081" w:type="dxa"/>
            <w:shd w:val="clear" w:color="auto" w:fill="auto"/>
          </w:tcPr>
          <w:p w14:paraId="0D8A5DC4" w14:textId="77777777" w:rsidR="007E215B" w:rsidRPr="00AE2599" w:rsidRDefault="007E215B" w:rsidP="00BC5FD7">
            <w:pPr>
              <w:rPr>
                <w:rFonts w:eastAsia="Calibri" w:cs="Arial"/>
                <w:b/>
                <w:sz w:val="22"/>
                <w:szCs w:val="22"/>
              </w:rPr>
            </w:pPr>
          </w:p>
        </w:tc>
      </w:tr>
      <w:tr w:rsidR="007E215B" w:rsidRPr="00857EB3" w14:paraId="0E77FFFE" w14:textId="77777777" w:rsidTr="00BC5FD7">
        <w:tc>
          <w:tcPr>
            <w:tcW w:w="3080" w:type="dxa"/>
            <w:shd w:val="clear" w:color="auto" w:fill="auto"/>
          </w:tcPr>
          <w:p w14:paraId="65FF7602" w14:textId="77777777" w:rsidR="007E215B" w:rsidRPr="00AE2599" w:rsidRDefault="007E215B" w:rsidP="00BC5FD7">
            <w:pPr>
              <w:rPr>
                <w:rFonts w:eastAsia="Calibri" w:cs="Arial"/>
                <w:b/>
                <w:sz w:val="22"/>
                <w:szCs w:val="22"/>
              </w:rPr>
            </w:pPr>
          </w:p>
        </w:tc>
        <w:tc>
          <w:tcPr>
            <w:tcW w:w="3081" w:type="dxa"/>
            <w:shd w:val="clear" w:color="auto" w:fill="auto"/>
          </w:tcPr>
          <w:p w14:paraId="145F0B3D" w14:textId="77777777" w:rsidR="007E215B" w:rsidRPr="00AE2599" w:rsidRDefault="007E215B" w:rsidP="00BC5FD7">
            <w:pPr>
              <w:rPr>
                <w:rFonts w:eastAsia="Calibri" w:cs="Arial"/>
                <w:b/>
                <w:sz w:val="22"/>
                <w:szCs w:val="22"/>
              </w:rPr>
            </w:pPr>
          </w:p>
        </w:tc>
        <w:tc>
          <w:tcPr>
            <w:tcW w:w="3081" w:type="dxa"/>
            <w:shd w:val="clear" w:color="auto" w:fill="auto"/>
          </w:tcPr>
          <w:p w14:paraId="1D3ED4D7" w14:textId="77777777" w:rsidR="007E215B" w:rsidRPr="00AE2599" w:rsidRDefault="007E215B" w:rsidP="00BC5FD7">
            <w:pPr>
              <w:rPr>
                <w:rFonts w:eastAsia="Calibri" w:cs="Arial"/>
                <w:b/>
                <w:sz w:val="22"/>
                <w:szCs w:val="22"/>
              </w:rPr>
            </w:pPr>
          </w:p>
        </w:tc>
      </w:tr>
      <w:tr w:rsidR="007E215B" w:rsidRPr="00857EB3" w14:paraId="125C1828" w14:textId="77777777" w:rsidTr="00BC5FD7">
        <w:tc>
          <w:tcPr>
            <w:tcW w:w="3080" w:type="dxa"/>
            <w:shd w:val="clear" w:color="auto" w:fill="auto"/>
          </w:tcPr>
          <w:p w14:paraId="2CA47C7B" w14:textId="77777777" w:rsidR="007E215B" w:rsidRPr="00AE2599" w:rsidRDefault="007E215B" w:rsidP="00BC5FD7">
            <w:pPr>
              <w:rPr>
                <w:rFonts w:eastAsia="Calibri" w:cs="Arial"/>
                <w:b/>
                <w:sz w:val="22"/>
                <w:szCs w:val="22"/>
              </w:rPr>
            </w:pPr>
          </w:p>
        </w:tc>
        <w:tc>
          <w:tcPr>
            <w:tcW w:w="3081" w:type="dxa"/>
            <w:shd w:val="clear" w:color="auto" w:fill="auto"/>
          </w:tcPr>
          <w:p w14:paraId="3D483FEB" w14:textId="77777777" w:rsidR="007E215B" w:rsidRPr="00AE2599" w:rsidRDefault="007E215B" w:rsidP="00BC5FD7">
            <w:pPr>
              <w:rPr>
                <w:rFonts w:eastAsia="Calibri" w:cs="Arial"/>
                <w:b/>
                <w:sz w:val="22"/>
                <w:szCs w:val="22"/>
              </w:rPr>
            </w:pPr>
          </w:p>
        </w:tc>
        <w:tc>
          <w:tcPr>
            <w:tcW w:w="3081" w:type="dxa"/>
            <w:shd w:val="clear" w:color="auto" w:fill="auto"/>
          </w:tcPr>
          <w:p w14:paraId="17C8EDEB" w14:textId="77777777" w:rsidR="007E215B" w:rsidRPr="00AE2599" w:rsidRDefault="007E215B" w:rsidP="00BC5FD7">
            <w:pPr>
              <w:rPr>
                <w:rFonts w:eastAsia="Calibri" w:cs="Arial"/>
                <w:b/>
                <w:sz w:val="22"/>
                <w:szCs w:val="22"/>
              </w:rPr>
            </w:pPr>
          </w:p>
        </w:tc>
      </w:tr>
    </w:tbl>
    <w:p w14:paraId="72176A74" w14:textId="77777777" w:rsidR="007E215B" w:rsidRPr="00AE2599" w:rsidRDefault="007E215B" w:rsidP="007E215B">
      <w:pPr>
        <w:ind w:left="60"/>
        <w:rPr>
          <w:rFonts w:eastAsia="Calibri" w:cs="Arial"/>
          <w:b/>
          <w:sz w:val="22"/>
          <w:szCs w:val="22"/>
        </w:rPr>
      </w:pPr>
    </w:p>
    <w:p w14:paraId="075BDFA0" w14:textId="77777777" w:rsidR="007E215B" w:rsidRPr="00AE2599" w:rsidRDefault="007E215B" w:rsidP="007E215B">
      <w:pPr>
        <w:ind w:left="60"/>
        <w:rPr>
          <w:rFonts w:eastAsia="Calibri" w:cs="Arial"/>
          <w:b/>
          <w:sz w:val="22"/>
          <w:szCs w:val="22"/>
        </w:rPr>
      </w:pPr>
      <w:r w:rsidRPr="00AE2599">
        <w:rPr>
          <w:rFonts w:eastAsia="Calibri" w:cs="Arial"/>
          <w:b/>
          <w:sz w:val="22"/>
          <w:szCs w:val="22"/>
        </w:rPr>
        <w:t>People who do not help me to support this child/young person: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92"/>
        <w:gridCol w:w="2978"/>
      </w:tblGrid>
      <w:tr w:rsidR="007E215B" w:rsidRPr="00857EB3" w14:paraId="70A4224B" w14:textId="77777777" w:rsidTr="00BC5FD7">
        <w:tc>
          <w:tcPr>
            <w:tcW w:w="3080" w:type="dxa"/>
            <w:shd w:val="clear" w:color="auto" w:fill="auto"/>
          </w:tcPr>
          <w:p w14:paraId="6A9EBDC9" w14:textId="77777777" w:rsidR="007E215B" w:rsidRPr="00AE2599" w:rsidRDefault="007E215B" w:rsidP="00BC5FD7">
            <w:pPr>
              <w:ind w:left="60"/>
              <w:rPr>
                <w:rFonts w:eastAsia="Calibri" w:cs="Arial"/>
                <w:b/>
                <w:sz w:val="22"/>
                <w:szCs w:val="22"/>
              </w:rPr>
            </w:pPr>
            <w:r w:rsidRPr="00AE2599">
              <w:rPr>
                <w:rFonts w:eastAsia="Calibri" w:cs="Arial"/>
                <w:b/>
                <w:sz w:val="22"/>
                <w:szCs w:val="22"/>
              </w:rPr>
              <w:t>Who (name)</w:t>
            </w:r>
          </w:p>
        </w:tc>
        <w:tc>
          <w:tcPr>
            <w:tcW w:w="3081" w:type="dxa"/>
            <w:shd w:val="clear" w:color="auto" w:fill="auto"/>
          </w:tcPr>
          <w:p w14:paraId="66E3BEDB"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part do they play in my life? (</w:t>
            </w:r>
            <w:proofErr w:type="gramStart"/>
            <w:r w:rsidRPr="00AE2599">
              <w:rPr>
                <w:rFonts w:eastAsia="Calibri" w:cs="Arial"/>
                <w:b/>
                <w:sz w:val="22"/>
                <w:szCs w:val="22"/>
              </w:rPr>
              <w:t>e.g</w:t>
            </w:r>
            <w:proofErr w:type="gramEnd"/>
            <w:r w:rsidRPr="00AE2599">
              <w:rPr>
                <w:rFonts w:eastAsia="Calibri" w:cs="Arial"/>
                <w:b/>
                <w:sz w:val="22"/>
                <w:szCs w:val="22"/>
              </w:rPr>
              <w:t>. partner, friend, support worker, etc.)</w:t>
            </w:r>
          </w:p>
        </w:tc>
        <w:tc>
          <w:tcPr>
            <w:tcW w:w="3081" w:type="dxa"/>
            <w:shd w:val="clear" w:color="auto" w:fill="auto"/>
          </w:tcPr>
          <w:p w14:paraId="4A1DB48B" w14:textId="77777777" w:rsidR="007E215B" w:rsidRPr="00AE2599" w:rsidRDefault="007E215B" w:rsidP="00BC5FD7">
            <w:pPr>
              <w:ind w:left="60"/>
              <w:rPr>
                <w:rFonts w:eastAsia="Calibri" w:cs="Arial"/>
                <w:b/>
                <w:sz w:val="22"/>
                <w:szCs w:val="22"/>
              </w:rPr>
            </w:pPr>
            <w:r w:rsidRPr="00AE2599">
              <w:rPr>
                <w:rFonts w:eastAsia="Calibri" w:cs="Arial"/>
                <w:b/>
                <w:sz w:val="22"/>
                <w:szCs w:val="22"/>
              </w:rPr>
              <w:t>What I need them to do</w:t>
            </w:r>
          </w:p>
        </w:tc>
      </w:tr>
      <w:tr w:rsidR="007E215B" w:rsidRPr="00857EB3" w14:paraId="11817C66" w14:textId="77777777" w:rsidTr="00BC5FD7">
        <w:tc>
          <w:tcPr>
            <w:tcW w:w="3080" w:type="dxa"/>
            <w:shd w:val="clear" w:color="auto" w:fill="auto"/>
          </w:tcPr>
          <w:p w14:paraId="63C4835E" w14:textId="77777777" w:rsidR="007E215B" w:rsidRPr="00AE2599" w:rsidRDefault="007E215B" w:rsidP="00BC5FD7">
            <w:pPr>
              <w:rPr>
                <w:rFonts w:eastAsia="Calibri" w:cs="Arial"/>
                <w:b/>
                <w:sz w:val="22"/>
                <w:szCs w:val="22"/>
              </w:rPr>
            </w:pPr>
          </w:p>
        </w:tc>
        <w:tc>
          <w:tcPr>
            <w:tcW w:w="3081" w:type="dxa"/>
            <w:shd w:val="clear" w:color="auto" w:fill="auto"/>
          </w:tcPr>
          <w:p w14:paraId="04F08B30" w14:textId="77777777" w:rsidR="007E215B" w:rsidRPr="00AE2599" w:rsidRDefault="007E215B" w:rsidP="00BC5FD7">
            <w:pPr>
              <w:rPr>
                <w:rFonts w:eastAsia="Calibri" w:cs="Arial"/>
                <w:b/>
                <w:sz w:val="22"/>
                <w:szCs w:val="22"/>
              </w:rPr>
            </w:pPr>
          </w:p>
        </w:tc>
        <w:tc>
          <w:tcPr>
            <w:tcW w:w="3081" w:type="dxa"/>
            <w:shd w:val="clear" w:color="auto" w:fill="auto"/>
          </w:tcPr>
          <w:p w14:paraId="1B186258" w14:textId="77777777" w:rsidR="007E215B" w:rsidRPr="00AE2599" w:rsidRDefault="007E215B" w:rsidP="00BC5FD7">
            <w:pPr>
              <w:rPr>
                <w:rFonts w:eastAsia="Calibri" w:cs="Arial"/>
                <w:b/>
                <w:sz w:val="22"/>
                <w:szCs w:val="22"/>
              </w:rPr>
            </w:pPr>
          </w:p>
        </w:tc>
      </w:tr>
      <w:tr w:rsidR="007E215B" w:rsidRPr="00857EB3" w14:paraId="3EF8CFC1" w14:textId="77777777" w:rsidTr="00BC5FD7">
        <w:tc>
          <w:tcPr>
            <w:tcW w:w="3080" w:type="dxa"/>
            <w:shd w:val="clear" w:color="auto" w:fill="auto"/>
          </w:tcPr>
          <w:p w14:paraId="2F8E11E6" w14:textId="77777777" w:rsidR="007E215B" w:rsidRPr="00AE2599" w:rsidRDefault="007E215B" w:rsidP="00BC5FD7">
            <w:pPr>
              <w:rPr>
                <w:rFonts w:eastAsia="Calibri" w:cs="Arial"/>
                <w:b/>
                <w:sz w:val="22"/>
                <w:szCs w:val="22"/>
              </w:rPr>
            </w:pPr>
          </w:p>
        </w:tc>
        <w:tc>
          <w:tcPr>
            <w:tcW w:w="3081" w:type="dxa"/>
            <w:shd w:val="clear" w:color="auto" w:fill="auto"/>
          </w:tcPr>
          <w:p w14:paraId="78516AE9" w14:textId="77777777" w:rsidR="007E215B" w:rsidRPr="00AE2599" w:rsidRDefault="007E215B" w:rsidP="00BC5FD7">
            <w:pPr>
              <w:rPr>
                <w:rFonts w:eastAsia="Calibri" w:cs="Arial"/>
                <w:b/>
                <w:sz w:val="22"/>
                <w:szCs w:val="22"/>
              </w:rPr>
            </w:pPr>
          </w:p>
        </w:tc>
        <w:tc>
          <w:tcPr>
            <w:tcW w:w="3081" w:type="dxa"/>
            <w:shd w:val="clear" w:color="auto" w:fill="auto"/>
          </w:tcPr>
          <w:p w14:paraId="667F5BFC" w14:textId="77777777" w:rsidR="007E215B" w:rsidRPr="00AE2599" w:rsidRDefault="007E215B" w:rsidP="00BC5FD7">
            <w:pPr>
              <w:rPr>
                <w:rFonts w:eastAsia="Calibri" w:cs="Arial"/>
                <w:b/>
                <w:sz w:val="22"/>
                <w:szCs w:val="22"/>
              </w:rPr>
            </w:pPr>
          </w:p>
        </w:tc>
      </w:tr>
      <w:tr w:rsidR="007E215B" w:rsidRPr="00857EB3" w14:paraId="5521F6B0" w14:textId="77777777" w:rsidTr="00BC5FD7">
        <w:tc>
          <w:tcPr>
            <w:tcW w:w="3080" w:type="dxa"/>
            <w:shd w:val="clear" w:color="auto" w:fill="auto"/>
          </w:tcPr>
          <w:p w14:paraId="6A46E698" w14:textId="77777777" w:rsidR="007E215B" w:rsidRPr="00AE2599" w:rsidRDefault="007E215B" w:rsidP="00BC5FD7">
            <w:pPr>
              <w:rPr>
                <w:rFonts w:eastAsia="Calibri" w:cs="Arial"/>
                <w:b/>
                <w:sz w:val="22"/>
                <w:szCs w:val="22"/>
              </w:rPr>
            </w:pPr>
          </w:p>
        </w:tc>
        <w:tc>
          <w:tcPr>
            <w:tcW w:w="3081" w:type="dxa"/>
            <w:shd w:val="clear" w:color="auto" w:fill="auto"/>
          </w:tcPr>
          <w:p w14:paraId="3D0939FF" w14:textId="77777777" w:rsidR="007E215B" w:rsidRPr="00AE2599" w:rsidRDefault="007E215B" w:rsidP="00BC5FD7">
            <w:pPr>
              <w:rPr>
                <w:rFonts w:eastAsia="Calibri" w:cs="Arial"/>
                <w:b/>
                <w:sz w:val="22"/>
                <w:szCs w:val="22"/>
              </w:rPr>
            </w:pPr>
          </w:p>
        </w:tc>
        <w:tc>
          <w:tcPr>
            <w:tcW w:w="3081" w:type="dxa"/>
            <w:shd w:val="clear" w:color="auto" w:fill="auto"/>
          </w:tcPr>
          <w:p w14:paraId="2602D13E" w14:textId="77777777" w:rsidR="007E215B" w:rsidRPr="00AE2599" w:rsidRDefault="007E215B" w:rsidP="00BC5FD7">
            <w:pPr>
              <w:rPr>
                <w:rFonts w:eastAsia="Calibri" w:cs="Arial"/>
                <w:b/>
                <w:sz w:val="22"/>
                <w:szCs w:val="22"/>
              </w:rPr>
            </w:pPr>
          </w:p>
        </w:tc>
      </w:tr>
      <w:tr w:rsidR="007E215B" w:rsidRPr="00857EB3" w14:paraId="30956743" w14:textId="77777777" w:rsidTr="00BC5FD7">
        <w:tc>
          <w:tcPr>
            <w:tcW w:w="3080" w:type="dxa"/>
            <w:shd w:val="clear" w:color="auto" w:fill="auto"/>
          </w:tcPr>
          <w:p w14:paraId="13019C80" w14:textId="77777777" w:rsidR="007E215B" w:rsidRPr="00AE2599" w:rsidRDefault="007E215B" w:rsidP="00BC5FD7">
            <w:pPr>
              <w:rPr>
                <w:rFonts w:eastAsia="Calibri" w:cs="Arial"/>
                <w:b/>
                <w:sz w:val="22"/>
                <w:szCs w:val="22"/>
              </w:rPr>
            </w:pPr>
          </w:p>
        </w:tc>
        <w:tc>
          <w:tcPr>
            <w:tcW w:w="3081" w:type="dxa"/>
            <w:shd w:val="clear" w:color="auto" w:fill="auto"/>
          </w:tcPr>
          <w:p w14:paraId="3FDD96D1" w14:textId="77777777" w:rsidR="007E215B" w:rsidRPr="00AE2599" w:rsidRDefault="007E215B" w:rsidP="00BC5FD7">
            <w:pPr>
              <w:rPr>
                <w:rFonts w:eastAsia="Calibri" w:cs="Arial"/>
                <w:b/>
                <w:sz w:val="22"/>
                <w:szCs w:val="22"/>
              </w:rPr>
            </w:pPr>
          </w:p>
        </w:tc>
        <w:tc>
          <w:tcPr>
            <w:tcW w:w="3081" w:type="dxa"/>
            <w:shd w:val="clear" w:color="auto" w:fill="auto"/>
          </w:tcPr>
          <w:p w14:paraId="32EFB23C" w14:textId="77777777" w:rsidR="007E215B" w:rsidRPr="00AE2599" w:rsidRDefault="007E215B" w:rsidP="00BC5FD7">
            <w:pPr>
              <w:rPr>
                <w:rFonts w:eastAsia="Calibri" w:cs="Arial"/>
                <w:b/>
                <w:sz w:val="22"/>
                <w:szCs w:val="22"/>
              </w:rPr>
            </w:pPr>
          </w:p>
        </w:tc>
      </w:tr>
      <w:tr w:rsidR="007E215B" w:rsidRPr="00857EB3" w14:paraId="224677C2" w14:textId="77777777" w:rsidTr="00BC5FD7">
        <w:tc>
          <w:tcPr>
            <w:tcW w:w="3080" w:type="dxa"/>
            <w:shd w:val="clear" w:color="auto" w:fill="auto"/>
          </w:tcPr>
          <w:p w14:paraId="6EA74968" w14:textId="77777777" w:rsidR="007E215B" w:rsidRPr="00AE2599" w:rsidRDefault="007E215B" w:rsidP="00BC5FD7">
            <w:pPr>
              <w:rPr>
                <w:rFonts w:eastAsia="Calibri" w:cs="Arial"/>
                <w:b/>
                <w:sz w:val="22"/>
                <w:szCs w:val="22"/>
              </w:rPr>
            </w:pPr>
          </w:p>
        </w:tc>
        <w:tc>
          <w:tcPr>
            <w:tcW w:w="3081" w:type="dxa"/>
            <w:shd w:val="clear" w:color="auto" w:fill="auto"/>
          </w:tcPr>
          <w:p w14:paraId="22B81358" w14:textId="77777777" w:rsidR="007E215B" w:rsidRPr="00AE2599" w:rsidRDefault="007E215B" w:rsidP="00BC5FD7">
            <w:pPr>
              <w:rPr>
                <w:rFonts w:eastAsia="Calibri" w:cs="Arial"/>
                <w:b/>
                <w:sz w:val="22"/>
                <w:szCs w:val="22"/>
              </w:rPr>
            </w:pPr>
          </w:p>
        </w:tc>
        <w:tc>
          <w:tcPr>
            <w:tcW w:w="3081" w:type="dxa"/>
            <w:shd w:val="clear" w:color="auto" w:fill="auto"/>
          </w:tcPr>
          <w:p w14:paraId="0ACAD47D" w14:textId="77777777" w:rsidR="007E215B" w:rsidRPr="00AE2599" w:rsidRDefault="007E215B" w:rsidP="00BC5FD7">
            <w:pPr>
              <w:rPr>
                <w:rFonts w:eastAsia="Calibri" w:cs="Arial"/>
                <w:b/>
                <w:sz w:val="22"/>
                <w:szCs w:val="22"/>
              </w:rPr>
            </w:pPr>
          </w:p>
        </w:tc>
      </w:tr>
    </w:tbl>
    <w:p w14:paraId="046D17BC" w14:textId="77777777" w:rsidR="007E215B" w:rsidRPr="00AE2599" w:rsidRDefault="007E215B" w:rsidP="007E215B">
      <w:pPr>
        <w:ind w:left="60"/>
        <w:rPr>
          <w:rFonts w:eastAsia="Calibri" w:cs="Arial"/>
          <w:b/>
          <w:sz w:val="22"/>
          <w:szCs w:val="22"/>
        </w:rPr>
      </w:pPr>
    </w:p>
    <w:p w14:paraId="68343AFF"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How I will know if this child/young person is finding it easier to manage their issues: </w:t>
      </w:r>
      <w:r w:rsidRPr="00AE2599">
        <w:rPr>
          <w:rFonts w:eastAsia="Calibri" w:cs="Arial"/>
          <w:sz w:val="22"/>
          <w:szCs w:val="22"/>
        </w:rPr>
        <w:t>___________________________________________________________________</w:t>
      </w:r>
    </w:p>
    <w:p w14:paraId="36C82F37"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38C81E02" w14:textId="77777777" w:rsidR="007E215B" w:rsidRPr="00AE2599" w:rsidRDefault="007E215B" w:rsidP="007E215B">
      <w:pPr>
        <w:ind w:left="60"/>
        <w:rPr>
          <w:rFonts w:eastAsia="Calibri" w:cs="Arial"/>
          <w:sz w:val="22"/>
          <w:szCs w:val="22"/>
        </w:rPr>
      </w:pPr>
    </w:p>
    <w:p w14:paraId="70340213" w14:textId="77777777" w:rsidR="00857EB3" w:rsidRDefault="00857EB3">
      <w:pPr>
        <w:spacing w:before="0" w:after="200" w:line="276" w:lineRule="auto"/>
        <w:rPr>
          <w:rFonts w:eastAsia="Calibri" w:cs="Arial"/>
          <w:b/>
          <w:sz w:val="22"/>
          <w:szCs w:val="22"/>
        </w:rPr>
      </w:pPr>
      <w:r>
        <w:rPr>
          <w:rFonts w:eastAsia="Calibri" w:cs="Arial"/>
          <w:b/>
          <w:sz w:val="22"/>
          <w:szCs w:val="22"/>
        </w:rPr>
        <w:br w:type="page"/>
      </w:r>
    </w:p>
    <w:p w14:paraId="16407A75" w14:textId="77777777" w:rsidR="007E215B" w:rsidRPr="00AE2599" w:rsidRDefault="007E215B" w:rsidP="007E215B">
      <w:pPr>
        <w:ind w:left="60"/>
        <w:rPr>
          <w:rFonts w:eastAsia="Calibri" w:cs="Arial"/>
          <w:b/>
          <w:sz w:val="22"/>
          <w:szCs w:val="22"/>
        </w:rPr>
      </w:pPr>
      <w:r w:rsidRPr="00AE2599">
        <w:rPr>
          <w:rFonts w:eastAsia="Calibri" w:cs="Arial"/>
          <w:b/>
          <w:sz w:val="22"/>
          <w:szCs w:val="22"/>
        </w:rPr>
        <w:lastRenderedPageBreak/>
        <w:t xml:space="preserve">What I can do if I start to notice the child or young person is finding it more difficult to manage their issues: </w:t>
      </w:r>
    </w:p>
    <w:p w14:paraId="42A68F2E"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w:t>
      </w:r>
    </w:p>
    <w:p w14:paraId="0ACFA5CA"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5B17F433" w14:textId="77777777" w:rsidR="007E215B" w:rsidRPr="00AE2599" w:rsidRDefault="007E215B" w:rsidP="007E215B">
      <w:pPr>
        <w:spacing w:after="160" w:line="288" w:lineRule="auto"/>
        <w:ind w:left="2160"/>
        <w:rPr>
          <w:rFonts w:eastAsia="Calibri" w:cs="Arial"/>
          <w:b/>
          <w:sz w:val="22"/>
          <w:szCs w:val="22"/>
        </w:rPr>
      </w:pPr>
    </w:p>
    <w:p w14:paraId="41001CBF" w14:textId="77777777" w:rsidR="007E215B" w:rsidRPr="00AE2599" w:rsidRDefault="007E215B" w:rsidP="007E215B">
      <w:pPr>
        <w:spacing w:after="0" w:line="240" w:lineRule="auto"/>
        <w:ind w:left="62"/>
        <w:rPr>
          <w:rFonts w:eastAsia="Calibri" w:cs="Arial"/>
          <w:b/>
          <w:sz w:val="22"/>
          <w:szCs w:val="22"/>
        </w:rPr>
      </w:pPr>
      <w:r w:rsidRPr="00AE2599">
        <w:rPr>
          <w:rFonts w:eastAsia="Calibri" w:cs="Arial"/>
          <w:b/>
          <w:sz w:val="22"/>
          <w:szCs w:val="22"/>
        </w:rPr>
        <w:t xml:space="preserve">What I want other people to do to support me in helping this child/young person: </w:t>
      </w:r>
    </w:p>
    <w:p w14:paraId="3C5BAB85"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w:t>
      </w:r>
    </w:p>
    <w:p w14:paraId="23CFE8E1"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7A25D83A" w14:textId="77777777" w:rsidR="007E215B" w:rsidRPr="00AE2599" w:rsidRDefault="007E215B" w:rsidP="007E215B">
      <w:pPr>
        <w:spacing w:after="0" w:line="240" w:lineRule="auto"/>
        <w:ind w:left="62"/>
        <w:rPr>
          <w:rFonts w:eastAsia="Calibri" w:cs="Arial"/>
          <w:sz w:val="22"/>
          <w:szCs w:val="22"/>
        </w:rPr>
      </w:pPr>
    </w:p>
    <w:p w14:paraId="18E516C5" w14:textId="77777777" w:rsidR="007E215B" w:rsidRPr="00AE2599" w:rsidRDefault="007E215B" w:rsidP="007E215B">
      <w:pPr>
        <w:spacing w:after="0" w:line="240" w:lineRule="auto"/>
        <w:ind w:left="62"/>
        <w:rPr>
          <w:rFonts w:eastAsia="Calibri" w:cs="Arial"/>
          <w:sz w:val="22"/>
          <w:szCs w:val="22"/>
        </w:rPr>
      </w:pPr>
      <w:r w:rsidRPr="00AE2599">
        <w:rPr>
          <w:rFonts w:eastAsia="Calibri" w:cs="Arial"/>
          <w:b/>
          <w:sz w:val="22"/>
          <w:szCs w:val="22"/>
        </w:rPr>
        <w:t xml:space="preserve">Things I can do for myself if I start to feel that I am not helping this child/young person enough: </w:t>
      </w:r>
      <w:r w:rsidRPr="00AE2599">
        <w:rPr>
          <w:rFonts w:eastAsia="Calibri" w:cs="Arial"/>
          <w:sz w:val="22"/>
          <w:szCs w:val="22"/>
        </w:rPr>
        <w:t>___________________________________________________________________</w:t>
      </w:r>
    </w:p>
    <w:p w14:paraId="27A7340C" w14:textId="77777777" w:rsidR="007E215B" w:rsidRPr="00AE2599" w:rsidRDefault="007E215B" w:rsidP="007E215B">
      <w:pPr>
        <w:spacing w:after="0" w:line="240" w:lineRule="auto"/>
        <w:ind w:left="62"/>
        <w:rPr>
          <w:rFonts w:eastAsia="Calibri" w:cs="Arial"/>
          <w:sz w:val="22"/>
          <w:szCs w:val="22"/>
        </w:rPr>
      </w:pPr>
      <w:r w:rsidRPr="00AE2599">
        <w:rPr>
          <w:rFonts w:eastAsia="Calibri" w:cs="Arial"/>
          <w:sz w:val="22"/>
          <w:szCs w:val="22"/>
        </w:rPr>
        <w:t>_________________________________________________________________________________________________________________________________________________________________________________________________________</w:t>
      </w:r>
    </w:p>
    <w:p w14:paraId="548477D7" w14:textId="77777777" w:rsidR="007E215B" w:rsidRPr="00AE2599" w:rsidRDefault="007E215B" w:rsidP="007E215B">
      <w:pPr>
        <w:spacing w:after="0" w:line="240" w:lineRule="auto"/>
        <w:ind w:left="62"/>
        <w:rPr>
          <w:rFonts w:eastAsia="Calibri" w:cs="Arial"/>
          <w:b/>
          <w:sz w:val="22"/>
          <w:szCs w:val="22"/>
        </w:rPr>
      </w:pPr>
    </w:p>
    <w:p w14:paraId="78F657E2" w14:textId="77777777" w:rsidR="007E215B" w:rsidRPr="00AE2599" w:rsidRDefault="007E215B" w:rsidP="007E215B">
      <w:pPr>
        <w:ind w:left="60"/>
        <w:rPr>
          <w:rFonts w:eastAsia="Calibri" w:cs="Arial"/>
          <w:sz w:val="22"/>
          <w:szCs w:val="22"/>
        </w:rPr>
      </w:pPr>
      <w:r w:rsidRPr="00AE2599">
        <w:rPr>
          <w:rFonts w:eastAsia="Calibri" w:cs="Arial"/>
          <w:b/>
          <w:sz w:val="22"/>
          <w:szCs w:val="22"/>
        </w:rPr>
        <w:t xml:space="preserve">Date this plan will be reviewed: </w:t>
      </w:r>
      <w:r w:rsidRPr="00AE2599">
        <w:rPr>
          <w:rFonts w:eastAsia="Calibri" w:cs="Arial"/>
          <w:sz w:val="22"/>
          <w:szCs w:val="22"/>
        </w:rPr>
        <w:t>______________________________________________</w:t>
      </w:r>
    </w:p>
    <w:p w14:paraId="1D965EB5" w14:textId="77777777" w:rsidR="007E215B" w:rsidRPr="00AE2599" w:rsidRDefault="007E215B" w:rsidP="007E215B">
      <w:pPr>
        <w:pStyle w:val="Heading1"/>
        <w:spacing w:before="0" w:after="0" w:line="276" w:lineRule="auto"/>
        <w:rPr>
          <w:rFonts w:ascii="Arial" w:hAnsi="Arial"/>
          <w:b/>
          <w:color w:val="auto"/>
          <w:spacing w:val="0"/>
          <w:sz w:val="22"/>
          <w:szCs w:val="22"/>
          <w:lang w:eastAsia="en-US"/>
        </w:rPr>
      </w:pPr>
      <w:r w:rsidRPr="00AE2599">
        <w:rPr>
          <w:rFonts w:ascii="Arial" w:eastAsia="Calibri" w:hAnsi="Arial"/>
          <w:b/>
          <w:sz w:val="22"/>
          <w:szCs w:val="22"/>
        </w:rPr>
        <w:br w:type="page"/>
      </w:r>
    </w:p>
    <w:p w14:paraId="2CBC04EC" w14:textId="4F423D35" w:rsidR="006D5481" w:rsidRPr="0030502C" w:rsidRDefault="006D5481" w:rsidP="00AE2599">
      <w:pPr>
        <w:pStyle w:val="Heading1"/>
        <w:numPr>
          <w:ilvl w:val="1"/>
          <w:numId w:val="104"/>
        </w:numPr>
      </w:pPr>
      <w:bookmarkStart w:id="429" w:name="_Toc70494607"/>
      <w:bookmarkStart w:id="430" w:name="_Toc70494899"/>
      <w:bookmarkStart w:id="431" w:name="_Toc70499458"/>
      <w:bookmarkStart w:id="432" w:name="_Toc70494618"/>
      <w:bookmarkStart w:id="433" w:name="_Toc70494910"/>
      <w:bookmarkStart w:id="434" w:name="_Toc70499468"/>
      <w:bookmarkStart w:id="435" w:name="_Toc70494627"/>
      <w:bookmarkStart w:id="436" w:name="_Toc70494919"/>
      <w:bookmarkStart w:id="437" w:name="_Toc70499477"/>
      <w:bookmarkStart w:id="438" w:name="_Toc70494628"/>
      <w:bookmarkStart w:id="439" w:name="_Toc70494920"/>
      <w:bookmarkStart w:id="440" w:name="_Toc70499478"/>
      <w:bookmarkStart w:id="441" w:name="_Toc69808019"/>
      <w:bookmarkStart w:id="442" w:name="_Toc70599716"/>
      <w:bookmarkEnd w:id="429"/>
      <w:bookmarkEnd w:id="430"/>
      <w:bookmarkEnd w:id="431"/>
      <w:bookmarkEnd w:id="432"/>
      <w:bookmarkEnd w:id="433"/>
      <w:bookmarkEnd w:id="434"/>
      <w:bookmarkEnd w:id="435"/>
      <w:bookmarkEnd w:id="436"/>
      <w:bookmarkEnd w:id="437"/>
      <w:bookmarkEnd w:id="438"/>
      <w:bookmarkEnd w:id="439"/>
      <w:bookmarkEnd w:id="440"/>
      <w:r w:rsidRPr="00DF3821">
        <w:lastRenderedPageBreak/>
        <w:t xml:space="preserve">Appendix C </w:t>
      </w:r>
      <w:r w:rsidR="00857EB3" w:rsidRPr="0030502C">
        <w:t>–</w:t>
      </w:r>
      <w:r w:rsidRPr="0030502C">
        <w:t xml:space="preserve"> </w:t>
      </w:r>
      <w:bookmarkEnd w:id="441"/>
      <w:r w:rsidR="00857EB3" w:rsidRPr="0030502C">
        <w:t>Screening template</w:t>
      </w:r>
      <w:bookmarkEnd w:id="442"/>
    </w:p>
    <w:p w14:paraId="441589EE" w14:textId="37F18F4F" w:rsidR="00857EB3" w:rsidRPr="002161B4" w:rsidRDefault="00857EB3" w:rsidP="00857EB3">
      <w:pPr>
        <w:spacing w:after="0" w:line="240" w:lineRule="auto"/>
        <w:rPr>
          <w:rFonts w:ascii="Calibri" w:eastAsia="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17"/>
        <w:gridCol w:w="1383"/>
        <w:gridCol w:w="3516"/>
      </w:tblGrid>
      <w:tr w:rsidR="00857EB3" w:rsidRPr="00857EB3" w14:paraId="51D3CA08" w14:textId="77777777" w:rsidTr="00BC5FD7">
        <w:tc>
          <w:tcPr>
            <w:tcW w:w="2283" w:type="pct"/>
            <w:shd w:val="clear" w:color="auto" w:fill="E5B8B7"/>
            <w:vAlign w:val="center"/>
          </w:tcPr>
          <w:p w14:paraId="09595225"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Question</w:t>
            </w:r>
          </w:p>
        </w:tc>
        <w:tc>
          <w:tcPr>
            <w:tcW w:w="767" w:type="pct"/>
            <w:shd w:val="clear" w:color="auto" w:fill="E5B8B7"/>
            <w:vAlign w:val="center"/>
          </w:tcPr>
          <w:p w14:paraId="42B11162"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Response</w:t>
            </w:r>
          </w:p>
        </w:tc>
        <w:tc>
          <w:tcPr>
            <w:tcW w:w="1950" w:type="pct"/>
            <w:shd w:val="clear" w:color="auto" w:fill="E5B8B7"/>
            <w:vAlign w:val="center"/>
          </w:tcPr>
          <w:p w14:paraId="1DF4C26E"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Comment/s</w:t>
            </w:r>
          </w:p>
        </w:tc>
      </w:tr>
      <w:tr w:rsidR="00857EB3" w:rsidRPr="00857EB3" w14:paraId="409BA8A6" w14:textId="77777777" w:rsidTr="00BC5FD7">
        <w:tc>
          <w:tcPr>
            <w:tcW w:w="2283" w:type="pct"/>
            <w:shd w:val="clear" w:color="auto" w:fill="auto"/>
            <w:vAlign w:val="center"/>
          </w:tcPr>
          <w:p w14:paraId="44FA671A"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Does the referral concern a child or young person between the ages of 0 and 18 years?</w:t>
            </w:r>
          </w:p>
        </w:tc>
        <w:tc>
          <w:tcPr>
            <w:tcW w:w="767" w:type="pct"/>
            <w:shd w:val="clear" w:color="auto" w:fill="auto"/>
            <w:vAlign w:val="center"/>
          </w:tcPr>
          <w:p w14:paraId="55523440"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4DAB52FE" w14:textId="77777777" w:rsidR="00857EB3" w:rsidRPr="00AE2599" w:rsidRDefault="00857EB3" w:rsidP="00BC5FD7">
            <w:pPr>
              <w:spacing w:after="0" w:line="240" w:lineRule="auto"/>
              <w:rPr>
                <w:rFonts w:eastAsia="Calibri" w:cs="Arial"/>
                <w:sz w:val="22"/>
                <w:szCs w:val="22"/>
              </w:rPr>
            </w:pPr>
          </w:p>
        </w:tc>
      </w:tr>
      <w:tr w:rsidR="00857EB3" w:rsidRPr="00857EB3" w14:paraId="58E94DEB" w14:textId="77777777" w:rsidTr="00BC5FD7">
        <w:tc>
          <w:tcPr>
            <w:tcW w:w="2283" w:type="pct"/>
            <w:shd w:val="clear" w:color="auto" w:fill="auto"/>
            <w:vAlign w:val="center"/>
          </w:tcPr>
          <w:p w14:paraId="2EA1C1FF"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Is there at least one adult family member or carer willing to work with the child or young person and the service?</w:t>
            </w:r>
          </w:p>
        </w:tc>
        <w:tc>
          <w:tcPr>
            <w:tcW w:w="767" w:type="pct"/>
            <w:shd w:val="clear" w:color="auto" w:fill="auto"/>
            <w:vAlign w:val="center"/>
          </w:tcPr>
          <w:p w14:paraId="0E9C1760"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15397925" w14:textId="77777777" w:rsidR="00857EB3" w:rsidRPr="00AE2599" w:rsidRDefault="00857EB3" w:rsidP="00BC5FD7">
            <w:pPr>
              <w:spacing w:after="0" w:line="240" w:lineRule="auto"/>
              <w:rPr>
                <w:rFonts w:eastAsia="Calibri" w:cs="Arial"/>
                <w:sz w:val="22"/>
                <w:szCs w:val="22"/>
              </w:rPr>
            </w:pPr>
          </w:p>
        </w:tc>
      </w:tr>
      <w:tr w:rsidR="00857EB3" w:rsidRPr="00857EB3" w14:paraId="017F2B99" w14:textId="77777777" w:rsidTr="00BC5FD7">
        <w:tc>
          <w:tcPr>
            <w:tcW w:w="2283" w:type="pct"/>
            <w:shd w:val="clear" w:color="auto" w:fill="auto"/>
            <w:vAlign w:val="center"/>
          </w:tcPr>
          <w:p w14:paraId="095F032C"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Does the child or young person live within the Coverage Area for this particular service?</w:t>
            </w:r>
          </w:p>
        </w:tc>
        <w:tc>
          <w:tcPr>
            <w:tcW w:w="767" w:type="pct"/>
            <w:shd w:val="clear" w:color="auto" w:fill="auto"/>
            <w:vAlign w:val="center"/>
          </w:tcPr>
          <w:p w14:paraId="1D095773"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0A6C8D8E" w14:textId="77777777" w:rsidR="00857EB3" w:rsidRPr="00AE2599" w:rsidRDefault="00857EB3" w:rsidP="00BC5FD7">
            <w:pPr>
              <w:spacing w:after="0" w:line="240" w:lineRule="auto"/>
              <w:rPr>
                <w:rFonts w:eastAsia="Calibri" w:cs="Arial"/>
                <w:sz w:val="22"/>
                <w:szCs w:val="22"/>
              </w:rPr>
            </w:pPr>
          </w:p>
        </w:tc>
      </w:tr>
      <w:tr w:rsidR="00857EB3" w:rsidRPr="00857EB3" w14:paraId="25DA6B40" w14:textId="77777777" w:rsidTr="00BC5FD7">
        <w:tc>
          <w:tcPr>
            <w:tcW w:w="2283" w:type="pct"/>
            <w:shd w:val="clear" w:color="auto" w:fill="auto"/>
            <w:vAlign w:val="center"/>
          </w:tcPr>
          <w:p w14:paraId="06B84A1A"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Does an adult think the child or young person is showing early signs of, or is at risk of, developing mental illness?</w:t>
            </w:r>
          </w:p>
        </w:tc>
        <w:tc>
          <w:tcPr>
            <w:tcW w:w="767" w:type="pct"/>
            <w:shd w:val="clear" w:color="auto" w:fill="auto"/>
            <w:vAlign w:val="center"/>
          </w:tcPr>
          <w:p w14:paraId="66FF7FCA"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72D66480" w14:textId="77777777" w:rsidR="00857EB3" w:rsidRPr="00AE2599" w:rsidRDefault="00857EB3" w:rsidP="00BC5FD7">
            <w:pPr>
              <w:spacing w:after="0" w:line="240" w:lineRule="auto"/>
              <w:rPr>
                <w:rFonts w:eastAsia="Calibri" w:cs="Arial"/>
                <w:sz w:val="22"/>
                <w:szCs w:val="22"/>
              </w:rPr>
            </w:pPr>
          </w:p>
        </w:tc>
      </w:tr>
      <w:tr w:rsidR="00857EB3" w:rsidRPr="00857EB3" w14:paraId="12268485" w14:textId="77777777" w:rsidTr="00BC5FD7">
        <w:tc>
          <w:tcPr>
            <w:tcW w:w="2283" w:type="pct"/>
            <w:shd w:val="clear" w:color="auto" w:fill="auto"/>
            <w:vAlign w:val="center"/>
          </w:tcPr>
          <w:p w14:paraId="47514DB1"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Who is that adult?</w:t>
            </w:r>
          </w:p>
          <w:p w14:paraId="151E582B" w14:textId="77777777" w:rsidR="00857EB3" w:rsidRPr="00AE2599" w:rsidRDefault="00857EB3" w:rsidP="00857EB3">
            <w:pPr>
              <w:numPr>
                <w:ilvl w:val="0"/>
                <w:numId w:val="96"/>
              </w:numPr>
              <w:spacing w:before="0" w:after="0" w:line="240" w:lineRule="auto"/>
              <w:ind w:left="993" w:hanging="284"/>
              <w:contextualSpacing/>
              <w:rPr>
                <w:rFonts w:eastAsia="Calibri" w:cs="Arial"/>
                <w:sz w:val="22"/>
                <w:szCs w:val="22"/>
              </w:rPr>
            </w:pPr>
            <w:r w:rsidRPr="00AE2599">
              <w:rPr>
                <w:rFonts w:eastAsia="Calibri" w:cs="Arial"/>
                <w:sz w:val="22"/>
                <w:szCs w:val="22"/>
              </w:rPr>
              <w:t>Parent or care giver?</w:t>
            </w:r>
          </w:p>
          <w:p w14:paraId="48292D6E" w14:textId="77777777" w:rsidR="00857EB3" w:rsidRPr="00AE2599" w:rsidRDefault="00857EB3" w:rsidP="00857EB3">
            <w:pPr>
              <w:numPr>
                <w:ilvl w:val="0"/>
                <w:numId w:val="96"/>
              </w:numPr>
              <w:spacing w:before="0" w:after="0" w:line="240" w:lineRule="auto"/>
              <w:ind w:left="993" w:hanging="284"/>
              <w:contextualSpacing/>
              <w:rPr>
                <w:rFonts w:eastAsia="Calibri" w:cs="Arial"/>
                <w:sz w:val="22"/>
                <w:szCs w:val="22"/>
              </w:rPr>
            </w:pPr>
            <w:r w:rsidRPr="00AE2599">
              <w:rPr>
                <w:rFonts w:eastAsia="Calibri" w:cs="Arial"/>
                <w:sz w:val="22"/>
                <w:szCs w:val="22"/>
              </w:rPr>
              <w:t>Health professional?</w:t>
            </w:r>
          </w:p>
          <w:p w14:paraId="6EC0BD8F" w14:textId="77777777" w:rsidR="00857EB3" w:rsidRPr="00AE2599" w:rsidRDefault="00857EB3" w:rsidP="00857EB3">
            <w:pPr>
              <w:numPr>
                <w:ilvl w:val="0"/>
                <w:numId w:val="96"/>
              </w:numPr>
              <w:spacing w:before="0" w:after="0" w:line="240" w:lineRule="auto"/>
              <w:ind w:left="993" w:hanging="284"/>
              <w:contextualSpacing/>
              <w:rPr>
                <w:rFonts w:eastAsia="Calibri" w:cs="Arial"/>
                <w:sz w:val="22"/>
                <w:szCs w:val="22"/>
              </w:rPr>
            </w:pPr>
            <w:r w:rsidRPr="00AE2599">
              <w:rPr>
                <w:rFonts w:eastAsia="Calibri" w:cs="Arial"/>
                <w:sz w:val="22"/>
                <w:szCs w:val="22"/>
              </w:rPr>
              <w:t>Educational professional?</w:t>
            </w:r>
          </w:p>
          <w:p w14:paraId="733506AA" w14:textId="77777777" w:rsidR="00857EB3" w:rsidRPr="00AE2599" w:rsidRDefault="00857EB3" w:rsidP="00857EB3">
            <w:pPr>
              <w:numPr>
                <w:ilvl w:val="0"/>
                <w:numId w:val="96"/>
              </w:numPr>
              <w:spacing w:before="0" w:after="0" w:line="240" w:lineRule="auto"/>
              <w:ind w:left="993" w:hanging="284"/>
              <w:contextualSpacing/>
              <w:rPr>
                <w:rFonts w:eastAsia="Calibri" w:cs="Arial"/>
                <w:sz w:val="22"/>
                <w:szCs w:val="22"/>
              </w:rPr>
            </w:pPr>
            <w:r w:rsidRPr="00AE2599">
              <w:rPr>
                <w:rFonts w:eastAsia="Calibri" w:cs="Arial"/>
                <w:sz w:val="22"/>
                <w:szCs w:val="22"/>
              </w:rPr>
              <w:t>Friend or informal contact?</w:t>
            </w:r>
          </w:p>
        </w:tc>
        <w:tc>
          <w:tcPr>
            <w:tcW w:w="767" w:type="pct"/>
            <w:shd w:val="clear" w:color="auto" w:fill="auto"/>
            <w:vAlign w:val="center"/>
          </w:tcPr>
          <w:p w14:paraId="544DA15E" w14:textId="77777777" w:rsidR="00857EB3" w:rsidRPr="00AE2599" w:rsidRDefault="00857EB3" w:rsidP="00BC5FD7">
            <w:pPr>
              <w:spacing w:after="0" w:line="240" w:lineRule="auto"/>
              <w:rPr>
                <w:rFonts w:eastAsia="Calibri" w:cs="Arial"/>
                <w:sz w:val="22"/>
                <w:szCs w:val="22"/>
              </w:rPr>
            </w:pPr>
          </w:p>
        </w:tc>
        <w:tc>
          <w:tcPr>
            <w:tcW w:w="1950" w:type="pct"/>
            <w:shd w:val="clear" w:color="auto" w:fill="auto"/>
            <w:vAlign w:val="center"/>
          </w:tcPr>
          <w:p w14:paraId="4134657F" w14:textId="77777777" w:rsidR="00857EB3" w:rsidRPr="00AE2599" w:rsidRDefault="00857EB3" w:rsidP="00BC5FD7">
            <w:pPr>
              <w:spacing w:after="0" w:line="240" w:lineRule="auto"/>
              <w:rPr>
                <w:rFonts w:eastAsia="Calibri" w:cs="Arial"/>
                <w:sz w:val="22"/>
                <w:szCs w:val="22"/>
              </w:rPr>
            </w:pPr>
          </w:p>
        </w:tc>
      </w:tr>
      <w:tr w:rsidR="00857EB3" w:rsidRPr="00857EB3" w14:paraId="43F284A9" w14:textId="77777777" w:rsidTr="00BC5FD7">
        <w:tc>
          <w:tcPr>
            <w:tcW w:w="2283" w:type="pct"/>
            <w:shd w:val="clear" w:color="auto" w:fill="auto"/>
            <w:vAlign w:val="center"/>
          </w:tcPr>
          <w:p w14:paraId="6AB68B73"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 xml:space="preserve">Is there a presenting issue for the child or young person, which may increase their risk of having poor mental health outcomes later in life? </w:t>
            </w:r>
          </w:p>
        </w:tc>
        <w:tc>
          <w:tcPr>
            <w:tcW w:w="767" w:type="pct"/>
            <w:shd w:val="clear" w:color="auto" w:fill="auto"/>
            <w:vAlign w:val="center"/>
          </w:tcPr>
          <w:p w14:paraId="7810B043"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3346F35A" w14:textId="77777777" w:rsidR="00857EB3" w:rsidRPr="00AE2599" w:rsidRDefault="00857EB3" w:rsidP="00BC5FD7">
            <w:pPr>
              <w:spacing w:after="0" w:line="240" w:lineRule="auto"/>
              <w:rPr>
                <w:rFonts w:eastAsia="Calibri" w:cs="Arial"/>
                <w:sz w:val="22"/>
                <w:szCs w:val="22"/>
              </w:rPr>
            </w:pPr>
          </w:p>
        </w:tc>
      </w:tr>
      <w:tr w:rsidR="00857EB3" w:rsidRPr="00857EB3" w14:paraId="6BD1BC0A" w14:textId="77777777" w:rsidTr="00BC5FD7">
        <w:tc>
          <w:tcPr>
            <w:tcW w:w="2283" w:type="pct"/>
            <w:shd w:val="clear" w:color="auto" w:fill="auto"/>
            <w:vAlign w:val="center"/>
          </w:tcPr>
          <w:p w14:paraId="49D80D61"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Is the child or young person under the care of the state child protection agency? (That is, does the state child protection agency have total or shared parental responsibility for the child?)</w:t>
            </w:r>
          </w:p>
        </w:tc>
        <w:tc>
          <w:tcPr>
            <w:tcW w:w="767" w:type="pct"/>
            <w:shd w:val="clear" w:color="auto" w:fill="auto"/>
            <w:vAlign w:val="center"/>
          </w:tcPr>
          <w:p w14:paraId="00860EBF"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31F053F5" w14:textId="77777777" w:rsidR="00857EB3" w:rsidRPr="00AE2599" w:rsidRDefault="00857EB3" w:rsidP="00BC5FD7">
            <w:pPr>
              <w:spacing w:after="0" w:line="240" w:lineRule="auto"/>
              <w:rPr>
                <w:rFonts w:eastAsia="Calibri" w:cs="Arial"/>
                <w:sz w:val="22"/>
                <w:szCs w:val="22"/>
              </w:rPr>
            </w:pPr>
          </w:p>
        </w:tc>
      </w:tr>
      <w:tr w:rsidR="00857EB3" w:rsidRPr="00857EB3" w14:paraId="1317B6C7" w14:textId="77777777" w:rsidTr="00BC5FD7">
        <w:tc>
          <w:tcPr>
            <w:tcW w:w="2283" w:type="pct"/>
            <w:shd w:val="clear" w:color="auto" w:fill="auto"/>
            <w:vAlign w:val="center"/>
          </w:tcPr>
          <w:p w14:paraId="6827AF66"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Is the child or young person in contact with the child protection system?</w:t>
            </w:r>
          </w:p>
        </w:tc>
        <w:tc>
          <w:tcPr>
            <w:tcW w:w="767" w:type="pct"/>
            <w:shd w:val="clear" w:color="auto" w:fill="auto"/>
            <w:vAlign w:val="center"/>
          </w:tcPr>
          <w:p w14:paraId="5580C388"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47DA0C53" w14:textId="77777777" w:rsidR="00857EB3" w:rsidRPr="00AE2599" w:rsidRDefault="00857EB3" w:rsidP="00BC5FD7">
            <w:pPr>
              <w:spacing w:after="0" w:line="240" w:lineRule="auto"/>
              <w:rPr>
                <w:rFonts w:eastAsia="Calibri" w:cs="Arial"/>
                <w:sz w:val="22"/>
                <w:szCs w:val="22"/>
              </w:rPr>
            </w:pPr>
          </w:p>
        </w:tc>
      </w:tr>
      <w:tr w:rsidR="00857EB3" w:rsidRPr="00857EB3" w14:paraId="15E877B9" w14:textId="77777777" w:rsidTr="00BC5FD7">
        <w:tc>
          <w:tcPr>
            <w:tcW w:w="2283" w:type="pct"/>
            <w:shd w:val="clear" w:color="auto" w:fill="auto"/>
            <w:vAlign w:val="center"/>
          </w:tcPr>
          <w:p w14:paraId="0FCBB5FB"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If the young person is under the care of the child protection system, are they transitioning from out-of-home care? (This process usually starts from the age of 15.)</w:t>
            </w:r>
          </w:p>
        </w:tc>
        <w:tc>
          <w:tcPr>
            <w:tcW w:w="767" w:type="pct"/>
            <w:shd w:val="clear" w:color="auto" w:fill="auto"/>
            <w:vAlign w:val="center"/>
          </w:tcPr>
          <w:p w14:paraId="15110ED1"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4A7216FB" w14:textId="77777777" w:rsidR="00857EB3" w:rsidRPr="00AE2599" w:rsidRDefault="00857EB3" w:rsidP="00BC5FD7">
            <w:pPr>
              <w:spacing w:after="0" w:line="240" w:lineRule="auto"/>
              <w:rPr>
                <w:rFonts w:eastAsia="Calibri" w:cs="Arial"/>
                <w:sz w:val="22"/>
                <w:szCs w:val="22"/>
              </w:rPr>
            </w:pPr>
          </w:p>
        </w:tc>
      </w:tr>
      <w:tr w:rsidR="00857EB3" w:rsidRPr="00857EB3" w14:paraId="2C8F8BE2" w14:textId="77777777" w:rsidTr="00BC5FD7">
        <w:tc>
          <w:tcPr>
            <w:tcW w:w="2283" w:type="pct"/>
            <w:shd w:val="clear" w:color="auto" w:fill="E5B8B7"/>
            <w:vAlign w:val="center"/>
          </w:tcPr>
          <w:p w14:paraId="1245B433"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Question</w:t>
            </w:r>
          </w:p>
        </w:tc>
        <w:tc>
          <w:tcPr>
            <w:tcW w:w="767" w:type="pct"/>
            <w:shd w:val="clear" w:color="auto" w:fill="E5B8B7"/>
            <w:vAlign w:val="center"/>
          </w:tcPr>
          <w:p w14:paraId="171EC0A7"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Response</w:t>
            </w:r>
          </w:p>
        </w:tc>
        <w:tc>
          <w:tcPr>
            <w:tcW w:w="1950" w:type="pct"/>
            <w:shd w:val="clear" w:color="auto" w:fill="E5B8B7"/>
            <w:vAlign w:val="center"/>
          </w:tcPr>
          <w:p w14:paraId="11D17C05" w14:textId="77777777" w:rsidR="00857EB3" w:rsidRPr="00AE2599" w:rsidRDefault="00857EB3" w:rsidP="00BC5FD7">
            <w:pPr>
              <w:spacing w:after="0" w:line="240" w:lineRule="auto"/>
              <w:rPr>
                <w:rFonts w:eastAsia="Calibri" w:cs="Arial"/>
                <w:b/>
                <w:sz w:val="22"/>
                <w:szCs w:val="22"/>
              </w:rPr>
            </w:pPr>
            <w:r w:rsidRPr="00AE2599">
              <w:rPr>
                <w:rFonts w:eastAsia="Calibri" w:cs="Arial"/>
                <w:b/>
                <w:sz w:val="22"/>
                <w:szCs w:val="22"/>
              </w:rPr>
              <w:t>Comment/s</w:t>
            </w:r>
          </w:p>
        </w:tc>
      </w:tr>
      <w:tr w:rsidR="00857EB3" w:rsidRPr="00857EB3" w14:paraId="48D88085" w14:textId="77777777" w:rsidTr="00BC5FD7">
        <w:tc>
          <w:tcPr>
            <w:tcW w:w="2283" w:type="pct"/>
            <w:shd w:val="clear" w:color="auto" w:fill="auto"/>
            <w:vAlign w:val="center"/>
          </w:tcPr>
          <w:p w14:paraId="19F61C32"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t>What is the expressed request of the child or young person and their family?</w:t>
            </w:r>
          </w:p>
          <w:p w14:paraId="11A45B65" w14:textId="77777777" w:rsidR="00857EB3" w:rsidRPr="00AE2599" w:rsidRDefault="00857EB3" w:rsidP="00857EB3">
            <w:pPr>
              <w:numPr>
                <w:ilvl w:val="0"/>
                <w:numId w:val="97"/>
              </w:numPr>
              <w:spacing w:before="0" w:after="0" w:line="240" w:lineRule="auto"/>
              <w:ind w:left="426" w:hanging="284"/>
              <w:contextualSpacing/>
              <w:rPr>
                <w:rFonts w:eastAsia="Calibri" w:cs="Arial"/>
                <w:sz w:val="22"/>
                <w:szCs w:val="22"/>
              </w:rPr>
            </w:pPr>
            <w:r w:rsidRPr="00AE2599">
              <w:rPr>
                <w:rFonts w:eastAsia="Calibri" w:cs="Arial"/>
                <w:sz w:val="22"/>
                <w:szCs w:val="22"/>
              </w:rPr>
              <w:t>For information or one-off support?</w:t>
            </w:r>
          </w:p>
          <w:p w14:paraId="6952F221" w14:textId="77777777" w:rsidR="00857EB3" w:rsidRPr="00AE2599" w:rsidRDefault="00857EB3" w:rsidP="00857EB3">
            <w:pPr>
              <w:numPr>
                <w:ilvl w:val="0"/>
                <w:numId w:val="97"/>
              </w:numPr>
              <w:spacing w:before="0" w:after="0" w:line="240" w:lineRule="auto"/>
              <w:ind w:left="426" w:hanging="284"/>
              <w:contextualSpacing/>
              <w:rPr>
                <w:rFonts w:eastAsia="Calibri" w:cs="Arial"/>
                <w:sz w:val="22"/>
                <w:szCs w:val="22"/>
              </w:rPr>
            </w:pPr>
            <w:r w:rsidRPr="00AE2599">
              <w:rPr>
                <w:rFonts w:eastAsia="Calibri" w:cs="Arial"/>
                <w:sz w:val="22"/>
                <w:szCs w:val="22"/>
              </w:rPr>
              <w:t>For ongoing assistance?</w:t>
            </w:r>
          </w:p>
        </w:tc>
        <w:tc>
          <w:tcPr>
            <w:tcW w:w="767" w:type="pct"/>
            <w:shd w:val="clear" w:color="auto" w:fill="auto"/>
            <w:vAlign w:val="center"/>
          </w:tcPr>
          <w:p w14:paraId="2E1FBDEC"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Information or one-off support/ ongoing assistance</w:t>
            </w:r>
          </w:p>
        </w:tc>
        <w:tc>
          <w:tcPr>
            <w:tcW w:w="1950" w:type="pct"/>
            <w:shd w:val="clear" w:color="auto" w:fill="auto"/>
            <w:vAlign w:val="center"/>
          </w:tcPr>
          <w:p w14:paraId="12C5C9B9" w14:textId="77777777" w:rsidR="00857EB3" w:rsidRPr="00AE2599" w:rsidRDefault="00857EB3" w:rsidP="00BC5FD7">
            <w:pPr>
              <w:spacing w:after="0" w:line="240" w:lineRule="auto"/>
              <w:rPr>
                <w:rFonts w:eastAsia="Calibri" w:cs="Arial"/>
                <w:sz w:val="22"/>
                <w:szCs w:val="22"/>
              </w:rPr>
            </w:pPr>
          </w:p>
        </w:tc>
      </w:tr>
      <w:tr w:rsidR="00857EB3" w:rsidRPr="00857EB3" w14:paraId="448D1AA1" w14:textId="77777777" w:rsidTr="00BC5FD7">
        <w:tc>
          <w:tcPr>
            <w:tcW w:w="2283" w:type="pct"/>
            <w:shd w:val="clear" w:color="auto" w:fill="auto"/>
            <w:vAlign w:val="center"/>
          </w:tcPr>
          <w:p w14:paraId="34C73EA4" w14:textId="77777777" w:rsidR="00857EB3" w:rsidRPr="00AE2599" w:rsidRDefault="00857EB3" w:rsidP="00857EB3">
            <w:pPr>
              <w:numPr>
                <w:ilvl w:val="0"/>
                <w:numId w:val="98"/>
              </w:numPr>
              <w:spacing w:before="0" w:after="0" w:line="240" w:lineRule="auto"/>
              <w:contextualSpacing/>
              <w:rPr>
                <w:rFonts w:eastAsia="Calibri" w:cs="Arial"/>
                <w:sz w:val="22"/>
                <w:szCs w:val="22"/>
              </w:rPr>
            </w:pPr>
            <w:r w:rsidRPr="00AE2599">
              <w:rPr>
                <w:rFonts w:eastAsia="Calibri" w:cs="Arial"/>
                <w:sz w:val="22"/>
                <w:szCs w:val="22"/>
              </w:rPr>
              <w:lastRenderedPageBreak/>
              <w:t xml:space="preserve">If the child or young person is accepted into the service, do they and their family/carer consent to their information collected by this provider being disclosed in a de-identified form to the Department of Social Services for the purposes data collection? </w:t>
            </w:r>
          </w:p>
        </w:tc>
        <w:tc>
          <w:tcPr>
            <w:tcW w:w="767" w:type="pct"/>
            <w:shd w:val="clear" w:color="auto" w:fill="auto"/>
            <w:vAlign w:val="center"/>
          </w:tcPr>
          <w:p w14:paraId="5ABAE8A0" w14:textId="77777777" w:rsidR="00857EB3" w:rsidRPr="00AE2599" w:rsidRDefault="00857EB3" w:rsidP="00BC5FD7">
            <w:pPr>
              <w:spacing w:after="0" w:line="240" w:lineRule="auto"/>
              <w:rPr>
                <w:rFonts w:eastAsia="Calibri" w:cs="Arial"/>
                <w:sz w:val="22"/>
                <w:szCs w:val="22"/>
              </w:rPr>
            </w:pPr>
            <w:r w:rsidRPr="00AE2599">
              <w:rPr>
                <w:rFonts w:eastAsia="Calibri" w:cs="Arial"/>
                <w:sz w:val="22"/>
                <w:szCs w:val="22"/>
              </w:rPr>
              <w:t>Yes/No</w:t>
            </w:r>
          </w:p>
        </w:tc>
        <w:tc>
          <w:tcPr>
            <w:tcW w:w="1950" w:type="pct"/>
            <w:shd w:val="clear" w:color="auto" w:fill="auto"/>
            <w:vAlign w:val="center"/>
          </w:tcPr>
          <w:p w14:paraId="4F7B342A" w14:textId="77777777" w:rsidR="00857EB3" w:rsidRPr="00AE2599" w:rsidRDefault="00857EB3" w:rsidP="00BC5FD7">
            <w:pPr>
              <w:spacing w:after="0" w:line="240" w:lineRule="auto"/>
              <w:rPr>
                <w:rFonts w:eastAsia="Calibri" w:cs="Arial"/>
                <w:sz w:val="22"/>
                <w:szCs w:val="22"/>
              </w:rPr>
            </w:pPr>
          </w:p>
        </w:tc>
      </w:tr>
    </w:tbl>
    <w:p w14:paraId="7443777D" w14:textId="77777777" w:rsidR="00857EB3" w:rsidRPr="00AE2599" w:rsidRDefault="00857EB3" w:rsidP="00857EB3">
      <w:pPr>
        <w:rPr>
          <w:rFonts w:eastAsia="Calibri" w:cs="Arial"/>
          <w:sz w:val="22"/>
          <w:szCs w:val="22"/>
        </w:rPr>
      </w:pPr>
    </w:p>
    <w:p w14:paraId="5B4BF0EB" w14:textId="77777777" w:rsidR="00857EB3" w:rsidRPr="00AE2599" w:rsidRDefault="00857EB3" w:rsidP="00857EB3">
      <w:pPr>
        <w:rPr>
          <w:rFonts w:eastAsia="Calibri" w:cs="Arial"/>
          <w:sz w:val="22"/>
          <w:szCs w:val="22"/>
        </w:rPr>
      </w:pPr>
      <w:r w:rsidRPr="00AE2599">
        <w:rPr>
          <w:rFonts w:eastAsia="Calibri" w:cs="Arial"/>
          <w:sz w:val="22"/>
          <w:szCs w:val="22"/>
        </w:rPr>
        <w:t xml:space="preserve">For a child or young person to be accepted for further support, there should be a ‘yes’ answer to </w:t>
      </w:r>
      <w:r w:rsidRPr="00AE2599">
        <w:rPr>
          <w:rFonts w:eastAsia="Calibri" w:cs="Arial"/>
          <w:b/>
          <w:sz w:val="22"/>
          <w:szCs w:val="22"/>
        </w:rPr>
        <w:t>questions 1, 2, 3, 5 and 6</w:t>
      </w:r>
      <w:r w:rsidRPr="00AE2599">
        <w:rPr>
          <w:rFonts w:eastAsia="Calibri" w:cs="Arial"/>
          <w:sz w:val="22"/>
          <w:szCs w:val="22"/>
        </w:rPr>
        <w:t xml:space="preserve">. </w:t>
      </w:r>
    </w:p>
    <w:p w14:paraId="0B66409D" w14:textId="77777777" w:rsidR="00857EB3" w:rsidRPr="00AE2599" w:rsidRDefault="00857EB3" w:rsidP="00857EB3">
      <w:pPr>
        <w:rPr>
          <w:rFonts w:eastAsia="Calibri" w:cs="Arial"/>
          <w:sz w:val="22"/>
          <w:szCs w:val="22"/>
        </w:rPr>
      </w:pPr>
      <w:r w:rsidRPr="00AE2599">
        <w:rPr>
          <w:rFonts w:eastAsia="Calibri" w:cs="Arial"/>
          <w:sz w:val="22"/>
          <w:szCs w:val="22"/>
        </w:rPr>
        <w:t xml:space="preserve">The answer to </w:t>
      </w:r>
      <w:r w:rsidRPr="00AE2599">
        <w:rPr>
          <w:rFonts w:eastAsia="Calibri" w:cs="Arial"/>
          <w:b/>
          <w:sz w:val="22"/>
          <w:szCs w:val="22"/>
        </w:rPr>
        <w:t>question</w:t>
      </w:r>
      <w:r w:rsidRPr="00AE2599">
        <w:rPr>
          <w:rFonts w:eastAsia="Calibri" w:cs="Arial"/>
          <w:sz w:val="22"/>
          <w:szCs w:val="22"/>
        </w:rPr>
        <w:t xml:space="preserve"> </w:t>
      </w:r>
      <w:r w:rsidRPr="00AE2599">
        <w:rPr>
          <w:rFonts w:eastAsia="Calibri" w:cs="Arial"/>
          <w:b/>
          <w:sz w:val="22"/>
          <w:szCs w:val="22"/>
        </w:rPr>
        <w:t>7</w:t>
      </w:r>
      <w:r w:rsidRPr="00AE2599">
        <w:rPr>
          <w:rFonts w:eastAsia="Calibri" w:cs="Arial"/>
          <w:sz w:val="22"/>
          <w:szCs w:val="22"/>
        </w:rPr>
        <w:t xml:space="preserve"> should be ‘no’.</w:t>
      </w:r>
    </w:p>
    <w:p w14:paraId="6CC98752" w14:textId="0DFDDC2C" w:rsidR="00857EB3" w:rsidRPr="00AE2599" w:rsidRDefault="00857EB3" w:rsidP="00857EB3">
      <w:pPr>
        <w:rPr>
          <w:rFonts w:eastAsia="Calibri" w:cs="Arial"/>
          <w:sz w:val="22"/>
          <w:szCs w:val="22"/>
        </w:rPr>
      </w:pPr>
      <w:r w:rsidRPr="00AE2599">
        <w:rPr>
          <w:rFonts w:eastAsia="Calibri" w:cs="Arial"/>
          <w:sz w:val="22"/>
          <w:szCs w:val="22"/>
        </w:rPr>
        <w:t xml:space="preserve">If the answer to </w:t>
      </w:r>
      <w:r w:rsidRPr="00AE2599">
        <w:rPr>
          <w:rFonts w:eastAsia="Calibri" w:cs="Arial"/>
          <w:b/>
          <w:sz w:val="22"/>
          <w:szCs w:val="22"/>
        </w:rPr>
        <w:t>question 7</w:t>
      </w:r>
      <w:r w:rsidRPr="00AE2599">
        <w:rPr>
          <w:rFonts w:eastAsia="Calibri" w:cs="Arial"/>
          <w:sz w:val="22"/>
          <w:szCs w:val="22"/>
        </w:rPr>
        <w:t xml:space="preserve"> is ‘yes’ and they are a child or young person aged under 15, they are only able to receive information or one-off support.</w:t>
      </w:r>
      <w:r w:rsidRPr="00AE2599">
        <w:rPr>
          <w:rFonts w:eastAsia="Calibri" w:cs="Arial"/>
          <w:sz w:val="22"/>
          <w:szCs w:val="22"/>
        </w:rPr>
        <w:br/>
        <w:t>(It is not appropriate for the service provider to provide ongoing support for these children or young people as it is the responsibility of the state child protection agency to</w:t>
      </w:r>
      <w:r w:rsidR="00793C11">
        <w:rPr>
          <w:rFonts w:eastAsia="Calibri" w:cs="Arial"/>
          <w:sz w:val="22"/>
          <w:szCs w:val="22"/>
        </w:rPr>
        <w:t> </w:t>
      </w:r>
      <w:r w:rsidRPr="00AE2599">
        <w:rPr>
          <w:rFonts w:eastAsia="Calibri" w:cs="Arial"/>
          <w:sz w:val="22"/>
          <w:szCs w:val="22"/>
        </w:rPr>
        <w:t>do this.)</w:t>
      </w:r>
    </w:p>
    <w:p w14:paraId="0A594F27" w14:textId="54DC813A" w:rsidR="00857EB3" w:rsidRPr="00AE2599" w:rsidRDefault="00857EB3" w:rsidP="00857EB3">
      <w:pPr>
        <w:rPr>
          <w:rFonts w:eastAsia="Calibri" w:cs="Arial"/>
          <w:sz w:val="22"/>
          <w:szCs w:val="22"/>
        </w:rPr>
      </w:pPr>
      <w:r w:rsidRPr="00AE2599">
        <w:rPr>
          <w:rFonts w:eastAsia="Calibri" w:cs="Arial"/>
          <w:sz w:val="22"/>
          <w:szCs w:val="22"/>
        </w:rPr>
        <w:t xml:space="preserve">If the answer to </w:t>
      </w:r>
      <w:r w:rsidRPr="00AE2599">
        <w:rPr>
          <w:rFonts w:eastAsia="Calibri" w:cs="Arial"/>
          <w:b/>
          <w:sz w:val="22"/>
          <w:szCs w:val="22"/>
        </w:rPr>
        <w:t>question 7</w:t>
      </w:r>
      <w:r w:rsidRPr="00AE2599">
        <w:rPr>
          <w:rFonts w:eastAsia="Calibri" w:cs="Arial"/>
          <w:sz w:val="22"/>
          <w:szCs w:val="22"/>
        </w:rPr>
        <w:t xml:space="preserve"> is ‘yes’ and they are a young person aged 15 or over transitioning to independence from out-of-home care and wanting to work with their family of origin or carer/s to improve their mental health outcomes, then they may be</w:t>
      </w:r>
      <w:r w:rsidR="00793C11">
        <w:rPr>
          <w:rFonts w:eastAsia="Calibri" w:cs="Arial"/>
          <w:sz w:val="22"/>
          <w:szCs w:val="22"/>
        </w:rPr>
        <w:t> </w:t>
      </w:r>
      <w:r w:rsidRPr="00AE2599">
        <w:rPr>
          <w:rFonts w:eastAsia="Calibri" w:cs="Arial"/>
          <w:sz w:val="22"/>
          <w:szCs w:val="22"/>
        </w:rPr>
        <w:t>eligible for this service.</w:t>
      </w:r>
    </w:p>
    <w:p w14:paraId="1F3E301C" w14:textId="77777777" w:rsidR="00857EB3" w:rsidRPr="00AE2599" w:rsidRDefault="00857EB3" w:rsidP="00857EB3">
      <w:pPr>
        <w:rPr>
          <w:rFonts w:eastAsia="Calibri" w:cs="Arial"/>
          <w:sz w:val="22"/>
          <w:szCs w:val="22"/>
        </w:rPr>
      </w:pPr>
      <w:r w:rsidRPr="00AE2599">
        <w:rPr>
          <w:rFonts w:eastAsia="Calibri" w:cs="Arial"/>
          <w:sz w:val="22"/>
          <w:szCs w:val="22"/>
        </w:rPr>
        <w:t xml:space="preserve">The answer to </w:t>
      </w:r>
      <w:r w:rsidRPr="00AE2599">
        <w:rPr>
          <w:rFonts w:eastAsia="Calibri" w:cs="Arial"/>
          <w:b/>
          <w:sz w:val="22"/>
          <w:szCs w:val="22"/>
        </w:rPr>
        <w:t>question 8</w:t>
      </w:r>
      <w:r w:rsidRPr="00AE2599">
        <w:rPr>
          <w:rFonts w:eastAsia="Calibri" w:cs="Arial"/>
          <w:sz w:val="22"/>
          <w:szCs w:val="22"/>
        </w:rPr>
        <w:t xml:space="preserve"> can be ‘yes’ or ‘no’ - it will be recorded through the Assessment data for the child or young person.</w:t>
      </w:r>
    </w:p>
    <w:p w14:paraId="2FC86AB4" w14:textId="77777777" w:rsidR="00857EB3" w:rsidRPr="00AE2599" w:rsidRDefault="00857EB3" w:rsidP="00857EB3">
      <w:pPr>
        <w:rPr>
          <w:rFonts w:eastAsia="Calibri" w:cs="Arial"/>
          <w:sz w:val="22"/>
          <w:szCs w:val="22"/>
        </w:rPr>
      </w:pPr>
      <w:r w:rsidRPr="00AE2599">
        <w:rPr>
          <w:rFonts w:eastAsia="Calibri" w:cs="Arial"/>
          <w:sz w:val="22"/>
          <w:szCs w:val="22"/>
        </w:rPr>
        <w:t xml:space="preserve">The answer to </w:t>
      </w:r>
      <w:r w:rsidRPr="00AE2599">
        <w:rPr>
          <w:rFonts w:eastAsia="Calibri" w:cs="Arial"/>
          <w:b/>
          <w:sz w:val="22"/>
          <w:szCs w:val="22"/>
        </w:rPr>
        <w:t>question 9</w:t>
      </w:r>
      <w:r w:rsidRPr="00AE2599">
        <w:rPr>
          <w:rFonts w:eastAsia="Calibri" w:cs="Arial"/>
          <w:sz w:val="22"/>
          <w:szCs w:val="22"/>
        </w:rPr>
        <w:t xml:space="preserve"> can be ‘yes’ or ‘no’ – it will be recorded through the Assessment data for the child or young person.</w:t>
      </w:r>
    </w:p>
    <w:p w14:paraId="36B24EA3" w14:textId="77777777" w:rsidR="00857EB3" w:rsidRDefault="00857EB3">
      <w:pPr>
        <w:spacing w:before="0" w:after="200" w:line="276" w:lineRule="auto"/>
        <w:rPr>
          <w:rFonts w:ascii="Georgia" w:hAnsi="Georgia" w:cs="Arial"/>
          <w:bCs/>
          <w:color w:val="500778"/>
          <w:kern w:val="32"/>
          <w:sz w:val="36"/>
          <w:szCs w:val="32"/>
        </w:rPr>
      </w:pPr>
      <w:r>
        <w:br w:type="page"/>
      </w:r>
    </w:p>
    <w:p w14:paraId="717F957C" w14:textId="77777777" w:rsidR="00857EB3" w:rsidRPr="00DF3821" w:rsidRDefault="00857EB3" w:rsidP="00DF3821">
      <w:pPr>
        <w:pStyle w:val="Heading1"/>
      </w:pPr>
      <w:bookmarkStart w:id="443" w:name="_Toc70599717"/>
      <w:r w:rsidRPr="00DF3821">
        <w:lastRenderedPageBreak/>
        <w:t>Appendix D – Referral practice table</w:t>
      </w:r>
      <w:bookmarkEnd w:id="443"/>
    </w:p>
    <w:p w14:paraId="4696A0D2" w14:textId="01349A23" w:rsidR="00857EB3" w:rsidRPr="00A10A27" w:rsidRDefault="00857EB3" w:rsidP="00857EB3">
      <w:pPr>
        <w:rPr>
          <w:rFonts w:cs="Arial"/>
          <w:sz w:val="22"/>
          <w:szCs w:val="22"/>
        </w:rPr>
      </w:pPr>
      <w:r w:rsidRPr="00A10A27">
        <w:rPr>
          <w:rFonts w:cs="Arial"/>
          <w:sz w:val="22"/>
          <w:szCs w:val="22"/>
        </w:rPr>
        <w:t>A provider’s choice of referral practice will depend on a client’s needs, what arrangements have been agreed with the service/s to which the client is to be referred and the capacity of both the provider and the service/s to which the client is to</w:t>
      </w:r>
      <w:r w:rsidR="00793C11">
        <w:rPr>
          <w:rFonts w:cs="Arial"/>
          <w:sz w:val="22"/>
          <w:szCs w:val="22"/>
        </w:rPr>
        <w:t> </w:t>
      </w:r>
      <w:r w:rsidRPr="00A10A27">
        <w:rPr>
          <w:rFonts w:cs="Arial"/>
          <w:sz w:val="22"/>
          <w:szCs w:val="22"/>
        </w:rPr>
        <w:t>be</w:t>
      </w:r>
      <w:r w:rsidR="00793C11">
        <w:rPr>
          <w:rFonts w:cs="Arial"/>
          <w:sz w:val="22"/>
          <w:szCs w:val="22"/>
        </w:rPr>
        <w:t> </w:t>
      </w:r>
      <w:r w:rsidRPr="00A10A27">
        <w:rPr>
          <w:rFonts w:cs="Arial"/>
          <w:sz w:val="22"/>
          <w:szCs w:val="22"/>
        </w:rPr>
        <w:t xml:space="preserve">referred. </w:t>
      </w:r>
      <w:r w:rsidRPr="00A10A27">
        <w:rPr>
          <w:sz w:val="22"/>
          <w:szCs w:val="22"/>
        </w:rPr>
        <w:t>The department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126"/>
        <w:gridCol w:w="4059"/>
      </w:tblGrid>
      <w:tr w:rsidR="00857EB3" w14:paraId="684E8D9E" w14:textId="77777777" w:rsidTr="00857EB3">
        <w:trPr>
          <w:tblHeader/>
        </w:trPr>
        <w:tc>
          <w:tcPr>
            <w:tcW w:w="183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BA46BFD" w14:textId="77777777" w:rsidR="00857EB3" w:rsidRPr="00041FEC" w:rsidRDefault="00857EB3" w:rsidP="00BC5FD7">
            <w:pPr>
              <w:rPr>
                <w:b/>
                <w:color w:val="FFFFFF" w:themeColor="background1"/>
                <w:sz w:val="20"/>
                <w:szCs w:val="20"/>
              </w:rPr>
            </w:pPr>
            <w:r w:rsidRPr="00041FEC">
              <w:rPr>
                <w:b/>
                <w:color w:val="FFFFFF" w:themeColor="background1"/>
                <w:sz w:val="20"/>
                <w:szCs w:val="20"/>
              </w:rPr>
              <w:t>Possible term</w:t>
            </w:r>
          </w:p>
        </w:tc>
        <w:tc>
          <w:tcPr>
            <w:tcW w:w="312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DCF7845" w14:textId="77777777" w:rsidR="00857EB3" w:rsidRPr="00041FEC" w:rsidRDefault="00857EB3" w:rsidP="00BC5FD7">
            <w:pPr>
              <w:rPr>
                <w:b/>
                <w:color w:val="FFFFFF" w:themeColor="background1"/>
                <w:sz w:val="20"/>
                <w:szCs w:val="20"/>
              </w:rPr>
            </w:pPr>
            <w:r w:rsidRPr="00041FEC">
              <w:rPr>
                <w:b/>
                <w:color w:val="FFFFFF" w:themeColor="background1"/>
                <w:sz w:val="20"/>
                <w:szCs w:val="20"/>
              </w:rPr>
              <w:t xml:space="preserve">Characteristics </w:t>
            </w:r>
          </w:p>
        </w:tc>
        <w:tc>
          <w:tcPr>
            <w:tcW w:w="4059"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B459ABF" w14:textId="77777777" w:rsidR="00857EB3" w:rsidRPr="00041FEC" w:rsidRDefault="00857EB3" w:rsidP="00BC5FD7">
            <w:pPr>
              <w:rPr>
                <w:b/>
                <w:color w:val="FFFFFF" w:themeColor="background1"/>
                <w:sz w:val="20"/>
                <w:szCs w:val="20"/>
              </w:rPr>
            </w:pPr>
            <w:r w:rsidRPr="00041FEC">
              <w:rPr>
                <w:b/>
                <w:color w:val="FFFFFF" w:themeColor="background1"/>
                <w:sz w:val="20"/>
                <w:szCs w:val="20"/>
              </w:rPr>
              <w:t>Possible advantages and disadvantages</w:t>
            </w:r>
          </w:p>
        </w:tc>
      </w:tr>
      <w:tr w:rsidR="00857EB3" w14:paraId="32B8F5E6" w14:textId="77777777" w:rsidTr="00857EB3">
        <w:trPr>
          <w:trHeight w:val="918"/>
        </w:trPr>
        <w:tc>
          <w:tcPr>
            <w:tcW w:w="1831" w:type="dxa"/>
            <w:tcBorders>
              <w:top w:val="single" w:sz="4" w:space="0" w:color="auto"/>
              <w:left w:val="single" w:sz="4" w:space="0" w:color="auto"/>
              <w:bottom w:val="single" w:sz="4" w:space="0" w:color="auto"/>
              <w:right w:val="single" w:sz="4" w:space="0" w:color="auto"/>
            </w:tcBorders>
            <w:hideMark/>
          </w:tcPr>
          <w:p w14:paraId="289BC688" w14:textId="77777777" w:rsidR="00857EB3" w:rsidRDefault="00857EB3" w:rsidP="00BC5FD7">
            <w:pPr>
              <w:rPr>
                <w:sz w:val="20"/>
                <w:szCs w:val="20"/>
              </w:rPr>
            </w:pPr>
            <w:r>
              <w:rPr>
                <w:sz w:val="20"/>
                <w:szCs w:val="20"/>
              </w:rPr>
              <w:t>Passive referral</w:t>
            </w:r>
          </w:p>
        </w:tc>
        <w:tc>
          <w:tcPr>
            <w:tcW w:w="3126" w:type="dxa"/>
            <w:tcBorders>
              <w:top w:val="single" w:sz="4" w:space="0" w:color="auto"/>
              <w:left w:val="single" w:sz="4" w:space="0" w:color="auto"/>
              <w:bottom w:val="single" w:sz="4" w:space="0" w:color="auto"/>
              <w:right w:val="single" w:sz="4" w:space="0" w:color="auto"/>
            </w:tcBorders>
            <w:hideMark/>
          </w:tcPr>
          <w:p w14:paraId="7B1C2AF7" w14:textId="77777777" w:rsidR="00857EB3" w:rsidRDefault="00857EB3" w:rsidP="00BC5FD7">
            <w:pPr>
              <w:rPr>
                <w:sz w:val="20"/>
                <w:szCs w:val="20"/>
              </w:rPr>
            </w:pPr>
            <w:r>
              <w:rPr>
                <w:sz w:val="20"/>
                <w:szCs w:val="20"/>
              </w:rPr>
              <w:t>The client is given contact information for one or more other services and is left to make their own contact at a time that best suits the client.</w:t>
            </w:r>
          </w:p>
        </w:tc>
        <w:tc>
          <w:tcPr>
            <w:tcW w:w="4059" w:type="dxa"/>
            <w:tcBorders>
              <w:top w:val="single" w:sz="4" w:space="0" w:color="auto"/>
              <w:left w:val="single" w:sz="4" w:space="0" w:color="auto"/>
              <w:bottom w:val="single" w:sz="4" w:space="0" w:color="auto"/>
              <w:right w:val="single" w:sz="4" w:space="0" w:color="auto"/>
            </w:tcBorders>
            <w:hideMark/>
          </w:tcPr>
          <w:p w14:paraId="02A94497" w14:textId="77777777" w:rsidR="00857EB3" w:rsidRDefault="00857EB3" w:rsidP="00BC5FD7">
            <w:pPr>
              <w:rPr>
                <w:sz w:val="20"/>
                <w:szCs w:val="20"/>
              </w:rPr>
            </w:pPr>
            <w:r>
              <w:rPr>
                <w:sz w:val="20"/>
                <w:szCs w:val="20"/>
              </w:rP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857EB3" w14:paraId="08C6167F" w14:textId="77777777" w:rsidTr="00857EB3">
        <w:tc>
          <w:tcPr>
            <w:tcW w:w="1831" w:type="dxa"/>
            <w:tcBorders>
              <w:top w:val="single" w:sz="4" w:space="0" w:color="auto"/>
              <w:left w:val="single" w:sz="4" w:space="0" w:color="auto"/>
              <w:bottom w:val="single" w:sz="4" w:space="0" w:color="auto"/>
              <w:right w:val="single" w:sz="4" w:space="0" w:color="auto"/>
            </w:tcBorders>
            <w:hideMark/>
          </w:tcPr>
          <w:p w14:paraId="7CBE565D" w14:textId="77777777" w:rsidR="00857EB3" w:rsidRDefault="00857EB3" w:rsidP="00BC5FD7">
            <w:pPr>
              <w:rPr>
                <w:sz w:val="20"/>
                <w:szCs w:val="20"/>
              </w:rPr>
            </w:pPr>
            <w:r>
              <w:rPr>
                <w:sz w:val="20"/>
                <w:szCs w:val="20"/>
              </w:rPr>
              <w:t>Cold referral</w:t>
            </w:r>
          </w:p>
        </w:tc>
        <w:tc>
          <w:tcPr>
            <w:tcW w:w="3126" w:type="dxa"/>
            <w:tcBorders>
              <w:top w:val="single" w:sz="4" w:space="0" w:color="auto"/>
              <w:left w:val="single" w:sz="4" w:space="0" w:color="auto"/>
              <w:bottom w:val="single" w:sz="4" w:space="0" w:color="auto"/>
              <w:right w:val="single" w:sz="4" w:space="0" w:color="auto"/>
            </w:tcBorders>
            <w:hideMark/>
          </w:tcPr>
          <w:p w14:paraId="2D042E83" w14:textId="77777777" w:rsidR="00857EB3" w:rsidRDefault="00857EB3" w:rsidP="00BC5FD7">
            <w:pPr>
              <w:rPr>
                <w:sz w:val="20"/>
                <w:szCs w:val="20"/>
              </w:rPr>
            </w:pPr>
            <w:r>
              <w:rPr>
                <w:sz w:val="20"/>
                <w:szCs w:val="20"/>
              </w:rPr>
              <w:t>The client is transferred to another service without any immediate communication between the referring organisation and the service. For example, the client is transferred to a call centre queue.</w:t>
            </w:r>
          </w:p>
        </w:tc>
        <w:tc>
          <w:tcPr>
            <w:tcW w:w="4059" w:type="dxa"/>
            <w:tcBorders>
              <w:top w:val="single" w:sz="4" w:space="0" w:color="auto"/>
              <w:left w:val="single" w:sz="4" w:space="0" w:color="auto"/>
              <w:bottom w:val="single" w:sz="4" w:space="0" w:color="auto"/>
              <w:right w:val="single" w:sz="4" w:space="0" w:color="auto"/>
            </w:tcBorders>
            <w:hideMark/>
          </w:tcPr>
          <w:p w14:paraId="147933D4" w14:textId="77777777" w:rsidR="00857EB3" w:rsidRDefault="00857EB3" w:rsidP="00BC5FD7">
            <w:pPr>
              <w:rPr>
                <w:sz w:val="20"/>
                <w:szCs w:val="20"/>
              </w:rPr>
            </w:pPr>
            <w:r>
              <w:rPr>
                <w:sz w:val="20"/>
                <w:szCs w:val="20"/>
              </w:rPr>
              <w:t xml:space="preserve">The other service may be unaware of the nature of the call or any information or services that the client has already received. The client may be frustrated that they have to re-tell their story and may not communicate their needs in a way that helps the other service understand why the client has been referred. </w:t>
            </w:r>
          </w:p>
        </w:tc>
      </w:tr>
      <w:tr w:rsidR="00857EB3" w14:paraId="5C9040EE" w14:textId="77777777" w:rsidTr="00857EB3">
        <w:tc>
          <w:tcPr>
            <w:tcW w:w="1831" w:type="dxa"/>
            <w:tcBorders>
              <w:top w:val="single" w:sz="4" w:space="0" w:color="auto"/>
              <w:left w:val="single" w:sz="4" w:space="0" w:color="auto"/>
              <w:bottom w:val="single" w:sz="4" w:space="0" w:color="auto"/>
              <w:right w:val="single" w:sz="4" w:space="0" w:color="auto"/>
            </w:tcBorders>
            <w:hideMark/>
          </w:tcPr>
          <w:p w14:paraId="3259CEBE" w14:textId="77777777" w:rsidR="00857EB3" w:rsidRDefault="00857EB3" w:rsidP="00BC5FD7">
            <w:pPr>
              <w:rPr>
                <w:sz w:val="20"/>
                <w:szCs w:val="20"/>
              </w:rPr>
            </w:pPr>
            <w:r>
              <w:rPr>
                <w:sz w:val="20"/>
                <w:szCs w:val="20"/>
              </w:rPr>
              <w:t>Facilitated referral</w:t>
            </w:r>
          </w:p>
        </w:tc>
        <w:tc>
          <w:tcPr>
            <w:tcW w:w="3126" w:type="dxa"/>
            <w:tcBorders>
              <w:top w:val="single" w:sz="4" w:space="0" w:color="auto"/>
              <w:left w:val="single" w:sz="4" w:space="0" w:color="auto"/>
              <w:bottom w:val="single" w:sz="4" w:space="0" w:color="auto"/>
              <w:right w:val="single" w:sz="4" w:space="0" w:color="auto"/>
            </w:tcBorders>
            <w:hideMark/>
          </w:tcPr>
          <w:p w14:paraId="3A5D293D" w14:textId="77777777" w:rsidR="00857EB3" w:rsidRDefault="00857EB3" w:rsidP="00BC5FD7">
            <w:pPr>
              <w:rPr>
                <w:sz w:val="20"/>
                <w:szCs w:val="20"/>
              </w:rPr>
            </w:pPr>
            <w:r>
              <w:rPr>
                <w:sz w:val="20"/>
                <w:szCs w:val="20"/>
              </w:rPr>
              <w:t>The referring organisation helps the client access another service. For example, the referring organisation makes an appointment with another service on the client’s behalf or asks the other service to contact the client.</w:t>
            </w:r>
          </w:p>
        </w:tc>
        <w:tc>
          <w:tcPr>
            <w:tcW w:w="4059" w:type="dxa"/>
            <w:tcBorders>
              <w:top w:val="single" w:sz="4" w:space="0" w:color="auto"/>
              <w:left w:val="single" w:sz="4" w:space="0" w:color="auto"/>
              <w:bottom w:val="single" w:sz="4" w:space="0" w:color="auto"/>
              <w:right w:val="single" w:sz="4" w:space="0" w:color="auto"/>
            </w:tcBorders>
            <w:hideMark/>
          </w:tcPr>
          <w:p w14:paraId="2303D750" w14:textId="77777777" w:rsidR="00857EB3" w:rsidRDefault="00857EB3" w:rsidP="00BC5FD7">
            <w:pPr>
              <w:rPr>
                <w:sz w:val="20"/>
                <w:szCs w:val="20"/>
              </w:rPr>
            </w:pPr>
            <w:r>
              <w:rPr>
                <w:sz w:val="20"/>
                <w:szCs w:val="20"/>
              </w:rPr>
              <w:t xml:space="preserve">The other service is made aware of the client and the client is helped to access that service. </w:t>
            </w:r>
          </w:p>
          <w:p w14:paraId="6567DCD8" w14:textId="77777777" w:rsidR="00857EB3" w:rsidRDefault="00857EB3" w:rsidP="00BC5FD7">
            <w:pPr>
              <w:rPr>
                <w:sz w:val="20"/>
                <w:szCs w:val="20"/>
              </w:rPr>
            </w:pPr>
            <w:r>
              <w:rPr>
                <w:sz w:val="20"/>
                <w:szCs w:val="20"/>
              </w:rPr>
              <w:t>The client may need to wait for a response from the other service. There is a risk that the other service forgets to contact the client.</w:t>
            </w:r>
          </w:p>
        </w:tc>
      </w:tr>
      <w:tr w:rsidR="00857EB3" w14:paraId="2DFF1B27" w14:textId="77777777" w:rsidTr="00857EB3">
        <w:tc>
          <w:tcPr>
            <w:tcW w:w="1831" w:type="dxa"/>
            <w:tcBorders>
              <w:top w:val="single" w:sz="4" w:space="0" w:color="auto"/>
              <w:left w:val="single" w:sz="4" w:space="0" w:color="auto"/>
              <w:bottom w:val="single" w:sz="4" w:space="0" w:color="auto"/>
              <w:right w:val="single" w:sz="4" w:space="0" w:color="auto"/>
            </w:tcBorders>
            <w:hideMark/>
          </w:tcPr>
          <w:p w14:paraId="2517CAF8" w14:textId="77777777" w:rsidR="00857EB3" w:rsidRDefault="00857EB3" w:rsidP="00BC5FD7">
            <w:pPr>
              <w:rPr>
                <w:sz w:val="20"/>
                <w:szCs w:val="20"/>
              </w:rPr>
            </w:pPr>
            <w:r>
              <w:rPr>
                <w:sz w:val="20"/>
                <w:szCs w:val="20"/>
              </w:rPr>
              <w:t>Active referral</w:t>
            </w:r>
          </w:p>
        </w:tc>
        <w:tc>
          <w:tcPr>
            <w:tcW w:w="3126" w:type="dxa"/>
            <w:tcBorders>
              <w:top w:val="single" w:sz="4" w:space="0" w:color="auto"/>
              <w:left w:val="single" w:sz="4" w:space="0" w:color="auto"/>
              <w:bottom w:val="single" w:sz="4" w:space="0" w:color="auto"/>
              <w:right w:val="single" w:sz="4" w:space="0" w:color="auto"/>
            </w:tcBorders>
            <w:hideMark/>
          </w:tcPr>
          <w:p w14:paraId="1CD26423" w14:textId="77777777" w:rsidR="00857EB3" w:rsidRDefault="00857EB3" w:rsidP="00BC5FD7">
            <w:pPr>
              <w:rPr>
                <w:sz w:val="20"/>
                <w:szCs w:val="20"/>
              </w:rPr>
            </w:pPr>
            <w:r>
              <w:rPr>
                <w:sz w:val="20"/>
                <w:szCs w:val="20"/>
              </w:rPr>
              <w:t>The referring organisation helps the client access another service. With the client’s consent, the referring organisation shares information it has collected about the client and/or its professional assessment of the client’s needs with another service.</w:t>
            </w:r>
          </w:p>
        </w:tc>
        <w:tc>
          <w:tcPr>
            <w:tcW w:w="4059" w:type="dxa"/>
            <w:tcBorders>
              <w:top w:val="single" w:sz="4" w:space="0" w:color="auto"/>
              <w:left w:val="single" w:sz="4" w:space="0" w:color="auto"/>
              <w:bottom w:val="single" w:sz="4" w:space="0" w:color="auto"/>
              <w:right w:val="single" w:sz="4" w:space="0" w:color="auto"/>
            </w:tcBorders>
            <w:hideMark/>
          </w:tcPr>
          <w:p w14:paraId="4E585699" w14:textId="77777777" w:rsidR="00857EB3" w:rsidRDefault="00857EB3" w:rsidP="00BC5FD7">
            <w:pPr>
              <w:rPr>
                <w:sz w:val="20"/>
                <w:szCs w:val="20"/>
              </w:rPr>
            </w:pPr>
            <w:r>
              <w:rPr>
                <w:sz w:val="20"/>
                <w:szCs w:val="20"/>
              </w:rPr>
              <w:t>The client does not need to repeat all of their story and the service to which the client is referred has relevant information about the client. There is a risk that the referring organisation communicates the client’s information in such a way that it is misinterpreted by the service receiving the referral.</w:t>
            </w:r>
          </w:p>
        </w:tc>
      </w:tr>
      <w:tr w:rsidR="00857EB3" w14:paraId="59AF14DB" w14:textId="77777777" w:rsidTr="00857EB3">
        <w:trPr>
          <w:trHeight w:val="2393"/>
        </w:trPr>
        <w:tc>
          <w:tcPr>
            <w:tcW w:w="1831" w:type="dxa"/>
            <w:tcBorders>
              <w:top w:val="single" w:sz="4" w:space="0" w:color="auto"/>
              <w:left w:val="single" w:sz="4" w:space="0" w:color="auto"/>
              <w:bottom w:val="single" w:sz="4" w:space="0" w:color="auto"/>
              <w:right w:val="single" w:sz="4" w:space="0" w:color="auto"/>
            </w:tcBorders>
            <w:hideMark/>
          </w:tcPr>
          <w:p w14:paraId="2EC16C67" w14:textId="77777777" w:rsidR="00857EB3" w:rsidRDefault="00857EB3" w:rsidP="00BC5FD7">
            <w:pPr>
              <w:rPr>
                <w:sz w:val="20"/>
                <w:szCs w:val="20"/>
              </w:rPr>
            </w:pPr>
            <w:r>
              <w:rPr>
                <w:sz w:val="20"/>
                <w:szCs w:val="20"/>
              </w:rPr>
              <w:lastRenderedPageBreak/>
              <w:t>Warm referral</w:t>
            </w:r>
          </w:p>
        </w:tc>
        <w:tc>
          <w:tcPr>
            <w:tcW w:w="3126" w:type="dxa"/>
            <w:tcBorders>
              <w:top w:val="single" w:sz="4" w:space="0" w:color="auto"/>
              <w:left w:val="single" w:sz="4" w:space="0" w:color="auto"/>
              <w:bottom w:val="single" w:sz="4" w:space="0" w:color="auto"/>
              <w:right w:val="single" w:sz="4" w:space="0" w:color="auto"/>
            </w:tcBorders>
            <w:hideMark/>
          </w:tcPr>
          <w:p w14:paraId="4D687EF6" w14:textId="77777777" w:rsidR="00857EB3" w:rsidRDefault="00857EB3" w:rsidP="00BC5FD7">
            <w:pPr>
              <w:rPr>
                <w:sz w:val="20"/>
                <w:szCs w:val="20"/>
              </w:rPr>
            </w:pPr>
            <w:r>
              <w:rPr>
                <w:sz w:val="20"/>
                <w:szCs w:val="20"/>
              </w:rP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59" w:type="dxa"/>
            <w:tcBorders>
              <w:top w:val="single" w:sz="4" w:space="0" w:color="auto"/>
              <w:left w:val="single" w:sz="4" w:space="0" w:color="auto"/>
              <w:bottom w:val="single" w:sz="4" w:space="0" w:color="auto"/>
              <w:right w:val="single" w:sz="4" w:space="0" w:color="auto"/>
            </w:tcBorders>
            <w:hideMark/>
          </w:tcPr>
          <w:p w14:paraId="3CDB9183" w14:textId="77777777" w:rsidR="00857EB3" w:rsidRDefault="00857EB3" w:rsidP="00BC5FD7">
            <w:pPr>
              <w:rPr>
                <w:sz w:val="20"/>
                <w:szCs w:val="20"/>
              </w:rPr>
            </w:pPr>
            <w:r>
              <w:rPr>
                <w:sz w:val="20"/>
                <w:szCs w:val="20"/>
              </w:rPr>
              <w:t>This provides an open and transparent process in which information can be exchanged between the referring organisation, the client and the other service. All parties can clarify issues immediately and the client does not need to repeat all of their story. The client may feel more comfortable and be more willing to engage with the other service.</w:t>
            </w:r>
          </w:p>
          <w:p w14:paraId="4E6A28E1" w14:textId="77777777" w:rsidR="00857EB3" w:rsidRDefault="00857EB3" w:rsidP="00BC5FD7">
            <w:pPr>
              <w:rPr>
                <w:sz w:val="20"/>
                <w:szCs w:val="20"/>
              </w:rPr>
            </w:pPr>
            <w:r>
              <w:rPr>
                <w:sz w:val="20"/>
                <w:szCs w:val="20"/>
              </w:rPr>
              <w:t>This process relies on someone at the other service being available to talk with the referring organisation and the client when they contact the other service.</w:t>
            </w:r>
          </w:p>
        </w:tc>
      </w:tr>
    </w:tbl>
    <w:p w14:paraId="5C49D6F7" w14:textId="77777777" w:rsidR="00857EB3" w:rsidRDefault="00857EB3">
      <w:pPr>
        <w:spacing w:before="0" w:after="200" w:line="276" w:lineRule="auto"/>
        <w:rPr>
          <w:rFonts w:ascii="Georgia" w:hAnsi="Georgia" w:cs="Arial"/>
          <w:bCs/>
          <w:color w:val="500778"/>
          <w:kern w:val="32"/>
          <w:sz w:val="36"/>
          <w:szCs w:val="32"/>
        </w:rPr>
      </w:pPr>
      <w:r>
        <w:br w:type="page"/>
      </w:r>
    </w:p>
    <w:p w14:paraId="17C89EB8" w14:textId="77777777" w:rsidR="00857EB3" w:rsidRPr="00DF3821" w:rsidRDefault="00857EB3" w:rsidP="00DF3821">
      <w:pPr>
        <w:pStyle w:val="Heading1"/>
      </w:pPr>
      <w:bookmarkStart w:id="444" w:name="_Toc70599718"/>
      <w:r w:rsidRPr="00DF3821">
        <w:lastRenderedPageBreak/>
        <w:t>Appendix E – Referrals checklist</w:t>
      </w:r>
      <w:bookmarkEnd w:id="444"/>
    </w:p>
    <w:p w14:paraId="067DBC48" w14:textId="77777777" w:rsidR="00857EB3" w:rsidRDefault="00857EB3" w:rsidP="00857EB3">
      <w:pPr>
        <w:pStyle w:val="Default"/>
        <w:spacing w:after="120"/>
        <w:rPr>
          <w:sz w:val="22"/>
          <w:szCs w:val="22"/>
        </w:rPr>
      </w:pPr>
      <w:r>
        <w:rPr>
          <w:sz w:val="22"/>
          <w:szCs w:val="22"/>
        </w:rPr>
        <w:t xml:space="preserve">The following checklist may assist staff to make effective referrals: </w:t>
      </w:r>
    </w:p>
    <w:p w14:paraId="20ACDBEB" w14:textId="77777777" w:rsidR="00857EB3" w:rsidRDefault="00857EB3" w:rsidP="00857EB3">
      <w:pPr>
        <w:pStyle w:val="Default"/>
        <w:numPr>
          <w:ilvl w:val="0"/>
          <w:numId w:val="44"/>
        </w:numPr>
        <w:spacing w:after="120"/>
        <w:ind w:left="714" w:hanging="357"/>
        <w:rPr>
          <w:sz w:val="22"/>
          <w:szCs w:val="22"/>
        </w:rPr>
      </w:pPr>
      <w:r>
        <w:rPr>
          <w:sz w:val="22"/>
          <w:szCs w:val="22"/>
        </w:rPr>
        <w:t xml:space="preserve">I understand the client’s situation and perceived needs. </w:t>
      </w:r>
    </w:p>
    <w:p w14:paraId="227D7DF8" w14:textId="77777777" w:rsidR="00857EB3" w:rsidRDefault="00857EB3" w:rsidP="00857EB3">
      <w:pPr>
        <w:pStyle w:val="Default"/>
        <w:numPr>
          <w:ilvl w:val="0"/>
          <w:numId w:val="44"/>
        </w:numPr>
        <w:spacing w:after="120"/>
        <w:ind w:left="714" w:hanging="357"/>
        <w:rPr>
          <w:sz w:val="22"/>
          <w:szCs w:val="22"/>
        </w:rPr>
      </w:pPr>
      <w:r>
        <w:rPr>
          <w:sz w:val="22"/>
          <w:szCs w:val="22"/>
        </w:rPr>
        <w:t xml:space="preserve">The client and I have discussed how to prioritise their needs and what options exist to help address their needs. </w:t>
      </w:r>
    </w:p>
    <w:p w14:paraId="43566464" w14:textId="77777777" w:rsidR="00857EB3" w:rsidRDefault="00857EB3" w:rsidP="00857EB3">
      <w:pPr>
        <w:pStyle w:val="Default"/>
        <w:numPr>
          <w:ilvl w:val="0"/>
          <w:numId w:val="44"/>
        </w:numPr>
        <w:spacing w:after="120"/>
        <w:ind w:left="714" w:hanging="357"/>
        <w:rPr>
          <w:sz w:val="22"/>
          <w:szCs w:val="22"/>
        </w:rPr>
      </w:pPr>
      <w:r>
        <w:rPr>
          <w:sz w:val="22"/>
          <w:szCs w:val="22"/>
        </w:rPr>
        <w:t xml:space="preserve">The client is willing and ready to be referred. </w:t>
      </w:r>
    </w:p>
    <w:p w14:paraId="64562D3D" w14:textId="77777777" w:rsidR="00857EB3" w:rsidRDefault="00857EB3" w:rsidP="00857EB3">
      <w:pPr>
        <w:pStyle w:val="Default"/>
        <w:numPr>
          <w:ilvl w:val="0"/>
          <w:numId w:val="44"/>
        </w:numPr>
        <w:spacing w:after="120"/>
        <w:ind w:left="714" w:hanging="357"/>
        <w:rPr>
          <w:sz w:val="22"/>
          <w:szCs w:val="22"/>
        </w:rPr>
      </w:pPr>
      <w:r>
        <w:rPr>
          <w:sz w:val="22"/>
          <w:szCs w:val="22"/>
        </w:rPr>
        <w:t xml:space="preserve">I have discussed what issues might make it difficult for the client to follow through with the referral. </w:t>
      </w:r>
    </w:p>
    <w:p w14:paraId="59125FFD" w14:textId="77777777" w:rsidR="00857EB3" w:rsidRDefault="00857EB3" w:rsidP="00857EB3">
      <w:pPr>
        <w:pStyle w:val="Default"/>
        <w:numPr>
          <w:ilvl w:val="0"/>
          <w:numId w:val="44"/>
        </w:numPr>
        <w:spacing w:after="120"/>
        <w:ind w:left="714" w:hanging="357"/>
        <w:rPr>
          <w:sz w:val="22"/>
          <w:szCs w:val="22"/>
        </w:rPr>
      </w:pPr>
      <w:r>
        <w:rPr>
          <w:sz w:val="22"/>
          <w:szCs w:val="22"/>
        </w:rPr>
        <w:t>I am comfortable the service to which I am referring the individual is an appropriate service.</w:t>
      </w:r>
    </w:p>
    <w:p w14:paraId="30F95D27" w14:textId="77777777" w:rsidR="00857EB3" w:rsidRDefault="00857EB3" w:rsidP="00857EB3">
      <w:pPr>
        <w:pStyle w:val="Default"/>
        <w:numPr>
          <w:ilvl w:val="0"/>
          <w:numId w:val="44"/>
        </w:numPr>
        <w:spacing w:after="120"/>
        <w:ind w:left="714" w:hanging="357"/>
        <w:rPr>
          <w:sz w:val="22"/>
          <w:szCs w:val="22"/>
        </w:rPr>
      </w:pPr>
      <w:r>
        <w:rPr>
          <w:sz w:val="22"/>
          <w:szCs w:val="22"/>
        </w:rPr>
        <w:t>To assist the client in attending a referral appointment, I have discussed issues such as:</w:t>
      </w:r>
    </w:p>
    <w:p w14:paraId="69777EC0" w14:textId="77777777" w:rsidR="00857EB3" w:rsidRDefault="00857EB3" w:rsidP="00857EB3">
      <w:pPr>
        <w:pStyle w:val="Default"/>
        <w:numPr>
          <w:ilvl w:val="1"/>
          <w:numId w:val="44"/>
        </w:numPr>
        <w:spacing w:after="120"/>
        <w:rPr>
          <w:sz w:val="22"/>
          <w:szCs w:val="22"/>
        </w:rPr>
      </w:pPr>
      <w:r>
        <w:rPr>
          <w:sz w:val="22"/>
          <w:szCs w:val="22"/>
        </w:rPr>
        <w:t>Name, phone number, and address of the referral service.</w:t>
      </w:r>
    </w:p>
    <w:p w14:paraId="284686EF" w14:textId="77777777" w:rsidR="00857EB3" w:rsidRDefault="00857EB3" w:rsidP="00857EB3">
      <w:pPr>
        <w:pStyle w:val="Default"/>
        <w:numPr>
          <w:ilvl w:val="1"/>
          <w:numId w:val="44"/>
        </w:numPr>
        <w:spacing w:after="120"/>
        <w:rPr>
          <w:sz w:val="22"/>
          <w:szCs w:val="22"/>
        </w:rPr>
      </w:pPr>
      <w:r>
        <w:rPr>
          <w:sz w:val="22"/>
          <w:szCs w:val="22"/>
        </w:rPr>
        <w:t>Directions and transportation to and from the service appointment.</w:t>
      </w:r>
    </w:p>
    <w:p w14:paraId="34B349FA" w14:textId="77777777" w:rsidR="00857EB3" w:rsidRDefault="00857EB3" w:rsidP="00857EB3">
      <w:pPr>
        <w:pStyle w:val="Default"/>
        <w:numPr>
          <w:ilvl w:val="1"/>
          <w:numId w:val="44"/>
        </w:numPr>
        <w:spacing w:after="120"/>
        <w:rPr>
          <w:sz w:val="22"/>
          <w:szCs w:val="22"/>
        </w:rPr>
      </w:pPr>
      <w:r>
        <w:rPr>
          <w:sz w:val="22"/>
          <w:szCs w:val="22"/>
        </w:rPr>
        <w:t>What the client can expect upon arrival at the service, along with the nature, purpose and value of the referral.</w:t>
      </w:r>
    </w:p>
    <w:p w14:paraId="5D29DCC7" w14:textId="77777777" w:rsidR="00857EB3" w:rsidRDefault="00857EB3" w:rsidP="00857EB3">
      <w:pPr>
        <w:pStyle w:val="Default"/>
        <w:numPr>
          <w:ilvl w:val="1"/>
          <w:numId w:val="44"/>
        </w:numPr>
        <w:rPr>
          <w:sz w:val="22"/>
          <w:szCs w:val="22"/>
        </w:rPr>
      </w:pPr>
      <w:r>
        <w:rPr>
          <w:sz w:val="22"/>
          <w:szCs w:val="22"/>
        </w:rPr>
        <w:t>Written material about the service (if available).</w:t>
      </w:r>
    </w:p>
    <w:p w14:paraId="2A0799C8" w14:textId="77777777" w:rsidR="00857EB3" w:rsidRDefault="00857EB3" w:rsidP="00857EB3">
      <w:pPr>
        <w:pStyle w:val="Default"/>
        <w:rPr>
          <w:sz w:val="22"/>
          <w:szCs w:val="22"/>
        </w:rPr>
      </w:pPr>
    </w:p>
    <w:p w14:paraId="00A35F2F" w14:textId="77777777" w:rsidR="00857EB3" w:rsidRDefault="00857EB3" w:rsidP="00857EB3">
      <w:pPr>
        <w:pStyle w:val="Default"/>
        <w:spacing w:after="120"/>
        <w:rPr>
          <w:sz w:val="22"/>
          <w:szCs w:val="22"/>
        </w:rPr>
      </w:pPr>
      <w:r>
        <w:rPr>
          <w:sz w:val="22"/>
          <w:szCs w:val="22"/>
        </w:rPr>
        <w:t xml:space="preserve">Some additional points for staff to consider are: </w:t>
      </w:r>
    </w:p>
    <w:p w14:paraId="1687332B" w14:textId="77777777" w:rsidR="00857EB3" w:rsidRDefault="00857EB3" w:rsidP="00857EB3">
      <w:pPr>
        <w:pStyle w:val="Default"/>
        <w:numPr>
          <w:ilvl w:val="0"/>
          <w:numId w:val="44"/>
        </w:numPr>
        <w:spacing w:after="120"/>
        <w:ind w:left="714" w:hanging="357"/>
        <w:rPr>
          <w:sz w:val="22"/>
          <w:szCs w:val="22"/>
        </w:rPr>
      </w:pPr>
      <w:r>
        <w:rPr>
          <w:sz w:val="22"/>
          <w:szCs w:val="22"/>
        </w:rPr>
        <w:t>I have considered whether a facilitated, warm or active referral would be desirable, based on the client’s:</w:t>
      </w:r>
    </w:p>
    <w:p w14:paraId="5BC2A8BA" w14:textId="77777777" w:rsidR="00857EB3" w:rsidRDefault="00857EB3" w:rsidP="00857EB3">
      <w:pPr>
        <w:pStyle w:val="Default"/>
        <w:numPr>
          <w:ilvl w:val="1"/>
          <w:numId w:val="44"/>
        </w:numPr>
        <w:spacing w:after="120"/>
        <w:rPr>
          <w:sz w:val="22"/>
          <w:szCs w:val="22"/>
        </w:rPr>
      </w:pPr>
      <w:r>
        <w:rPr>
          <w:sz w:val="22"/>
          <w:szCs w:val="22"/>
        </w:rPr>
        <w:t>ability to negotiate complex social situations</w:t>
      </w:r>
    </w:p>
    <w:p w14:paraId="55CFBE13" w14:textId="77777777" w:rsidR="00857EB3" w:rsidRDefault="00857EB3" w:rsidP="00857EB3">
      <w:pPr>
        <w:pStyle w:val="Default"/>
        <w:numPr>
          <w:ilvl w:val="1"/>
          <w:numId w:val="44"/>
        </w:numPr>
        <w:spacing w:after="120"/>
        <w:rPr>
          <w:sz w:val="22"/>
          <w:szCs w:val="22"/>
        </w:rPr>
      </w:pPr>
      <w:r>
        <w:rPr>
          <w:sz w:val="22"/>
          <w:szCs w:val="22"/>
        </w:rPr>
        <w:t>ability to provide and receive information</w:t>
      </w:r>
    </w:p>
    <w:p w14:paraId="1DBBC09C" w14:textId="77777777" w:rsidR="00857EB3" w:rsidRDefault="00857EB3" w:rsidP="00857EB3">
      <w:pPr>
        <w:pStyle w:val="Default"/>
        <w:numPr>
          <w:ilvl w:val="1"/>
          <w:numId w:val="44"/>
        </w:numPr>
        <w:spacing w:after="120"/>
        <w:rPr>
          <w:sz w:val="22"/>
          <w:szCs w:val="22"/>
        </w:rPr>
      </w:pPr>
      <w:r>
        <w:rPr>
          <w:sz w:val="22"/>
          <w:szCs w:val="22"/>
        </w:rPr>
        <w:t>ability to tolerate waiting</w:t>
      </w:r>
    </w:p>
    <w:p w14:paraId="46D8F51E" w14:textId="77777777" w:rsidR="00857EB3" w:rsidRDefault="00857EB3" w:rsidP="00857EB3">
      <w:pPr>
        <w:pStyle w:val="Default"/>
        <w:numPr>
          <w:ilvl w:val="1"/>
          <w:numId w:val="44"/>
        </w:numPr>
        <w:spacing w:after="120"/>
        <w:rPr>
          <w:sz w:val="22"/>
          <w:szCs w:val="22"/>
        </w:rPr>
      </w:pPr>
      <w:r>
        <w:rPr>
          <w:sz w:val="22"/>
          <w:szCs w:val="22"/>
        </w:rPr>
        <w:t>level of ambivalence about seeking help</w:t>
      </w:r>
    </w:p>
    <w:p w14:paraId="0C404E94" w14:textId="77777777" w:rsidR="00857EB3" w:rsidRDefault="00857EB3" w:rsidP="00857EB3">
      <w:pPr>
        <w:pStyle w:val="Default"/>
        <w:numPr>
          <w:ilvl w:val="1"/>
          <w:numId w:val="44"/>
        </w:numPr>
        <w:spacing w:after="120"/>
        <w:rPr>
          <w:sz w:val="22"/>
          <w:szCs w:val="22"/>
        </w:rPr>
      </w:pPr>
      <w:r>
        <w:rPr>
          <w:sz w:val="22"/>
          <w:szCs w:val="22"/>
        </w:rPr>
        <w:t>interpersonal style (e.g. passive or argumentative)</w:t>
      </w:r>
    </w:p>
    <w:p w14:paraId="1A132C9B" w14:textId="77777777" w:rsidR="00857EB3" w:rsidRDefault="00857EB3" w:rsidP="00857EB3">
      <w:pPr>
        <w:pStyle w:val="Default"/>
        <w:numPr>
          <w:ilvl w:val="0"/>
          <w:numId w:val="44"/>
        </w:numPr>
        <w:spacing w:after="120"/>
        <w:ind w:left="714" w:hanging="357"/>
        <w:rPr>
          <w:sz w:val="22"/>
          <w:szCs w:val="22"/>
        </w:rPr>
      </w:pPr>
      <w:r>
        <w:rPr>
          <w:sz w:val="22"/>
          <w:szCs w:val="22"/>
        </w:rPr>
        <w:t xml:space="preserve">If the referral is a passive or cold referral, I have provided sufficient information and ‘coaching’ to help make the referral successful. </w:t>
      </w:r>
    </w:p>
    <w:p w14:paraId="6CA2E98F" w14:textId="77777777" w:rsidR="00857EB3" w:rsidRDefault="00857EB3" w:rsidP="00857EB3">
      <w:pPr>
        <w:pStyle w:val="Default"/>
        <w:numPr>
          <w:ilvl w:val="0"/>
          <w:numId w:val="44"/>
        </w:numPr>
        <w:ind w:left="714" w:hanging="357"/>
        <w:rPr>
          <w:sz w:val="22"/>
          <w:szCs w:val="22"/>
        </w:rPr>
      </w:pPr>
      <w:r w:rsidRPr="00577809">
        <w:rPr>
          <w:sz w:val="22"/>
          <w:szCs w:val="22"/>
        </w:rPr>
        <w:t>(Where appropriate) I have made a plan to follow up with the client to see how things went and to determine next steps.</w:t>
      </w:r>
    </w:p>
    <w:p w14:paraId="40E6F614" w14:textId="77777777" w:rsidR="00857EB3" w:rsidRDefault="00857EB3">
      <w:pPr>
        <w:spacing w:before="0" w:after="200" w:line="276" w:lineRule="auto"/>
        <w:rPr>
          <w:rFonts w:ascii="Georgia" w:hAnsi="Georgia" w:cs="Arial"/>
          <w:bCs/>
          <w:color w:val="500778"/>
          <w:kern w:val="32"/>
          <w:sz w:val="36"/>
          <w:szCs w:val="32"/>
        </w:rPr>
      </w:pPr>
      <w:r>
        <w:br w:type="page"/>
      </w:r>
    </w:p>
    <w:p w14:paraId="23FD2C61" w14:textId="715893D3" w:rsidR="00DC3D55" w:rsidRPr="00E3121B" w:rsidRDefault="00DC3D55" w:rsidP="00DC3D55">
      <w:pPr>
        <w:pStyle w:val="Heading1"/>
      </w:pPr>
      <w:bookmarkStart w:id="445" w:name="_Toc70599719"/>
      <w:r>
        <w:lastRenderedPageBreak/>
        <w:t>Appendix F</w:t>
      </w:r>
      <w:r w:rsidRPr="00DF3821">
        <w:t xml:space="preserve"> – Review Point Assessment Criteria</w:t>
      </w:r>
      <w:bookmarkEnd w:id="445"/>
    </w:p>
    <w:p w14:paraId="429C5483" w14:textId="77777777" w:rsidR="00DC3D55" w:rsidRDefault="00DC3D55" w:rsidP="00DC3D55">
      <w:pPr>
        <w:rPr>
          <w:rFonts w:eastAsia="Calibri"/>
          <w:spacing w:val="0"/>
          <w:sz w:val="22"/>
          <w:szCs w:val="22"/>
          <w:lang w:eastAsia="en-US"/>
        </w:rPr>
      </w:pPr>
      <w:r w:rsidRPr="00FB1A27">
        <w:rPr>
          <w:rFonts w:eastAsia="Calibri"/>
          <w:spacing w:val="0"/>
          <w:sz w:val="22"/>
          <w:szCs w:val="22"/>
          <w:lang w:eastAsia="en-US"/>
        </w:rPr>
        <w:t>From 1 September 2023, the department will review the performance of each service provider using the assessment criteria in the table below. If a provider does not meet one or more criteria, and cannot provide a credible justification, the department will work with the provider to improve performance and reserves the right to undertake any remedial action in accordance with clauses 2, 13 or 19 of the Commonwealth Standard Grant Conditions.</w:t>
      </w:r>
    </w:p>
    <w:p w14:paraId="0263062D" w14:textId="77777777" w:rsidR="00DC3D55" w:rsidRPr="00A3271E" w:rsidRDefault="00DC3D55" w:rsidP="00DC3D55">
      <w:pPr>
        <w:rPr>
          <w:sz w:val="22"/>
          <w:szCs w:val="22"/>
        </w:rPr>
      </w:pPr>
      <w:r w:rsidRPr="00A3271E">
        <w:rPr>
          <w:sz w:val="22"/>
          <w:szCs w:val="22"/>
        </w:rPr>
        <w:t>This table sets out the Review Point Assessment Criteria.</w:t>
      </w:r>
    </w:p>
    <w:tbl>
      <w:tblPr>
        <w:tblStyle w:val="TableGrid1"/>
        <w:tblW w:w="0" w:type="auto"/>
        <w:tblLook w:val="04A0" w:firstRow="1" w:lastRow="0" w:firstColumn="1" w:lastColumn="0" w:noHBand="0" w:noVBand="1"/>
      </w:tblPr>
      <w:tblGrid>
        <w:gridCol w:w="3005"/>
        <w:gridCol w:w="3005"/>
        <w:gridCol w:w="3006"/>
      </w:tblGrid>
      <w:tr w:rsidR="00DC3D55" w:rsidRPr="00B47D87" w14:paraId="34AA4903" w14:textId="77777777" w:rsidTr="00B47D87">
        <w:trPr>
          <w:cantSplit/>
          <w:tblHeader/>
        </w:trPr>
        <w:tc>
          <w:tcPr>
            <w:tcW w:w="3005" w:type="dxa"/>
            <w:shd w:val="clear" w:color="auto" w:fill="92CDDC"/>
            <w:tcMar>
              <w:top w:w="85" w:type="dxa"/>
              <w:left w:w="85" w:type="dxa"/>
              <w:bottom w:w="85" w:type="dxa"/>
              <w:right w:w="85" w:type="dxa"/>
            </w:tcMar>
          </w:tcPr>
          <w:p w14:paraId="2BF0A4FF" w14:textId="77777777" w:rsidR="00DC3D55" w:rsidRPr="00B47D87" w:rsidRDefault="00DC3D55" w:rsidP="00472906">
            <w:pPr>
              <w:rPr>
                <w:rFonts w:eastAsia="Calibri" w:cs="Arial"/>
                <w:b/>
                <w:spacing w:val="0"/>
                <w:sz w:val="20"/>
                <w:szCs w:val="20"/>
                <w:lang w:eastAsia="en-US"/>
              </w:rPr>
            </w:pPr>
            <w:r w:rsidRPr="00B47D87">
              <w:rPr>
                <w:rFonts w:eastAsia="Calibri" w:cs="Arial"/>
                <w:b/>
                <w:spacing w:val="0"/>
                <w:sz w:val="20"/>
                <w:szCs w:val="20"/>
                <w:lang w:eastAsia="en-US"/>
              </w:rPr>
              <w:t>Requirement</w:t>
            </w:r>
          </w:p>
        </w:tc>
        <w:tc>
          <w:tcPr>
            <w:tcW w:w="3005" w:type="dxa"/>
            <w:shd w:val="clear" w:color="auto" w:fill="92CDDC"/>
            <w:tcMar>
              <w:top w:w="85" w:type="dxa"/>
              <w:left w:w="85" w:type="dxa"/>
              <w:bottom w:w="85" w:type="dxa"/>
              <w:right w:w="85" w:type="dxa"/>
            </w:tcMar>
          </w:tcPr>
          <w:p w14:paraId="49F68A67" w14:textId="77777777" w:rsidR="00DC3D55" w:rsidRPr="00B47D87" w:rsidRDefault="00DC3D55" w:rsidP="00472906">
            <w:pPr>
              <w:rPr>
                <w:rFonts w:eastAsia="Calibri" w:cs="Arial"/>
                <w:b/>
                <w:spacing w:val="0"/>
                <w:sz w:val="20"/>
                <w:szCs w:val="20"/>
                <w:lang w:eastAsia="en-US"/>
              </w:rPr>
            </w:pPr>
            <w:r w:rsidRPr="00B47D87">
              <w:rPr>
                <w:rFonts w:eastAsia="Calibri" w:cs="Arial"/>
                <w:b/>
                <w:spacing w:val="0"/>
                <w:sz w:val="20"/>
                <w:szCs w:val="20"/>
                <w:lang w:eastAsia="en-US"/>
              </w:rPr>
              <w:t>Description</w:t>
            </w:r>
          </w:p>
        </w:tc>
        <w:tc>
          <w:tcPr>
            <w:tcW w:w="3006" w:type="dxa"/>
            <w:shd w:val="clear" w:color="auto" w:fill="92CDDC"/>
            <w:tcMar>
              <w:top w:w="85" w:type="dxa"/>
              <w:left w:w="85" w:type="dxa"/>
              <w:bottom w:w="85" w:type="dxa"/>
              <w:right w:w="85" w:type="dxa"/>
            </w:tcMar>
          </w:tcPr>
          <w:p w14:paraId="12287201" w14:textId="77777777" w:rsidR="00DC3D55" w:rsidRPr="00B47D87" w:rsidRDefault="00DC3D55" w:rsidP="00472906">
            <w:pPr>
              <w:rPr>
                <w:rFonts w:eastAsia="Calibri" w:cs="Arial"/>
                <w:b/>
                <w:spacing w:val="0"/>
                <w:sz w:val="20"/>
                <w:szCs w:val="20"/>
                <w:lang w:eastAsia="en-US"/>
              </w:rPr>
            </w:pPr>
            <w:r w:rsidRPr="00B47D87">
              <w:rPr>
                <w:rFonts w:eastAsia="Calibri" w:cs="Arial"/>
                <w:b/>
                <w:spacing w:val="0"/>
                <w:sz w:val="20"/>
                <w:szCs w:val="20"/>
                <w:lang w:eastAsia="en-US"/>
              </w:rPr>
              <w:t>Measure</w:t>
            </w:r>
          </w:p>
        </w:tc>
      </w:tr>
      <w:tr w:rsidR="00DC3D55" w:rsidRPr="00B47D87" w14:paraId="6CFD1623" w14:textId="77777777" w:rsidTr="00B47D87">
        <w:trPr>
          <w:cantSplit/>
        </w:trPr>
        <w:tc>
          <w:tcPr>
            <w:tcW w:w="9016" w:type="dxa"/>
            <w:gridSpan w:val="3"/>
            <w:shd w:val="clear" w:color="auto" w:fill="DAEEF3"/>
            <w:tcMar>
              <w:top w:w="85" w:type="dxa"/>
              <w:left w:w="85" w:type="dxa"/>
              <w:bottom w:w="85" w:type="dxa"/>
              <w:right w:w="85" w:type="dxa"/>
            </w:tcMar>
          </w:tcPr>
          <w:p w14:paraId="03BFB7DC"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Reporting requirements</w:t>
            </w:r>
          </w:p>
        </w:tc>
      </w:tr>
      <w:tr w:rsidR="00DC3D55" w:rsidRPr="00B47D87" w14:paraId="1971F09A" w14:textId="77777777" w:rsidTr="00B47D87">
        <w:trPr>
          <w:cantSplit/>
        </w:trPr>
        <w:tc>
          <w:tcPr>
            <w:tcW w:w="3005" w:type="dxa"/>
            <w:tcMar>
              <w:top w:w="85" w:type="dxa"/>
              <w:left w:w="85" w:type="dxa"/>
              <w:bottom w:w="85" w:type="dxa"/>
              <w:right w:w="85" w:type="dxa"/>
            </w:tcMar>
          </w:tcPr>
          <w:p w14:paraId="444724CA"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Participate in the Data Exchange (DEX) Partnership Approach</w:t>
            </w:r>
          </w:p>
        </w:tc>
        <w:tc>
          <w:tcPr>
            <w:tcW w:w="3005" w:type="dxa"/>
            <w:tcMar>
              <w:top w:w="85" w:type="dxa"/>
              <w:left w:w="85" w:type="dxa"/>
              <w:bottom w:w="85" w:type="dxa"/>
              <w:right w:w="85" w:type="dxa"/>
            </w:tcMar>
          </w:tcPr>
          <w:p w14:paraId="785B3EC2" w14:textId="77777777" w:rsidR="00DC3D55" w:rsidRPr="00B47D87" w:rsidRDefault="00DC3D55" w:rsidP="00472906">
            <w:pPr>
              <w:spacing w:after="120"/>
              <w:rPr>
                <w:rFonts w:eastAsia="Calibri" w:cs="Arial"/>
                <w:i/>
                <w:spacing w:val="0"/>
                <w:sz w:val="20"/>
                <w:szCs w:val="20"/>
                <w:lang w:eastAsia="en-US"/>
              </w:rPr>
            </w:pPr>
            <w:r w:rsidRPr="00B47D87">
              <w:rPr>
                <w:rFonts w:eastAsia="Calibri" w:cs="Arial"/>
                <w:spacing w:val="0"/>
                <w:sz w:val="20"/>
                <w:szCs w:val="20"/>
                <w:lang w:eastAsia="en-US"/>
              </w:rPr>
              <w:t xml:space="preserve">Report against appropriate outcome domains as specified in the </w:t>
            </w:r>
            <w:hyperlink r:id="rId76" w:history="1">
              <w:r w:rsidRPr="00B47D87">
                <w:rPr>
                  <w:rFonts w:eastAsia="Calibri" w:cs="Arial"/>
                  <w:color w:val="0000FF"/>
                  <w:spacing w:val="0"/>
                  <w:sz w:val="20"/>
                  <w:szCs w:val="20"/>
                  <w:u w:val="single"/>
                  <w:lang w:eastAsia="en-US"/>
                </w:rPr>
                <w:t>DEX Program Specific Guidance</w:t>
              </w:r>
            </w:hyperlink>
            <w:r w:rsidRPr="00B47D87">
              <w:rPr>
                <w:rFonts w:eastAsia="Calibri" w:cs="Arial"/>
                <w:spacing w:val="0"/>
                <w:sz w:val="20"/>
                <w:szCs w:val="20"/>
                <w:lang w:eastAsia="en-US"/>
              </w:rPr>
              <w:t>.</w:t>
            </w:r>
          </w:p>
          <w:p w14:paraId="5F838F76"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Meet the minimum requirements in the third and fourth reporting periods of the grant agreement (i.e. 1 July 2022 to 30 June 2023).</w:t>
            </w:r>
          </w:p>
        </w:tc>
        <w:tc>
          <w:tcPr>
            <w:tcW w:w="3006" w:type="dxa"/>
            <w:tcMar>
              <w:top w:w="85" w:type="dxa"/>
              <w:left w:w="85" w:type="dxa"/>
              <w:bottom w:w="85" w:type="dxa"/>
              <w:right w:w="85" w:type="dxa"/>
            </w:tcMar>
          </w:tcPr>
          <w:p w14:paraId="55238CCA"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Minimum requirements for Data Exchange Partnership Approach include:</w:t>
            </w:r>
          </w:p>
          <w:p w14:paraId="4FDD02F0"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50 per cent of clients assessed for Circumstances.</w:t>
            </w:r>
          </w:p>
          <w:p w14:paraId="6CC69E0E"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50 per cent of clients assessed for Goals.</w:t>
            </w:r>
          </w:p>
          <w:p w14:paraId="1AAA7C5E"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10 per cent of clients assessed for Satisfaction.</w:t>
            </w:r>
          </w:p>
        </w:tc>
      </w:tr>
      <w:tr w:rsidR="00DC3D55" w:rsidRPr="00B47D87" w14:paraId="36D3FC59" w14:textId="77777777" w:rsidTr="00B47D87">
        <w:trPr>
          <w:cantSplit/>
        </w:trPr>
        <w:tc>
          <w:tcPr>
            <w:tcW w:w="3005" w:type="dxa"/>
            <w:tcMar>
              <w:top w:w="85" w:type="dxa"/>
              <w:left w:w="85" w:type="dxa"/>
              <w:bottom w:w="85" w:type="dxa"/>
              <w:right w:w="85" w:type="dxa"/>
            </w:tcMar>
          </w:tcPr>
          <w:p w14:paraId="4327FE3D"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Develop a program logic and theory of change</w:t>
            </w:r>
          </w:p>
        </w:tc>
        <w:tc>
          <w:tcPr>
            <w:tcW w:w="3005" w:type="dxa"/>
            <w:tcMar>
              <w:top w:w="85" w:type="dxa"/>
              <w:left w:w="85" w:type="dxa"/>
              <w:bottom w:w="85" w:type="dxa"/>
              <w:right w:w="85" w:type="dxa"/>
            </w:tcMar>
          </w:tcPr>
          <w:p w14:paraId="70515023"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 xml:space="preserve">Develop a program logic and theory of change using the </w:t>
            </w:r>
            <w:proofErr w:type="spellStart"/>
            <w:r w:rsidRPr="00B47D87">
              <w:rPr>
                <w:rFonts w:eastAsia="Calibri" w:cs="Arial"/>
                <w:spacing w:val="0"/>
                <w:sz w:val="20"/>
                <w:szCs w:val="20"/>
                <w:lang w:eastAsia="en-US"/>
              </w:rPr>
              <w:t>FaC</w:t>
            </w:r>
            <w:proofErr w:type="spellEnd"/>
            <w:r w:rsidRPr="00B47D87">
              <w:rPr>
                <w:rFonts w:eastAsia="Calibri" w:cs="Arial"/>
                <w:spacing w:val="0"/>
                <w:sz w:val="20"/>
                <w:szCs w:val="20"/>
                <w:lang w:eastAsia="en-US"/>
              </w:rPr>
              <w:t xml:space="preserve"> Activity template. </w:t>
            </w:r>
          </w:p>
          <w:p w14:paraId="7A7C30B8"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The department will provide feedback on working drafts and approve final documents.</w:t>
            </w:r>
          </w:p>
        </w:tc>
        <w:tc>
          <w:tcPr>
            <w:tcW w:w="3006" w:type="dxa"/>
            <w:tcMar>
              <w:top w:w="85" w:type="dxa"/>
              <w:left w:w="85" w:type="dxa"/>
              <w:bottom w:w="85" w:type="dxa"/>
              <w:right w:w="85" w:type="dxa"/>
            </w:tcMar>
          </w:tcPr>
          <w:p w14:paraId="0965F32A"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Submit a first draft by 31 March 2022.</w:t>
            </w:r>
          </w:p>
          <w:p w14:paraId="272E5086"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Submit a final version by 30 June 2023 that is approved by the department.</w:t>
            </w:r>
          </w:p>
        </w:tc>
      </w:tr>
      <w:tr w:rsidR="00DC3D55" w:rsidRPr="00B47D87" w14:paraId="79B63693" w14:textId="77777777" w:rsidTr="00B47D87">
        <w:trPr>
          <w:cantSplit/>
        </w:trPr>
        <w:tc>
          <w:tcPr>
            <w:tcW w:w="3005" w:type="dxa"/>
            <w:tcMar>
              <w:top w:w="85" w:type="dxa"/>
              <w:left w:w="85" w:type="dxa"/>
              <w:bottom w:w="85" w:type="dxa"/>
              <w:right w:w="85" w:type="dxa"/>
            </w:tcMar>
          </w:tcPr>
          <w:p w14:paraId="7D84A9BC"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Submit Activity Work Plans (AWPs) and AWP reports</w:t>
            </w:r>
          </w:p>
        </w:tc>
        <w:tc>
          <w:tcPr>
            <w:tcW w:w="3005" w:type="dxa"/>
            <w:tcMar>
              <w:top w:w="85" w:type="dxa"/>
              <w:left w:w="85" w:type="dxa"/>
              <w:bottom w:w="85" w:type="dxa"/>
              <w:right w:w="85" w:type="dxa"/>
            </w:tcMar>
          </w:tcPr>
          <w:p w14:paraId="65709578"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 xml:space="preserve">All providers are required to use the standard AWP report template. </w:t>
            </w:r>
          </w:p>
        </w:tc>
        <w:tc>
          <w:tcPr>
            <w:tcW w:w="3006" w:type="dxa"/>
            <w:tcMar>
              <w:top w:w="85" w:type="dxa"/>
              <w:left w:w="85" w:type="dxa"/>
              <w:bottom w:w="85" w:type="dxa"/>
              <w:right w:w="85" w:type="dxa"/>
            </w:tcMar>
          </w:tcPr>
          <w:p w14:paraId="2B230652"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Submit AWPs and AWP reports by the milestone dates in the grant agreement.</w:t>
            </w:r>
          </w:p>
        </w:tc>
      </w:tr>
      <w:tr w:rsidR="00DC3D55" w:rsidRPr="00B47D87" w14:paraId="0B1B6FD3" w14:textId="77777777" w:rsidTr="00B47D87">
        <w:trPr>
          <w:cantSplit/>
        </w:trPr>
        <w:tc>
          <w:tcPr>
            <w:tcW w:w="3005" w:type="dxa"/>
            <w:tcMar>
              <w:top w:w="85" w:type="dxa"/>
              <w:left w:w="85" w:type="dxa"/>
              <w:bottom w:w="85" w:type="dxa"/>
              <w:right w:w="85" w:type="dxa"/>
            </w:tcMar>
          </w:tcPr>
          <w:p w14:paraId="5E58ADD8"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Submit financial acquittal reports</w:t>
            </w:r>
          </w:p>
        </w:tc>
        <w:tc>
          <w:tcPr>
            <w:tcW w:w="3005" w:type="dxa"/>
            <w:tcMar>
              <w:top w:w="85" w:type="dxa"/>
              <w:left w:w="85" w:type="dxa"/>
              <w:bottom w:w="85" w:type="dxa"/>
              <w:right w:w="85" w:type="dxa"/>
            </w:tcMar>
          </w:tcPr>
          <w:p w14:paraId="0B122ED5"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All financial acquittal reports must be submitted in accordance with the requirements of the grant agreement and departmental guidelines.</w:t>
            </w:r>
          </w:p>
        </w:tc>
        <w:tc>
          <w:tcPr>
            <w:tcW w:w="3006" w:type="dxa"/>
            <w:tcMar>
              <w:top w:w="85" w:type="dxa"/>
              <w:left w:w="85" w:type="dxa"/>
              <w:bottom w:w="85" w:type="dxa"/>
              <w:right w:w="85" w:type="dxa"/>
            </w:tcMar>
          </w:tcPr>
          <w:p w14:paraId="539B626A"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Submit valid financial acquittal reports by the milestone dates in the grant agreement.</w:t>
            </w:r>
          </w:p>
        </w:tc>
      </w:tr>
    </w:tbl>
    <w:p w14:paraId="7DA4AEBE" w14:textId="77777777" w:rsidR="00B47D87" w:rsidRDefault="00B47D87">
      <w:r>
        <w:br w:type="page"/>
      </w:r>
    </w:p>
    <w:tbl>
      <w:tblPr>
        <w:tblStyle w:val="TableGrid1"/>
        <w:tblW w:w="0" w:type="auto"/>
        <w:tblLook w:val="04A0" w:firstRow="1" w:lastRow="0" w:firstColumn="1" w:lastColumn="0" w:noHBand="0" w:noVBand="1"/>
      </w:tblPr>
      <w:tblGrid>
        <w:gridCol w:w="3005"/>
        <w:gridCol w:w="3005"/>
        <w:gridCol w:w="3006"/>
      </w:tblGrid>
      <w:tr w:rsidR="00DC3D55" w:rsidRPr="00B47D87" w14:paraId="5BF6B094" w14:textId="77777777" w:rsidTr="00B47D87">
        <w:trPr>
          <w:cantSplit/>
        </w:trPr>
        <w:tc>
          <w:tcPr>
            <w:tcW w:w="9016" w:type="dxa"/>
            <w:gridSpan w:val="3"/>
            <w:shd w:val="clear" w:color="auto" w:fill="DAEEF3"/>
            <w:tcMar>
              <w:top w:w="85" w:type="dxa"/>
              <w:left w:w="85" w:type="dxa"/>
              <w:bottom w:w="85" w:type="dxa"/>
              <w:right w:w="85" w:type="dxa"/>
            </w:tcMar>
          </w:tcPr>
          <w:p w14:paraId="369DBA09" w14:textId="69159FE9"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lastRenderedPageBreak/>
              <w:t xml:space="preserve">Data and outcomes assessment </w:t>
            </w:r>
          </w:p>
        </w:tc>
      </w:tr>
      <w:tr w:rsidR="00DC3D55" w:rsidRPr="00B47D87" w14:paraId="51256390" w14:textId="77777777" w:rsidTr="00B47D87">
        <w:trPr>
          <w:cantSplit/>
        </w:trPr>
        <w:tc>
          <w:tcPr>
            <w:tcW w:w="3005" w:type="dxa"/>
            <w:tcMar>
              <w:top w:w="85" w:type="dxa"/>
              <w:left w:w="85" w:type="dxa"/>
              <w:bottom w:w="85" w:type="dxa"/>
              <w:right w:w="85" w:type="dxa"/>
            </w:tcMar>
          </w:tcPr>
          <w:p w14:paraId="21E0F848"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SCORE Client Circumstances</w:t>
            </w:r>
          </w:p>
        </w:tc>
        <w:tc>
          <w:tcPr>
            <w:tcW w:w="3005" w:type="dxa"/>
            <w:tcMar>
              <w:top w:w="85" w:type="dxa"/>
              <w:left w:w="85" w:type="dxa"/>
              <w:bottom w:w="85" w:type="dxa"/>
              <w:right w:w="85" w:type="dxa"/>
            </w:tcMar>
          </w:tcPr>
          <w:p w14:paraId="4EA1A5D1" w14:textId="77777777" w:rsidR="00DC3D55" w:rsidRPr="00B47D87" w:rsidRDefault="00DC3D55" w:rsidP="00472906">
            <w:pPr>
              <w:spacing w:after="120"/>
              <w:rPr>
                <w:rFonts w:eastAsia="Calibri" w:cs="Arial"/>
                <w:i/>
                <w:spacing w:val="0"/>
                <w:sz w:val="20"/>
                <w:szCs w:val="20"/>
                <w:lang w:eastAsia="en-US"/>
              </w:rPr>
            </w:pPr>
            <w:r w:rsidRPr="00B47D87">
              <w:rPr>
                <w:rFonts w:eastAsia="Calibri" w:cs="Arial"/>
                <w:spacing w:val="0"/>
                <w:sz w:val="20"/>
                <w:szCs w:val="20"/>
                <w:lang w:eastAsia="en-US"/>
              </w:rPr>
              <w:t xml:space="preserve">Report against appropriate outcome domains as specified in the </w:t>
            </w:r>
            <w:hyperlink r:id="rId77" w:history="1">
              <w:r w:rsidRPr="00B47D87">
                <w:rPr>
                  <w:rFonts w:eastAsia="Calibri" w:cs="Arial"/>
                  <w:color w:val="0000FF"/>
                  <w:spacing w:val="0"/>
                  <w:sz w:val="20"/>
                  <w:szCs w:val="20"/>
                  <w:u w:val="single"/>
                  <w:lang w:eastAsia="en-US"/>
                </w:rPr>
                <w:t>DEX Program Specific Guidance</w:t>
              </w:r>
            </w:hyperlink>
            <w:r w:rsidRPr="00B47D87">
              <w:rPr>
                <w:rFonts w:eastAsia="Calibri" w:cs="Arial"/>
                <w:spacing w:val="0"/>
                <w:sz w:val="20"/>
                <w:szCs w:val="20"/>
                <w:lang w:eastAsia="en-US"/>
              </w:rPr>
              <w:t>.</w:t>
            </w:r>
          </w:p>
          <w:p w14:paraId="2A631D97"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3772FB74"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 xml:space="preserve">80 per cent of clients with a complete SCORE assessment achieve a </w:t>
            </w:r>
            <w:r w:rsidRPr="00B47D87">
              <w:rPr>
                <w:rFonts w:eastAsia="Calibri" w:cs="Arial"/>
                <w:b/>
                <w:i/>
                <w:spacing w:val="0"/>
                <w:sz w:val="20"/>
                <w:szCs w:val="20"/>
                <w:lang w:eastAsia="en-US"/>
              </w:rPr>
              <w:t>positive or neutral</w:t>
            </w:r>
            <w:r w:rsidRPr="00B47D87">
              <w:rPr>
                <w:rFonts w:eastAsia="Calibri" w:cs="Arial"/>
                <w:spacing w:val="0"/>
                <w:sz w:val="20"/>
                <w:szCs w:val="20"/>
                <w:lang w:eastAsia="en-US"/>
              </w:rPr>
              <w:t xml:space="preserve"> </w:t>
            </w:r>
            <w:r w:rsidRPr="00B47D87">
              <w:rPr>
                <w:rFonts w:eastAsia="Calibri" w:cs="Arial"/>
                <w:b/>
                <w:i/>
                <w:spacing w:val="0"/>
                <w:sz w:val="20"/>
                <w:szCs w:val="20"/>
                <w:lang w:eastAsia="en-US"/>
              </w:rPr>
              <w:t>change</w:t>
            </w:r>
            <w:r w:rsidRPr="00B47D87">
              <w:rPr>
                <w:rFonts w:eastAsia="Calibri" w:cs="Arial"/>
                <w:spacing w:val="0"/>
                <w:sz w:val="20"/>
                <w:szCs w:val="20"/>
                <w:lang w:eastAsia="en-US"/>
              </w:rPr>
              <w:t xml:space="preserve"> in Client Circumstances.</w:t>
            </w:r>
          </w:p>
        </w:tc>
      </w:tr>
      <w:tr w:rsidR="00DC3D55" w:rsidRPr="00B47D87" w14:paraId="699E73A3" w14:textId="77777777" w:rsidTr="00B47D87">
        <w:trPr>
          <w:cantSplit/>
        </w:trPr>
        <w:tc>
          <w:tcPr>
            <w:tcW w:w="3005" w:type="dxa"/>
            <w:tcMar>
              <w:top w:w="85" w:type="dxa"/>
              <w:left w:w="85" w:type="dxa"/>
              <w:bottom w:w="85" w:type="dxa"/>
              <w:right w:w="85" w:type="dxa"/>
            </w:tcMar>
          </w:tcPr>
          <w:p w14:paraId="22695DA9"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SCORE Client Goals</w:t>
            </w:r>
          </w:p>
        </w:tc>
        <w:tc>
          <w:tcPr>
            <w:tcW w:w="3005" w:type="dxa"/>
            <w:tcMar>
              <w:top w:w="85" w:type="dxa"/>
              <w:left w:w="85" w:type="dxa"/>
              <w:bottom w:w="85" w:type="dxa"/>
              <w:right w:w="85" w:type="dxa"/>
            </w:tcMar>
          </w:tcPr>
          <w:p w14:paraId="3F3AE7C6" w14:textId="77777777" w:rsidR="00DC3D55" w:rsidRPr="00B47D87" w:rsidRDefault="00DC3D55" w:rsidP="00472906">
            <w:pPr>
              <w:spacing w:after="120"/>
              <w:rPr>
                <w:rFonts w:eastAsia="Calibri" w:cs="Arial"/>
                <w:i/>
                <w:spacing w:val="0"/>
                <w:sz w:val="20"/>
                <w:szCs w:val="20"/>
                <w:lang w:eastAsia="en-US"/>
              </w:rPr>
            </w:pPr>
            <w:r w:rsidRPr="00B47D87">
              <w:rPr>
                <w:rFonts w:eastAsia="Calibri" w:cs="Arial"/>
                <w:spacing w:val="0"/>
                <w:sz w:val="20"/>
                <w:szCs w:val="20"/>
                <w:lang w:eastAsia="en-US"/>
              </w:rPr>
              <w:t xml:space="preserve">Report against appropriate outcome domains as specified in the </w:t>
            </w:r>
            <w:hyperlink r:id="rId78" w:history="1">
              <w:r w:rsidRPr="00B47D87">
                <w:rPr>
                  <w:rFonts w:eastAsia="Calibri" w:cs="Arial"/>
                  <w:color w:val="0000FF"/>
                  <w:spacing w:val="0"/>
                  <w:sz w:val="20"/>
                  <w:szCs w:val="20"/>
                  <w:u w:val="single"/>
                  <w:lang w:eastAsia="en-US"/>
                </w:rPr>
                <w:t>DEX Program Specific Guidance</w:t>
              </w:r>
            </w:hyperlink>
            <w:r w:rsidRPr="00B47D87">
              <w:rPr>
                <w:rFonts w:eastAsia="Calibri" w:cs="Arial"/>
                <w:spacing w:val="0"/>
                <w:sz w:val="20"/>
                <w:szCs w:val="20"/>
                <w:lang w:eastAsia="en-US"/>
              </w:rPr>
              <w:t>.</w:t>
            </w:r>
          </w:p>
          <w:p w14:paraId="51DA666E"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42985916"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 xml:space="preserve">80 per cent of clients with a complete SCORE assessment achieve a </w:t>
            </w:r>
            <w:r w:rsidRPr="00B47D87">
              <w:rPr>
                <w:rFonts w:eastAsia="Calibri" w:cs="Arial"/>
                <w:b/>
                <w:i/>
                <w:spacing w:val="0"/>
                <w:sz w:val="20"/>
                <w:szCs w:val="20"/>
                <w:lang w:eastAsia="en-US"/>
              </w:rPr>
              <w:t>positive or neutral</w:t>
            </w:r>
            <w:r w:rsidRPr="00B47D87">
              <w:rPr>
                <w:rFonts w:eastAsia="Calibri" w:cs="Arial"/>
                <w:spacing w:val="0"/>
                <w:sz w:val="20"/>
                <w:szCs w:val="20"/>
                <w:lang w:eastAsia="en-US"/>
              </w:rPr>
              <w:t xml:space="preserve"> </w:t>
            </w:r>
            <w:r w:rsidRPr="00B47D87">
              <w:rPr>
                <w:rFonts w:eastAsia="Calibri" w:cs="Arial"/>
                <w:b/>
                <w:i/>
                <w:spacing w:val="0"/>
                <w:sz w:val="20"/>
                <w:szCs w:val="20"/>
                <w:lang w:eastAsia="en-US"/>
              </w:rPr>
              <w:t>change</w:t>
            </w:r>
            <w:r w:rsidRPr="00B47D87">
              <w:rPr>
                <w:rFonts w:eastAsia="Calibri" w:cs="Arial"/>
                <w:spacing w:val="0"/>
                <w:sz w:val="20"/>
                <w:szCs w:val="20"/>
                <w:lang w:eastAsia="en-US"/>
              </w:rPr>
              <w:t xml:space="preserve"> in Client Goals.</w:t>
            </w:r>
          </w:p>
        </w:tc>
      </w:tr>
      <w:tr w:rsidR="00DC3D55" w:rsidRPr="00B47D87" w14:paraId="60FB6B11" w14:textId="77777777" w:rsidTr="00B47D87">
        <w:trPr>
          <w:cantSplit/>
        </w:trPr>
        <w:tc>
          <w:tcPr>
            <w:tcW w:w="3005" w:type="dxa"/>
            <w:tcMar>
              <w:top w:w="85" w:type="dxa"/>
              <w:left w:w="85" w:type="dxa"/>
              <w:bottom w:w="85" w:type="dxa"/>
              <w:right w:w="85" w:type="dxa"/>
            </w:tcMar>
          </w:tcPr>
          <w:p w14:paraId="7EC71B76"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SCORE Client Satisfaction</w:t>
            </w:r>
          </w:p>
        </w:tc>
        <w:tc>
          <w:tcPr>
            <w:tcW w:w="3005" w:type="dxa"/>
            <w:tcMar>
              <w:top w:w="85" w:type="dxa"/>
              <w:left w:w="85" w:type="dxa"/>
              <w:bottom w:w="85" w:type="dxa"/>
              <w:right w:w="85" w:type="dxa"/>
            </w:tcMar>
          </w:tcPr>
          <w:p w14:paraId="3775899C" w14:textId="77777777" w:rsidR="00DC3D55" w:rsidRPr="00B47D87" w:rsidRDefault="00DC3D55" w:rsidP="00472906">
            <w:pPr>
              <w:spacing w:after="120"/>
              <w:rPr>
                <w:rFonts w:eastAsia="Calibri" w:cs="Arial"/>
                <w:i/>
                <w:spacing w:val="0"/>
                <w:sz w:val="20"/>
                <w:szCs w:val="20"/>
                <w:lang w:eastAsia="en-US"/>
              </w:rPr>
            </w:pPr>
            <w:r w:rsidRPr="00B47D87">
              <w:rPr>
                <w:rFonts w:eastAsia="Calibri" w:cs="Arial"/>
                <w:spacing w:val="0"/>
                <w:sz w:val="20"/>
                <w:szCs w:val="20"/>
                <w:lang w:eastAsia="en-US"/>
              </w:rPr>
              <w:t xml:space="preserve">Report against appropriate outcome domains as specified in the </w:t>
            </w:r>
            <w:hyperlink r:id="rId79" w:history="1">
              <w:r w:rsidRPr="00B47D87">
                <w:rPr>
                  <w:rFonts w:eastAsia="Calibri" w:cs="Arial"/>
                  <w:color w:val="0000FF"/>
                  <w:spacing w:val="0"/>
                  <w:sz w:val="20"/>
                  <w:szCs w:val="20"/>
                  <w:u w:val="single"/>
                  <w:lang w:eastAsia="en-US"/>
                </w:rPr>
                <w:t>DEX Program Specific Guidance</w:t>
              </w:r>
            </w:hyperlink>
            <w:r w:rsidRPr="00B47D87">
              <w:rPr>
                <w:rFonts w:eastAsia="Calibri" w:cs="Arial"/>
                <w:spacing w:val="0"/>
                <w:sz w:val="20"/>
                <w:szCs w:val="20"/>
                <w:lang w:eastAsia="en-US"/>
              </w:rPr>
              <w:t>.</w:t>
            </w:r>
          </w:p>
          <w:p w14:paraId="332CF65F"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5EF4660A"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 xml:space="preserve">90 per cent of clients with a complete SCORE assessment report </w:t>
            </w:r>
            <w:r w:rsidRPr="00B47D87">
              <w:rPr>
                <w:rFonts w:eastAsia="Calibri" w:cs="Arial"/>
                <w:b/>
                <w:i/>
                <w:spacing w:val="0"/>
                <w:sz w:val="20"/>
                <w:szCs w:val="20"/>
                <w:lang w:eastAsia="en-US"/>
              </w:rPr>
              <w:t>positive</w:t>
            </w:r>
            <w:r w:rsidRPr="00B47D87">
              <w:rPr>
                <w:rFonts w:eastAsia="Calibri" w:cs="Arial"/>
                <w:spacing w:val="0"/>
                <w:sz w:val="20"/>
                <w:szCs w:val="20"/>
                <w:lang w:eastAsia="en-US"/>
              </w:rPr>
              <w:t xml:space="preserve"> Client Satisfaction.</w:t>
            </w:r>
          </w:p>
        </w:tc>
      </w:tr>
      <w:tr w:rsidR="00DC3D55" w:rsidRPr="00B47D87" w14:paraId="13EE6DA5" w14:textId="77777777" w:rsidTr="00B47D87">
        <w:trPr>
          <w:cantSplit/>
        </w:trPr>
        <w:tc>
          <w:tcPr>
            <w:tcW w:w="3005" w:type="dxa"/>
            <w:tcMar>
              <w:top w:w="85" w:type="dxa"/>
              <w:left w:w="85" w:type="dxa"/>
              <w:bottom w:w="85" w:type="dxa"/>
              <w:right w:w="85" w:type="dxa"/>
            </w:tcMar>
          </w:tcPr>
          <w:p w14:paraId="2847586C"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lastRenderedPageBreak/>
              <w:t>Target number of clients</w:t>
            </w:r>
            <w:r w:rsidRPr="00B47D87">
              <w:rPr>
                <w:rStyle w:val="FootnoteReference"/>
                <w:rFonts w:eastAsia="Calibri" w:cs="Arial"/>
                <w:spacing w:val="0"/>
                <w:sz w:val="20"/>
                <w:szCs w:val="20"/>
                <w:lang w:eastAsia="en-US"/>
              </w:rPr>
              <w:footnoteReference w:id="5"/>
            </w:r>
            <w:r w:rsidRPr="00B47D87">
              <w:rPr>
                <w:rFonts w:eastAsia="Calibri" w:cs="Arial"/>
                <w:spacing w:val="0"/>
                <w:sz w:val="20"/>
                <w:szCs w:val="20"/>
                <w:lang w:eastAsia="en-US"/>
              </w:rPr>
              <w:t xml:space="preserve"> assisted</w:t>
            </w:r>
          </w:p>
        </w:tc>
        <w:tc>
          <w:tcPr>
            <w:tcW w:w="3005" w:type="dxa"/>
            <w:tcMar>
              <w:top w:w="85" w:type="dxa"/>
              <w:left w:w="85" w:type="dxa"/>
              <w:bottom w:w="85" w:type="dxa"/>
              <w:right w:w="85" w:type="dxa"/>
            </w:tcMar>
          </w:tcPr>
          <w:p w14:paraId="5417FAA1"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Each service provider sets an annual target for the number of clients it will assist. The target is agreed with the department and forms part of the AWP.</w:t>
            </w:r>
          </w:p>
          <w:p w14:paraId="36F6D2B2" w14:textId="77777777" w:rsidR="00DC3D55" w:rsidRPr="00B47D87" w:rsidRDefault="00DC3D55" w:rsidP="00472906">
            <w:pPr>
              <w:rPr>
                <w:rFonts w:eastAsia="Calibri" w:cs="Arial"/>
                <w:spacing w:val="0"/>
                <w:sz w:val="20"/>
                <w:szCs w:val="20"/>
                <w:lang w:eastAsia="en-US"/>
              </w:rPr>
            </w:pPr>
          </w:p>
          <w:p w14:paraId="35FDD932"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Meet the annual target in the second financial year of the grant agreement (i.e. 1 July 2022 to 30 June 2023).</w:t>
            </w:r>
          </w:p>
        </w:tc>
        <w:tc>
          <w:tcPr>
            <w:tcW w:w="3006" w:type="dxa"/>
            <w:tcMar>
              <w:top w:w="85" w:type="dxa"/>
              <w:left w:w="85" w:type="dxa"/>
              <w:bottom w:w="85" w:type="dxa"/>
              <w:right w:w="85" w:type="dxa"/>
            </w:tcMar>
          </w:tcPr>
          <w:p w14:paraId="66822788"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 xml:space="preserve">Achieve the annual target number of clients assisted as agreed in the AWP. </w:t>
            </w:r>
          </w:p>
          <w:p w14:paraId="2A337A7A" w14:textId="77777777" w:rsidR="00DC3D55" w:rsidRPr="00B47D87" w:rsidRDefault="00DC3D55" w:rsidP="00472906">
            <w:pPr>
              <w:rPr>
                <w:rFonts w:eastAsia="Calibri" w:cs="Arial"/>
                <w:spacing w:val="0"/>
                <w:sz w:val="20"/>
                <w:szCs w:val="20"/>
                <w:lang w:eastAsia="en-US"/>
              </w:rPr>
            </w:pPr>
          </w:p>
        </w:tc>
      </w:tr>
      <w:tr w:rsidR="00DC3D55" w:rsidRPr="00B47D87" w14:paraId="3783B5AD" w14:textId="77777777" w:rsidTr="00B47D87">
        <w:trPr>
          <w:cantSplit/>
        </w:trPr>
        <w:tc>
          <w:tcPr>
            <w:tcW w:w="3005" w:type="dxa"/>
            <w:tcMar>
              <w:top w:w="85" w:type="dxa"/>
              <w:left w:w="85" w:type="dxa"/>
              <w:bottom w:w="85" w:type="dxa"/>
              <w:right w:w="85" w:type="dxa"/>
            </w:tcMar>
          </w:tcPr>
          <w:p w14:paraId="3CF105D1"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Client demographic targets</w:t>
            </w:r>
          </w:p>
        </w:tc>
        <w:tc>
          <w:tcPr>
            <w:tcW w:w="3005" w:type="dxa"/>
            <w:tcMar>
              <w:top w:w="85" w:type="dxa"/>
              <w:left w:w="85" w:type="dxa"/>
              <w:bottom w:w="85" w:type="dxa"/>
              <w:right w:w="85" w:type="dxa"/>
            </w:tcMar>
          </w:tcPr>
          <w:p w14:paraId="05790995"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Service providers record the following demographic characteristics in DEX:</w:t>
            </w:r>
          </w:p>
          <w:p w14:paraId="0F7146C3" w14:textId="77777777" w:rsidR="00DC3D55" w:rsidRPr="00B47D87" w:rsidRDefault="00DC3D55" w:rsidP="00472906">
            <w:pPr>
              <w:numPr>
                <w:ilvl w:val="0"/>
                <w:numId w:val="100"/>
              </w:numPr>
              <w:spacing w:before="0" w:after="120" w:line="240" w:lineRule="auto"/>
              <w:contextualSpacing/>
              <w:rPr>
                <w:rFonts w:eastAsia="Calibri" w:cs="Arial"/>
                <w:spacing w:val="0"/>
                <w:sz w:val="20"/>
                <w:szCs w:val="20"/>
                <w:lang w:eastAsia="en-US"/>
              </w:rPr>
            </w:pPr>
            <w:r w:rsidRPr="00B47D87">
              <w:rPr>
                <w:rFonts w:eastAsia="Calibri" w:cs="Arial"/>
                <w:spacing w:val="0"/>
                <w:sz w:val="20"/>
                <w:szCs w:val="20"/>
                <w:lang w:eastAsia="en-US"/>
              </w:rPr>
              <w:t>Indigenous status</w:t>
            </w:r>
          </w:p>
          <w:p w14:paraId="07B47212" w14:textId="77777777" w:rsidR="00DC3D55" w:rsidRPr="00B47D87" w:rsidRDefault="00DC3D55" w:rsidP="00472906">
            <w:pPr>
              <w:numPr>
                <w:ilvl w:val="0"/>
                <w:numId w:val="100"/>
              </w:numPr>
              <w:spacing w:before="0" w:after="120" w:line="240" w:lineRule="auto"/>
              <w:contextualSpacing/>
              <w:rPr>
                <w:rFonts w:eastAsia="Calibri" w:cs="Arial"/>
                <w:spacing w:val="0"/>
                <w:sz w:val="20"/>
                <w:szCs w:val="20"/>
                <w:lang w:eastAsia="en-US"/>
              </w:rPr>
            </w:pPr>
            <w:r w:rsidRPr="00B47D87">
              <w:rPr>
                <w:rFonts w:eastAsia="Calibri" w:cs="Arial"/>
                <w:spacing w:val="0"/>
                <w:sz w:val="20"/>
                <w:szCs w:val="20"/>
                <w:lang w:eastAsia="en-US"/>
              </w:rPr>
              <w:t>Country of birth</w:t>
            </w:r>
          </w:p>
          <w:p w14:paraId="3088DE1A" w14:textId="77777777" w:rsidR="00DC3D55" w:rsidRPr="00B47D87" w:rsidRDefault="00DC3D55" w:rsidP="00472906">
            <w:pPr>
              <w:numPr>
                <w:ilvl w:val="0"/>
                <w:numId w:val="100"/>
              </w:numPr>
              <w:spacing w:before="0" w:after="120" w:line="240" w:lineRule="auto"/>
              <w:contextualSpacing/>
              <w:rPr>
                <w:rFonts w:eastAsia="Calibri" w:cs="Arial"/>
                <w:spacing w:val="0"/>
                <w:sz w:val="20"/>
                <w:szCs w:val="20"/>
                <w:lang w:eastAsia="en-US"/>
              </w:rPr>
            </w:pPr>
            <w:r w:rsidRPr="00B47D87">
              <w:rPr>
                <w:rFonts w:eastAsia="Calibri" w:cs="Arial"/>
                <w:spacing w:val="0"/>
                <w:sz w:val="20"/>
                <w:szCs w:val="20"/>
                <w:lang w:eastAsia="en-US"/>
              </w:rPr>
              <w:t>Main language spoken at home</w:t>
            </w:r>
          </w:p>
          <w:p w14:paraId="0DBD62D1" w14:textId="77777777" w:rsidR="00DC3D55" w:rsidRPr="00B47D87" w:rsidRDefault="00DC3D55" w:rsidP="00472906">
            <w:pPr>
              <w:numPr>
                <w:ilvl w:val="0"/>
                <w:numId w:val="100"/>
              </w:numPr>
              <w:spacing w:before="0" w:after="120" w:line="240" w:lineRule="auto"/>
              <w:contextualSpacing/>
              <w:rPr>
                <w:rFonts w:eastAsia="Calibri" w:cs="Arial"/>
                <w:spacing w:val="0"/>
                <w:sz w:val="20"/>
                <w:szCs w:val="20"/>
                <w:lang w:eastAsia="en-US"/>
              </w:rPr>
            </w:pPr>
            <w:r w:rsidRPr="00B47D87">
              <w:rPr>
                <w:rFonts w:eastAsia="Calibri" w:cs="Arial"/>
                <w:spacing w:val="0"/>
                <w:sz w:val="20"/>
                <w:szCs w:val="20"/>
                <w:lang w:eastAsia="en-US"/>
              </w:rPr>
              <w:t>Disability, impairment or condition</w:t>
            </w:r>
          </w:p>
          <w:p w14:paraId="35849776"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Each service provider sets annual targets for demographic groups its service will assist. The targets are agreed with the department and form part of the AWP.</w:t>
            </w:r>
          </w:p>
          <w:p w14:paraId="3AB351CD"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t>Meet the annual targets in the second financial year of the grant agreement (i.e. 1 July 2022 to 30 June 2023).</w:t>
            </w:r>
          </w:p>
        </w:tc>
        <w:tc>
          <w:tcPr>
            <w:tcW w:w="3006" w:type="dxa"/>
            <w:tcMar>
              <w:top w:w="85" w:type="dxa"/>
              <w:left w:w="85" w:type="dxa"/>
              <w:bottom w:w="85" w:type="dxa"/>
              <w:right w:w="85" w:type="dxa"/>
            </w:tcMar>
          </w:tcPr>
          <w:p w14:paraId="0C55E757"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Achieve the annual targets for assisting particular demographic groups as agreed in the AWP.</w:t>
            </w:r>
          </w:p>
          <w:p w14:paraId="56989B1E" w14:textId="77777777" w:rsidR="00DC3D55" w:rsidRPr="00B47D87" w:rsidRDefault="00DC3D55" w:rsidP="00472906">
            <w:pPr>
              <w:numPr>
                <w:ilvl w:val="0"/>
                <w:numId w:val="99"/>
              </w:numPr>
              <w:spacing w:before="0" w:after="0" w:line="240" w:lineRule="auto"/>
              <w:ind w:left="540"/>
              <w:textAlignment w:val="center"/>
              <w:rPr>
                <w:rFonts w:eastAsia="Calibri" w:cs="Arial"/>
                <w:spacing w:val="0"/>
                <w:sz w:val="20"/>
                <w:szCs w:val="20"/>
                <w:lang w:eastAsia="en-US"/>
              </w:rPr>
            </w:pPr>
            <w:r w:rsidRPr="00B47D87">
              <w:rPr>
                <w:rFonts w:eastAsia="Calibri" w:cs="Arial"/>
                <w:spacing w:val="0"/>
                <w:sz w:val="20"/>
                <w:szCs w:val="20"/>
                <w:lang w:eastAsia="en-US"/>
              </w:rPr>
              <w:t>80 per cent of clients have complete demographic data.</w:t>
            </w:r>
          </w:p>
        </w:tc>
      </w:tr>
      <w:tr w:rsidR="00DC3D55" w:rsidRPr="00B47D87" w14:paraId="0B2FA794" w14:textId="77777777" w:rsidTr="00B47D87">
        <w:trPr>
          <w:cantSplit/>
        </w:trPr>
        <w:tc>
          <w:tcPr>
            <w:tcW w:w="3005" w:type="dxa"/>
            <w:tcMar>
              <w:top w:w="85" w:type="dxa"/>
              <w:left w:w="85" w:type="dxa"/>
              <w:bottom w:w="85" w:type="dxa"/>
              <w:right w:w="85" w:type="dxa"/>
            </w:tcMar>
          </w:tcPr>
          <w:p w14:paraId="52DD7747" w14:textId="77777777" w:rsidR="00DC3D55" w:rsidRPr="00B47D87" w:rsidRDefault="00DC3D55" w:rsidP="00472906">
            <w:pPr>
              <w:rPr>
                <w:rFonts w:eastAsia="Calibri" w:cs="Arial"/>
                <w:spacing w:val="0"/>
                <w:sz w:val="20"/>
                <w:szCs w:val="20"/>
                <w:lang w:eastAsia="en-US"/>
              </w:rPr>
            </w:pPr>
            <w:r w:rsidRPr="00B47D87">
              <w:rPr>
                <w:rFonts w:eastAsia="Calibri" w:cs="Arial"/>
                <w:spacing w:val="0"/>
                <w:sz w:val="20"/>
                <w:szCs w:val="20"/>
                <w:lang w:eastAsia="en-US"/>
              </w:rPr>
              <w:lastRenderedPageBreak/>
              <w:t>Data quality</w:t>
            </w:r>
          </w:p>
        </w:tc>
        <w:tc>
          <w:tcPr>
            <w:tcW w:w="3005" w:type="dxa"/>
            <w:tcMar>
              <w:top w:w="85" w:type="dxa"/>
              <w:left w:w="85" w:type="dxa"/>
              <w:bottom w:w="85" w:type="dxa"/>
              <w:right w:w="85" w:type="dxa"/>
            </w:tcMar>
          </w:tcPr>
          <w:p w14:paraId="1535B8EF" w14:textId="77777777" w:rsidR="00DC3D55" w:rsidRPr="00B47D87" w:rsidRDefault="00DC3D55" w:rsidP="00472906">
            <w:pPr>
              <w:spacing w:after="120"/>
              <w:rPr>
                <w:rFonts w:eastAsia="Calibri" w:cs="Arial"/>
                <w:spacing w:val="0"/>
                <w:sz w:val="20"/>
                <w:szCs w:val="20"/>
                <w:lang w:eastAsia="en-US"/>
              </w:rPr>
            </w:pPr>
            <w:r w:rsidRPr="00B47D87">
              <w:rPr>
                <w:rFonts w:eastAsia="Calibri" w:cs="Arial"/>
                <w:spacing w:val="0"/>
                <w:sz w:val="20"/>
                <w:szCs w:val="20"/>
                <w:lang w:eastAsia="en-US"/>
              </w:rPr>
              <w:t>Accurate reporting of clients’ first names, surnames, genders and dates of birth.</w:t>
            </w:r>
          </w:p>
          <w:p w14:paraId="49047002" w14:textId="77777777" w:rsidR="00DC3D55" w:rsidRPr="00B47D87" w:rsidRDefault="00DC3D55" w:rsidP="00472906">
            <w:pPr>
              <w:spacing w:after="120"/>
              <w:rPr>
                <w:rFonts w:eastAsia="Calibri" w:cs="Arial"/>
                <w:i/>
                <w:spacing w:val="0"/>
                <w:sz w:val="20"/>
                <w:szCs w:val="20"/>
                <w:lang w:eastAsia="en-US"/>
              </w:rPr>
            </w:pPr>
            <w:r w:rsidRPr="00B47D87">
              <w:rPr>
                <w:rFonts w:eastAsia="Calibri" w:cs="Arial"/>
                <w:spacing w:val="0"/>
                <w:sz w:val="20"/>
                <w:szCs w:val="20"/>
                <w:lang w:eastAsia="en-US"/>
              </w:rPr>
              <w:t>Meet the minimum requirement in the third and fourth reporting periods of the grant agreement (i.e. 1 July 2022 to 30 June 2023).</w:t>
            </w:r>
          </w:p>
        </w:tc>
        <w:tc>
          <w:tcPr>
            <w:tcW w:w="3006" w:type="dxa"/>
            <w:tcMar>
              <w:top w:w="85" w:type="dxa"/>
              <w:left w:w="85" w:type="dxa"/>
              <w:bottom w:w="85" w:type="dxa"/>
              <w:right w:w="85" w:type="dxa"/>
            </w:tcMar>
          </w:tcPr>
          <w:p w14:paraId="4A49C5A2" w14:textId="77777777" w:rsidR="00DC3D55" w:rsidRPr="00B47D87" w:rsidRDefault="00DC3D55" w:rsidP="00472906">
            <w:pPr>
              <w:numPr>
                <w:ilvl w:val="0"/>
                <w:numId w:val="99"/>
              </w:numPr>
              <w:spacing w:before="0" w:after="120" w:line="240" w:lineRule="auto"/>
              <w:ind w:left="538" w:hanging="357"/>
              <w:textAlignment w:val="center"/>
              <w:rPr>
                <w:rFonts w:eastAsia="Calibri" w:cs="Arial"/>
                <w:spacing w:val="0"/>
                <w:sz w:val="20"/>
                <w:szCs w:val="20"/>
                <w:lang w:eastAsia="en-US"/>
              </w:rPr>
            </w:pPr>
            <w:r w:rsidRPr="00B47D87">
              <w:rPr>
                <w:rFonts w:eastAsia="Calibri" w:cs="Arial"/>
                <w:spacing w:val="0"/>
                <w:sz w:val="20"/>
                <w:szCs w:val="20"/>
                <w:lang w:eastAsia="en-US"/>
              </w:rPr>
              <w:t>90 per cent of Statistical Linkage Keys (SLKs) are valid.</w:t>
            </w:r>
          </w:p>
        </w:tc>
      </w:tr>
    </w:tbl>
    <w:p w14:paraId="3E3C966F" w14:textId="77777777" w:rsidR="00DC3D55" w:rsidRDefault="00DC3D55" w:rsidP="00DC3D55">
      <w:pPr>
        <w:spacing w:before="0" w:after="200" w:line="276" w:lineRule="auto"/>
        <w:rPr>
          <w:rFonts w:ascii="Calibri" w:hAnsi="Calibri" w:cs="Arial"/>
          <w:b/>
          <w:bCs/>
        </w:rPr>
      </w:pPr>
      <w:r>
        <w:rPr>
          <w:rFonts w:ascii="Calibri" w:hAnsi="Calibri" w:cs="Arial"/>
          <w:b/>
          <w:bCs/>
        </w:rPr>
        <w:br w:type="page"/>
      </w:r>
    </w:p>
    <w:p w14:paraId="777B4317" w14:textId="1D28C265" w:rsidR="00857EB3" w:rsidRPr="002C1108" w:rsidRDefault="00857EB3" w:rsidP="00DF3821">
      <w:pPr>
        <w:pStyle w:val="Heading1"/>
      </w:pPr>
      <w:bookmarkStart w:id="446" w:name="_Toc70599720"/>
      <w:r w:rsidRPr="00DF3821">
        <w:lastRenderedPageBreak/>
        <w:t xml:space="preserve">Appendix </w:t>
      </w:r>
      <w:r w:rsidR="00DC3D55">
        <w:t>G</w:t>
      </w:r>
      <w:r w:rsidRPr="00DF3821">
        <w:t xml:space="preserve"> – Outcomes </w:t>
      </w:r>
      <w:r w:rsidRPr="002C1108">
        <w:t>Framework</w:t>
      </w:r>
      <w:bookmarkEnd w:id="446"/>
    </w:p>
    <w:p w14:paraId="4EC9C3CA" w14:textId="77777777" w:rsidR="00857EB3" w:rsidRDefault="00857EB3" w:rsidP="00857EB3">
      <w:pPr>
        <w:spacing w:after="0" w:line="240" w:lineRule="auto"/>
        <w:jc w:val="center"/>
        <w:rPr>
          <w:rFonts w:eastAsiaTheme="minorHAnsi" w:cs="Arial"/>
          <w:bCs/>
          <w:noProof/>
          <w:color w:val="000000"/>
          <w:spacing w:val="0"/>
          <w:sz w:val="22"/>
          <w:szCs w:val="22"/>
        </w:rPr>
      </w:pPr>
      <w:r w:rsidRPr="002C1108">
        <w:rPr>
          <w:sz w:val="22"/>
          <w:szCs w:val="22"/>
        </w:rPr>
        <w:t>(This framework is a draft)</w:t>
      </w:r>
    </w:p>
    <w:p w14:paraId="2D68EEBB" w14:textId="77777777" w:rsidR="00857EB3" w:rsidRDefault="00857EB3" w:rsidP="00857EB3">
      <w:pPr>
        <w:spacing w:after="0" w:line="240" w:lineRule="auto"/>
        <w:jc w:val="center"/>
      </w:pPr>
      <w:r>
        <w:rPr>
          <w:noProof/>
        </w:rPr>
        <w:drawing>
          <wp:inline distT="0" distB="0" distL="0" distR="0" wp14:anchorId="27AAB7D0" wp14:editId="5B5A69EC">
            <wp:extent cx="5706055" cy="8165990"/>
            <wp:effectExtent l="0" t="0" r="0" b="63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0" cstate="print">
                      <a:extLst>
                        <a:ext uri="{28A0092B-C50C-407E-A947-70E740481C1C}">
                          <a14:useLocalDpi xmlns:a14="http://schemas.microsoft.com/office/drawing/2010/main" val="0"/>
                        </a:ext>
                      </a:extLst>
                    </a:blip>
                    <a:stretch>
                      <a:fillRect/>
                    </a:stretch>
                  </pic:blipFill>
                  <pic:spPr>
                    <a:xfrm>
                      <a:off x="0" y="0"/>
                      <a:ext cx="5722257" cy="8189176"/>
                    </a:xfrm>
                    <a:prstGeom prst="rect">
                      <a:avLst/>
                    </a:prstGeom>
                  </pic:spPr>
                </pic:pic>
              </a:graphicData>
            </a:graphic>
          </wp:inline>
        </w:drawing>
      </w:r>
    </w:p>
    <w:p w14:paraId="2D9B4750" w14:textId="77777777" w:rsidR="00857EB3" w:rsidRDefault="00857EB3" w:rsidP="00857EB3">
      <w:pPr>
        <w:rPr>
          <w:sz w:val="22"/>
          <w:szCs w:val="22"/>
        </w:rPr>
      </w:pPr>
    </w:p>
    <w:p w14:paraId="390B9790" w14:textId="6DC43B98" w:rsidR="00857EB3" w:rsidRPr="005A1B2B" w:rsidRDefault="00857EB3" w:rsidP="00857EB3">
      <w:pPr>
        <w:keepNext/>
        <w:keepLines/>
        <w:rPr>
          <w:sz w:val="22"/>
          <w:szCs w:val="22"/>
        </w:rPr>
      </w:pPr>
      <w:r w:rsidRPr="005A1B2B">
        <w:rPr>
          <w:sz w:val="22"/>
          <w:szCs w:val="22"/>
        </w:rPr>
        <w:lastRenderedPageBreak/>
        <w:t>The outcomes framework listed above is a draft, and has not been finalised.</w:t>
      </w:r>
    </w:p>
    <w:p w14:paraId="0CC23E71" w14:textId="77777777" w:rsidR="00857EB3" w:rsidRPr="005A1B2B" w:rsidRDefault="00857EB3" w:rsidP="00857EB3">
      <w:pPr>
        <w:keepNext/>
        <w:keepLines/>
        <w:rPr>
          <w:sz w:val="22"/>
          <w:szCs w:val="22"/>
        </w:rPr>
      </w:pPr>
      <w:r w:rsidRPr="005A1B2B">
        <w:rPr>
          <w:sz w:val="22"/>
          <w:szCs w:val="22"/>
        </w:rPr>
        <w:t>Through the families and children consultations, the department received a large amount of feedback on the proposed outcomes framework, including the need for the outcomes to represent the best-practice approaches to service delivery. The department is working closely with the Australian Institute of Family Studies to incorporate service provider feedback and update the outcomes framework.</w:t>
      </w:r>
    </w:p>
    <w:p w14:paraId="12E22156" w14:textId="77777777" w:rsidR="00857EB3" w:rsidRPr="005A1B2B" w:rsidRDefault="00857EB3" w:rsidP="00857EB3">
      <w:pPr>
        <w:keepNext/>
        <w:keepLines/>
        <w:rPr>
          <w:sz w:val="22"/>
          <w:szCs w:val="22"/>
        </w:rPr>
      </w:pPr>
      <w:r w:rsidRPr="005A1B2B">
        <w:rPr>
          <w:sz w:val="22"/>
          <w:szCs w:val="22"/>
        </w:rPr>
        <w:t>The department does not anticipate major changes will be made to the draft outcomes framework, and expects the outcomes framework to be finalised in mid</w:t>
      </w:r>
      <w:r w:rsidRPr="005A1B2B">
        <w:rPr>
          <w:sz w:val="22"/>
          <w:szCs w:val="22"/>
        </w:rPr>
        <w:noBreakHyphen/>
        <w:t>to</w:t>
      </w:r>
      <w:r w:rsidRPr="005A1B2B">
        <w:rPr>
          <w:sz w:val="22"/>
          <w:szCs w:val="22"/>
        </w:rPr>
        <w:noBreakHyphen/>
        <w:t>late 2021.</w:t>
      </w:r>
    </w:p>
    <w:p w14:paraId="0825A122" w14:textId="77777777" w:rsidR="007B0256" w:rsidRDefault="00857EB3" w:rsidP="00857EB3">
      <w:pPr>
        <w:rPr>
          <w:sz w:val="22"/>
          <w:szCs w:val="22"/>
        </w:rPr>
      </w:pPr>
      <w:r w:rsidRPr="005A1B2B">
        <w:rPr>
          <w:sz w:val="22"/>
          <w:szCs w:val="22"/>
        </w:rPr>
        <w:t>The department is also working with the Australian Institute of Family Studies to develop supporting documents to link the outcomes in the outcomes framework to appropriate indicates to allow these to be monitored and recorded in the Data Exchange.</w:t>
      </w:r>
    </w:p>
    <w:p w14:paraId="26A3545E" w14:textId="77777777" w:rsidR="00857EB3" w:rsidRDefault="00857EB3">
      <w:pPr>
        <w:spacing w:before="0" w:after="200" w:line="276" w:lineRule="auto"/>
        <w:rPr>
          <w:rFonts w:ascii="Georgia" w:hAnsi="Georgia" w:cs="Arial"/>
          <w:bCs/>
          <w:color w:val="500778"/>
          <w:kern w:val="32"/>
          <w:sz w:val="36"/>
          <w:szCs w:val="32"/>
        </w:rPr>
      </w:pPr>
      <w:r>
        <w:br w:type="page"/>
      </w:r>
    </w:p>
    <w:p w14:paraId="02ED56C0" w14:textId="77777777" w:rsidR="00687861" w:rsidRPr="00D2396A" w:rsidRDefault="00687861" w:rsidP="00687861">
      <w:pPr>
        <w:pStyle w:val="Heading1"/>
      </w:pPr>
      <w:bookmarkStart w:id="447" w:name="_Toc70599721"/>
      <w:r w:rsidRPr="00D2396A">
        <w:lastRenderedPageBreak/>
        <w:t>Appendix H – Incident Report Form</w:t>
      </w:r>
      <w:bookmarkEnd w:id="447"/>
    </w:p>
    <w:p w14:paraId="6625A71D" w14:textId="77777777" w:rsidR="00447282" w:rsidRPr="002161B4" w:rsidRDefault="00447282" w:rsidP="00447282">
      <w:pPr>
        <w:spacing w:after="0" w:line="360" w:lineRule="auto"/>
        <w:rPr>
          <w:rFonts w:ascii="Calibri" w:hAnsi="Calibri" w:cs="Arial"/>
          <w:bCs/>
        </w:rPr>
      </w:pPr>
      <w:r w:rsidRPr="002161B4">
        <w:rPr>
          <w:rFonts w:ascii="Calibri" w:hAnsi="Calibri" w:cs="Arial"/>
          <w:b/>
          <w:bCs/>
        </w:rPr>
        <w:t xml:space="preserve">Organisation: </w:t>
      </w:r>
      <w:r w:rsidRPr="002161B4">
        <w:rPr>
          <w:rFonts w:ascii="Calibri" w:hAnsi="Calibri" w:cs="Arial"/>
          <w:bCs/>
        </w:rPr>
        <w:t>_______________________________________________________________</w:t>
      </w:r>
      <w:r>
        <w:rPr>
          <w:rFonts w:ascii="Calibri" w:hAnsi="Calibri" w:cs="Arial"/>
          <w:b/>
          <w:bCs/>
        </w:rPr>
        <w:br/>
        <w:t>Service activity name</w:t>
      </w:r>
      <w:proofErr w:type="gramStart"/>
      <w:r w:rsidRPr="002161B4">
        <w:rPr>
          <w:rFonts w:ascii="Calibri" w:hAnsi="Calibri" w:cs="Arial"/>
          <w:b/>
          <w:bCs/>
        </w:rPr>
        <w:t>:</w:t>
      </w:r>
      <w:r w:rsidRPr="002161B4">
        <w:rPr>
          <w:rFonts w:ascii="Calibri" w:hAnsi="Calibri" w:cs="Arial"/>
          <w:bCs/>
        </w:rPr>
        <w:t>_</w:t>
      </w:r>
      <w:proofErr w:type="gramEnd"/>
      <w:r w:rsidRPr="002161B4">
        <w:rPr>
          <w:rFonts w:ascii="Calibri" w:hAnsi="Calibri" w:cs="Arial"/>
          <w:bCs/>
        </w:rPr>
        <w:t>__________________________________</w:t>
      </w:r>
      <w:r>
        <w:rPr>
          <w:rFonts w:ascii="Calibri" w:hAnsi="Calibri" w:cs="Arial"/>
          <w:bCs/>
        </w:rPr>
        <w:t>___________________</w:t>
      </w:r>
      <w:r w:rsidRPr="002161B4">
        <w:rPr>
          <w:rFonts w:ascii="Calibri" w:hAnsi="Calibri" w:cs="Arial"/>
          <w:bCs/>
        </w:rPr>
        <w:t>___</w:t>
      </w:r>
      <w:r w:rsidRPr="002161B4">
        <w:rPr>
          <w:rFonts w:ascii="Calibri" w:hAnsi="Calibri" w:cs="Arial"/>
          <w:b/>
          <w:bCs/>
        </w:rPr>
        <w:br/>
        <w:t>Site</w:t>
      </w:r>
      <w:r w:rsidRPr="002161B4">
        <w:rPr>
          <w:rFonts w:ascii="Calibri" w:hAnsi="Calibri" w:cs="Arial"/>
          <w:bCs/>
        </w:rPr>
        <w:t>:_______________________________________________________________________</w:t>
      </w:r>
    </w:p>
    <w:p w14:paraId="4D88F98D" w14:textId="77777777" w:rsidR="00447282" w:rsidRPr="002161B4" w:rsidRDefault="00447282" w:rsidP="00447282">
      <w:pPr>
        <w:spacing w:line="360" w:lineRule="auto"/>
        <w:rPr>
          <w:rFonts w:ascii="Calibri" w:eastAsia="Calibri" w:hAnsi="Calibri"/>
          <w:b/>
          <w:spacing w:val="5"/>
          <w:u w:val="single"/>
        </w:rPr>
      </w:pPr>
      <w:r w:rsidRPr="002161B4">
        <w:rPr>
          <w:rFonts w:ascii="Calibri" w:eastAsia="Calibri" w:hAnsi="Calibri"/>
          <w:b/>
          <w:iCs/>
          <w:smallCaps/>
          <w:spacing w:val="5"/>
          <w:u w:val="single"/>
        </w:rPr>
        <w:t>DETAILS OF INCIDENT</w:t>
      </w:r>
    </w:p>
    <w:p w14:paraId="1ADA63ED" w14:textId="77777777" w:rsidR="00447282" w:rsidRDefault="00447282" w:rsidP="00447282">
      <w:pPr>
        <w:spacing w:after="240" w:line="360" w:lineRule="auto"/>
        <w:rPr>
          <w:rFonts w:ascii="Calibri" w:hAnsi="Calibri" w:cs="Arial"/>
          <w:bCs/>
          <w:sz w:val="20"/>
        </w:rPr>
      </w:pPr>
      <w:r w:rsidRPr="002161B4">
        <w:rPr>
          <w:rFonts w:ascii="Calibri" w:hAnsi="Calibri" w:cs="Arial"/>
          <w:b/>
          <w:bCs/>
          <w:sz w:val="20"/>
        </w:rPr>
        <w:t>DATE OF INCIDENT</w:t>
      </w:r>
      <w:proofErr w:type="gramStart"/>
      <w:r w:rsidRPr="002161B4">
        <w:rPr>
          <w:rFonts w:ascii="Calibri" w:hAnsi="Calibri" w:cs="Arial"/>
          <w:b/>
          <w:bCs/>
          <w:sz w:val="20"/>
        </w:rPr>
        <w:t>:</w:t>
      </w:r>
      <w:r w:rsidRPr="002161B4">
        <w:rPr>
          <w:rFonts w:ascii="Calibri" w:hAnsi="Calibri" w:cs="Arial"/>
          <w:bCs/>
          <w:sz w:val="20"/>
        </w:rPr>
        <w:t>_</w:t>
      </w:r>
      <w:proofErr w:type="gramEnd"/>
      <w:r w:rsidRPr="002161B4">
        <w:rPr>
          <w:rFonts w:ascii="Calibri" w:hAnsi="Calibri" w:cs="Arial"/>
          <w:bCs/>
          <w:sz w:val="20"/>
        </w:rPr>
        <w:t>____/_______/__________</w:t>
      </w:r>
      <w:r w:rsidRPr="002161B4">
        <w:rPr>
          <w:rFonts w:ascii="Calibri" w:hAnsi="Calibri" w:cs="Arial"/>
          <w:b/>
          <w:bCs/>
          <w:sz w:val="20"/>
        </w:rPr>
        <w:t>TIME OF INCIDENT:</w:t>
      </w:r>
      <w:r w:rsidRPr="002161B4">
        <w:rPr>
          <w:rFonts w:ascii="Calibri" w:hAnsi="Calibri" w:cs="Arial"/>
          <w:bCs/>
          <w:sz w:val="20"/>
        </w:rPr>
        <w:t>_________:_________AM/PM</w:t>
      </w:r>
      <w:r w:rsidRPr="002161B4">
        <w:rPr>
          <w:rFonts w:ascii="Calibri" w:hAnsi="Calibri" w:cs="Arial"/>
          <w:b/>
          <w:bCs/>
          <w:sz w:val="20"/>
        </w:rPr>
        <w:br/>
        <w:t xml:space="preserve">NO. OF INDIVIDUALS INVOLVED: </w:t>
      </w:r>
      <w:r w:rsidRPr="002161B4">
        <w:rPr>
          <w:rFonts w:ascii="Calibri" w:hAnsi="Calibri" w:cs="Arial"/>
          <w:bCs/>
          <w:sz w:val="20"/>
        </w:rPr>
        <w:t>____________</w:t>
      </w:r>
      <w:r w:rsidRPr="002161B4">
        <w:rPr>
          <w:rFonts w:ascii="Calibri" w:hAnsi="Calibri" w:cs="Arial"/>
          <w:b/>
          <w:bCs/>
          <w:sz w:val="20"/>
        </w:rPr>
        <w:t>GENDER OF INDIVIDUALS INVOLVED</w:t>
      </w:r>
      <w:proofErr w:type="gramStart"/>
      <w:r w:rsidRPr="002161B4">
        <w:rPr>
          <w:rFonts w:ascii="Calibri" w:hAnsi="Calibri" w:cs="Arial"/>
          <w:bCs/>
          <w:sz w:val="20"/>
        </w:rPr>
        <w:t>:_</w:t>
      </w:r>
      <w:proofErr w:type="gramEnd"/>
      <w:r w:rsidRPr="002161B4">
        <w:rPr>
          <w:rFonts w:ascii="Calibri" w:hAnsi="Calibri" w:cs="Arial"/>
          <w:bCs/>
          <w:sz w:val="20"/>
        </w:rPr>
        <w:t>___________</w:t>
      </w:r>
      <w:r w:rsidRPr="002161B4">
        <w:rPr>
          <w:rFonts w:ascii="Calibri" w:hAnsi="Calibri" w:cs="Arial"/>
          <w:b/>
          <w:bCs/>
          <w:sz w:val="20"/>
        </w:rPr>
        <w:br/>
        <w:t xml:space="preserve">AGE OF INDIVIDUALS INVOLVED: </w:t>
      </w:r>
      <w:r w:rsidRPr="002161B4">
        <w:rPr>
          <w:rFonts w:ascii="Calibri" w:hAnsi="Calibri" w:cs="Arial"/>
          <w:bCs/>
          <w:sz w:val="20"/>
        </w:rPr>
        <w:t>____________</w:t>
      </w:r>
      <w:r w:rsidRPr="002161B4">
        <w:rPr>
          <w:rFonts w:ascii="Calibri" w:hAnsi="Calibri" w:cs="Arial"/>
          <w:b/>
          <w:bCs/>
          <w:sz w:val="20"/>
        </w:rPr>
        <w:t>STATUS OF INDIVIDUAL</w:t>
      </w:r>
      <w:r>
        <w:rPr>
          <w:rFonts w:ascii="Calibri" w:hAnsi="Calibri" w:cs="Arial"/>
          <w:b/>
          <w:bCs/>
          <w:sz w:val="20"/>
        </w:rPr>
        <w:t>S INVOLVED (STAFF, CHILD OR YOUNG PERSON</w:t>
      </w:r>
      <w:r w:rsidRPr="002161B4">
        <w:rPr>
          <w:rFonts w:ascii="Calibri" w:hAnsi="Calibri" w:cs="Arial"/>
          <w:b/>
          <w:bCs/>
          <w:sz w:val="20"/>
        </w:rPr>
        <w:t xml:space="preserve"> ETC</w:t>
      </w:r>
      <w:r w:rsidRPr="002161B4">
        <w:rPr>
          <w:rFonts w:ascii="Calibri" w:hAnsi="Calibri" w:cs="Arial"/>
          <w:bCs/>
          <w:sz w:val="20"/>
        </w:rPr>
        <w:t>):________________________</w:t>
      </w:r>
      <w:r w:rsidRPr="002161B4">
        <w:rPr>
          <w:rFonts w:ascii="Calibri" w:hAnsi="Calibri" w:cs="Arial"/>
          <w:b/>
          <w:bCs/>
          <w:sz w:val="20"/>
        </w:rPr>
        <w:br/>
        <w:t>WHERE DID THE INCIDENT TAKE PLACE?</w:t>
      </w:r>
      <w:r>
        <w:rPr>
          <w:rFonts w:ascii="Calibri" w:hAnsi="Calibri" w:cs="Arial"/>
          <w:b/>
          <w:bCs/>
          <w:sz w:val="20"/>
        </w:rPr>
        <w:t xml:space="preserve"> </w:t>
      </w:r>
      <w:r w:rsidRPr="002161B4">
        <w:rPr>
          <w:rFonts w:ascii="Calibri" w:hAnsi="Calibri" w:cs="Arial"/>
          <w:bCs/>
          <w:sz w:val="20"/>
        </w:rPr>
        <w:t>____________________________________________________</w:t>
      </w:r>
      <w:r w:rsidRPr="002161B4">
        <w:rPr>
          <w:rFonts w:ascii="Calibri" w:hAnsi="Calibri" w:cs="Arial"/>
          <w:b/>
          <w:bCs/>
          <w:sz w:val="20"/>
        </w:rPr>
        <w:br/>
        <w:t xml:space="preserve">WHAT OCCURRED? (DESCRIPTION OF INCIDENT) </w:t>
      </w:r>
      <w:r w:rsidRPr="002161B4">
        <w:rPr>
          <w:rFonts w:ascii="Calibri" w:hAnsi="Calibri"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bCs/>
          <w:sz w:val="20"/>
        </w:rPr>
        <w:t>______________________________</w:t>
      </w:r>
      <w:r w:rsidRPr="002161B4">
        <w:rPr>
          <w:rFonts w:ascii="Calibri" w:hAnsi="Calibri" w:cs="Arial"/>
          <w:b/>
          <w:bCs/>
          <w:sz w:val="20"/>
        </w:rPr>
        <w:br/>
        <w:t xml:space="preserve">RESPONSE TO THE INCIDENT: </w:t>
      </w:r>
      <w:r w:rsidRPr="002161B4">
        <w:rPr>
          <w:rFonts w:ascii="Calibri" w:hAnsi="Calibri"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83C6F" w14:textId="77777777" w:rsidR="00447282" w:rsidRDefault="00447282" w:rsidP="00447282">
      <w:pPr>
        <w:spacing w:after="240" w:line="360" w:lineRule="auto"/>
        <w:rPr>
          <w:rFonts w:ascii="Calibri" w:hAnsi="Calibri" w:cs="Arial"/>
          <w:b/>
          <w:bCs/>
          <w:sz w:val="20"/>
        </w:rPr>
      </w:pPr>
      <w:r w:rsidRPr="002161B4">
        <w:rPr>
          <w:rFonts w:ascii="Calibri" w:hAnsi="Calibri" w:cs="Arial"/>
          <w:b/>
          <w:bCs/>
          <w:sz w:val="20"/>
        </w:rPr>
        <w:t xml:space="preserve">ACTION THAT HAS BEEN TAKEN OR CAN BE TAKEN TO PREVENT THE INCIDENT FROM HAPPENING AGAIN: </w:t>
      </w:r>
      <w:r w:rsidRPr="002161B4">
        <w:rPr>
          <w:rFonts w:ascii="Calibri" w:hAnsi="Calibri" w:cs="Arial"/>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61B4">
        <w:rPr>
          <w:rFonts w:ascii="Calibri" w:hAnsi="Calibri" w:cs="Arial"/>
          <w:bCs/>
          <w:sz w:val="20"/>
        </w:rPr>
        <w:br/>
      </w:r>
    </w:p>
    <w:p w14:paraId="53735726" w14:textId="77777777" w:rsidR="00447282" w:rsidRDefault="00447282" w:rsidP="00447282">
      <w:pPr>
        <w:spacing w:after="240" w:line="360" w:lineRule="auto"/>
        <w:rPr>
          <w:rFonts w:ascii="Calibri" w:hAnsi="Calibri" w:cs="Arial"/>
          <w:b/>
          <w:bCs/>
          <w:sz w:val="20"/>
        </w:rPr>
      </w:pPr>
      <w:r w:rsidRPr="002161B4">
        <w:rPr>
          <w:rFonts w:ascii="Calibri" w:hAnsi="Calibri" w:cs="Arial"/>
          <w:b/>
          <w:bCs/>
          <w:sz w:val="20"/>
        </w:rPr>
        <w:lastRenderedPageBreak/>
        <w:t xml:space="preserve">HAS THERE BEEN OR IS THERE LIKELY TO BE MEDIA COVERAGE OF THE INCIDENT: </w:t>
      </w:r>
      <w:r w:rsidRPr="002161B4">
        <w:rPr>
          <w:rFonts w:ascii="Calibri" w:hAnsi="Calibri" w:cs="Arial"/>
          <w:bCs/>
          <w:sz w:val="20"/>
        </w:rPr>
        <w:t>__________________________________________________________________________________________</w:t>
      </w:r>
      <w:r w:rsidRPr="002161B4">
        <w:rPr>
          <w:rFonts w:ascii="Calibri" w:hAnsi="Calibri" w:cs="Arial"/>
          <w:b/>
          <w:bCs/>
          <w:sz w:val="20"/>
        </w:rPr>
        <w:br/>
      </w:r>
      <w:r w:rsidRPr="002161B4">
        <w:rPr>
          <w:rFonts w:ascii="Calibri" w:hAnsi="Calibri" w:cs="Arial"/>
          <w:bCs/>
          <w:sz w:val="20"/>
        </w:rPr>
        <w:t>____________________________________________________________________________________________________________________________________________________________________________________</w:t>
      </w:r>
      <w:r w:rsidRPr="002161B4">
        <w:rPr>
          <w:rFonts w:ascii="Calibri" w:hAnsi="Calibri" w:cs="Arial"/>
          <w:b/>
          <w:bCs/>
          <w:sz w:val="20"/>
        </w:rPr>
        <w:t xml:space="preserve">NAME OF SITE MANAGER: </w:t>
      </w:r>
      <w:r w:rsidRPr="00CD3CB8">
        <w:rPr>
          <w:rFonts w:ascii="Calibri" w:hAnsi="Calibri" w:cs="Arial"/>
          <w:b/>
          <w:bCs/>
          <w:sz w:val="20"/>
        </w:rPr>
        <w:t>________________________________</w:t>
      </w:r>
      <w:r w:rsidRPr="002161B4">
        <w:rPr>
          <w:rFonts w:ascii="Calibri" w:hAnsi="Calibri" w:cs="Arial"/>
          <w:b/>
          <w:bCs/>
          <w:sz w:val="20"/>
        </w:rPr>
        <w:t xml:space="preserve">DATE: </w:t>
      </w:r>
      <w:r w:rsidRPr="00CD3CB8">
        <w:rPr>
          <w:rFonts w:ascii="Calibri" w:hAnsi="Calibri" w:cs="Arial"/>
          <w:b/>
          <w:bCs/>
          <w:sz w:val="20"/>
        </w:rPr>
        <w:t>_______/______/_______</w:t>
      </w:r>
    </w:p>
    <w:p w14:paraId="0AE32B11" w14:textId="77777777" w:rsidR="00447282" w:rsidRDefault="00447282" w:rsidP="00447282">
      <w:pPr>
        <w:spacing w:after="240" w:line="360" w:lineRule="auto"/>
        <w:rPr>
          <w:rFonts w:ascii="Calibri" w:hAnsi="Calibri" w:cs="Arial"/>
          <w:b/>
          <w:bCs/>
          <w:sz w:val="20"/>
        </w:rPr>
      </w:pPr>
      <w:r>
        <w:rPr>
          <w:rFonts w:ascii="Calibri" w:hAnsi="Calibri" w:cs="Arial"/>
          <w:b/>
          <w:bCs/>
          <w:sz w:val="20"/>
        </w:rPr>
        <w:t>SIGNATURE OF SITE MANAGER _______________________________________________________________</w:t>
      </w:r>
    </w:p>
    <w:p w14:paraId="47F7F1FC" w14:textId="77777777" w:rsidR="00857EB3" w:rsidRPr="00BC5FD7" w:rsidRDefault="00857EB3" w:rsidP="00857EB3">
      <w:pPr>
        <w:rPr>
          <w:rFonts w:cs="Arial"/>
          <w:sz w:val="22"/>
          <w:szCs w:val="22"/>
        </w:rPr>
      </w:pPr>
    </w:p>
    <w:sectPr w:rsidR="00857EB3" w:rsidRPr="00BC5FD7" w:rsidSect="0024421E">
      <w:headerReference w:type="even" r:id="rId81"/>
      <w:headerReference w:type="default" r:id="rId82"/>
      <w:footerReference w:type="even" r:id="rId83"/>
      <w:footerReference w:type="default" r:id="rId84"/>
      <w:headerReference w:type="first" r:id="rId85"/>
      <w:footerReference w:type="first" r:id="rId86"/>
      <w:pgSz w:w="11906" w:h="16838"/>
      <w:pgMar w:top="993" w:right="1440" w:bottom="993" w:left="1440" w:header="708" w:footer="130"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C7EF" w14:textId="77777777" w:rsidR="00FA25EF" w:rsidRDefault="00FA25EF" w:rsidP="00B04ED8">
      <w:pPr>
        <w:spacing w:after="0" w:line="240" w:lineRule="auto"/>
      </w:pPr>
      <w:r>
        <w:separator/>
      </w:r>
    </w:p>
    <w:p w14:paraId="4182DB83" w14:textId="77777777" w:rsidR="00FA25EF" w:rsidRDefault="00FA25EF"/>
    <w:p w14:paraId="542C1990" w14:textId="77777777" w:rsidR="00FA25EF" w:rsidRDefault="00FA25EF" w:rsidP="00AB121A"/>
    <w:p w14:paraId="3ADD9582" w14:textId="77777777" w:rsidR="00FA25EF" w:rsidRDefault="00FA25EF"/>
  </w:endnote>
  <w:endnote w:type="continuationSeparator" w:id="0">
    <w:p w14:paraId="3E10A8B5" w14:textId="77777777" w:rsidR="00FA25EF" w:rsidRDefault="00FA25EF" w:rsidP="00B04ED8">
      <w:pPr>
        <w:spacing w:after="0" w:line="240" w:lineRule="auto"/>
      </w:pPr>
      <w:r>
        <w:continuationSeparator/>
      </w:r>
    </w:p>
    <w:p w14:paraId="2025050B" w14:textId="77777777" w:rsidR="00FA25EF" w:rsidRDefault="00FA25EF"/>
    <w:p w14:paraId="473F2FF1" w14:textId="77777777" w:rsidR="00FA25EF" w:rsidRDefault="00FA25EF" w:rsidP="00AB121A"/>
    <w:p w14:paraId="5E1F0C30" w14:textId="77777777" w:rsidR="00FA25EF" w:rsidRDefault="00FA2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4D9181E6" w14:textId="6A296C66" w:rsidR="00472906" w:rsidRDefault="00472906" w:rsidP="00BF0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126E6" w14:textId="77777777" w:rsidR="00472906" w:rsidRDefault="0047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B141" w14:textId="77777777" w:rsidR="00472906" w:rsidRDefault="00472906" w:rsidP="00BF0FE6">
    <w:pPr>
      <w:pStyle w:val="Footer"/>
      <w:ind w:left="-1417"/>
    </w:pPr>
    <w:r>
      <w:rPr>
        <w:noProof/>
      </w:rPr>
      <w:drawing>
        <wp:inline distT="0" distB="0" distL="0" distR="0" wp14:anchorId="1063E795" wp14:editId="63B80303">
          <wp:extent cx="7519594" cy="6264813"/>
          <wp:effectExtent l="0" t="0" r="5715" b="3175"/>
          <wp:docPr id="5" name="Picture 5"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39F1" w14:textId="77777777" w:rsidR="00472906" w:rsidRDefault="00472906" w:rsidP="00BF0FE6">
    <w:pPr>
      <w:pStyle w:val="Footer"/>
      <w:ind w:left="-141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EE87" w14:textId="77777777" w:rsidR="00472906" w:rsidRDefault="00472906">
    <w:pPr>
      <w:pStyle w:val="Footer"/>
    </w:pPr>
  </w:p>
  <w:p w14:paraId="23EC7BC0" w14:textId="77777777" w:rsidR="00472906" w:rsidRDefault="00472906"/>
  <w:p w14:paraId="42542BE6" w14:textId="77777777" w:rsidR="00472906" w:rsidRDefault="00472906" w:rsidP="00AB121A"/>
  <w:p w14:paraId="3224E468" w14:textId="77777777" w:rsidR="00472906" w:rsidRDefault="0047290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310988"/>
      <w:docPartObj>
        <w:docPartGallery w:val="Page Numbers (Bottom of Page)"/>
        <w:docPartUnique/>
      </w:docPartObj>
    </w:sdtPr>
    <w:sdtEndPr>
      <w:rPr>
        <w:noProof/>
      </w:rPr>
    </w:sdtEndPr>
    <w:sdtContent>
      <w:p w14:paraId="62A8AEAB" w14:textId="15A8F3A5" w:rsidR="00472906" w:rsidRDefault="00472906">
        <w:pPr>
          <w:pStyle w:val="Footer"/>
          <w:jc w:val="right"/>
        </w:pPr>
        <w:r>
          <w:fldChar w:fldCharType="begin"/>
        </w:r>
        <w:r>
          <w:instrText xml:space="preserve"> PAGE   \* MERGEFORMAT </w:instrText>
        </w:r>
        <w:r>
          <w:fldChar w:fldCharType="separate"/>
        </w:r>
        <w:r w:rsidR="007036AE">
          <w:rPr>
            <w:noProof/>
          </w:rPr>
          <w:t>22</w:t>
        </w:r>
        <w:r>
          <w:rPr>
            <w:noProof/>
          </w:rPr>
          <w:fldChar w:fldCharType="end"/>
        </w:r>
      </w:p>
    </w:sdtContent>
  </w:sdt>
  <w:p w14:paraId="08445958" w14:textId="77777777" w:rsidR="00472906" w:rsidRDefault="0047290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3C8E" w14:textId="77777777" w:rsidR="00472906" w:rsidRDefault="0047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0BD0" w14:textId="77777777" w:rsidR="00FA25EF" w:rsidRDefault="00FA25EF" w:rsidP="00B04ED8">
      <w:pPr>
        <w:spacing w:after="0" w:line="240" w:lineRule="auto"/>
      </w:pPr>
      <w:r>
        <w:separator/>
      </w:r>
    </w:p>
    <w:p w14:paraId="28E91257" w14:textId="77777777" w:rsidR="00FA25EF" w:rsidRDefault="00FA25EF"/>
    <w:p w14:paraId="10715D1D" w14:textId="77777777" w:rsidR="00FA25EF" w:rsidRDefault="00FA25EF" w:rsidP="00AB121A"/>
    <w:p w14:paraId="680DDC47" w14:textId="77777777" w:rsidR="00FA25EF" w:rsidRDefault="00FA25EF"/>
  </w:footnote>
  <w:footnote w:type="continuationSeparator" w:id="0">
    <w:p w14:paraId="03DF22A1" w14:textId="77777777" w:rsidR="00FA25EF" w:rsidRDefault="00FA25EF" w:rsidP="00B04ED8">
      <w:pPr>
        <w:spacing w:after="0" w:line="240" w:lineRule="auto"/>
      </w:pPr>
      <w:r>
        <w:continuationSeparator/>
      </w:r>
    </w:p>
    <w:p w14:paraId="2240207B" w14:textId="77777777" w:rsidR="00FA25EF" w:rsidRDefault="00FA25EF"/>
    <w:p w14:paraId="112AC5AF" w14:textId="77777777" w:rsidR="00FA25EF" w:rsidRDefault="00FA25EF" w:rsidP="00AB121A"/>
    <w:p w14:paraId="30EE8A7D" w14:textId="77777777" w:rsidR="00FA25EF" w:rsidRDefault="00FA25EF"/>
  </w:footnote>
  <w:footnote w:id="1">
    <w:p w14:paraId="255879A9" w14:textId="77777777" w:rsidR="00472906" w:rsidRDefault="00472906">
      <w:pPr>
        <w:pStyle w:val="FootnoteText"/>
      </w:pPr>
      <w:r>
        <w:rPr>
          <w:rStyle w:val="FootnoteReference"/>
        </w:rPr>
        <w:footnoteRef/>
      </w:r>
      <w:r>
        <w:t xml:space="preserve"> </w:t>
      </w:r>
      <w:r w:rsidRPr="00DF3821">
        <w:rPr>
          <w:rFonts w:cs="Arial"/>
          <w:sz w:val="18"/>
          <w:szCs w:val="18"/>
        </w:rPr>
        <w:t xml:space="preserve">As part of the work involved with the National Framework for Protecting Australia’s Children, CAARS has been </w:t>
      </w:r>
      <w:r w:rsidRPr="00AE2599">
        <w:rPr>
          <w:rFonts w:cs="Arial"/>
          <w:sz w:val="18"/>
          <w:szCs w:val="18"/>
          <w:lang w:eastAsia="en-AU"/>
        </w:rPr>
        <w:t>developed by the Australian Research Alliance for Children &amp; Youth (</w:t>
      </w:r>
      <w:hyperlink r:id="rId1" w:history="1">
        <w:r w:rsidRPr="00AE2599">
          <w:rPr>
            <w:rStyle w:val="Hyperlink"/>
            <w:rFonts w:eastAsiaTheme="majorEastAsia" w:cs="Arial"/>
            <w:sz w:val="18"/>
            <w:szCs w:val="18"/>
            <w:lang w:eastAsia="en-AU"/>
          </w:rPr>
          <w:t>ARACY</w:t>
        </w:r>
      </w:hyperlink>
      <w:r w:rsidRPr="00AE2599">
        <w:rPr>
          <w:rFonts w:cs="Arial"/>
          <w:sz w:val="18"/>
          <w:szCs w:val="18"/>
          <w:lang w:eastAsia="en-AU"/>
        </w:rPr>
        <w:t>) to support universal service providers to identify children who may need help and to help connect them to the support they need. It encourages all professionals who work with children to think holistically about the strengths and needs of children and their families and help them access the support they need.</w:t>
      </w:r>
    </w:p>
  </w:footnote>
  <w:footnote w:id="2">
    <w:p w14:paraId="4E400DA1" w14:textId="77777777" w:rsidR="00472906" w:rsidRDefault="00472906">
      <w:pPr>
        <w:pStyle w:val="FootnoteText"/>
      </w:pPr>
      <w:r>
        <w:rPr>
          <w:rStyle w:val="FootnoteReference"/>
        </w:rPr>
        <w:footnoteRef/>
      </w:r>
      <w:r>
        <w:t xml:space="preserve"> Service providers may dedicate a small part of their budgets (up to 5 per cent) to support program participants and families to access practical material assistance if all other options have been exhausted and the assistance is required to meet the goals of the Family Action Plans. Providers may not purchase services from other providers.</w:t>
      </w:r>
    </w:p>
  </w:footnote>
  <w:footnote w:id="3">
    <w:p w14:paraId="6095FA0D" w14:textId="77777777" w:rsidR="00472906" w:rsidRDefault="00472906">
      <w:pPr>
        <w:pStyle w:val="FootnoteText"/>
      </w:pPr>
      <w:r>
        <w:rPr>
          <w:rStyle w:val="FootnoteReference"/>
        </w:rPr>
        <w:footnoteRef/>
      </w:r>
      <w:r>
        <w:t xml:space="preserve"> </w:t>
      </w:r>
      <w:r w:rsidRPr="000901A3">
        <w:rPr>
          <w:rFonts w:ascii="Calibri" w:hAnsi="Calibri" w:cs="Calibri"/>
          <w:sz w:val="16"/>
          <w:szCs w:val="16"/>
        </w:rPr>
        <w:t>Belonging, Being &amp; Becoming - The Early Years Learning Framework for Australia</w:t>
      </w:r>
      <w:r>
        <w:rPr>
          <w:rFonts w:ascii="Calibri" w:hAnsi="Calibri" w:cs="Calibri"/>
          <w:sz w:val="16"/>
          <w:szCs w:val="16"/>
        </w:rPr>
        <w:t xml:space="preserve"> &lt;</w:t>
      </w:r>
      <w:r w:rsidRPr="000901A3">
        <w:rPr>
          <w:rFonts w:ascii="Calibri" w:hAnsi="Calibri" w:cs="Calibri"/>
          <w:sz w:val="16"/>
          <w:szCs w:val="16"/>
        </w:rPr>
        <w:t>http://docs.education.gov.au/node/2632</w:t>
      </w:r>
      <w:r>
        <w:rPr>
          <w:rFonts w:ascii="Calibri" w:hAnsi="Calibri" w:cs="Calibri"/>
          <w:sz w:val="16"/>
          <w:szCs w:val="16"/>
        </w:rPr>
        <w:t>&gt;</w:t>
      </w:r>
    </w:p>
  </w:footnote>
  <w:footnote w:id="4">
    <w:p w14:paraId="74A69F02" w14:textId="77777777" w:rsidR="00472906" w:rsidRDefault="00472906">
      <w:pPr>
        <w:pStyle w:val="FootnoteText"/>
      </w:pPr>
      <w:r>
        <w:rPr>
          <w:rStyle w:val="FootnoteReference"/>
        </w:rPr>
        <w:footnoteRef/>
      </w:r>
      <w:r>
        <w:t xml:space="preserve"> </w:t>
      </w:r>
      <w:r w:rsidRPr="006560EB">
        <w:rPr>
          <w:rFonts w:ascii="Calibri" w:hAnsi="Calibri" w:cs="Calibri"/>
          <w:sz w:val="16"/>
          <w:szCs w:val="16"/>
        </w:rPr>
        <w:t>Victorian Multicultural Strategy Unit (2002) in Australian Psychological Society Ltd 2008</w:t>
      </w:r>
    </w:p>
  </w:footnote>
  <w:footnote w:id="5">
    <w:p w14:paraId="3563E69C" w14:textId="77777777" w:rsidR="00472906" w:rsidRDefault="00472906" w:rsidP="00DC3D55">
      <w:pPr>
        <w:pStyle w:val="FootnoteText"/>
      </w:pPr>
      <w:r>
        <w:rPr>
          <w:rStyle w:val="FootnoteReference"/>
        </w:rPr>
        <w:footnoteRef/>
      </w:r>
      <w:r>
        <w:t xml:space="preserve"> </w:t>
      </w:r>
      <w:r>
        <w:rPr>
          <w:rStyle w:val="FootnoteReference"/>
          <w:rFonts w:eastAsia="Arial"/>
        </w:rPr>
        <w:footnoteRef/>
      </w:r>
      <w: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2E1C" w14:textId="77777777" w:rsidR="00472906" w:rsidRDefault="00472906" w:rsidP="00BF0FE6">
    <w:pPr>
      <w:ind w:left="-964"/>
    </w:pPr>
    <w:r>
      <w:rPr>
        <w:noProof/>
      </w:rPr>
      <w:drawing>
        <wp:inline distT="0" distB="0" distL="0" distR="0" wp14:anchorId="75EE88E0" wp14:editId="5B060112">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90D0" w14:textId="77777777" w:rsidR="00472906" w:rsidRPr="00BF7FC5" w:rsidRDefault="00472906" w:rsidP="000D7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1B63" w14:textId="77777777" w:rsidR="00472906" w:rsidRDefault="00472906">
    <w:pPr>
      <w:pStyle w:val="Header"/>
    </w:pPr>
  </w:p>
  <w:p w14:paraId="0E9B790A" w14:textId="77777777" w:rsidR="00472906" w:rsidRDefault="00472906"/>
  <w:p w14:paraId="7D7F2076" w14:textId="77777777" w:rsidR="00472906" w:rsidRDefault="00472906" w:rsidP="00AB121A"/>
  <w:p w14:paraId="110D590A" w14:textId="77777777" w:rsidR="00472906" w:rsidRDefault="004729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2339" w14:textId="77777777" w:rsidR="00472906" w:rsidRDefault="0047290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4663" w14:textId="77777777" w:rsidR="00472906" w:rsidRDefault="0047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4A6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669B5"/>
    <w:multiLevelType w:val="hybridMultilevel"/>
    <w:tmpl w:val="3856C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A13DA"/>
    <w:multiLevelType w:val="hybridMultilevel"/>
    <w:tmpl w:val="FD008F32"/>
    <w:lvl w:ilvl="0" w:tplc="1702E8DE">
      <w:start w:val="1"/>
      <w:numFmt w:val="bullet"/>
      <w:lvlText w:val=""/>
      <w:lvlJc w:val="left"/>
      <w:pPr>
        <w:ind w:left="720" w:hanging="360"/>
      </w:pPr>
      <w:rPr>
        <w:rFonts w:ascii="Symbol" w:hAnsi="Symbol"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338B6"/>
    <w:multiLevelType w:val="multilevel"/>
    <w:tmpl w:val="1BF867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0396456D"/>
    <w:multiLevelType w:val="hybridMultilevel"/>
    <w:tmpl w:val="A2869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B04A5"/>
    <w:multiLevelType w:val="hybridMultilevel"/>
    <w:tmpl w:val="C29EDC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D212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704685"/>
    <w:multiLevelType w:val="multilevel"/>
    <w:tmpl w:val="2A1249E0"/>
    <w:lvl w:ilvl="0">
      <w:start w:val="4"/>
      <w:numFmt w:val="decimal"/>
      <w:lvlText w:val="%1."/>
      <w:lvlJc w:val="left"/>
      <w:pPr>
        <w:ind w:left="1215" w:hanging="495"/>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32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760" w:hanging="2520"/>
      </w:pPr>
      <w:rPr>
        <w:rFonts w:hint="default"/>
      </w:rPr>
    </w:lvl>
    <w:lvl w:ilvl="8">
      <w:start w:val="1"/>
      <w:numFmt w:val="decimal"/>
      <w:lvlText w:val="%1.%2.%3.%4.%5.%6.%7.%8.%9."/>
      <w:lvlJc w:val="left"/>
      <w:pPr>
        <w:ind w:left="6480" w:hanging="2880"/>
      </w:pPr>
      <w:rPr>
        <w:rFonts w:hint="default"/>
      </w:rPr>
    </w:lvl>
  </w:abstractNum>
  <w:abstractNum w:abstractNumId="8" w15:restartNumberingAfterBreak="0">
    <w:nsid w:val="0EB73C4C"/>
    <w:multiLevelType w:val="hybridMultilevel"/>
    <w:tmpl w:val="E788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A6686E"/>
    <w:multiLevelType w:val="hybridMultilevel"/>
    <w:tmpl w:val="A6209C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54672B"/>
    <w:multiLevelType w:val="hybridMultilevel"/>
    <w:tmpl w:val="46EACEA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3376B1A"/>
    <w:multiLevelType w:val="hybridMultilevel"/>
    <w:tmpl w:val="3C3C3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43276DC"/>
    <w:multiLevelType w:val="hybridMultilevel"/>
    <w:tmpl w:val="1A98BB08"/>
    <w:lvl w:ilvl="0" w:tplc="A4305D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CEC"/>
    <w:multiLevelType w:val="hybridMultilevel"/>
    <w:tmpl w:val="1D24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6E7D64"/>
    <w:multiLevelType w:val="multilevel"/>
    <w:tmpl w:val="97F8A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E4F01B0"/>
    <w:multiLevelType w:val="multilevel"/>
    <w:tmpl w:val="75FCAB3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565C5D"/>
    <w:multiLevelType w:val="hybridMultilevel"/>
    <w:tmpl w:val="2EC0FE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0CD170D"/>
    <w:multiLevelType w:val="hybridMultilevel"/>
    <w:tmpl w:val="EFFAF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09B3"/>
    <w:multiLevelType w:val="hybridMultilevel"/>
    <w:tmpl w:val="D04C872A"/>
    <w:lvl w:ilvl="0" w:tplc="CA4657D0">
      <w:start w:val="1"/>
      <w:numFmt w:val="bullet"/>
      <w:lvlText w:val=""/>
      <w:lvlJc w:val="left"/>
      <w:pPr>
        <w:ind w:left="502" w:hanging="360"/>
      </w:pPr>
      <w:rPr>
        <w:rFonts w:ascii="Symbol" w:hAnsi="Symbol" w:hint="default"/>
        <w:b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443499D"/>
    <w:multiLevelType w:val="hybridMultilevel"/>
    <w:tmpl w:val="B0A646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46E3D17"/>
    <w:multiLevelType w:val="hybridMultilevel"/>
    <w:tmpl w:val="AD9E2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577574"/>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29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8A22E7"/>
    <w:multiLevelType w:val="hybridMultilevel"/>
    <w:tmpl w:val="6AA2515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2B7F6A02"/>
    <w:multiLevelType w:val="hybridMultilevel"/>
    <w:tmpl w:val="1592C7FA"/>
    <w:lvl w:ilvl="0" w:tplc="0C090001">
      <w:start w:val="1"/>
      <w:numFmt w:val="bullet"/>
      <w:lvlText w:val=""/>
      <w:lvlJc w:val="left"/>
      <w:pPr>
        <w:ind w:left="930" w:hanging="360"/>
      </w:pPr>
      <w:rPr>
        <w:rFonts w:ascii="Symbol" w:hAnsi="Symbol" w:hint="default"/>
      </w:rPr>
    </w:lvl>
    <w:lvl w:ilvl="1" w:tplc="0C090003">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25" w15:restartNumberingAfterBreak="0">
    <w:nsid w:val="2E371F9F"/>
    <w:multiLevelType w:val="hybridMultilevel"/>
    <w:tmpl w:val="AF18B7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1DE44C1"/>
    <w:multiLevelType w:val="hybridMultilevel"/>
    <w:tmpl w:val="B890E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630CB3"/>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3C1F5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5AB295A"/>
    <w:multiLevelType w:val="hybridMultilevel"/>
    <w:tmpl w:val="281C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2147EA"/>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37422A74"/>
    <w:multiLevelType w:val="hybridMultilevel"/>
    <w:tmpl w:val="3948E880"/>
    <w:lvl w:ilvl="0" w:tplc="240AEFB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37AF6203"/>
    <w:multiLevelType w:val="hybridMultilevel"/>
    <w:tmpl w:val="043E2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2B0E95"/>
    <w:multiLevelType w:val="hybridMultilevel"/>
    <w:tmpl w:val="2F6CA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7B7479"/>
    <w:multiLevelType w:val="multilevel"/>
    <w:tmpl w:val="976C9F8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8E735F2"/>
    <w:multiLevelType w:val="hybridMultilevel"/>
    <w:tmpl w:val="619ADA2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302C5D"/>
    <w:multiLevelType w:val="multilevel"/>
    <w:tmpl w:val="C5D4E66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8E4DAB"/>
    <w:multiLevelType w:val="hybridMultilevel"/>
    <w:tmpl w:val="D166F4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C7A4F1A"/>
    <w:multiLevelType w:val="hybridMultilevel"/>
    <w:tmpl w:val="D2E4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985D3F"/>
    <w:multiLevelType w:val="multilevel"/>
    <w:tmpl w:val="9FDE74C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01E0390"/>
    <w:multiLevelType w:val="multilevel"/>
    <w:tmpl w:val="D298958E"/>
    <w:lvl w:ilvl="0">
      <w:start w:val="1"/>
      <w:numFmt w:val="decimal"/>
      <w:pStyle w:val="Heading2"/>
      <w:lvlText w:val="%1."/>
      <w:lvlJc w:val="left"/>
      <w:pPr>
        <w:ind w:left="360" w:hanging="360"/>
      </w:pPr>
      <w:rPr>
        <w:rFonts w:hint="default"/>
      </w:rPr>
    </w:lvl>
    <w:lvl w:ilvl="1">
      <w:start w:val="1"/>
      <w:numFmt w:val="decimal"/>
      <w:pStyle w:val="Heading1"/>
      <w:lvlText w:val="%1.%2."/>
      <w:lvlJc w:val="left"/>
      <w:pPr>
        <w:ind w:left="432" w:hanging="432"/>
      </w:pPr>
      <w:rPr>
        <w:rFonts w:hint="default"/>
        <w:b w:val="0"/>
        <w:i w:val="0"/>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9B077F"/>
    <w:multiLevelType w:val="multilevel"/>
    <w:tmpl w:val="86D05CB8"/>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43304730"/>
    <w:multiLevelType w:val="multilevel"/>
    <w:tmpl w:val="861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856005"/>
    <w:multiLevelType w:val="hybridMultilevel"/>
    <w:tmpl w:val="C2DE3A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5" w15:restartNumberingAfterBreak="0">
    <w:nsid w:val="45E46C31"/>
    <w:multiLevelType w:val="hybridMultilevel"/>
    <w:tmpl w:val="BEE4C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B3012C"/>
    <w:multiLevelType w:val="multilevel"/>
    <w:tmpl w:val="28D2525A"/>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F323F3"/>
    <w:multiLevelType w:val="hybridMultilevel"/>
    <w:tmpl w:val="DA963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8" w15:restartNumberingAfterBreak="0">
    <w:nsid w:val="482214D7"/>
    <w:multiLevelType w:val="hybridMultilevel"/>
    <w:tmpl w:val="81C27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8553598"/>
    <w:multiLevelType w:val="hybridMultilevel"/>
    <w:tmpl w:val="924E2E9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4A76683D"/>
    <w:multiLevelType w:val="multilevel"/>
    <w:tmpl w:val="991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8C59A1"/>
    <w:multiLevelType w:val="hybridMultilevel"/>
    <w:tmpl w:val="98BE5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712E2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57957CB"/>
    <w:multiLevelType w:val="hybridMultilevel"/>
    <w:tmpl w:val="B866B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7A923EB"/>
    <w:multiLevelType w:val="hybridMultilevel"/>
    <w:tmpl w:val="652A8D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56" w15:restartNumberingAfterBreak="0">
    <w:nsid w:val="5BF74A5E"/>
    <w:multiLevelType w:val="hybridMultilevel"/>
    <w:tmpl w:val="77B6267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7" w15:restartNumberingAfterBreak="0">
    <w:nsid w:val="5C806B9C"/>
    <w:multiLevelType w:val="hybridMultilevel"/>
    <w:tmpl w:val="213EC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C30114"/>
    <w:multiLevelType w:val="hybridMultilevel"/>
    <w:tmpl w:val="00E24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59" w15:restartNumberingAfterBreak="0">
    <w:nsid w:val="62DC7014"/>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3D404C2"/>
    <w:multiLevelType w:val="hybridMultilevel"/>
    <w:tmpl w:val="8034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3EE797C"/>
    <w:multiLevelType w:val="hybridMultilevel"/>
    <w:tmpl w:val="DDA23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2" w15:restartNumberingAfterBreak="0">
    <w:nsid w:val="64526586"/>
    <w:multiLevelType w:val="multilevel"/>
    <w:tmpl w:val="36EA0680"/>
    <w:lvl w:ilvl="0">
      <w:start w:val="4"/>
      <w:numFmt w:val="decimal"/>
      <w:lvlText w:val="%1"/>
      <w:lvlJc w:val="left"/>
      <w:pPr>
        <w:ind w:left="360" w:hanging="360"/>
      </w:pPr>
      <w:rPr>
        <w:rFonts w:cstheme="majorBidi" w:hint="default"/>
      </w:rPr>
    </w:lvl>
    <w:lvl w:ilvl="1">
      <w:start w:val="5"/>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63" w15:restartNumberingAfterBreak="0">
    <w:nsid w:val="65FE7C91"/>
    <w:multiLevelType w:val="hybridMultilevel"/>
    <w:tmpl w:val="3D50AC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6609351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8597642"/>
    <w:multiLevelType w:val="multilevel"/>
    <w:tmpl w:val="FD1CDE9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7" w15:restartNumberingAfterBreak="0">
    <w:nsid w:val="6E020C58"/>
    <w:multiLevelType w:val="multilevel"/>
    <w:tmpl w:val="7D6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EF473D"/>
    <w:multiLevelType w:val="hybridMultilevel"/>
    <w:tmpl w:val="71C05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17A1630"/>
    <w:multiLevelType w:val="hybridMultilevel"/>
    <w:tmpl w:val="64BE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18F4C51"/>
    <w:multiLevelType w:val="hybridMultilevel"/>
    <w:tmpl w:val="1E6C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3677984"/>
    <w:multiLevelType w:val="hybridMultilevel"/>
    <w:tmpl w:val="0DB422EA"/>
    <w:lvl w:ilvl="0" w:tplc="39CA8A32">
      <w:start w:val="1"/>
      <w:numFmt w:val="decimal"/>
      <w:lvlText w:val="%1."/>
      <w:lvlJc w:val="left"/>
      <w:pPr>
        <w:ind w:left="570" w:hanging="360"/>
      </w:pPr>
      <w:rPr>
        <w:rFonts w:hint="default"/>
      </w:rPr>
    </w:lvl>
    <w:lvl w:ilvl="1" w:tplc="0C090019">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72" w15:restartNumberingAfterBreak="0">
    <w:nsid w:val="73B11495"/>
    <w:multiLevelType w:val="hybridMultilevel"/>
    <w:tmpl w:val="9C1C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AC4619"/>
    <w:multiLevelType w:val="hybridMultilevel"/>
    <w:tmpl w:val="D00E6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7C50955"/>
    <w:multiLevelType w:val="hybridMultilevel"/>
    <w:tmpl w:val="5554F212"/>
    <w:lvl w:ilvl="0" w:tplc="26D06CE8">
      <w:start w:val="1"/>
      <w:numFmt w:val="decimal"/>
      <w:lvlText w:val="%1."/>
      <w:lvlJc w:val="left"/>
      <w:pPr>
        <w:ind w:left="780" w:hanging="360"/>
      </w:pPr>
      <w:rPr>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5" w15:restartNumberingAfterBreak="0">
    <w:nsid w:val="79964A27"/>
    <w:multiLevelType w:val="hybridMultilevel"/>
    <w:tmpl w:val="ECBC7F5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76" w15:restartNumberingAfterBreak="0">
    <w:nsid w:val="7AA847E1"/>
    <w:multiLevelType w:val="hybridMultilevel"/>
    <w:tmpl w:val="92B0D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15:restartNumberingAfterBreak="0">
    <w:nsid w:val="7BEB2B5E"/>
    <w:multiLevelType w:val="hybridMultilevel"/>
    <w:tmpl w:val="F9FE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5"/>
  </w:num>
  <w:num w:numId="2">
    <w:abstractNumId w:val="3"/>
  </w:num>
  <w:num w:numId="3">
    <w:abstractNumId w:val="7"/>
  </w:num>
  <w:num w:numId="4">
    <w:abstractNumId w:val="1"/>
  </w:num>
  <w:num w:numId="5">
    <w:abstractNumId w:val="0"/>
  </w:num>
  <w:num w:numId="6">
    <w:abstractNumId w:val="49"/>
  </w:num>
  <w:num w:numId="7">
    <w:abstractNumId w:val="54"/>
  </w:num>
  <w:num w:numId="8">
    <w:abstractNumId w:val="69"/>
  </w:num>
  <w:num w:numId="9">
    <w:abstractNumId w:val="72"/>
  </w:num>
  <w:num w:numId="10">
    <w:abstractNumId w:val="27"/>
  </w:num>
  <w:num w:numId="11">
    <w:abstractNumId w:val="12"/>
  </w:num>
  <w:num w:numId="12">
    <w:abstractNumId w:val="76"/>
  </w:num>
  <w:num w:numId="13">
    <w:abstractNumId w:val="2"/>
  </w:num>
  <w:num w:numId="14">
    <w:abstractNumId w:val="14"/>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3"/>
  </w:num>
  <w:num w:numId="27">
    <w:abstractNumId w:val="57"/>
  </w:num>
  <w:num w:numId="28">
    <w:abstractNumId w:val="62"/>
  </w:num>
  <w:num w:numId="29">
    <w:abstractNumId w:val="28"/>
  </w:num>
  <w:num w:numId="30">
    <w:abstractNumId w:val="45"/>
  </w:num>
  <w:num w:numId="31">
    <w:abstractNumId w:val="50"/>
  </w:num>
  <w:num w:numId="32">
    <w:abstractNumId w:val="67"/>
  </w:num>
  <w:num w:numId="33">
    <w:abstractNumId w:val="5"/>
  </w:num>
  <w:num w:numId="34">
    <w:abstractNumId w:val="4"/>
  </w:num>
  <w:num w:numId="35">
    <w:abstractNumId w:val="22"/>
  </w:num>
  <w:num w:numId="36">
    <w:abstractNumId w:val="66"/>
  </w:num>
  <w:num w:numId="37">
    <w:abstractNumId w:val="13"/>
  </w:num>
  <w:num w:numId="38">
    <w:abstractNumId w:val="59"/>
  </w:num>
  <w:num w:numId="39">
    <w:abstractNumId w:val="8"/>
  </w:num>
  <w:num w:numId="40">
    <w:abstractNumId w:val="77"/>
  </w:num>
  <w:num w:numId="41">
    <w:abstractNumId w:val="30"/>
  </w:num>
  <w:num w:numId="42">
    <w:abstractNumId w:val="35"/>
  </w:num>
  <w:num w:numId="43">
    <w:abstractNumId w:val="9"/>
  </w:num>
  <w:num w:numId="44">
    <w:abstractNumId w:val="26"/>
  </w:num>
  <w:num w:numId="45">
    <w:abstractNumId w:val="44"/>
  </w:num>
  <w:num w:numId="46">
    <w:abstractNumId w:val="55"/>
  </w:num>
  <w:num w:numId="47">
    <w:abstractNumId w:val="47"/>
  </w:num>
  <w:num w:numId="48">
    <w:abstractNumId w:val="58"/>
  </w:num>
  <w:num w:numId="49">
    <w:abstractNumId w:val="36"/>
  </w:num>
  <w:num w:numId="50">
    <w:abstractNumId w:val="61"/>
  </w:num>
  <w:num w:numId="51">
    <w:abstractNumId w:val="42"/>
  </w:num>
  <w:num w:numId="52">
    <w:abstractNumId w:val="34"/>
  </w:num>
  <w:num w:numId="53">
    <w:abstractNumId w:val="37"/>
  </w:num>
  <w:num w:numId="54">
    <w:abstractNumId w:val="38"/>
  </w:num>
  <w:num w:numId="55">
    <w:abstractNumId w:val="46"/>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16"/>
  </w:num>
  <w:num w:numId="59">
    <w:abstractNumId w:val="16"/>
  </w:num>
  <w:num w:numId="60">
    <w:abstractNumId w:val="16"/>
  </w:num>
  <w:num w:numId="61">
    <w:abstractNumId w:val="48"/>
  </w:num>
  <w:num w:numId="62">
    <w:abstractNumId w:val="31"/>
  </w:num>
  <w:num w:numId="63">
    <w:abstractNumId w:val="6"/>
  </w:num>
  <w:num w:numId="64">
    <w:abstractNumId w:val="71"/>
  </w:num>
  <w:num w:numId="65">
    <w:abstractNumId w:val="29"/>
  </w:num>
  <w:num w:numId="66">
    <w:abstractNumId w:val="52"/>
  </w:num>
  <w:num w:numId="67">
    <w:abstractNumId w:val="64"/>
  </w:num>
  <w:num w:numId="68">
    <w:abstractNumId w:val="20"/>
  </w:num>
  <w:num w:numId="69">
    <w:abstractNumId w:val="16"/>
  </w:num>
  <w:num w:numId="70">
    <w:abstractNumId w:val="21"/>
  </w:num>
  <w:num w:numId="71">
    <w:abstractNumId w:val="24"/>
  </w:num>
  <w:num w:numId="72">
    <w:abstractNumId w:val="39"/>
  </w:num>
  <w:num w:numId="73">
    <w:abstractNumId w:val="16"/>
  </w:num>
  <w:num w:numId="74">
    <w:abstractNumId w:val="75"/>
  </w:num>
  <w:num w:numId="75">
    <w:abstractNumId w:val="16"/>
  </w:num>
  <w:num w:numId="76">
    <w:abstractNumId w:val="16"/>
  </w:num>
  <w:num w:numId="77">
    <w:abstractNumId w:val="16"/>
  </w:num>
  <w:num w:numId="78">
    <w:abstractNumId w:val="16"/>
  </w:num>
  <w:num w:numId="79">
    <w:abstractNumId w:val="16"/>
  </w:num>
  <w:num w:numId="80">
    <w:abstractNumId w:val="40"/>
  </w:num>
  <w:num w:numId="81">
    <w:abstractNumId w:val="60"/>
  </w:num>
  <w:num w:numId="82">
    <w:abstractNumId w:val="41"/>
  </w:num>
  <w:num w:numId="83">
    <w:abstractNumId w:val="41"/>
  </w:num>
  <w:num w:numId="84">
    <w:abstractNumId w:val="25"/>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num>
  <w:num w:numId="87">
    <w:abstractNumId w:val="18"/>
  </w:num>
  <w:num w:numId="88">
    <w:abstractNumId w:val="41"/>
  </w:num>
  <w:num w:numId="89">
    <w:abstractNumId w:val="19"/>
  </w:num>
  <w:num w:numId="90">
    <w:abstractNumId w:val="23"/>
  </w:num>
  <w:num w:numId="91">
    <w:abstractNumId w:val="56"/>
  </w:num>
  <w:num w:numId="92">
    <w:abstractNumId w:val="74"/>
  </w:num>
  <w:num w:numId="93">
    <w:abstractNumId w:val="63"/>
  </w:num>
  <w:num w:numId="94">
    <w:abstractNumId w:val="68"/>
  </w:num>
  <w:num w:numId="95">
    <w:abstractNumId w:val="51"/>
  </w:num>
  <w:num w:numId="96">
    <w:abstractNumId w:val="17"/>
  </w:num>
  <w:num w:numId="97">
    <w:abstractNumId w:val="11"/>
  </w:num>
  <w:num w:numId="98">
    <w:abstractNumId w:val="32"/>
  </w:num>
  <w:num w:numId="99">
    <w:abstractNumId w:val="43"/>
  </w:num>
  <w:num w:numId="100">
    <w:abstractNumId w:val="53"/>
  </w:num>
  <w:num w:numId="101">
    <w:abstractNumId w:val="41"/>
  </w:num>
  <w:num w:numId="102">
    <w:abstractNumId w:val="41"/>
  </w:num>
  <w:num w:numId="103">
    <w:abstractNumId w:val="41"/>
  </w:num>
  <w:num w:numId="104">
    <w:abstractNumId w:val="4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1"/>
  </w:num>
  <w:num w:numId="106">
    <w:abstractNumId w:val="70"/>
  </w:num>
  <w:num w:numId="107">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C7"/>
    <w:rsid w:val="00000975"/>
    <w:rsid w:val="000038AA"/>
    <w:rsid w:val="00004C70"/>
    <w:rsid w:val="00005633"/>
    <w:rsid w:val="00022236"/>
    <w:rsid w:val="00031C84"/>
    <w:rsid w:val="00032FCF"/>
    <w:rsid w:val="00033512"/>
    <w:rsid w:val="000463BF"/>
    <w:rsid w:val="00052554"/>
    <w:rsid w:val="00061ECF"/>
    <w:rsid w:val="000620CF"/>
    <w:rsid w:val="0006344F"/>
    <w:rsid w:val="0006602E"/>
    <w:rsid w:val="00072F37"/>
    <w:rsid w:val="00072FC0"/>
    <w:rsid w:val="000742C4"/>
    <w:rsid w:val="00074DE8"/>
    <w:rsid w:val="00074F81"/>
    <w:rsid w:val="00091764"/>
    <w:rsid w:val="000931A5"/>
    <w:rsid w:val="0009465C"/>
    <w:rsid w:val="000A0691"/>
    <w:rsid w:val="000A3B4E"/>
    <w:rsid w:val="000A468E"/>
    <w:rsid w:val="000A5AAE"/>
    <w:rsid w:val="000B3CFE"/>
    <w:rsid w:val="000C612A"/>
    <w:rsid w:val="000D391E"/>
    <w:rsid w:val="000D72FB"/>
    <w:rsid w:val="000E552A"/>
    <w:rsid w:val="000E5C93"/>
    <w:rsid w:val="00102B9B"/>
    <w:rsid w:val="00107E78"/>
    <w:rsid w:val="00111B03"/>
    <w:rsid w:val="001134C3"/>
    <w:rsid w:val="00116876"/>
    <w:rsid w:val="00121795"/>
    <w:rsid w:val="00126EC3"/>
    <w:rsid w:val="00130095"/>
    <w:rsid w:val="001451A6"/>
    <w:rsid w:val="00161FD6"/>
    <w:rsid w:val="0016619E"/>
    <w:rsid w:val="00170577"/>
    <w:rsid w:val="001724D6"/>
    <w:rsid w:val="00174DD5"/>
    <w:rsid w:val="001768C3"/>
    <w:rsid w:val="00177FB8"/>
    <w:rsid w:val="00180E53"/>
    <w:rsid w:val="001927D3"/>
    <w:rsid w:val="00192896"/>
    <w:rsid w:val="00193FA1"/>
    <w:rsid w:val="0019538A"/>
    <w:rsid w:val="00196B8E"/>
    <w:rsid w:val="001A2081"/>
    <w:rsid w:val="001A20A2"/>
    <w:rsid w:val="001A2364"/>
    <w:rsid w:val="001B3177"/>
    <w:rsid w:val="001C75D2"/>
    <w:rsid w:val="001D0ED7"/>
    <w:rsid w:val="001D174D"/>
    <w:rsid w:val="001D3CF2"/>
    <w:rsid w:val="001D43C9"/>
    <w:rsid w:val="001E62A6"/>
    <w:rsid w:val="001E630D"/>
    <w:rsid w:val="001F18BE"/>
    <w:rsid w:val="001F792C"/>
    <w:rsid w:val="00215B84"/>
    <w:rsid w:val="00216CCE"/>
    <w:rsid w:val="00217F3A"/>
    <w:rsid w:val="002212F2"/>
    <w:rsid w:val="002233C1"/>
    <w:rsid w:val="00227869"/>
    <w:rsid w:val="00231077"/>
    <w:rsid w:val="002339D2"/>
    <w:rsid w:val="00240968"/>
    <w:rsid w:val="0024211B"/>
    <w:rsid w:val="0024421E"/>
    <w:rsid w:val="002466BA"/>
    <w:rsid w:val="00247A96"/>
    <w:rsid w:val="002519D4"/>
    <w:rsid w:val="00252AF7"/>
    <w:rsid w:val="0026222D"/>
    <w:rsid w:val="00262775"/>
    <w:rsid w:val="00267E3F"/>
    <w:rsid w:val="002726BD"/>
    <w:rsid w:val="00281C32"/>
    <w:rsid w:val="00284DC9"/>
    <w:rsid w:val="002863D9"/>
    <w:rsid w:val="00295630"/>
    <w:rsid w:val="002A1CBE"/>
    <w:rsid w:val="002A7511"/>
    <w:rsid w:val="002A7944"/>
    <w:rsid w:val="002A7B35"/>
    <w:rsid w:val="002B0972"/>
    <w:rsid w:val="002B1EF9"/>
    <w:rsid w:val="002C0D09"/>
    <w:rsid w:val="002C1108"/>
    <w:rsid w:val="002C63CC"/>
    <w:rsid w:val="002C77BB"/>
    <w:rsid w:val="002D3B95"/>
    <w:rsid w:val="002D59A8"/>
    <w:rsid w:val="002D794A"/>
    <w:rsid w:val="002F258B"/>
    <w:rsid w:val="0030502C"/>
    <w:rsid w:val="00306D47"/>
    <w:rsid w:val="0031130C"/>
    <w:rsid w:val="00313BD5"/>
    <w:rsid w:val="0031652A"/>
    <w:rsid w:val="00317ED6"/>
    <w:rsid w:val="003231DE"/>
    <w:rsid w:val="00333142"/>
    <w:rsid w:val="00335A43"/>
    <w:rsid w:val="00370B4E"/>
    <w:rsid w:val="00377E8A"/>
    <w:rsid w:val="003A6046"/>
    <w:rsid w:val="003B0BDE"/>
    <w:rsid w:val="003B158C"/>
    <w:rsid w:val="003B1B0D"/>
    <w:rsid w:val="003B2BB8"/>
    <w:rsid w:val="003C0E10"/>
    <w:rsid w:val="003D2694"/>
    <w:rsid w:val="003D2EA3"/>
    <w:rsid w:val="003D34FF"/>
    <w:rsid w:val="003E05A3"/>
    <w:rsid w:val="003E0CF0"/>
    <w:rsid w:val="003E655E"/>
    <w:rsid w:val="00406DD1"/>
    <w:rsid w:val="00407AAB"/>
    <w:rsid w:val="00421943"/>
    <w:rsid w:val="00425099"/>
    <w:rsid w:val="0042795D"/>
    <w:rsid w:val="004309F7"/>
    <w:rsid w:val="00430A2C"/>
    <w:rsid w:val="00431C96"/>
    <w:rsid w:val="00442CF4"/>
    <w:rsid w:val="00444B2F"/>
    <w:rsid w:val="00447282"/>
    <w:rsid w:val="004551A4"/>
    <w:rsid w:val="00456A1C"/>
    <w:rsid w:val="00464A7A"/>
    <w:rsid w:val="00464DD3"/>
    <w:rsid w:val="00472906"/>
    <w:rsid w:val="004770CD"/>
    <w:rsid w:val="00480C13"/>
    <w:rsid w:val="004822F0"/>
    <w:rsid w:val="00484225"/>
    <w:rsid w:val="00484EB1"/>
    <w:rsid w:val="004A6467"/>
    <w:rsid w:val="004B04C0"/>
    <w:rsid w:val="004B26D4"/>
    <w:rsid w:val="004B54CA"/>
    <w:rsid w:val="004B6DD5"/>
    <w:rsid w:val="004C0D1A"/>
    <w:rsid w:val="004C1078"/>
    <w:rsid w:val="004C278E"/>
    <w:rsid w:val="004C3752"/>
    <w:rsid w:val="004C3E22"/>
    <w:rsid w:val="004D2589"/>
    <w:rsid w:val="004D61C8"/>
    <w:rsid w:val="004E0161"/>
    <w:rsid w:val="004E056E"/>
    <w:rsid w:val="004E5134"/>
    <w:rsid w:val="004E5CBF"/>
    <w:rsid w:val="004F727F"/>
    <w:rsid w:val="00500C4A"/>
    <w:rsid w:val="00503A54"/>
    <w:rsid w:val="00507341"/>
    <w:rsid w:val="00510455"/>
    <w:rsid w:val="00515B6A"/>
    <w:rsid w:val="00540166"/>
    <w:rsid w:val="00551FF7"/>
    <w:rsid w:val="005633C5"/>
    <w:rsid w:val="00565B68"/>
    <w:rsid w:val="00571519"/>
    <w:rsid w:val="00571C44"/>
    <w:rsid w:val="005751B1"/>
    <w:rsid w:val="00577566"/>
    <w:rsid w:val="00581BBB"/>
    <w:rsid w:val="00593202"/>
    <w:rsid w:val="00596171"/>
    <w:rsid w:val="005A1811"/>
    <w:rsid w:val="005B0164"/>
    <w:rsid w:val="005B1754"/>
    <w:rsid w:val="005B4599"/>
    <w:rsid w:val="005C3AA9"/>
    <w:rsid w:val="005C3B3A"/>
    <w:rsid w:val="005C4668"/>
    <w:rsid w:val="005C6FB1"/>
    <w:rsid w:val="005D33DD"/>
    <w:rsid w:val="005D3464"/>
    <w:rsid w:val="005E6740"/>
    <w:rsid w:val="005F1206"/>
    <w:rsid w:val="005F1984"/>
    <w:rsid w:val="005F2089"/>
    <w:rsid w:val="00610B3A"/>
    <w:rsid w:val="006141ED"/>
    <w:rsid w:val="0061781C"/>
    <w:rsid w:val="00621FC5"/>
    <w:rsid w:val="00623093"/>
    <w:rsid w:val="006238CD"/>
    <w:rsid w:val="0062730C"/>
    <w:rsid w:val="00635AAF"/>
    <w:rsid w:val="0063657C"/>
    <w:rsid w:val="00636862"/>
    <w:rsid w:val="00637B02"/>
    <w:rsid w:val="00643789"/>
    <w:rsid w:val="006467E6"/>
    <w:rsid w:val="006501AB"/>
    <w:rsid w:val="006510A9"/>
    <w:rsid w:val="00651229"/>
    <w:rsid w:val="00653E43"/>
    <w:rsid w:val="006555FC"/>
    <w:rsid w:val="006615C0"/>
    <w:rsid w:val="00665E38"/>
    <w:rsid w:val="006667B4"/>
    <w:rsid w:val="00670E21"/>
    <w:rsid w:val="00683499"/>
    <w:rsid w:val="00683A84"/>
    <w:rsid w:val="00684A65"/>
    <w:rsid w:val="006862AC"/>
    <w:rsid w:val="00687861"/>
    <w:rsid w:val="00692F0E"/>
    <w:rsid w:val="0069428E"/>
    <w:rsid w:val="006A41E9"/>
    <w:rsid w:val="006A4CE7"/>
    <w:rsid w:val="006B202E"/>
    <w:rsid w:val="006B2944"/>
    <w:rsid w:val="006B3A61"/>
    <w:rsid w:val="006B6F34"/>
    <w:rsid w:val="006C54B5"/>
    <w:rsid w:val="006C5A94"/>
    <w:rsid w:val="006D0011"/>
    <w:rsid w:val="006D1BB0"/>
    <w:rsid w:val="006D4F07"/>
    <w:rsid w:val="006D5481"/>
    <w:rsid w:val="006D6070"/>
    <w:rsid w:val="006D66E8"/>
    <w:rsid w:val="006D790C"/>
    <w:rsid w:val="006D7A08"/>
    <w:rsid w:val="006E2CC4"/>
    <w:rsid w:val="006F2C4C"/>
    <w:rsid w:val="006F3D8D"/>
    <w:rsid w:val="006F4897"/>
    <w:rsid w:val="007036AE"/>
    <w:rsid w:val="00704371"/>
    <w:rsid w:val="007058BA"/>
    <w:rsid w:val="00705FE0"/>
    <w:rsid w:val="0071393E"/>
    <w:rsid w:val="00725ED3"/>
    <w:rsid w:val="0073218E"/>
    <w:rsid w:val="00734A15"/>
    <w:rsid w:val="00734EAA"/>
    <w:rsid w:val="00734FC7"/>
    <w:rsid w:val="007400E6"/>
    <w:rsid w:val="007413AF"/>
    <w:rsid w:val="00744B08"/>
    <w:rsid w:val="007452CD"/>
    <w:rsid w:val="00751144"/>
    <w:rsid w:val="00754B3D"/>
    <w:rsid w:val="00755258"/>
    <w:rsid w:val="00757E24"/>
    <w:rsid w:val="007623CD"/>
    <w:rsid w:val="0076411D"/>
    <w:rsid w:val="0076435D"/>
    <w:rsid w:val="0077438A"/>
    <w:rsid w:val="007759B1"/>
    <w:rsid w:val="00785261"/>
    <w:rsid w:val="00785498"/>
    <w:rsid w:val="00793C11"/>
    <w:rsid w:val="0079678E"/>
    <w:rsid w:val="007A3C04"/>
    <w:rsid w:val="007B0256"/>
    <w:rsid w:val="007B19C7"/>
    <w:rsid w:val="007B3C28"/>
    <w:rsid w:val="007C1288"/>
    <w:rsid w:val="007D4273"/>
    <w:rsid w:val="007E0329"/>
    <w:rsid w:val="007E12D0"/>
    <w:rsid w:val="007E18D2"/>
    <w:rsid w:val="007E1B54"/>
    <w:rsid w:val="007E215B"/>
    <w:rsid w:val="007E2E14"/>
    <w:rsid w:val="007E3CDF"/>
    <w:rsid w:val="007E6EB5"/>
    <w:rsid w:val="007F1D94"/>
    <w:rsid w:val="007F22F9"/>
    <w:rsid w:val="007F6198"/>
    <w:rsid w:val="008059EE"/>
    <w:rsid w:val="00806755"/>
    <w:rsid w:val="008234C8"/>
    <w:rsid w:val="0082405A"/>
    <w:rsid w:val="008259B1"/>
    <w:rsid w:val="0083029E"/>
    <w:rsid w:val="0083177B"/>
    <w:rsid w:val="00832E23"/>
    <w:rsid w:val="00842458"/>
    <w:rsid w:val="00846E2D"/>
    <w:rsid w:val="00847ACA"/>
    <w:rsid w:val="00851AA5"/>
    <w:rsid w:val="00854502"/>
    <w:rsid w:val="008556B3"/>
    <w:rsid w:val="00857EB3"/>
    <w:rsid w:val="00863B1F"/>
    <w:rsid w:val="00867528"/>
    <w:rsid w:val="00871D22"/>
    <w:rsid w:val="008809E7"/>
    <w:rsid w:val="00880B3F"/>
    <w:rsid w:val="008A3CB7"/>
    <w:rsid w:val="008A5029"/>
    <w:rsid w:val="008B0771"/>
    <w:rsid w:val="008B447E"/>
    <w:rsid w:val="008B6E5C"/>
    <w:rsid w:val="008C0D35"/>
    <w:rsid w:val="008D4FF8"/>
    <w:rsid w:val="008D600A"/>
    <w:rsid w:val="008D79B8"/>
    <w:rsid w:val="008E0E4E"/>
    <w:rsid w:val="008F0AF0"/>
    <w:rsid w:val="00901CF8"/>
    <w:rsid w:val="00902F67"/>
    <w:rsid w:val="00905485"/>
    <w:rsid w:val="00905FEC"/>
    <w:rsid w:val="009111D5"/>
    <w:rsid w:val="00917A80"/>
    <w:rsid w:val="009225F0"/>
    <w:rsid w:val="00922A33"/>
    <w:rsid w:val="0093462C"/>
    <w:rsid w:val="00935B3D"/>
    <w:rsid w:val="009414CC"/>
    <w:rsid w:val="00942526"/>
    <w:rsid w:val="00950C87"/>
    <w:rsid w:val="00951E72"/>
    <w:rsid w:val="00953795"/>
    <w:rsid w:val="009560DD"/>
    <w:rsid w:val="00974189"/>
    <w:rsid w:val="0098252D"/>
    <w:rsid w:val="009877C9"/>
    <w:rsid w:val="00995C70"/>
    <w:rsid w:val="0099726C"/>
    <w:rsid w:val="009A058A"/>
    <w:rsid w:val="009A74C5"/>
    <w:rsid w:val="009B3533"/>
    <w:rsid w:val="009B48C9"/>
    <w:rsid w:val="009B63BA"/>
    <w:rsid w:val="009C0E72"/>
    <w:rsid w:val="009D1C88"/>
    <w:rsid w:val="009D4F7E"/>
    <w:rsid w:val="009D6E80"/>
    <w:rsid w:val="009E00EE"/>
    <w:rsid w:val="009F720F"/>
    <w:rsid w:val="009F7BE2"/>
    <w:rsid w:val="00A050B7"/>
    <w:rsid w:val="00A21E38"/>
    <w:rsid w:val="00A307D2"/>
    <w:rsid w:val="00A3271E"/>
    <w:rsid w:val="00A60F59"/>
    <w:rsid w:val="00A717CF"/>
    <w:rsid w:val="00A775CA"/>
    <w:rsid w:val="00A77D89"/>
    <w:rsid w:val="00A826BF"/>
    <w:rsid w:val="00A83061"/>
    <w:rsid w:val="00A84462"/>
    <w:rsid w:val="00A85161"/>
    <w:rsid w:val="00A87782"/>
    <w:rsid w:val="00A9042F"/>
    <w:rsid w:val="00A91C79"/>
    <w:rsid w:val="00A94058"/>
    <w:rsid w:val="00A95B05"/>
    <w:rsid w:val="00AB121A"/>
    <w:rsid w:val="00AB1779"/>
    <w:rsid w:val="00AC4233"/>
    <w:rsid w:val="00AC50D8"/>
    <w:rsid w:val="00AC7BBF"/>
    <w:rsid w:val="00AE1606"/>
    <w:rsid w:val="00AE23EF"/>
    <w:rsid w:val="00AE2599"/>
    <w:rsid w:val="00AE42A8"/>
    <w:rsid w:val="00AF1D29"/>
    <w:rsid w:val="00B013F4"/>
    <w:rsid w:val="00B02726"/>
    <w:rsid w:val="00B04ED8"/>
    <w:rsid w:val="00B10A2F"/>
    <w:rsid w:val="00B15459"/>
    <w:rsid w:val="00B26DC2"/>
    <w:rsid w:val="00B307C7"/>
    <w:rsid w:val="00B37B5D"/>
    <w:rsid w:val="00B40F01"/>
    <w:rsid w:val="00B412E4"/>
    <w:rsid w:val="00B47D87"/>
    <w:rsid w:val="00B507F1"/>
    <w:rsid w:val="00B57D7C"/>
    <w:rsid w:val="00B62AA9"/>
    <w:rsid w:val="00B65927"/>
    <w:rsid w:val="00B72D9B"/>
    <w:rsid w:val="00B75A77"/>
    <w:rsid w:val="00B81B17"/>
    <w:rsid w:val="00B85A8F"/>
    <w:rsid w:val="00B91E3E"/>
    <w:rsid w:val="00B9206E"/>
    <w:rsid w:val="00B92BC2"/>
    <w:rsid w:val="00B96733"/>
    <w:rsid w:val="00BA2DB9"/>
    <w:rsid w:val="00BA3310"/>
    <w:rsid w:val="00BB03C4"/>
    <w:rsid w:val="00BC118F"/>
    <w:rsid w:val="00BC568A"/>
    <w:rsid w:val="00BC5FD7"/>
    <w:rsid w:val="00BC765D"/>
    <w:rsid w:val="00BD0B10"/>
    <w:rsid w:val="00BD66C4"/>
    <w:rsid w:val="00BE6828"/>
    <w:rsid w:val="00BE7148"/>
    <w:rsid w:val="00BF0FE6"/>
    <w:rsid w:val="00BF1F51"/>
    <w:rsid w:val="00BF7FC5"/>
    <w:rsid w:val="00C0670B"/>
    <w:rsid w:val="00C1089B"/>
    <w:rsid w:val="00C11442"/>
    <w:rsid w:val="00C203A5"/>
    <w:rsid w:val="00C21675"/>
    <w:rsid w:val="00C22103"/>
    <w:rsid w:val="00C24465"/>
    <w:rsid w:val="00C55B5B"/>
    <w:rsid w:val="00C67865"/>
    <w:rsid w:val="00C74DD8"/>
    <w:rsid w:val="00C75A0F"/>
    <w:rsid w:val="00C84DD7"/>
    <w:rsid w:val="00C95679"/>
    <w:rsid w:val="00C962B6"/>
    <w:rsid w:val="00CA1C88"/>
    <w:rsid w:val="00CA7DA3"/>
    <w:rsid w:val="00CB5863"/>
    <w:rsid w:val="00CC00F7"/>
    <w:rsid w:val="00CD4E04"/>
    <w:rsid w:val="00CD6E0A"/>
    <w:rsid w:val="00CE10F5"/>
    <w:rsid w:val="00CE11E2"/>
    <w:rsid w:val="00CE556C"/>
    <w:rsid w:val="00CE7307"/>
    <w:rsid w:val="00D01710"/>
    <w:rsid w:val="00D05132"/>
    <w:rsid w:val="00D05C25"/>
    <w:rsid w:val="00D07052"/>
    <w:rsid w:val="00D070E7"/>
    <w:rsid w:val="00D1048C"/>
    <w:rsid w:val="00D346BF"/>
    <w:rsid w:val="00D35266"/>
    <w:rsid w:val="00D460B9"/>
    <w:rsid w:val="00D463F9"/>
    <w:rsid w:val="00D57D4D"/>
    <w:rsid w:val="00D64F2E"/>
    <w:rsid w:val="00D6578F"/>
    <w:rsid w:val="00D67855"/>
    <w:rsid w:val="00D70DE0"/>
    <w:rsid w:val="00D714AF"/>
    <w:rsid w:val="00D76707"/>
    <w:rsid w:val="00D77FB4"/>
    <w:rsid w:val="00D81727"/>
    <w:rsid w:val="00D82D6B"/>
    <w:rsid w:val="00D83896"/>
    <w:rsid w:val="00D860F5"/>
    <w:rsid w:val="00D91D22"/>
    <w:rsid w:val="00DA243A"/>
    <w:rsid w:val="00DB20FB"/>
    <w:rsid w:val="00DB67B9"/>
    <w:rsid w:val="00DC3D55"/>
    <w:rsid w:val="00DC7834"/>
    <w:rsid w:val="00DD149D"/>
    <w:rsid w:val="00DD2B3B"/>
    <w:rsid w:val="00DD593D"/>
    <w:rsid w:val="00DF0340"/>
    <w:rsid w:val="00DF354D"/>
    <w:rsid w:val="00DF3821"/>
    <w:rsid w:val="00E01DDC"/>
    <w:rsid w:val="00E03456"/>
    <w:rsid w:val="00E0627B"/>
    <w:rsid w:val="00E10212"/>
    <w:rsid w:val="00E14B6A"/>
    <w:rsid w:val="00E26431"/>
    <w:rsid w:val="00E273E4"/>
    <w:rsid w:val="00E3121B"/>
    <w:rsid w:val="00E340A1"/>
    <w:rsid w:val="00E40287"/>
    <w:rsid w:val="00E45786"/>
    <w:rsid w:val="00E461E3"/>
    <w:rsid w:val="00E51656"/>
    <w:rsid w:val="00E54548"/>
    <w:rsid w:val="00E571B9"/>
    <w:rsid w:val="00E61F6E"/>
    <w:rsid w:val="00E62F16"/>
    <w:rsid w:val="00E65B0D"/>
    <w:rsid w:val="00E7507B"/>
    <w:rsid w:val="00E75CEE"/>
    <w:rsid w:val="00E81774"/>
    <w:rsid w:val="00E82778"/>
    <w:rsid w:val="00E9075D"/>
    <w:rsid w:val="00E970EA"/>
    <w:rsid w:val="00EA4CDE"/>
    <w:rsid w:val="00EA58BA"/>
    <w:rsid w:val="00EA5FC6"/>
    <w:rsid w:val="00EA7090"/>
    <w:rsid w:val="00EA77BC"/>
    <w:rsid w:val="00EB1F72"/>
    <w:rsid w:val="00EB42DE"/>
    <w:rsid w:val="00EB56A6"/>
    <w:rsid w:val="00EB5DF6"/>
    <w:rsid w:val="00EC371C"/>
    <w:rsid w:val="00EC3FB0"/>
    <w:rsid w:val="00EC590A"/>
    <w:rsid w:val="00EC7F27"/>
    <w:rsid w:val="00ED0517"/>
    <w:rsid w:val="00ED5EC0"/>
    <w:rsid w:val="00ED6870"/>
    <w:rsid w:val="00EE3E1E"/>
    <w:rsid w:val="00EE42BC"/>
    <w:rsid w:val="00EE562E"/>
    <w:rsid w:val="00EE6591"/>
    <w:rsid w:val="00EF0C15"/>
    <w:rsid w:val="00EF294A"/>
    <w:rsid w:val="00EF3E3E"/>
    <w:rsid w:val="00EF406D"/>
    <w:rsid w:val="00EF69BF"/>
    <w:rsid w:val="00F01129"/>
    <w:rsid w:val="00F20599"/>
    <w:rsid w:val="00F25C78"/>
    <w:rsid w:val="00F30AFE"/>
    <w:rsid w:val="00F3302C"/>
    <w:rsid w:val="00F44FA4"/>
    <w:rsid w:val="00F45D9F"/>
    <w:rsid w:val="00F46A31"/>
    <w:rsid w:val="00F536B2"/>
    <w:rsid w:val="00F6157F"/>
    <w:rsid w:val="00F73639"/>
    <w:rsid w:val="00F76967"/>
    <w:rsid w:val="00F8027D"/>
    <w:rsid w:val="00F9741C"/>
    <w:rsid w:val="00FA25EF"/>
    <w:rsid w:val="00FA6163"/>
    <w:rsid w:val="00FB4E24"/>
    <w:rsid w:val="00FB627B"/>
    <w:rsid w:val="00FC2418"/>
    <w:rsid w:val="00FD0AEE"/>
    <w:rsid w:val="00FD54D7"/>
    <w:rsid w:val="00FD5520"/>
    <w:rsid w:val="00FE0964"/>
    <w:rsid w:val="00FE356F"/>
    <w:rsid w:val="00FF1432"/>
    <w:rsid w:val="00FF707C"/>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AE8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C7"/>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AB121A"/>
    <w:pPr>
      <w:keepNext/>
      <w:keepLines/>
      <w:numPr>
        <w:ilvl w:val="1"/>
        <w:numId w:val="82"/>
      </w:numPr>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Heading1"/>
    <w:next w:val="Normal"/>
    <w:link w:val="Heading2Char"/>
    <w:uiPriority w:val="2"/>
    <w:unhideWhenUsed/>
    <w:qFormat/>
    <w:rsid w:val="009D1C88"/>
    <w:pPr>
      <w:numPr>
        <w:ilvl w:val="0"/>
      </w:numPr>
      <w:outlineLvl w:val="1"/>
    </w:p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47D87"/>
    <w:pPr>
      <w:keepNext/>
      <w:keepLines/>
      <w:numPr>
        <w:ilvl w:val="2"/>
        <w:numId w:val="82"/>
      </w:numPr>
      <w:spacing w:before="240" w:line="240" w:lineRule="auto"/>
      <w:contextualSpacing/>
      <w:outlineLvl w:val="3"/>
    </w:pPr>
    <w:rPr>
      <w:rFonts w:ascii="Georgia" w:hAnsi="Georgia" w:cs="Arial"/>
      <w:bCs/>
      <w:color w:val="500778"/>
      <w:kern w:val="32"/>
      <w:sz w:val="28"/>
      <w:szCs w:val="32"/>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121A"/>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9D1C88"/>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B47D87"/>
    <w:rPr>
      <w:rFonts w:ascii="Georgia" w:eastAsia="Times New Roman" w:hAnsi="Georgia" w:cs="Arial"/>
      <w:bCs/>
      <w:color w:val="500778"/>
      <w:spacing w:val="4"/>
      <w:kern w:val="32"/>
      <w:sz w:val="28"/>
      <w:szCs w:val="32"/>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Table,Bulleted Para,NFP GP Bulleted List,bullet point list,L,Bullet points,Content descriptions,Bullet Point,List Paragraph2,#List Paragraph,Bullet point,CV text,Dot pt,F5 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aliases w:val="table title"/>
    <w:basedOn w:val="Normal"/>
    <w:next w:val="Normal"/>
    <w:uiPriority w:val="35"/>
    <w:unhideWhenUsed/>
    <w:rsid w:val="00E62F16"/>
    <w:rPr>
      <w:bCs/>
      <w:sz w:val="22"/>
      <w:szCs w:val="22"/>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Titlepage">
    <w:name w:val="Title page"/>
    <w:basedOn w:val="Title"/>
    <w:qFormat/>
    <w:rsid w:val="003E655E"/>
    <w:pPr>
      <w:pBdr>
        <w:bottom w:val="none" w:sz="0" w:space="0" w:color="auto"/>
      </w:pBdr>
      <w:spacing w:before="0"/>
      <w:jc w:val="center"/>
    </w:pPr>
    <w:rPr>
      <w:rFonts w:ascii="Georgia" w:eastAsia="Times New Roman" w:hAnsi="Georgia"/>
      <w:color w:val="500778"/>
      <w:sz w:val="56"/>
      <w:szCs w:val="56"/>
    </w:rPr>
  </w:style>
  <w:style w:type="paragraph" w:styleId="BalloonText">
    <w:name w:val="Balloon Text"/>
    <w:basedOn w:val="Normal"/>
    <w:link w:val="BalloonTextChar"/>
    <w:uiPriority w:val="99"/>
    <w:semiHidden/>
    <w:unhideWhenUsed/>
    <w:rsid w:val="007B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C7"/>
    <w:rPr>
      <w:rFonts w:ascii="Tahoma" w:eastAsia="Times New Roman" w:hAnsi="Tahoma" w:cs="Tahoma"/>
      <w:spacing w:val="4"/>
      <w:sz w:val="16"/>
      <w:szCs w:val="16"/>
      <w:lang w:eastAsia="en-AU"/>
    </w:rPr>
  </w:style>
  <w:style w:type="paragraph" w:styleId="ListBullet">
    <w:name w:val="List Bullet"/>
    <w:basedOn w:val="Normal"/>
    <w:uiPriority w:val="1"/>
    <w:qFormat/>
    <w:rsid w:val="007B19C7"/>
    <w:pPr>
      <w:numPr>
        <w:numId w:val="5"/>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7400E6"/>
    <w:pPr>
      <w:spacing w:before="120" w:after="120" w:line="280" w:lineRule="atLeast"/>
      <w:ind w:left="397"/>
      <w:contextualSpacing/>
      <w:jc w:val="center"/>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7400E6"/>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7B19C7"/>
    <w:rPr>
      <w:rFonts w:ascii="Arial" w:hAnsi="Arial"/>
      <w:b w:val="0"/>
      <w:color w:val="0000FF"/>
      <w:sz w:val="22"/>
      <w:u w:val="single"/>
    </w:rPr>
  </w:style>
  <w:style w:type="paragraph" w:styleId="NormalWeb">
    <w:name w:val="Normal (Web)"/>
    <w:basedOn w:val="Normal"/>
    <w:uiPriority w:val="99"/>
    <w:semiHidden/>
    <w:unhideWhenUsed/>
    <w:rsid w:val="007B19C7"/>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170577"/>
    <w:pPr>
      <w:tabs>
        <w:tab w:val="left" w:pos="660"/>
        <w:tab w:val="right" w:leader="dot" w:pos="9016"/>
      </w:tabs>
      <w:spacing w:after="100"/>
    </w:pPr>
  </w:style>
  <w:style w:type="paragraph" w:styleId="TOC2">
    <w:name w:val="toc 2"/>
    <w:basedOn w:val="Normal"/>
    <w:next w:val="Normal"/>
    <w:autoRedefine/>
    <w:uiPriority w:val="39"/>
    <w:unhideWhenUsed/>
    <w:rsid w:val="00170577"/>
    <w:pPr>
      <w:tabs>
        <w:tab w:val="left" w:pos="880"/>
        <w:tab w:val="right" w:leader="dot" w:pos="9016"/>
      </w:tabs>
      <w:spacing w:after="100"/>
      <w:ind w:left="200"/>
    </w:pPr>
  </w:style>
  <w:style w:type="paragraph" w:styleId="TOC3">
    <w:name w:val="toc 3"/>
    <w:basedOn w:val="Normal"/>
    <w:next w:val="Normal"/>
    <w:autoRedefine/>
    <w:uiPriority w:val="39"/>
    <w:unhideWhenUsed/>
    <w:rsid w:val="007B19C7"/>
    <w:pPr>
      <w:spacing w:after="100"/>
      <w:ind w:left="400"/>
    </w:pPr>
  </w:style>
  <w:style w:type="paragraph" w:customStyle="1" w:styleId="Smalltext">
    <w:name w:val="Small text"/>
    <w:basedOn w:val="Normal"/>
    <w:rsid w:val="007B19C7"/>
    <w:pPr>
      <w:spacing w:before="480" w:after="120" w:line="240" w:lineRule="auto"/>
    </w:pPr>
    <w:rPr>
      <w:sz w:val="12"/>
      <w:szCs w:val="16"/>
      <w:lang w:val="en-US"/>
    </w:rPr>
  </w:style>
  <w:style w:type="table" w:customStyle="1" w:styleId="DSSDatatablestyle">
    <w:name w:val="DSS Data table style"/>
    <w:basedOn w:val="TableNormal"/>
    <w:uiPriority w:val="99"/>
    <w:rsid w:val="007B19C7"/>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B19C7"/>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B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9C7"/>
    <w:rPr>
      <w:color w:val="800080" w:themeColor="followedHyperlink"/>
      <w:u w:val="single"/>
    </w:rPr>
  </w:style>
  <w:style w:type="character" w:styleId="CommentReference">
    <w:name w:val="annotation reference"/>
    <w:basedOn w:val="DefaultParagraphFont"/>
    <w:uiPriority w:val="99"/>
    <w:unhideWhenUsed/>
    <w:rsid w:val="007B19C7"/>
    <w:rPr>
      <w:sz w:val="16"/>
      <w:szCs w:val="16"/>
    </w:rPr>
  </w:style>
  <w:style w:type="paragraph" w:styleId="CommentText">
    <w:name w:val="annotation text"/>
    <w:aliases w:val="Char3"/>
    <w:basedOn w:val="Normal"/>
    <w:link w:val="CommentTextChar"/>
    <w:uiPriority w:val="99"/>
    <w:unhideWhenUsed/>
    <w:rsid w:val="007B19C7"/>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7B19C7"/>
    <w:rPr>
      <w:rFonts w:ascii="Arial" w:eastAsia="Times New Roman" w:hAnsi="Arial" w:cs="Times New Roman"/>
      <w:spacing w:val="4"/>
      <w:sz w:val="20"/>
      <w:szCs w:val="20"/>
      <w:lang w:eastAsia="en-AU"/>
    </w:rPr>
  </w:style>
  <w:style w:type="paragraph" w:customStyle="1" w:styleId="Default">
    <w:name w:val="Default"/>
    <w:rsid w:val="007B19C7"/>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B19C7"/>
    <w:rPr>
      <w:b/>
      <w:bCs/>
    </w:rPr>
  </w:style>
  <w:style w:type="character" w:customStyle="1" w:styleId="CommentSubjectChar">
    <w:name w:val="Comment Subject Char"/>
    <w:basedOn w:val="CommentTextChar"/>
    <w:link w:val="CommentSubject"/>
    <w:uiPriority w:val="99"/>
    <w:semiHidden/>
    <w:rsid w:val="007B19C7"/>
    <w:rPr>
      <w:rFonts w:ascii="Arial" w:eastAsia="Times New Roman" w:hAnsi="Arial" w:cs="Times New Roman"/>
      <w:b/>
      <w:bCs/>
      <w:spacing w:val="4"/>
      <w:sz w:val="20"/>
      <w:szCs w:val="20"/>
      <w:lang w:eastAsia="en-AU"/>
    </w:rPr>
  </w:style>
  <w:style w:type="character" w:customStyle="1" w:styleId="ListParagraphChar">
    <w:name w:val="List Paragraph Char"/>
    <w:aliases w:val="Recommendation Char,List Paragraph1 Char,List Paragraph11 Char,Table Char,Bulleted Para Char,NFP GP Bulleted List Char,bullet point list Char,L Char,Bullet points Char,Content descriptions Char,Bullet Point Char,List Paragraph2 Char"/>
    <w:basedOn w:val="DefaultParagraphFont"/>
    <w:link w:val="ListParagraph"/>
    <w:uiPriority w:val="34"/>
    <w:qFormat/>
    <w:locked/>
    <w:rsid w:val="007B19C7"/>
    <w:rPr>
      <w:rFonts w:ascii="Arial" w:hAnsi="Arial"/>
    </w:rPr>
  </w:style>
  <w:style w:type="table" w:styleId="LightList">
    <w:name w:val="Light List"/>
    <w:basedOn w:val="TableNormal"/>
    <w:uiPriority w:val="61"/>
    <w:rsid w:val="007B19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7B19C7"/>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7B19C7"/>
    <w:rPr>
      <w:rFonts w:ascii="Arial" w:hAnsi="Arial"/>
      <w:sz w:val="20"/>
      <w:szCs w:val="20"/>
    </w:rPr>
  </w:style>
  <w:style w:type="character" w:styleId="FootnoteReference">
    <w:name w:val="footnote reference"/>
    <w:basedOn w:val="DefaultParagraphFont"/>
    <w:uiPriority w:val="99"/>
    <w:unhideWhenUsed/>
    <w:rsid w:val="007B19C7"/>
    <w:rPr>
      <w:vertAlign w:val="superscript"/>
    </w:rPr>
  </w:style>
  <w:style w:type="paragraph" w:styleId="Revision">
    <w:name w:val="Revision"/>
    <w:hidden/>
    <w:uiPriority w:val="99"/>
    <w:semiHidden/>
    <w:rsid w:val="00333142"/>
    <w:pPr>
      <w:spacing w:after="0" w:line="240" w:lineRule="auto"/>
    </w:pPr>
    <w:rPr>
      <w:rFonts w:ascii="Arial" w:eastAsia="Times New Roman" w:hAnsi="Arial" w:cs="Times New Roman"/>
      <w:spacing w:val="4"/>
      <w:sz w:val="24"/>
      <w:szCs w:val="24"/>
      <w:lang w:eastAsia="en-AU"/>
    </w:rPr>
  </w:style>
  <w:style w:type="character" w:customStyle="1" w:styleId="SubTitleChar0">
    <w:name w:val="Sub Title Char"/>
    <w:basedOn w:val="DefaultParagraphFont"/>
    <w:link w:val="SubTitle0"/>
    <w:locked/>
    <w:rsid w:val="00CA7DA3"/>
    <w:rPr>
      <w:rFonts w:ascii="Georgia" w:eastAsia="Times New Roman" w:hAnsi="Georgia" w:cs="Arial"/>
      <w:bCs/>
      <w:color w:val="500778"/>
      <w:spacing w:val="4"/>
      <w:kern w:val="32"/>
      <w:sz w:val="36"/>
      <w:szCs w:val="32"/>
      <w:lang w:eastAsia="en-AU"/>
    </w:rPr>
  </w:style>
  <w:style w:type="paragraph" w:customStyle="1" w:styleId="SubTitle0">
    <w:name w:val="Sub Title"/>
    <w:basedOn w:val="Heading1"/>
    <w:link w:val="SubTitleChar0"/>
    <w:qFormat/>
    <w:rsid w:val="00CA7DA3"/>
    <w:pPr>
      <w:numPr>
        <w:ilvl w:val="0"/>
        <w:numId w:val="0"/>
      </w:numPr>
    </w:pPr>
  </w:style>
  <w:style w:type="character" w:customStyle="1" w:styleId="Chrissie1Char">
    <w:name w:val="Chrissie 1 Char"/>
    <w:basedOn w:val="DefaultParagraphFont"/>
    <w:link w:val="Chrissie1"/>
    <w:locked/>
    <w:rsid w:val="001D3CF2"/>
    <w:rPr>
      <w:rFonts w:ascii="Georgia" w:eastAsia="Times New Roman" w:hAnsi="Georgia" w:cs="Arial"/>
      <w:bCs/>
      <w:color w:val="500778"/>
      <w:spacing w:val="4"/>
      <w:kern w:val="32"/>
      <w:sz w:val="28"/>
      <w:szCs w:val="32"/>
      <w:lang w:eastAsia="en-AU"/>
    </w:rPr>
  </w:style>
  <w:style w:type="paragraph" w:customStyle="1" w:styleId="Chrissie1">
    <w:name w:val="Chrissie 1"/>
    <w:basedOn w:val="SubTitle0"/>
    <w:link w:val="Chrissie1Char"/>
    <w:qFormat/>
    <w:rsid w:val="001D3CF2"/>
    <w:rPr>
      <w:sz w:val="28"/>
    </w:rPr>
  </w:style>
  <w:style w:type="paragraph" w:customStyle="1" w:styleId="Chrissie10">
    <w:name w:val="Chrissie1"/>
    <w:basedOn w:val="Normal"/>
    <w:link w:val="Chrissie1Char0"/>
    <w:qFormat/>
    <w:rsid w:val="0079678E"/>
    <w:pPr>
      <w:spacing w:before="0" w:after="0" w:line="240" w:lineRule="auto"/>
      <w:ind w:left="567" w:hanging="357"/>
      <w:contextualSpacing/>
    </w:pPr>
    <w:rPr>
      <w:rFonts w:eastAsia="Calibri" w:cs="Arial"/>
      <w:spacing w:val="0"/>
      <w:sz w:val="20"/>
      <w:szCs w:val="20"/>
      <w:lang w:eastAsia="en-US"/>
    </w:rPr>
  </w:style>
  <w:style w:type="character" w:customStyle="1" w:styleId="Chrissie1Char0">
    <w:name w:val="Chrissie1 Char"/>
    <w:basedOn w:val="DefaultParagraphFont"/>
    <w:link w:val="Chrissie10"/>
    <w:rsid w:val="0079678E"/>
    <w:rPr>
      <w:rFonts w:ascii="Arial" w:eastAsia="Calibri" w:hAnsi="Arial" w:cs="Arial"/>
      <w:sz w:val="20"/>
      <w:szCs w:val="20"/>
    </w:rPr>
  </w:style>
  <w:style w:type="paragraph" w:styleId="BodyText">
    <w:name w:val="Body Text"/>
    <w:basedOn w:val="Normal"/>
    <w:link w:val="BodyTextChar"/>
    <w:uiPriority w:val="99"/>
    <w:unhideWhenUsed/>
    <w:rsid w:val="00FC2418"/>
    <w:pPr>
      <w:spacing w:before="0" w:after="120" w:line="276" w:lineRule="auto"/>
    </w:pPr>
    <w:rPr>
      <w:rFonts w:eastAsiaTheme="minorHAnsi" w:cstheme="minorBidi"/>
      <w:spacing w:val="0"/>
      <w:sz w:val="22"/>
      <w:szCs w:val="22"/>
      <w:lang w:eastAsia="en-US"/>
    </w:rPr>
  </w:style>
  <w:style w:type="character" w:customStyle="1" w:styleId="BodyTextChar">
    <w:name w:val="Body Text Char"/>
    <w:basedOn w:val="DefaultParagraphFont"/>
    <w:link w:val="BodyText"/>
    <w:uiPriority w:val="99"/>
    <w:rsid w:val="00FC2418"/>
    <w:rPr>
      <w:rFonts w:ascii="Arial" w:hAnsi="Arial"/>
    </w:rPr>
  </w:style>
  <w:style w:type="table" w:customStyle="1" w:styleId="TableGrid1">
    <w:name w:val="Table Grid1"/>
    <w:basedOn w:val="TableNormal"/>
    <w:next w:val="TableGrid"/>
    <w:uiPriority w:val="59"/>
    <w:rsid w:val="00857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1463">
      <w:bodyDiv w:val="1"/>
      <w:marLeft w:val="0"/>
      <w:marRight w:val="0"/>
      <w:marTop w:val="0"/>
      <w:marBottom w:val="0"/>
      <w:divBdr>
        <w:top w:val="none" w:sz="0" w:space="0" w:color="auto"/>
        <w:left w:val="none" w:sz="0" w:space="0" w:color="auto"/>
        <w:bottom w:val="none" w:sz="0" w:space="0" w:color="auto"/>
        <w:right w:val="none" w:sz="0" w:space="0" w:color="auto"/>
      </w:divBdr>
    </w:div>
    <w:div w:id="730078257">
      <w:bodyDiv w:val="1"/>
      <w:marLeft w:val="0"/>
      <w:marRight w:val="0"/>
      <w:marTop w:val="0"/>
      <w:marBottom w:val="0"/>
      <w:divBdr>
        <w:top w:val="none" w:sz="0" w:space="0" w:color="auto"/>
        <w:left w:val="none" w:sz="0" w:space="0" w:color="auto"/>
        <w:bottom w:val="none" w:sz="0" w:space="0" w:color="auto"/>
        <w:right w:val="none" w:sz="0" w:space="0" w:color="auto"/>
      </w:divBdr>
    </w:div>
    <w:div w:id="1050498536">
      <w:bodyDiv w:val="1"/>
      <w:marLeft w:val="0"/>
      <w:marRight w:val="0"/>
      <w:marTop w:val="0"/>
      <w:marBottom w:val="0"/>
      <w:divBdr>
        <w:top w:val="none" w:sz="0" w:space="0" w:color="auto"/>
        <w:left w:val="none" w:sz="0" w:space="0" w:color="auto"/>
        <w:bottom w:val="none" w:sz="0" w:space="0" w:color="auto"/>
        <w:right w:val="none" w:sz="0" w:space="0" w:color="auto"/>
      </w:divBdr>
      <w:divsChild>
        <w:div w:id="770857555">
          <w:marLeft w:val="0"/>
          <w:marRight w:val="0"/>
          <w:marTop w:val="0"/>
          <w:marBottom w:val="0"/>
          <w:divBdr>
            <w:top w:val="none" w:sz="0" w:space="0" w:color="auto"/>
            <w:left w:val="none" w:sz="0" w:space="0" w:color="auto"/>
            <w:bottom w:val="none" w:sz="0" w:space="0" w:color="auto"/>
            <w:right w:val="none" w:sz="0" w:space="0" w:color="auto"/>
          </w:divBdr>
          <w:divsChild>
            <w:div w:id="17262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215">
      <w:bodyDiv w:val="1"/>
      <w:marLeft w:val="0"/>
      <w:marRight w:val="0"/>
      <w:marTop w:val="0"/>
      <w:marBottom w:val="0"/>
      <w:divBdr>
        <w:top w:val="none" w:sz="0" w:space="0" w:color="auto"/>
        <w:left w:val="none" w:sz="0" w:space="0" w:color="auto"/>
        <w:bottom w:val="none" w:sz="0" w:space="0" w:color="auto"/>
        <w:right w:val="none" w:sz="0" w:space="0" w:color="auto"/>
      </w:divBdr>
    </w:div>
    <w:div w:id="1447772406">
      <w:bodyDiv w:val="1"/>
      <w:marLeft w:val="0"/>
      <w:marRight w:val="0"/>
      <w:marTop w:val="0"/>
      <w:marBottom w:val="0"/>
      <w:divBdr>
        <w:top w:val="none" w:sz="0" w:space="0" w:color="auto"/>
        <w:left w:val="none" w:sz="0" w:space="0" w:color="auto"/>
        <w:bottom w:val="none" w:sz="0" w:space="0" w:color="auto"/>
        <w:right w:val="none" w:sz="0" w:space="0" w:color="auto"/>
      </w:divBdr>
    </w:div>
    <w:div w:id="1519349002">
      <w:bodyDiv w:val="1"/>
      <w:marLeft w:val="0"/>
      <w:marRight w:val="0"/>
      <w:marTop w:val="0"/>
      <w:marBottom w:val="0"/>
      <w:divBdr>
        <w:top w:val="none" w:sz="0" w:space="0" w:color="auto"/>
        <w:left w:val="none" w:sz="0" w:space="0" w:color="auto"/>
        <w:bottom w:val="none" w:sz="0" w:space="0" w:color="auto"/>
        <w:right w:val="none" w:sz="0" w:space="0" w:color="auto"/>
      </w:divBdr>
    </w:div>
    <w:div w:id="16390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mes-services/parenting/families-and-children-activity" TargetMode="External"/><Relationship Id="rId18" Type="http://schemas.openxmlformats.org/officeDocument/2006/relationships/hyperlink" Target="https://www.closingthegap.gov.au/national-agreement-closing-the-gap" TargetMode="External"/><Relationship Id="rId26" Type="http://schemas.openxmlformats.org/officeDocument/2006/relationships/hyperlink" Target="https://www.dss.gov.au/families-and-children-programs-services-parenting-families-and-children-activity/awp-service-directory" TargetMode="External"/><Relationship Id="rId39" Type="http://schemas.openxmlformats.org/officeDocument/2006/relationships/hyperlink" Target="https://www.dss.gov.au/contact/feedback-compliments-complaints-and-enquiries" TargetMode="External"/><Relationship Id="rId21" Type="http://schemas.openxmlformats.org/officeDocument/2006/relationships/hyperlink" Target="https://www.mentalhealthcommission.gov.au/Mental-health-Reform/Childrens-Mental-Health-and-Wellbeing-Strategy" TargetMode="External"/><Relationship Id="rId34" Type="http://schemas.openxmlformats.org/officeDocument/2006/relationships/hyperlink" Target="https://dex.dss.gov.au/training" TargetMode="External"/><Relationship Id="rId42" Type="http://schemas.openxmlformats.org/officeDocument/2006/relationships/hyperlink" Target="https://dex.dss.gov.au/data-exchange-protocols/" TargetMode="External"/><Relationship Id="rId47" Type="http://schemas.openxmlformats.org/officeDocument/2006/relationships/hyperlink" Target="https://dex.dss.gov.au/helpdesk/" TargetMode="External"/><Relationship Id="rId50" Type="http://schemas.openxmlformats.org/officeDocument/2006/relationships/hyperlink" Target="https://dex.dss.gov.au/helpdesk/" TargetMode="External"/><Relationship Id="rId55" Type="http://schemas.openxmlformats.org/officeDocument/2006/relationships/hyperlink" Target="https://www.dss.gov.au/sites/default/files/documents/01_2015/access_and_equity_policy_23_jan_15.pdf" TargetMode="External"/><Relationship Id="rId63" Type="http://schemas.openxmlformats.org/officeDocument/2006/relationships/hyperlink" Target="https://www.communitygrants.gov.au/information-recipients/strategic-planning" TargetMode="External"/><Relationship Id="rId68" Type="http://schemas.openxmlformats.org/officeDocument/2006/relationships/hyperlink" Target="https://www.communitygrants.gov.au/contact" TargetMode="External"/><Relationship Id="rId76" Type="http://schemas.openxmlformats.org/officeDocument/2006/relationships/hyperlink" Target="https://dex.dss.gov.au/document/466" TargetMode="External"/><Relationship Id="rId84"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dss.gov.au/grants/general-information-on-grants/grant-recipient-complaints-and-whistleblower-provisions" TargetMode="External"/><Relationship Id="rId2" Type="http://schemas.openxmlformats.org/officeDocument/2006/relationships/numbering" Target="numbering.xml"/><Relationship Id="rId16" Type="http://schemas.openxmlformats.org/officeDocument/2006/relationships/hyperlink" Target="https://www.dss.gov.au/grants/grant-programmes/community-mental-health" TargetMode="External"/><Relationship Id="rId29" Type="http://schemas.openxmlformats.org/officeDocument/2006/relationships/hyperlink" Target="https://www.childabuseroyalcommissionresponse.gov.au/sites/default/files/2019-12/FinalNationalStandards-WorkingwithChildrenChecks_0.pdf" TargetMode="External"/><Relationship Id="rId11" Type="http://schemas.openxmlformats.org/officeDocument/2006/relationships/header" Target="header2.xml"/><Relationship Id="rId24" Type="http://schemas.openxmlformats.org/officeDocument/2006/relationships/hyperlink" Target="http://www.aracy.org.au/projects/the-common-approach" TargetMode="External"/><Relationship Id="rId32" Type="http://schemas.openxmlformats.org/officeDocument/2006/relationships/hyperlink" Target="https://childsafe.humanrights.gov.au/" TargetMode="External"/><Relationship Id="rId37" Type="http://schemas.openxmlformats.org/officeDocument/2006/relationships/hyperlink" Target="https://aifs.gov.au/cfca/expert-panel-project" TargetMode="External"/><Relationship Id="rId40" Type="http://schemas.openxmlformats.org/officeDocument/2006/relationships/hyperlink" Target="https://www.dss.gov.au/grants/grant-programmes/community-mental-health" TargetMode="External"/><Relationship Id="rId45" Type="http://schemas.openxmlformats.org/officeDocument/2006/relationships/hyperlink" Target="https://dex.dss.gov.au/helpdesk/" TargetMode="External"/><Relationship Id="rId53" Type="http://schemas.openxmlformats.org/officeDocument/2006/relationships/hyperlink" Target="https://search/Pages/results.aspx?k=Community%20Mental%20Health%20activity" TargetMode="External"/><Relationship Id="rId58" Type="http://schemas.openxmlformats.org/officeDocument/2006/relationships/hyperlink" Target="https://www.dss.gov.au/grants/general-information-on-grants/grant-recipient-complaints-and-whistleblower-provisions" TargetMode="External"/><Relationship Id="rId66" Type="http://schemas.openxmlformats.org/officeDocument/2006/relationships/hyperlink" Target="https://www.communitygrants.gov.au/grant-recipient-portal/grantrecipientportal" TargetMode="External"/><Relationship Id="rId74" Type="http://schemas.openxmlformats.org/officeDocument/2006/relationships/hyperlink" Target="http://www.immi.gov.au/visas/humanitarian/offshore/visas.htm" TargetMode="External"/><Relationship Id="rId79" Type="http://schemas.openxmlformats.org/officeDocument/2006/relationships/hyperlink" Target="https://dex.dss.gov.au/document/466"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ommunitygrants.gov.au/information-recipients/vulnerable-persons-police-checks-and-criminal-offences" TargetMode="External"/><Relationship Id="rId82" Type="http://schemas.openxmlformats.org/officeDocument/2006/relationships/header" Target="header4.xml"/><Relationship Id="rId19" Type="http://schemas.openxmlformats.org/officeDocument/2006/relationships/hyperlink" Target="https://www.aihw.gov.au/reports/child-protection/nfpac/contents/summa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ss.gov.au/sites/default/files/documents/02_2018/community_mental_health_program_guidelines_final_approved_by_department_of_finance_pdf.pdf" TargetMode="External"/><Relationship Id="rId22" Type="http://schemas.openxmlformats.org/officeDocument/2006/relationships/hyperlink" Target="http://www.health.gov.au/internet/main/publishing.nsf/Content/mental-pubs-n-servst10" TargetMode="External"/><Relationship Id="rId27" Type="http://schemas.openxmlformats.org/officeDocument/2006/relationships/hyperlink" Target="https://www.dss.gov.au/sites/default/files/documents/10_2015/communication-policy-for-funded-activities.pdf" TargetMode="External"/><Relationship Id="rId30" Type="http://schemas.openxmlformats.org/officeDocument/2006/relationships/hyperlink" Target="https://www.dss.gov.au/about-the-department/doing-business-with-dss/vulnerable-persons-police-checks-and-criminal-offences" TargetMode="External"/><Relationship Id="rId35" Type="http://schemas.openxmlformats.org/officeDocument/2006/relationships/hyperlink" Target="https://dex.dss.gov.au/helpdesk/" TargetMode="External"/><Relationship Id="rId43" Type="http://schemas.openxmlformats.org/officeDocument/2006/relationships/hyperlink" Target="https://dex.dss.gov.au/document/466" TargetMode="External"/><Relationship Id="rId48" Type="http://schemas.openxmlformats.org/officeDocument/2006/relationships/hyperlink" Target="https://aifs.gov.au/cfca/2016/04/14/how-choose-outcomes-measurement-tool" TargetMode="External"/><Relationship Id="rId56" Type="http://schemas.openxmlformats.org/officeDocument/2006/relationships/hyperlink" Target="https://www.dss.gov.au/sites/default/files/documents/10_2015/communication-policy-for-funded-activities.pdf" TargetMode="External"/><Relationship Id="rId64" Type="http://schemas.openxmlformats.org/officeDocument/2006/relationships/hyperlink" Target="https://www.communitygrants.gov.au/information-recipients/workforce-design" TargetMode="External"/><Relationship Id="rId69" Type="http://schemas.openxmlformats.org/officeDocument/2006/relationships/hyperlink" Target="https://www.dss.gov.au/contact/feedback-compliments-complaints-and-enquiries" TargetMode="External"/><Relationship Id="rId77" Type="http://schemas.openxmlformats.org/officeDocument/2006/relationships/hyperlink" Target="https://dex.dss.gov.au/document/466" TargetMode="External"/><Relationship Id="rId8" Type="http://schemas.openxmlformats.org/officeDocument/2006/relationships/footer" Target="footer1.xml"/><Relationship Id="rId51" Type="http://schemas.openxmlformats.org/officeDocument/2006/relationships/hyperlink" Target="https://www.dss.gov.au/families-and-children-programs-services-parenting-families-and-children-activity/families-and-children-activity-work-plan-reports" TargetMode="External"/><Relationship Id="rId72" Type="http://schemas.openxmlformats.org/officeDocument/2006/relationships/hyperlink" Target="https://www.dss.gov.au/contact-dss" TargetMode="External"/><Relationship Id="rId80" Type="http://schemas.openxmlformats.org/officeDocument/2006/relationships/image" Target="media/image3.jpeg"/><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dss.gov.au/grants/grant-programmes/disability-mental-health-and-carers-programme" TargetMode="External"/><Relationship Id="rId25" Type="http://schemas.openxmlformats.org/officeDocument/2006/relationships/hyperlink" Target="https://www.dss.gov.au/families-and-children-programs-services/stronger-places-stronger-people" TargetMode="External"/><Relationship Id="rId33" Type="http://schemas.openxmlformats.org/officeDocument/2006/relationships/hyperlink" Target="https://www.dss.gov.au/families-and-children-programs-services-parenting-families-and-children-activity/families-and-children-activity-work-plan-reports" TargetMode="External"/><Relationship Id="rId38" Type="http://schemas.openxmlformats.org/officeDocument/2006/relationships/hyperlink" Target="https://www.communitygrants.gov.au/contact" TargetMode="External"/><Relationship Id="rId46" Type="http://schemas.openxmlformats.org/officeDocument/2006/relationships/hyperlink" Target="https://dex.dss.gov.au/data-exchange-protocols/" TargetMode="External"/><Relationship Id="rId59" Type="http://schemas.openxmlformats.org/officeDocument/2006/relationships/hyperlink" Target="https://www.dss.gov.au/grants-dss-grant-information-information-for-grant-recipients/national-redress-scheme-grant-connected-policy" TargetMode="External"/><Relationship Id="rId67" Type="http://schemas.openxmlformats.org/officeDocument/2006/relationships/hyperlink" Target="https://www.communitygrants.gov.au/" TargetMode="External"/><Relationship Id="rId20" Type="http://schemas.openxmlformats.org/officeDocument/2006/relationships/hyperlink" Target="https://www.dss.gov.au/women/programs-services/reducing-violence/the-national-plan-to-reduce-violence-against-women-and-their-children-2010-2022" TargetMode="External"/><Relationship Id="rId41" Type="http://schemas.openxmlformats.org/officeDocument/2006/relationships/hyperlink" Target="https://www.dss.gov.au/about-the-department/news/62916" TargetMode="External"/><Relationship Id="rId54" Type="http://schemas.openxmlformats.org/officeDocument/2006/relationships/hyperlink" Target="https://www.dss.gov.au/sites/default/files/documents/02_2018/community_mental_health_program_guidelines_final_approved_by_department_of_finance_pdf.pdf" TargetMode="External"/><Relationship Id="rId62" Type="http://schemas.openxmlformats.org/officeDocument/2006/relationships/hyperlink" Target="https://www.communitygrants.gov.au/information-recipients/business-processes" TargetMode="External"/><Relationship Id="rId70" Type="http://schemas.openxmlformats.org/officeDocument/2006/relationships/hyperlink" Target="https://www.dss.gov.au/contact/feedback-compliments-complaints-and-enquiries" TargetMode="External"/><Relationship Id="rId75" Type="http://schemas.openxmlformats.org/officeDocument/2006/relationships/hyperlink" Target="https://dex.dss.gov.au/data-exchange-protocols/" TargetMode="External"/><Relationship Id="rId83" Type="http://schemas.openxmlformats.org/officeDocument/2006/relationships/footer" Target="foot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our-responsibilities/families-and-children/programs-services/family-support-program/families-and-children-activity-administrative-approval-requirements" TargetMode="External"/><Relationship Id="rId23" Type="http://schemas.openxmlformats.org/officeDocument/2006/relationships/hyperlink" Target="http://www.health.gov.au/internet/main/publishing.nsf/Content/mental-pubs-n-wkstd13" TargetMode="External"/><Relationship Id="rId28" Type="http://schemas.openxmlformats.org/officeDocument/2006/relationships/hyperlink" Target="https://www.communitygrants.gov.au/information-recipients/access-and-equity-policy" TargetMode="External"/><Relationship Id="rId36" Type="http://schemas.openxmlformats.org/officeDocument/2006/relationships/hyperlink" Target="https://aifs.gov.au/cfca/expert-panel-project" TargetMode="External"/><Relationship Id="rId49" Type="http://schemas.openxmlformats.org/officeDocument/2006/relationships/hyperlink" Target="https://dex.dss.gov.au/document/121" TargetMode="External"/><Relationship Id="rId57" Type="http://schemas.openxmlformats.org/officeDocument/2006/relationships/hyperlink" Target="https://www.communitygrants.gov.au/information-recipients/complaints-process-grant-recipients" TargetMode="External"/><Relationship Id="rId10" Type="http://schemas.openxmlformats.org/officeDocument/2006/relationships/footer" Target="footer2.xml"/><Relationship Id="rId31" Type="http://schemas.openxmlformats.org/officeDocument/2006/relationships/hyperlink" Target="https://pmc.gov.au/domestic-policy/national-office-child-safety" TargetMode="External"/><Relationship Id="rId44" Type="http://schemas.openxmlformats.org/officeDocument/2006/relationships/hyperlink" Target="https://dex.dss.gov.au/training" TargetMode="External"/><Relationship Id="rId52" Type="http://schemas.openxmlformats.org/officeDocument/2006/relationships/hyperlink" Target="https://www.dss.gov.au/grants/information-for-grant-recipients/financial-declaration" TargetMode="External"/><Relationship Id="rId60" Type="http://schemas.openxmlformats.org/officeDocument/2006/relationships/hyperlink" Target="https://www.communitygrants.gov.au/information-recipients/online-safety" TargetMode="External"/><Relationship Id="rId65" Type="http://schemas.openxmlformats.org/officeDocument/2006/relationships/hyperlink" Target="https://aifs.gov.au/cfca/" TargetMode="External"/><Relationship Id="rId73" Type="http://schemas.openxmlformats.org/officeDocument/2006/relationships/hyperlink" Target="https://www.dss.gov.au/sites/default/files/documents/10_2015/communication-policy-for-funded-activities.pdf" TargetMode="External"/><Relationship Id="rId78" Type="http://schemas.openxmlformats.org/officeDocument/2006/relationships/hyperlink" Target="https://dex.dss.gov.au/document/466" TargetMode="External"/><Relationship Id="rId81" Type="http://schemas.openxmlformats.org/officeDocument/2006/relationships/header" Target="header3.xml"/><Relationship Id="rId86"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aracy.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27B0-4421-4B22-A2B3-90A1B875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15780</Words>
  <Characters>89952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2021-05-03T07:02:00Z</dcterms:created>
  <dcterms:modified xsi:type="dcterms:W3CDTF">2021-05-03T07:02:00Z</dcterms:modified>
</cp:coreProperties>
</file>