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73E" w:rsidRDefault="00A12A9A" w:rsidP="005C673E">
      <w:pPr>
        <w:spacing w:before="0" w:after="24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F61B7EE" wp14:editId="52D9E9DF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DC0">
        <w:rPr>
          <w:noProof/>
        </w:rPr>
        <w:softHyphen/>
      </w:r>
    </w:p>
    <w:p w:rsidR="00C21489" w:rsidRDefault="00C21489" w:rsidP="006C2726">
      <w:pPr>
        <w:pStyle w:val="Title"/>
        <w:spacing w:after="0"/>
      </w:pPr>
      <w:bookmarkStart w:id="0" w:name="_Toc391890680"/>
    </w:p>
    <w:p w:rsidR="00B33D33" w:rsidRDefault="00786D10" w:rsidP="006C2726">
      <w:pPr>
        <w:pStyle w:val="Title"/>
        <w:spacing w:after="0"/>
      </w:pPr>
      <w:r>
        <w:t>Try, Test and Learn Fund</w:t>
      </w:r>
    </w:p>
    <w:p w:rsidR="00115D09" w:rsidRPr="004C5384" w:rsidRDefault="00115D09" w:rsidP="004C5384">
      <w:pPr>
        <w:pStyle w:val="Subtitle"/>
        <w:sectPr w:rsidR="00115D09" w:rsidRPr="004C5384" w:rsidSect="00115D0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37" w:right="2546" w:bottom="1134" w:left="737" w:header="737" w:footer="1489" w:gutter="0"/>
          <w:cols w:space="708"/>
          <w:titlePg/>
          <w:docGrid w:linePitch="360"/>
        </w:sectPr>
      </w:pPr>
    </w:p>
    <w:bookmarkEnd w:id="0"/>
    <w:p w:rsidR="00C36A84" w:rsidRPr="008E5EB1" w:rsidRDefault="00C36A84" w:rsidP="00C36A84">
      <w:pPr>
        <w:pStyle w:val="Title"/>
        <w:rPr>
          <w:rStyle w:val="Heading1Char"/>
          <w:color w:val="auto"/>
        </w:rPr>
      </w:pPr>
      <w:r w:rsidRPr="008E5EB1">
        <w:rPr>
          <w:rStyle w:val="Heading1Char"/>
          <w:color w:val="auto"/>
        </w:rPr>
        <w:t xml:space="preserve">Initiative: </w:t>
      </w:r>
      <w:r>
        <w:rPr>
          <w:rStyle w:val="Heading1Char"/>
          <w:i/>
          <w:color w:val="auto"/>
        </w:rPr>
        <w:t>your job your way</w:t>
      </w:r>
      <w:r w:rsidRPr="008E5EB1">
        <w:rPr>
          <w:rStyle w:val="Heading1Char"/>
          <w:color w:val="auto"/>
        </w:rPr>
        <w:t xml:space="preserve"> </w:t>
      </w:r>
    </w:p>
    <w:p w:rsidR="00C36A84" w:rsidRDefault="00C36A84" w:rsidP="00C36A84">
      <w:pPr>
        <w:pStyle w:val="Heading2"/>
        <w:spacing w:before="0"/>
        <w:rPr>
          <w:rStyle w:val="Heading1Char"/>
          <w:bCs/>
          <w:color w:val="auto"/>
          <w:kern w:val="0"/>
          <w:sz w:val="24"/>
          <w:szCs w:val="28"/>
        </w:rPr>
      </w:pPr>
      <w:r>
        <w:rPr>
          <w:rStyle w:val="Heading1Char"/>
          <w:bCs/>
          <w:color w:val="auto"/>
          <w:kern w:val="0"/>
          <w:sz w:val="24"/>
          <w:szCs w:val="28"/>
        </w:rPr>
        <w:t xml:space="preserve">Location: </w:t>
      </w:r>
      <w:r w:rsidR="0071202B">
        <w:rPr>
          <w:rStyle w:val="Heading1Char"/>
          <w:bCs/>
          <w:color w:val="auto"/>
          <w:kern w:val="0"/>
          <w:sz w:val="24"/>
          <w:szCs w:val="28"/>
        </w:rPr>
        <w:t>Devonport and Burnie, Tasmania</w:t>
      </w:r>
    </w:p>
    <w:p w:rsidR="00C36A84" w:rsidRPr="00C36A84" w:rsidRDefault="00C36A84" w:rsidP="00C36A84">
      <w:pPr>
        <w:pStyle w:val="Heading2"/>
        <w:spacing w:before="0"/>
        <w:rPr>
          <w:rStyle w:val="Heading1Char"/>
          <w:color w:val="auto"/>
          <w:kern w:val="0"/>
          <w:sz w:val="24"/>
          <w:szCs w:val="28"/>
        </w:rPr>
      </w:pPr>
    </w:p>
    <w:p w:rsidR="00283C3C" w:rsidRDefault="00283C3C" w:rsidP="00B83ACD">
      <w:pPr>
        <w:pStyle w:val="Heading1"/>
        <w:spacing w:before="0" w:after="0"/>
      </w:pPr>
      <w:r>
        <w:t>What are we trying to achieve?</w:t>
      </w:r>
      <w:r w:rsidRPr="0077453B">
        <w:rPr>
          <w:noProof/>
        </w:rPr>
        <w:t xml:space="preserve"> </w:t>
      </w:r>
    </w:p>
    <w:p w:rsidR="00283C3C" w:rsidRDefault="00C36A84" w:rsidP="009361C2">
      <w:pPr>
        <w:spacing w:before="0" w:after="0" w:line="240" w:lineRule="auto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18C61E" wp14:editId="7D886FC9">
                <wp:simplePos x="0" y="0"/>
                <wp:positionH relativeFrom="column">
                  <wp:posOffset>4539615</wp:posOffset>
                </wp:positionH>
                <wp:positionV relativeFrom="paragraph">
                  <wp:posOffset>13335</wp:posOffset>
                </wp:positionV>
                <wp:extent cx="2219325" cy="3125470"/>
                <wp:effectExtent l="0" t="0" r="28575" b="177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1254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53B" w:rsidRDefault="0077453B" w:rsidP="00DA13C8">
                            <w:pPr>
                              <w:pStyle w:val="Heading1"/>
                              <w:spacing w:before="0" w:after="0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:rsidR="00F84123" w:rsidRPr="00283C3C" w:rsidRDefault="0077453B" w:rsidP="00C36A84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4E2312">
                              <w:rPr>
                                <w:b/>
                              </w:rPr>
                              <w:t xml:space="preserve">Priority group: </w:t>
                            </w:r>
                            <w:r w:rsidR="004E2312" w:rsidRPr="00ED26A7">
                              <w:t>At-risk young people</w:t>
                            </w:r>
                          </w:p>
                          <w:p w:rsidR="0077453B" w:rsidRDefault="00B71CE2" w:rsidP="00C36A84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Participant</w:t>
                            </w:r>
                            <w:r w:rsidR="0077453B" w:rsidRPr="004E2312">
                              <w:rPr>
                                <w:b/>
                              </w:rPr>
                              <w:t xml:space="preserve"> numbers: </w:t>
                            </w:r>
                            <w:r w:rsidR="007E6904">
                              <w:t>70</w:t>
                            </w:r>
                          </w:p>
                          <w:p w:rsidR="0077453B" w:rsidRDefault="0077453B" w:rsidP="00C36A84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Locations: </w:t>
                            </w:r>
                            <w:r w:rsidR="007E6904">
                              <w:t>Devonport and Burnie, Tasmania</w:t>
                            </w:r>
                          </w:p>
                          <w:p w:rsidR="0077453B" w:rsidRDefault="0077453B" w:rsidP="00C36A84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Trial period: </w:t>
                            </w:r>
                            <w:r w:rsidR="004E2312">
                              <w:t>18 months</w:t>
                            </w:r>
                          </w:p>
                          <w:p w:rsidR="0077453B" w:rsidRDefault="0077453B" w:rsidP="00C36A84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Total funding: </w:t>
                            </w:r>
                            <w:r w:rsidR="00B71CE2">
                              <w:t>$0.</w:t>
                            </w:r>
                            <w:r w:rsidR="003A1619">
                              <w:t>35</w:t>
                            </w:r>
                            <w:r w:rsidR="004E2312" w:rsidRPr="004E2312">
                              <w:t xml:space="preserve"> million</w:t>
                            </w:r>
                            <w:r w:rsidR="00B71CE2">
                              <w:t xml:space="preserve"> </w:t>
                            </w:r>
                          </w:p>
                          <w:p w:rsidR="004E2312" w:rsidRDefault="0077453B" w:rsidP="00C36A84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Pr="00337CF6">
                              <w:rPr>
                                <w:b/>
                              </w:rPr>
                              <w:t>ervice provider: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4E2312">
                              <w:t>yourtown</w:t>
                            </w:r>
                            <w:proofErr w:type="spellEnd"/>
                          </w:p>
                          <w:p w:rsidR="004E2312" w:rsidRPr="004E2312" w:rsidRDefault="0077453B" w:rsidP="00C36A84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4E2312">
                              <w:rPr>
                                <w:b/>
                              </w:rPr>
                              <w:t xml:space="preserve">Potential future saving: </w:t>
                            </w:r>
                            <w:r w:rsidR="004E2312" w:rsidRPr="003F5AF8">
                              <w:t xml:space="preserve">If </w:t>
                            </w:r>
                            <w:r w:rsidR="00B71CE2">
                              <w:t>16</w:t>
                            </w:r>
                            <w:r w:rsidR="004E2312" w:rsidRPr="003F5AF8">
                              <w:t xml:space="preserve"> per cent of participants move off income support because of this project, the savings to the welfare system </w:t>
                            </w:r>
                            <w:r w:rsidR="007E6904">
                              <w:t>should</w:t>
                            </w:r>
                            <w:r w:rsidR="004E2312" w:rsidRPr="003F5AF8">
                              <w:t xml:space="preserve"> outweigh the costs of the project.</w:t>
                            </w:r>
                            <w:r w:rsidR="004E2312" w:rsidRPr="004E2312">
                              <w:rPr>
                                <w:color w:val="1F497D"/>
                              </w:rPr>
                              <w:t xml:space="preserve"> </w:t>
                            </w:r>
                          </w:p>
                          <w:p w:rsidR="0077453B" w:rsidRDefault="0077453B" w:rsidP="004E2312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17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8C61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7.45pt;margin-top:1.05pt;width:174.75pt;height:24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" fillcolor="#e4f6cd [663]" strokecolor="#78be20 [3207]" strokeweight=".5pt">
                <v:textbox inset="2mm,2mm,2mm,2mm">
                  <w:txbxContent>
                    <w:p w:rsidR="0077453B" w:rsidRDefault="0077453B" w:rsidP="00DA13C8">
                      <w:pPr>
                        <w:pStyle w:val="Heading1"/>
                        <w:spacing w:before="0" w:after="0"/>
                        <w:jc w:val="center"/>
                      </w:pPr>
                      <w:r>
                        <w:t>Fast facts</w:t>
                      </w:r>
                    </w:p>
                    <w:p w:rsidR="00F84123" w:rsidRPr="00283C3C" w:rsidRDefault="0077453B" w:rsidP="00C36A84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4E2312">
                        <w:rPr>
                          <w:b/>
                        </w:rPr>
                        <w:t xml:space="preserve">Priority group: </w:t>
                      </w:r>
                      <w:r w:rsidR="004E2312" w:rsidRPr="00ED26A7">
                        <w:t>At-risk young people</w:t>
                      </w:r>
                    </w:p>
                    <w:p w:rsidR="0077453B" w:rsidRDefault="00B71CE2" w:rsidP="00C36A84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Participant</w:t>
                      </w:r>
                      <w:r w:rsidR="0077453B" w:rsidRPr="004E2312">
                        <w:rPr>
                          <w:b/>
                        </w:rPr>
                        <w:t xml:space="preserve"> numbers: </w:t>
                      </w:r>
                      <w:r w:rsidR="007E6904">
                        <w:t>70</w:t>
                      </w:r>
                    </w:p>
                    <w:p w:rsidR="0077453B" w:rsidRDefault="0077453B" w:rsidP="00C36A84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Locations: </w:t>
                      </w:r>
                      <w:r w:rsidR="007E6904">
                        <w:t>Devonport and Burnie, Tasmania</w:t>
                      </w:r>
                    </w:p>
                    <w:p w:rsidR="0077453B" w:rsidRDefault="0077453B" w:rsidP="00C36A84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Trial period: </w:t>
                      </w:r>
                      <w:r w:rsidR="004E2312">
                        <w:t>18 months</w:t>
                      </w:r>
                    </w:p>
                    <w:p w:rsidR="0077453B" w:rsidRDefault="0077453B" w:rsidP="00C36A84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Total funding: </w:t>
                      </w:r>
                      <w:r w:rsidR="00B71CE2">
                        <w:t>$0.</w:t>
                      </w:r>
                      <w:r w:rsidR="003A1619">
                        <w:t>35</w:t>
                      </w:r>
                      <w:r w:rsidR="004E2312" w:rsidRPr="004E2312">
                        <w:t xml:space="preserve"> million</w:t>
                      </w:r>
                      <w:r w:rsidR="00B71CE2">
                        <w:t xml:space="preserve"> </w:t>
                      </w:r>
                    </w:p>
                    <w:p w:rsidR="004E2312" w:rsidRDefault="0077453B" w:rsidP="00C36A84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S</w:t>
                      </w:r>
                      <w:r w:rsidRPr="00337CF6">
                        <w:rPr>
                          <w:b/>
                        </w:rPr>
                        <w:t>ervice provider:</w:t>
                      </w:r>
                      <w:r>
                        <w:t xml:space="preserve"> </w:t>
                      </w:r>
                      <w:proofErr w:type="spellStart"/>
                      <w:r w:rsidR="004E2312">
                        <w:t>yourtown</w:t>
                      </w:r>
                      <w:proofErr w:type="spellEnd"/>
                    </w:p>
                    <w:p w:rsidR="004E2312" w:rsidRPr="004E2312" w:rsidRDefault="0077453B" w:rsidP="00C36A84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4E2312">
                        <w:rPr>
                          <w:b/>
                        </w:rPr>
                        <w:t xml:space="preserve">Potential future saving: </w:t>
                      </w:r>
                      <w:r w:rsidR="004E2312" w:rsidRPr="003F5AF8">
                        <w:t xml:space="preserve">If </w:t>
                      </w:r>
                      <w:r w:rsidR="00B71CE2">
                        <w:t>16</w:t>
                      </w:r>
                      <w:r w:rsidR="004E2312" w:rsidRPr="003F5AF8">
                        <w:t xml:space="preserve"> per cent of participants move off income support because of this project, the savings to the welfare system </w:t>
                      </w:r>
                      <w:r w:rsidR="007E6904">
                        <w:t>should</w:t>
                      </w:r>
                      <w:r w:rsidR="004E2312" w:rsidRPr="003F5AF8">
                        <w:t xml:space="preserve"> outweigh the costs of the project.</w:t>
                      </w:r>
                      <w:r w:rsidR="004E2312" w:rsidRPr="004E2312">
                        <w:rPr>
                          <w:color w:val="1F497D"/>
                        </w:rPr>
                        <w:t xml:space="preserve"> </w:t>
                      </w:r>
                    </w:p>
                    <w:p w:rsidR="0077453B" w:rsidRDefault="0077453B" w:rsidP="004E2312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17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3C3C" w:rsidRPr="0044664D">
        <w:rPr>
          <w:szCs w:val="22"/>
        </w:rPr>
        <w:t xml:space="preserve">The project is aimed at young people who have been unemployed for longer than 12 months and is built around the </w:t>
      </w:r>
      <w:r w:rsidR="0071202B" w:rsidRPr="0044664D">
        <w:rPr>
          <w:szCs w:val="22"/>
        </w:rPr>
        <w:t>belief</w:t>
      </w:r>
      <w:r w:rsidR="00283C3C" w:rsidRPr="0044664D">
        <w:rPr>
          <w:szCs w:val="22"/>
        </w:rPr>
        <w:t xml:space="preserve"> that long-term unemployment is</w:t>
      </w:r>
      <w:r w:rsidR="00283C3C">
        <w:rPr>
          <w:szCs w:val="22"/>
        </w:rPr>
        <w:t>,</w:t>
      </w:r>
      <w:r w:rsidR="00283C3C" w:rsidRPr="0044664D">
        <w:rPr>
          <w:szCs w:val="22"/>
        </w:rPr>
        <w:t xml:space="preserve"> in itself</w:t>
      </w:r>
      <w:r w:rsidR="00283C3C">
        <w:rPr>
          <w:szCs w:val="22"/>
        </w:rPr>
        <w:t>,</w:t>
      </w:r>
      <w:r w:rsidR="00283C3C" w:rsidRPr="0044664D">
        <w:rPr>
          <w:szCs w:val="22"/>
        </w:rPr>
        <w:t xml:space="preserve"> a barrier to finding sustainable employment. The project will build young people’s skills and capabilities to overcome </w:t>
      </w:r>
      <w:r w:rsidR="00283C3C">
        <w:rPr>
          <w:szCs w:val="22"/>
        </w:rPr>
        <w:t xml:space="preserve">their </w:t>
      </w:r>
      <w:r w:rsidR="00283C3C" w:rsidRPr="0044664D">
        <w:rPr>
          <w:szCs w:val="22"/>
        </w:rPr>
        <w:t>barriers and secure long-term employment.</w:t>
      </w:r>
    </w:p>
    <w:p w:rsidR="009361C2" w:rsidRDefault="009361C2" w:rsidP="009361C2">
      <w:pPr>
        <w:spacing w:before="0" w:after="0" w:line="240" w:lineRule="auto"/>
        <w:rPr>
          <w:szCs w:val="22"/>
        </w:rPr>
      </w:pPr>
    </w:p>
    <w:p w:rsidR="00C21489" w:rsidRDefault="00C21489" w:rsidP="009361C2">
      <w:pPr>
        <w:pStyle w:val="Heading1"/>
        <w:spacing w:before="0" w:after="0"/>
      </w:pPr>
      <w:r>
        <w:t xml:space="preserve">What is </w:t>
      </w:r>
      <w:r w:rsidRPr="00283C3C">
        <w:rPr>
          <w:i/>
        </w:rPr>
        <w:t>your</w:t>
      </w:r>
      <w:r>
        <w:t xml:space="preserve"> </w:t>
      </w:r>
      <w:r w:rsidRPr="005731A8">
        <w:rPr>
          <w:i/>
        </w:rPr>
        <w:t>job your way</w:t>
      </w:r>
      <w:r>
        <w:t>?</w:t>
      </w:r>
    </w:p>
    <w:p w:rsidR="00C21489" w:rsidRDefault="00C21489" w:rsidP="00B83ACD">
      <w:pPr>
        <w:pStyle w:val="textboxes"/>
        <w:spacing w:before="0" w:after="0" w:line="240" w:lineRule="auto"/>
        <w:ind w:right="-1731"/>
        <w:rPr>
          <w:sz w:val="20"/>
          <w:szCs w:val="22"/>
        </w:rPr>
      </w:pPr>
      <w:proofErr w:type="gramStart"/>
      <w:r w:rsidRPr="005731A8">
        <w:rPr>
          <w:sz w:val="20"/>
          <w:szCs w:val="22"/>
        </w:rPr>
        <w:t xml:space="preserve">The </w:t>
      </w:r>
      <w:r w:rsidRPr="00283C3C">
        <w:rPr>
          <w:i/>
          <w:sz w:val="20"/>
          <w:szCs w:val="22"/>
        </w:rPr>
        <w:t>your</w:t>
      </w:r>
      <w:proofErr w:type="gramEnd"/>
      <w:r w:rsidRPr="00283C3C">
        <w:rPr>
          <w:i/>
          <w:sz w:val="20"/>
          <w:szCs w:val="22"/>
        </w:rPr>
        <w:t xml:space="preserve"> job your way</w:t>
      </w:r>
      <w:r w:rsidRPr="005731A8">
        <w:rPr>
          <w:sz w:val="20"/>
          <w:szCs w:val="22"/>
        </w:rPr>
        <w:t xml:space="preserve"> project is targeted at young people</w:t>
      </w:r>
      <w:r w:rsidR="00D53E41">
        <w:rPr>
          <w:sz w:val="20"/>
          <w:szCs w:val="22"/>
        </w:rPr>
        <w:t xml:space="preserve"> in long-term unemployment</w:t>
      </w:r>
      <w:r w:rsidRPr="005731A8">
        <w:rPr>
          <w:sz w:val="20"/>
          <w:szCs w:val="22"/>
        </w:rPr>
        <w:t xml:space="preserve"> who are receiving Youth Allowance. The project aims to </w:t>
      </w:r>
      <w:r>
        <w:rPr>
          <w:sz w:val="20"/>
          <w:szCs w:val="22"/>
        </w:rPr>
        <w:t xml:space="preserve">expand </w:t>
      </w:r>
      <w:r w:rsidRPr="005731A8">
        <w:rPr>
          <w:sz w:val="20"/>
          <w:szCs w:val="22"/>
        </w:rPr>
        <w:t xml:space="preserve">participants’ </w:t>
      </w:r>
      <w:r>
        <w:rPr>
          <w:sz w:val="20"/>
          <w:szCs w:val="22"/>
        </w:rPr>
        <w:t xml:space="preserve">skills and </w:t>
      </w:r>
      <w:r w:rsidRPr="005731A8">
        <w:rPr>
          <w:sz w:val="20"/>
          <w:szCs w:val="22"/>
        </w:rPr>
        <w:t xml:space="preserve">capabilities </w:t>
      </w:r>
      <w:r>
        <w:rPr>
          <w:sz w:val="20"/>
          <w:szCs w:val="22"/>
        </w:rPr>
        <w:t xml:space="preserve">to </w:t>
      </w:r>
      <w:r w:rsidR="007E6904" w:rsidRPr="007E6904">
        <w:rPr>
          <w:sz w:val="20"/>
          <w:szCs w:val="22"/>
        </w:rPr>
        <w:t>overcome barriers (including duration of unemployment itself) and gain and retain employment</w:t>
      </w:r>
      <w:r>
        <w:rPr>
          <w:sz w:val="20"/>
          <w:szCs w:val="22"/>
        </w:rPr>
        <w:t>.</w:t>
      </w:r>
      <w:r w:rsidRPr="005731A8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The project will undertake </w:t>
      </w:r>
      <w:r w:rsidRPr="005731A8">
        <w:rPr>
          <w:sz w:val="20"/>
          <w:szCs w:val="22"/>
        </w:rPr>
        <w:t xml:space="preserve">a </w:t>
      </w:r>
      <w:r w:rsidR="00D53E41">
        <w:rPr>
          <w:sz w:val="20"/>
          <w:szCs w:val="22"/>
        </w:rPr>
        <w:t>client-centred</w:t>
      </w:r>
      <w:r w:rsidRPr="005731A8">
        <w:rPr>
          <w:sz w:val="20"/>
          <w:szCs w:val="22"/>
        </w:rPr>
        <w:t xml:space="preserve">, best practice model of employment services, including employer engagement, community connections and understanding participants’ </w:t>
      </w:r>
      <w:r w:rsidR="007E6904" w:rsidRPr="005731A8">
        <w:rPr>
          <w:sz w:val="20"/>
          <w:szCs w:val="22"/>
        </w:rPr>
        <w:t>experiences</w:t>
      </w:r>
      <w:r w:rsidRPr="005731A8">
        <w:rPr>
          <w:sz w:val="20"/>
          <w:szCs w:val="22"/>
        </w:rPr>
        <w:t xml:space="preserve"> of trauma.</w:t>
      </w:r>
    </w:p>
    <w:p w:rsidR="00C36A84" w:rsidRDefault="00C21489" w:rsidP="009361C2">
      <w:pPr>
        <w:pStyle w:val="textboxes"/>
        <w:spacing w:after="0"/>
        <w:ind w:right="-1731"/>
        <w:rPr>
          <w:sz w:val="20"/>
          <w:szCs w:val="22"/>
        </w:rPr>
      </w:pPr>
      <w:r w:rsidRPr="0044664D">
        <w:rPr>
          <w:sz w:val="20"/>
          <w:szCs w:val="22"/>
        </w:rPr>
        <w:t xml:space="preserve">Participants will work closely with a trusted Pathways Coach and Employment Mentor. They will </w:t>
      </w:r>
      <w:r>
        <w:rPr>
          <w:sz w:val="20"/>
          <w:szCs w:val="22"/>
        </w:rPr>
        <w:t xml:space="preserve">also </w:t>
      </w:r>
      <w:r w:rsidRPr="0044664D">
        <w:rPr>
          <w:sz w:val="20"/>
          <w:szCs w:val="22"/>
        </w:rPr>
        <w:t>be offered intensive case management and referrals to other services to help improve their job readiness</w:t>
      </w:r>
      <w:r w:rsidR="008D2B5D">
        <w:rPr>
          <w:sz w:val="20"/>
          <w:szCs w:val="22"/>
        </w:rPr>
        <w:t>.</w:t>
      </w:r>
    </w:p>
    <w:p w:rsidR="00C21489" w:rsidRPr="0044664D" w:rsidRDefault="00C21489" w:rsidP="008D2B5D">
      <w:pPr>
        <w:pStyle w:val="textboxes"/>
        <w:spacing w:after="0" w:line="240" w:lineRule="auto"/>
        <w:ind w:right="-1731"/>
        <w:rPr>
          <w:sz w:val="20"/>
          <w:szCs w:val="22"/>
        </w:rPr>
      </w:pPr>
      <w:r>
        <w:rPr>
          <w:sz w:val="20"/>
          <w:szCs w:val="22"/>
        </w:rPr>
        <w:t>During the program, p</w:t>
      </w:r>
      <w:r w:rsidRPr="0044664D">
        <w:rPr>
          <w:sz w:val="20"/>
          <w:szCs w:val="22"/>
        </w:rPr>
        <w:t xml:space="preserve">articipants will be encouraged and supported to </w:t>
      </w:r>
      <w:r>
        <w:rPr>
          <w:sz w:val="20"/>
          <w:szCs w:val="22"/>
        </w:rPr>
        <w:t xml:space="preserve">find and start </w:t>
      </w:r>
      <w:r w:rsidRPr="0044664D">
        <w:rPr>
          <w:sz w:val="20"/>
          <w:szCs w:val="22"/>
        </w:rPr>
        <w:t>employment and given support for the first 26 weeks of employment.</w:t>
      </w:r>
    </w:p>
    <w:p w:rsidR="009361C2" w:rsidRPr="0044664D" w:rsidRDefault="009361C2" w:rsidP="009361C2">
      <w:pPr>
        <w:pStyle w:val="textboxes"/>
        <w:spacing w:before="0" w:after="0"/>
        <w:ind w:right="-1731"/>
        <w:rPr>
          <w:sz w:val="20"/>
          <w:szCs w:val="22"/>
        </w:rPr>
      </w:pPr>
    </w:p>
    <w:p w:rsidR="00C21489" w:rsidRDefault="00C21489" w:rsidP="00C21489">
      <w:pPr>
        <w:pStyle w:val="Heading1"/>
        <w:spacing w:before="0" w:after="0"/>
      </w:pPr>
      <w:r>
        <w:t>What does the evidence tell us?</w:t>
      </w:r>
    </w:p>
    <w:p w:rsidR="00FF0123" w:rsidRDefault="00C21489" w:rsidP="00833F31">
      <w:pPr>
        <w:pStyle w:val="Tablebullet"/>
        <w:numPr>
          <w:ilvl w:val="0"/>
          <w:numId w:val="62"/>
        </w:numPr>
        <w:ind w:left="360"/>
        <w:rPr>
          <w:szCs w:val="22"/>
        </w:rPr>
      </w:pPr>
      <w:r>
        <w:rPr>
          <w:szCs w:val="22"/>
        </w:rPr>
        <w:t>Young unemployed people face a variety of</w:t>
      </w:r>
      <w:r w:rsidRPr="005731A8">
        <w:rPr>
          <w:szCs w:val="22"/>
        </w:rPr>
        <w:t xml:space="preserve"> barriers to further education and employment. </w:t>
      </w:r>
    </w:p>
    <w:p w:rsidR="00DB3ADC" w:rsidRPr="00DB3ADC" w:rsidRDefault="00C21489" w:rsidP="00E02E78">
      <w:pPr>
        <w:pStyle w:val="textboxes"/>
        <w:numPr>
          <w:ilvl w:val="0"/>
          <w:numId w:val="62"/>
        </w:numPr>
        <w:tabs>
          <w:tab w:val="left" w:pos="426"/>
          <w:tab w:val="left" w:pos="1701"/>
        </w:tabs>
        <w:spacing w:before="0" w:after="0"/>
        <w:ind w:left="426" w:right="-1729" w:hanging="426"/>
        <w:rPr>
          <w:sz w:val="20"/>
          <w:szCs w:val="20"/>
        </w:rPr>
      </w:pPr>
      <w:r w:rsidRPr="00E02E78">
        <w:rPr>
          <w:sz w:val="20"/>
          <w:szCs w:val="22"/>
        </w:rPr>
        <w:t xml:space="preserve">If nothing changes, 42 per cent of 16-21 year olds currently receiving Youth Allowance (other) or </w:t>
      </w:r>
    </w:p>
    <w:p w:rsidR="00B83ACD" w:rsidRPr="00E02E78" w:rsidRDefault="00C21489" w:rsidP="00DB3ADC">
      <w:pPr>
        <w:pStyle w:val="textboxes"/>
        <w:tabs>
          <w:tab w:val="left" w:pos="426"/>
          <w:tab w:val="left" w:pos="1701"/>
        </w:tabs>
        <w:spacing w:before="0" w:after="0"/>
        <w:ind w:left="426" w:right="-1729"/>
        <w:rPr>
          <w:sz w:val="20"/>
          <w:szCs w:val="20"/>
        </w:rPr>
      </w:pPr>
      <w:r w:rsidRPr="00E02E78">
        <w:rPr>
          <w:sz w:val="20"/>
          <w:szCs w:val="22"/>
        </w:rPr>
        <w:t xml:space="preserve">Disability Support Pension with mental health as the primary condition will be receiving income support </w:t>
      </w:r>
      <w:r w:rsidR="00DB3ADC">
        <w:rPr>
          <w:sz w:val="20"/>
          <w:szCs w:val="22"/>
        </w:rPr>
        <w:br/>
      </w:r>
      <w:r w:rsidRPr="00E02E78">
        <w:rPr>
          <w:sz w:val="20"/>
          <w:szCs w:val="22"/>
        </w:rPr>
        <w:t>payments in 10 years, and 33 per cent will be receiving income support payments in 20 years.</w:t>
      </w:r>
    </w:p>
    <w:p w:rsidR="002E68C7" w:rsidRPr="00E02E78" w:rsidRDefault="002E68C7" w:rsidP="00E02E78">
      <w:pPr>
        <w:pStyle w:val="textboxes"/>
        <w:spacing w:before="0" w:after="0"/>
        <w:ind w:right="-1729"/>
        <w:rPr>
          <w:sz w:val="20"/>
          <w:szCs w:val="20"/>
        </w:rPr>
      </w:pPr>
      <w:bookmarkStart w:id="1" w:name="_GoBack"/>
      <w:bookmarkEnd w:id="1"/>
    </w:p>
    <w:p w:rsidR="00283C3C" w:rsidRPr="00B83ACD" w:rsidRDefault="00283C3C" w:rsidP="00B83ACD">
      <w:pPr>
        <w:pStyle w:val="Heading1"/>
        <w:spacing w:before="0" w:after="0"/>
      </w:pPr>
      <w:r>
        <w:t>How is this initiative new and innovative?</w:t>
      </w:r>
    </w:p>
    <w:p w:rsidR="00283C3C" w:rsidRPr="0044664D" w:rsidRDefault="00283C3C" w:rsidP="00B83ACD">
      <w:pPr>
        <w:spacing w:before="0" w:after="0" w:line="240" w:lineRule="auto"/>
        <w:rPr>
          <w:szCs w:val="22"/>
        </w:rPr>
      </w:pPr>
      <w:r w:rsidRPr="0044664D">
        <w:rPr>
          <w:szCs w:val="22"/>
        </w:rPr>
        <w:t xml:space="preserve">The project addresses long-term unemployment as a barrier to work, helping participants overcome fragmented work histories. The level of support </w:t>
      </w:r>
      <w:r>
        <w:rPr>
          <w:szCs w:val="22"/>
        </w:rPr>
        <w:t xml:space="preserve">provided by this project </w:t>
      </w:r>
      <w:r w:rsidRPr="0044664D">
        <w:rPr>
          <w:szCs w:val="22"/>
        </w:rPr>
        <w:t>is greater than that offered in existing labour market programs</w:t>
      </w:r>
      <w:r>
        <w:rPr>
          <w:szCs w:val="22"/>
        </w:rPr>
        <w:t>,</w:t>
      </w:r>
      <w:r w:rsidRPr="0044664D">
        <w:rPr>
          <w:szCs w:val="22"/>
        </w:rPr>
        <w:t xml:space="preserve"> including a lower case</w:t>
      </w:r>
      <w:r>
        <w:rPr>
          <w:szCs w:val="22"/>
        </w:rPr>
        <w:t>-</w:t>
      </w:r>
      <w:r w:rsidRPr="0044664D">
        <w:rPr>
          <w:szCs w:val="22"/>
        </w:rPr>
        <w:t>load for serv</w:t>
      </w:r>
      <w:r w:rsidR="007E6904">
        <w:rPr>
          <w:szCs w:val="22"/>
        </w:rPr>
        <w:t>ice providers</w:t>
      </w:r>
      <w:r w:rsidRPr="0044664D">
        <w:rPr>
          <w:szCs w:val="22"/>
        </w:rPr>
        <w:t>, development of long-term relationships with participants, using a trusted life</w:t>
      </w:r>
      <w:r>
        <w:rPr>
          <w:szCs w:val="22"/>
        </w:rPr>
        <w:t>-</w:t>
      </w:r>
      <w:r w:rsidRPr="0044664D">
        <w:rPr>
          <w:szCs w:val="22"/>
        </w:rPr>
        <w:t>coach approach and more support during the early stages of employment.</w:t>
      </w:r>
    </w:p>
    <w:p w:rsidR="00283C3C" w:rsidRPr="0044664D" w:rsidRDefault="008D2B5D" w:rsidP="00283C3C">
      <w:pPr>
        <w:spacing w:before="0" w:after="0" w:line="240" w:lineRule="auto"/>
        <w:rPr>
          <w:szCs w:val="22"/>
        </w:rPr>
      </w:pPr>
      <w:r w:rsidRPr="00B83ACD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602457" wp14:editId="1040C643">
                <wp:simplePos x="0" y="0"/>
                <wp:positionH relativeFrom="page">
                  <wp:posOffset>199390</wp:posOffset>
                </wp:positionH>
                <wp:positionV relativeFrom="paragraph">
                  <wp:posOffset>184150</wp:posOffset>
                </wp:positionV>
                <wp:extent cx="7058025" cy="10858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801" w:rsidRDefault="00753801" w:rsidP="00753801">
                            <w:pPr>
                              <w:pStyle w:val="textboxes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 xml:space="preserve">Using insights from the Priority Investment Approach, the $96.1 million Try, Test and Learn Fund is gathering evidence on new or innovative approaches to addressing barriers to work.  </w:t>
                            </w:r>
                          </w:p>
                          <w:p w:rsidR="00753801" w:rsidRDefault="00753801" w:rsidP="00753801">
                            <w:pPr>
                              <w:pStyle w:val="textboxes"/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      </w:r>
                          </w:p>
                          <w:p w:rsidR="00C21489" w:rsidRDefault="00C21489" w:rsidP="00C21489">
                            <w:pPr>
                              <w:pStyle w:val="textboxe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02457" id="Text Box 5" o:spid="_x0000_s1027" type="#_x0000_t202" style="position:absolute;margin-left:15.7pt;margin-top:14.5pt;width:555.75pt;height:85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" fillcolor="white [3201]" strokecolor="#78be20 [3207]" strokeweight=".5pt">
                <v:textbox inset="2mm,2mm,2mm,2mm">
                  <w:txbxContent>
                    <w:p w:rsidR="00753801" w:rsidRDefault="00753801" w:rsidP="00753801">
                      <w:pPr>
                        <w:pStyle w:val="textboxes"/>
                        <w:rPr>
                          <w:sz w:val="20"/>
                          <w:szCs w:val="22"/>
                        </w:rPr>
                      </w:pPr>
                      <w:bookmarkStart w:id="10" w:name="_GoBack"/>
                      <w:r>
                        <w:rPr>
                          <w:sz w:val="20"/>
                          <w:szCs w:val="22"/>
                        </w:rPr>
                        <w:t xml:space="preserve">Using insights from the Priority Investment Approach, the $96.1 million Try, Test and Learn Fund is gathering evidence on new or innovative approaches to addressing barriers to work.  </w:t>
                      </w:r>
                    </w:p>
                    <w:p w:rsidR="00753801" w:rsidRDefault="00753801" w:rsidP="00753801">
                      <w:pPr>
                        <w:pStyle w:val="textboxes"/>
                      </w:pPr>
                      <w:r>
                        <w:rPr>
                          <w:sz w:val="20"/>
                          <w:szCs w:val="22"/>
                        </w:rPr>
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</w:r>
                    </w:p>
                    <w:bookmarkEnd w:id="10"/>
                    <w:p w:rsidR="00C21489" w:rsidRDefault="00C21489" w:rsidP="00C21489">
                      <w:pPr>
                        <w:pStyle w:val="textboxe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44252" w:rsidRDefault="00644252" w:rsidP="0077453B">
      <w:pPr>
        <w:pStyle w:val="Heading1"/>
        <w:spacing w:before="0" w:after="0"/>
      </w:pPr>
    </w:p>
    <w:p w:rsidR="00093570" w:rsidRDefault="00093570" w:rsidP="0077453B">
      <w:pPr>
        <w:spacing w:before="0" w:after="0" w:line="240" w:lineRule="auto"/>
        <w:rPr>
          <w:highlight w:val="yellow"/>
        </w:rPr>
      </w:pPr>
    </w:p>
    <w:p w:rsidR="003D4F76" w:rsidRDefault="003D4F76" w:rsidP="0077453B">
      <w:pPr>
        <w:spacing w:before="0" w:after="0" w:line="240" w:lineRule="auto"/>
      </w:pPr>
    </w:p>
    <w:p w:rsidR="003D4F76" w:rsidRDefault="003D4F76" w:rsidP="0077453B">
      <w:pPr>
        <w:spacing w:before="0" w:after="0" w:line="240" w:lineRule="auto"/>
      </w:pPr>
    </w:p>
    <w:p w:rsidR="003D4F76" w:rsidRDefault="003D4F76" w:rsidP="0077453B">
      <w:pPr>
        <w:spacing w:before="0" w:after="0" w:line="240" w:lineRule="auto"/>
      </w:pPr>
    </w:p>
    <w:sectPr w:rsidR="003D4F76" w:rsidSect="009361C2">
      <w:headerReference w:type="default" r:id="rId13"/>
      <w:footerReference w:type="default" r:id="rId14"/>
      <w:type w:val="continuous"/>
      <w:pgSz w:w="11906" w:h="16838" w:code="9"/>
      <w:pgMar w:top="720" w:right="720" w:bottom="720" w:left="720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3AE" w:rsidRDefault="006113AE">
      <w:r>
        <w:separator/>
      </w:r>
    </w:p>
  </w:endnote>
  <w:endnote w:type="continuationSeparator" w:id="0">
    <w:p w:rsidR="006113AE" w:rsidRDefault="0061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83C3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D09" w:rsidRDefault="00CA4C7E">
    <w:pPr>
      <w:pStyle w:val="Footer"/>
    </w:pPr>
    <w:r w:rsidRPr="00496410">
      <w:rPr>
        <w:noProof/>
      </w:rPr>
      <w:drawing>
        <wp:anchor distT="0" distB="0" distL="114300" distR="114300" simplePos="0" relativeHeight="251659264" behindDoc="1" locked="0" layoutInCell="1" allowOverlap="1" wp14:anchorId="7D3E059A" wp14:editId="4F69F03D">
          <wp:simplePos x="0" y="0"/>
          <wp:positionH relativeFrom="column">
            <wp:posOffset>-472440</wp:posOffset>
          </wp:positionH>
          <wp:positionV relativeFrom="paragraph">
            <wp:posOffset>-1905</wp:posOffset>
          </wp:positionV>
          <wp:extent cx="7559675" cy="1081405"/>
          <wp:effectExtent l="0" t="0" r="3175" b="4445"/>
          <wp:wrapNone/>
          <wp:docPr id="8" name="Picture 8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E690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3AE" w:rsidRDefault="006113AE">
      <w:r>
        <w:separator/>
      </w:r>
    </w:p>
  </w:footnote>
  <w:footnote w:type="continuationSeparator" w:id="0">
    <w:p w:rsidR="006113AE" w:rsidRDefault="00611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1A" w:rsidRDefault="00680F71">
    <w:pPr>
      <w:pStyle w:val="Header"/>
      <w:rPr>
        <w:noProof/>
      </w:rPr>
    </w:pPr>
    <w:r w:rsidRPr="00680F71">
      <w:rPr>
        <w:noProof/>
      </w:rPr>
      <w:t>Commonwealth Financial Counselling</w:t>
    </w:r>
  </w:p>
  <w:p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53188540" wp14:editId="6EBCBF04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14D9832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C05" w:rsidRDefault="00752C0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9F8E354" wp14:editId="3C35F67E">
          <wp:simplePos x="0" y="0"/>
          <wp:positionH relativeFrom="column">
            <wp:posOffset>138430</wp:posOffset>
          </wp:positionH>
          <wp:positionV relativeFrom="paragraph">
            <wp:posOffset>-248396</wp:posOffset>
          </wp:positionV>
          <wp:extent cx="6621780" cy="3133090"/>
          <wp:effectExtent l="0" t="0" r="762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2E8B" w:rsidRDefault="00752C05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:rsidR="00766A05" w:rsidRDefault="00766A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05" w:rsidRDefault="00627728" w:rsidP="00766A05">
    <w:pPr>
      <w:pStyle w:val="Header"/>
      <w:rPr>
        <w:noProof/>
      </w:rPr>
    </w:pPr>
    <w:r>
      <w:rPr>
        <w:noProof/>
      </w:rPr>
      <w:t>Australian Priority Investment Approach</w:t>
    </w:r>
  </w:p>
  <w:p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E32216A" wp14:editId="54389D66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979CF31"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B26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14DF4"/>
    <w:multiLevelType w:val="hybridMultilevel"/>
    <w:tmpl w:val="B1ACB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76E54"/>
    <w:multiLevelType w:val="hybridMultilevel"/>
    <w:tmpl w:val="6298C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F817F1"/>
    <w:multiLevelType w:val="hybridMultilevel"/>
    <w:tmpl w:val="6910E3EA"/>
    <w:lvl w:ilvl="0" w:tplc="B3623AD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38"/>
  </w:num>
  <w:num w:numId="4">
    <w:abstractNumId w:val="11"/>
  </w:num>
  <w:num w:numId="5">
    <w:abstractNumId w:val="15"/>
  </w:num>
  <w:num w:numId="6">
    <w:abstractNumId w:val="58"/>
  </w:num>
  <w:num w:numId="7">
    <w:abstractNumId w:val="45"/>
  </w:num>
  <w:num w:numId="8">
    <w:abstractNumId w:val="50"/>
  </w:num>
  <w:num w:numId="9">
    <w:abstractNumId w:val="7"/>
  </w:num>
  <w:num w:numId="10">
    <w:abstractNumId w:val="57"/>
  </w:num>
  <w:num w:numId="11">
    <w:abstractNumId w:val="16"/>
  </w:num>
  <w:num w:numId="12">
    <w:abstractNumId w:val="42"/>
  </w:num>
  <w:num w:numId="13">
    <w:abstractNumId w:val="52"/>
  </w:num>
  <w:num w:numId="14">
    <w:abstractNumId w:val="35"/>
  </w:num>
  <w:num w:numId="15">
    <w:abstractNumId w:val="3"/>
  </w:num>
  <w:num w:numId="16">
    <w:abstractNumId w:val="12"/>
  </w:num>
  <w:num w:numId="17">
    <w:abstractNumId w:val="56"/>
  </w:num>
  <w:num w:numId="18">
    <w:abstractNumId w:val="49"/>
  </w:num>
  <w:num w:numId="19">
    <w:abstractNumId w:val="13"/>
  </w:num>
  <w:num w:numId="20">
    <w:abstractNumId w:val="2"/>
  </w:num>
  <w:num w:numId="21">
    <w:abstractNumId w:val="5"/>
  </w:num>
  <w:num w:numId="22">
    <w:abstractNumId w:val="21"/>
  </w:num>
  <w:num w:numId="23">
    <w:abstractNumId w:val="17"/>
  </w:num>
  <w:num w:numId="24">
    <w:abstractNumId w:val="60"/>
  </w:num>
  <w:num w:numId="25">
    <w:abstractNumId w:val="34"/>
  </w:num>
  <w:num w:numId="26">
    <w:abstractNumId w:val="39"/>
  </w:num>
  <w:num w:numId="27">
    <w:abstractNumId w:val="20"/>
  </w:num>
  <w:num w:numId="28">
    <w:abstractNumId w:val="59"/>
  </w:num>
  <w:num w:numId="29">
    <w:abstractNumId w:val="48"/>
  </w:num>
  <w:num w:numId="30">
    <w:abstractNumId w:val="27"/>
  </w:num>
  <w:num w:numId="31">
    <w:abstractNumId w:val="44"/>
  </w:num>
  <w:num w:numId="32">
    <w:abstractNumId w:val="53"/>
  </w:num>
  <w:num w:numId="33">
    <w:abstractNumId w:val="55"/>
  </w:num>
  <w:num w:numId="34">
    <w:abstractNumId w:val="4"/>
  </w:num>
  <w:num w:numId="35">
    <w:abstractNumId w:val="25"/>
  </w:num>
  <w:num w:numId="36">
    <w:abstractNumId w:val="47"/>
  </w:num>
  <w:num w:numId="37">
    <w:abstractNumId w:val="8"/>
  </w:num>
  <w:num w:numId="38">
    <w:abstractNumId w:val="30"/>
  </w:num>
  <w:num w:numId="39">
    <w:abstractNumId w:val="24"/>
  </w:num>
  <w:num w:numId="40">
    <w:abstractNumId w:val="33"/>
  </w:num>
  <w:num w:numId="41">
    <w:abstractNumId w:val="37"/>
  </w:num>
  <w:num w:numId="42">
    <w:abstractNumId w:val="23"/>
  </w:num>
  <w:num w:numId="43">
    <w:abstractNumId w:val="14"/>
  </w:num>
  <w:num w:numId="44">
    <w:abstractNumId w:val="41"/>
  </w:num>
  <w:num w:numId="45">
    <w:abstractNumId w:val="46"/>
  </w:num>
  <w:num w:numId="46">
    <w:abstractNumId w:val="32"/>
  </w:num>
  <w:num w:numId="47">
    <w:abstractNumId w:val="31"/>
  </w:num>
  <w:num w:numId="48">
    <w:abstractNumId w:val="1"/>
  </w:num>
  <w:num w:numId="49">
    <w:abstractNumId w:val="43"/>
  </w:num>
  <w:num w:numId="50">
    <w:abstractNumId w:val="54"/>
  </w:num>
  <w:num w:numId="51">
    <w:abstractNumId w:val="40"/>
  </w:num>
  <w:num w:numId="52">
    <w:abstractNumId w:val="9"/>
  </w:num>
  <w:num w:numId="53">
    <w:abstractNumId w:val="51"/>
  </w:num>
  <w:num w:numId="54">
    <w:abstractNumId w:val="26"/>
  </w:num>
  <w:num w:numId="55">
    <w:abstractNumId w:val="18"/>
  </w:num>
  <w:num w:numId="56">
    <w:abstractNumId w:val="29"/>
  </w:num>
  <w:num w:numId="57">
    <w:abstractNumId w:val="28"/>
  </w:num>
  <w:num w:numId="58">
    <w:abstractNumId w:val="10"/>
  </w:num>
  <w:num w:numId="59">
    <w:abstractNumId w:val="36"/>
  </w:num>
  <w:num w:numId="60">
    <w:abstractNumId w:val="6"/>
  </w:num>
  <w:num w:numId="61">
    <w:abstractNumId w:val="19"/>
  </w:num>
  <w:num w:numId="62">
    <w:abstractNumId w:val="2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E"/>
    <w:rsid w:val="00002C18"/>
    <w:rsid w:val="00010549"/>
    <w:rsid w:val="00012F84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3570"/>
    <w:rsid w:val="00097BFF"/>
    <w:rsid w:val="000A669D"/>
    <w:rsid w:val="000A66A8"/>
    <w:rsid w:val="000C014D"/>
    <w:rsid w:val="000D0496"/>
    <w:rsid w:val="000D3DC0"/>
    <w:rsid w:val="000D4703"/>
    <w:rsid w:val="000D64F9"/>
    <w:rsid w:val="000D693C"/>
    <w:rsid w:val="000E12D4"/>
    <w:rsid w:val="000E2CA6"/>
    <w:rsid w:val="00104669"/>
    <w:rsid w:val="00110028"/>
    <w:rsid w:val="00115D09"/>
    <w:rsid w:val="00116EDF"/>
    <w:rsid w:val="00124B26"/>
    <w:rsid w:val="00130C4E"/>
    <w:rsid w:val="00131B54"/>
    <w:rsid w:val="001354B7"/>
    <w:rsid w:val="00140364"/>
    <w:rsid w:val="001404FA"/>
    <w:rsid w:val="001413C5"/>
    <w:rsid w:val="00142956"/>
    <w:rsid w:val="00143502"/>
    <w:rsid w:val="00144494"/>
    <w:rsid w:val="00144868"/>
    <w:rsid w:val="00157709"/>
    <w:rsid w:val="00167330"/>
    <w:rsid w:val="00167CF4"/>
    <w:rsid w:val="00182F7C"/>
    <w:rsid w:val="00184635"/>
    <w:rsid w:val="00185F6A"/>
    <w:rsid w:val="001933BC"/>
    <w:rsid w:val="001939FF"/>
    <w:rsid w:val="001943DD"/>
    <w:rsid w:val="00195374"/>
    <w:rsid w:val="001A127F"/>
    <w:rsid w:val="001A3CA4"/>
    <w:rsid w:val="001A3EA4"/>
    <w:rsid w:val="001B3AEC"/>
    <w:rsid w:val="001B5000"/>
    <w:rsid w:val="001B6F28"/>
    <w:rsid w:val="001C6104"/>
    <w:rsid w:val="001D4585"/>
    <w:rsid w:val="001D5D54"/>
    <w:rsid w:val="001E41C8"/>
    <w:rsid w:val="001F3AD7"/>
    <w:rsid w:val="00207630"/>
    <w:rsid w:val="00213082"/>
    <w:rsid w:val="00214BA3"/>
    <w:rsid w:val="0021714E"/>
    <w:rsid w:val="00222187"/>
    <w:rsid w:val="00222C8D"/>
    <w:rsid w:val="00222E33"/>
    <w:rsid w:val="00227B95"/>
    <w:rsid w:val="00232A2A"/>
    <w:rsid w:val="0023523A"/>
    <w:rsid w:val="002353DF"/>
    <w:rsid w:val="00235F71"/>
    <w:rsid w:val="00244357"/>
    <w:rsid w:val="0025272A"/>
    <w:rsid w:val="00263E01"/>
    <w:rsid w:val="002659AC"/>
    <w:rsid w:val="00266985"/>
    <w:rsid w:val="002701B0"/>
    <w:rsid w:val="00271922"/>
    <w:rsid w:val="0027204E"/>
    <w:rsid w:val="00273412"/>
    <w:rsid w:val="00274ACF"/>
    <w:rsid w:val="00274AE3"/>
    <w:rsid w:val="00282CD1"/>
    <w:rsid w:val="00283C3C"/>
    <w:rsid w:val="00285F1B"/>
    <w:rsid w:val="00295831"/>
    <w:rsid w:val="00296F1B"/>
    <w:rsid w:val="002A6DF5"/>
    <w:rsid w:val="002D00B0"/>
    <w:rsid w:val="002D2E16"/>
    <w:rsid w:val="002E02D6"/>
    <w:rsid w:val="002E68C7"/>
    <w:rsid w:val="002F19EF"/>
    <w:rsid w:val="002F56D2"/>
    <w:rsid w:val="00302415"/>
    <w:rsid w:val="0031028F"/>
    <w:rsid w:val="003102F6"/>
    <w:rsid w:val="00313304"/>
    <w:rsid w:val="00313C48"/>
    <w:rsid w:val="003162AD"/>
    <w:rsid w:val="00321148"/>
    <w:rsid w:val="00321798"/>
    <w:rsid w:val="00325F44"/>
    <w:rsid w:val="00326976"/>
    <w:rsid w:val="00326FED"/>
    <w:rsid w:val="003311D7"/>
    <w:rsid w:val="00332B8B"/>
    <w:rsid w:val="00336391"/>
    <w:rsid w:val="00337CF6"/>
    <w:rsid w:val="00346899"/>
    <w:rsid w:val="00347104"/>
    <w:rsid w:val="0035213F"/>
    <w:rsid w:val="003555D2"/>
    <w:rsid w:val="00363DF3"/>
    <w:rsid w:val="003656B1"/>
    <w:rsid w:val="003703CE"/>
    <w:rsid w:val="0037056B"/>
    <w:rsid w:val="00377173"/>
    <w:rsid w:val="003774DA"/>
    <w:rsid w:val="00392557"/>
    <w:rsid w:val="003945C0"/>
    <w:rsid w:val="003A06C2"/>
    <w:rsid w:val="003A1619"/>
    <w:rsid w:val="003B55C8"/>
    <w:rsid w:val="003B6D2E"/>
    <w:rsid w:val="003C3C29"/>
    <w:rsid w:val="003C430D"/>
    <w:rsid w:val="003C7404"/>
    <w:rsid w:val="003D3C5A"/>
    <w:rsid w:val="003D404A"/>
    <w:rsid w:val="003D4F76"/>
    <w:rsid w:val="003E6FDA"/>
    <w:rsid w:val="003F3072"/>
    <w:rsid w:val="00401A2A"/>
    <w:rsid w:val="00401CC4"/>
    <w:rsid w:val="004103D7"/>
    <w:rsid w:val="0041307C"/>
    <w:rsid w:val="004167B4"/>
    <w:rsid w:val="00416F0D"/>
    <w:rsid w:val="00422E30"/>
    <w:rsid w:val="00430D7E"/>
    <w:rsid w:val="004313F7"/>
    <w:rsid w:val="00433B04"/>
    <w:rsid w:val="00440BD3"/>
    <w:rsid w:val="0044664D"/>
    <w:rsid w:val="00446F93"/>
    <w:rsid w:val="004649E2"/>
    <w:rsid w:val="00464E8C"/>
    <w:rsid w:val="00466D36"/>
    <w:rsid w:val="00467185"/>
    <w:rsid w:val="0047050C"/>
    <w:rsid w:val="00475504"/>
    <w:rsid w:val="00480F21"/>
    <w:rsid w:val="00484FED"/>
    <w:rsid w:val="00495AF1"/>
    <w:rsid w:val="00496410"/>
    <w:rsid w:val="004C5384"/>
    <w:rsid w:val="004E2312"/>
    <w:rsid w:val="004F775C"/>
    <w:rsid w:val="005015E4"/>
    <w:rsid w:val="0050291D"/>
    <w:rsid w:val="0050697E"/>
    <w:rsid w:val="00524B3C"/>
    <w:rsid w:val="005315A9"/>
    <w:rsid w:val="00532B56"/>
    <w:rsid w:val="00540AD0"/>
    <w:rsid w:val="0054322A"/>
    <w:rsid w:val="00543923"/>
    <w:rsid w:val="005519C9"/>
    <w:rsid w:val="005523D1"/>
    <w:rsid w:val="00554A9C"/>
    <w:rsid w:val="00557624"/>
    <w:rsid w:val="0056023E"/>
    <w:rsid w:val="005658EF"/>
    <w:rsid w:val="005731A8"/>
    <w:rsid w:val="005822A3"/>
    <w:rsid w:val="0059070B"/>
    <w:rsid w:val="00594445"/>
    <w:rsid w:val="005944EA"/>
    <w:rsid w:val="005B1225"/>
    <w:rsid w:val="005B76B0"/>
    <w:rsid w:val="005C09F4"/>
    <w:rsid w:val="005C561A"/>
    <w:rsid w:val="005C5B93"/>
    <w:rsid w:val="005C66FF"/>
    <w:rsid w:val="005C673E"/>
    <w:rsid w:val="005C785A"/>
    <w:rsid w:val="005D03CA"/>
    <w:rsid w:val="005D432A"/>
    <w:rsid w:val="005D45AB"/>
    <w:rsid w:val="005E4662"/>
    <w:rsid w:val="005F093F"/>
    <w:rsid w:val="005F214A"/>
    <w:rsid w:val="005F6BD6"/>
    <w:rsid w:val="00601C99"/>
    <w:rsid w:val="00605828"/>
    <w:rsid w:val="00607597"/>
    <w:rsid w:val="006113AE"/>
    <w:rsid w:val="006255E4"/>
    <w:rsid w:val="00627728"/>
    <w:rsid w:val="00641020"/>
    <w:rsid w:val="006410C1"/>
    <w:rsid w:val="00644252"/>
    <w:rsid w:val="006450A1"/>
    <w:rsid w:val="0064640C"/>
    <w:rsid w:val="00647F05"/>
    <w:rsid w:val="006530EF"/>
    <w:rsid w:val="00654D06"/>
    <w:rsid w:val="00656E22"/>
    <w:rsid w:val="00661536"/>
    <w:rsid w:val="0067233D"/>
    <w:rsid w:val="006745AE"/>
    <w:rsid w:val="00675BEF"/>
    <w:rsid w:val="00676AF3"/>
    <w:rsid w:val="00676D10"/>
    <w:rsid w:val="00680F71"/>
    <w:rsid w:val="0068153D"/>
    <w:rsid w:val="00682A53"/>
    <w:rsid w:val="0069174B"/>
    <w:rsid w:val="00693FA1"/>
    <w:rsid w:val="006B05E3"/>
    <w:rsid w:val="006B09BC"/>
    <w:rsid w:val="006B42A0"/>
    <w:rsid w:val="006B4E59"/>
    <w:rsid w:val="006B5EF0"/>
    <w:rsid w:val="006B6031"/>
    <w:rsid w:val="006C2726"/>
    <w:rsid w:val="006C3402"/>
    <w:rsid w:val="006C3622"/>
    <w:rsid w:val="006C395C"/>
    <w:rsid w:val="006C45D4"/>
    <w:rsid w:val="006E1F3C"/>
    <w:rsid w:val="006E6073"/>
    <w:rsid w:val="006F7300"/>
    <w:rsid w:val="007025C5"/>
    <w:rsid w:val="00703C09"/>
    <w:rsid w:val="0071202B"/>
    <w:rsid w:val="00712300"/>
    <w:rsid w:val="00720739"/>
    <w:rsid w:val="00721695"/>
    <w:rsid w:val="007242B4"/>
    <w:rsid w:val="00725FB2"/>
    <w:rsid w:val="00730C64"/>
    <w:rsid w:val="007322AF"/>
    <w:rsid w:val="00735477"/>
    <w:rsid w:val="00736DCA"/>
    <w:rsid w:val="00742399"/>
    <w:rsid w:val="0074640C"/>
    <w:rsid w:val="0075003D"/>
    <w:rsid w:val="00751B37"/>
    <w:rsid w:val="00752C05"/>
    <w:rsid w:val="00753801"/>
    <w:rsid w:val="0075467B"/>
    <w:rsid w:val="00754D44"/>
    <w:rsid w:val="00766A05"/>
    <w:rsid w:val="00767B7E"/>
    <w:rsid w:val="0077453B"/>
    <w:rsid w:val="007746A9"/>
    <w:rsid w:val="00785465"/>
    <w:rsid w:val="00786D10"/>
    <w:rsid w:val="00787656"/>
    <w:rsid w:val="007A67EA"/>
    <w:rsid w:val="007B15AF"/>
    <w:rsid w:val="007B7E83"/>
    <w:rsid w:val="007C1631"/>
    <w:rsid w:val="007C636F"/>
    <w:rsid w:val="007D0EF8"/>
    <w:rsid w:val="007D39EB"/>
    <w:rsid w:val="007E6904"/>
    <w:rsid w:val="007F7E12"/>
    <w:rsid w:val="008131E7"/>
    <w:rsid w:val="00813711"/>
    <w:rsid w:val="00814279"/>
    <w:rsid w:val="008263C2"/>
    <w:rsid w:val="00833147"/>
    <w:rsid w:val="00833F31"/>
    <w:rsid w:val="00842959"/>
    <w:rsid w:val="008451FE"/>
    <w:rsid w:val="008466A1"/>
    <w:rsid w:val="00846C1D"/>
    <w:rsid w:val="00851758"/>
    <w:rsid w:val="00856D5A"/>
    <w:rsid w:val="008609EB"/>
    <w:rsid w:val="00862D6D"/>
    <w:rsid w:val="008653E0"/>
    <w:rsid w:val="008657FB"/>
    <w:rsid w:val="00871D4F"/>
    <w:rsid w:val="00874B5D"/>
    <w:rsid w:val="00874FB3"/>
    <w:rsid w:val="00880BE3"/>
    <w:rsid w:val="00882588"/>
    <w:rsid w:val="00895792"/>
    <w:rsid w:val="008A1212"/>
    <w:rsid w:val="008A3738"/>
    <w:rsid w:val="008A4A30"/>
    <w:rsid w:val="008B645B"/>
    <w:rsid w:val="008B67B8"/>
    <w:rsid w:val="008B774D"/>
    <w:rsid w:val="008C123E"/>
    <w:rsid w:val="008C3EC7"/>
    <w:rsid w:val="008C3ED0"/>
    <w:rsid w:val="008C5585"/>
    <w:rsid w:val="008C5E94"/>
    <w:rsid w:val="008D2B5D"/>
    <w:rsid w:val="008E6E9D"/>
    <w:rsid w:val="008F68F7"/>
    <w:rsid w:val="008F7480"/>
    <w:rsid w:val="009037B6"/>
    <w:rsid w:val="00906CBE"/>
    <w:rsid w:val="00906FFA"/>
    <w:rsid w:val="00910384"/>
    <w:rsid w:val="009139C0"/>
    <w:rsid w:val="009161C8"/>
    <w:rsid w:val="009164AD"/>
    <w:rsid w:val="00922289"/>
    <w:rsid w:val="009361C2"/>
    <w:rsid w:val="00936F46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900F0"/>
    <w:rsid w:val="00991769"/>
    <w:rsid w:val="00994E9F"/>
    <w:rsid w:val="00996931"/>
    <w:rsid w:val="009A4CD8"/>
    <w:rsid w:val="009B1AA9"/>
    <w:rsid w:val="009B3ED1"/>
    <w:rsid w:val="009B5C57"/>
    <w:rsid w:val="009C433C"/>
    <w:rsid w:val="009C49A3"/>
    <w:rsid w:val="009D28B7"/>
    <w:rsid w:val="009D56DE"/>
    <w:rsid w:val="009D7E1A"/>
    <w:rsid w:val="009E2162"/>
    <w:rsid w:val="00A006EB"/>
    <w:rsid w:val="00A03709"/>
    <w:rsid w:val="00A06C77"/>
    <w:rsid w:val="00A10147"/>
    <w:rsid w:val="00A12A9A"/>
    <w:rsid w:val="00A13D26"/>
    <w:rsid w:val="00A146A5"/>
    <w:rsid w:val="00A17411"/>
    <w:rsid w:val="00A2223D"/>
    <w:rsid w:val="00A34A74"/>
    <w:rsid w:val="00A35351"/>
    <w:rsid w:val="00A42ADE"/>
    <w:rsid w:val="00A57D8D"/>
    <w:rsid w:val="00A60693"/>
    <w:rsid w:val="00A67728"/>
    <w:rsid w:val="00A81A4F"/>
    <w:rsid w:val="00A82E14"/>
    <w:rsid w:val="00A901E9"/>
    <w:rsid w:val="00A9762C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5956"/>
    <w:rsid w:val="00AE619F"/>
    <w:rsid w:val="00AF2F8B"/>
    <w:rsid w:val="00AF373A"/>
    <w:rsid w:val="00AF7268"/>
    <w:rsid w:val="00AF7EFE"/>
    <w:rsid w:val="00B03BEE"/>
    <w:rsid w:val="00B049AA"/>
    <w:rsid w:val="00B0517E"/>
    <w:rsid w:val="00B056E2"/>
    <w:rsid w:val="00B066C4"/>
    <w:rsid w:val="00B11314"/>
    <w:rsid w:val="00B1192C"/>
    <w:rsid w:val="00B138E3"/>
    <w:rsid w:val="00B23267"/>
    <w:rsid w:val="00B24420"/>
    <w:rsid w:val="00B25891"/>
    <w:rsid w:val="00B27149"/>
    <w:rsid w:val="00B31D29"/>
    <w:rsid w:val="00B33D33"/>
    <w:rsid w:val="00B40D26"/>
    <w:rsid w:val="00B4451B"/>
    <w:rsid w:val="00B64AC8"/>
    <w:rsid w:val="00B70CD9"/>
    <w:rsid w:val="00B71CE2"/>
    <w:rsid w:val="00B72D62"/>
    <w:rsid w:val="00B760F3"/>
    <w:rsid w:val="00B83ACD"/>
    <w:rsid w:val="00B843C8"/>
    <w:rsid w:val="00B951E2"/>
    <w:rsid w:val="00B96F37"/>
    <w:rsid w:val="00BA4027"/>
    <w:rsid w:val="00BA607C"/>
    <w:rsid w:val="00BB3E2A"/>
    <w:rsid w:val="00BC16F5"/>
    <w:rsid w:val="00BC287D"/>
    <w:rsid w:val="00BC4A76"/>
    <w:rsid w:val="00BD32E5"/>
    <w:rsid w:val="00BD7ADD"/>
    <w:rsid w:val="00BE41C3"/>
    <w:rsid w:val="00BE6767"/>
    <w:rsid w:val="00BE68D7"/>
    <w:rsid w:val="00BF7763"/>
    <w:rsid w:val="00C04D5E"/>
    <w:rsid w:val="00C21489"/>
    <w:rsid w:val="00C24EA2"/>
    <w:rsid w:val="00C24F70"/>
    <w:rsid w:val="00C33479"/>
    <w:rsid w:val="00C36A84"/>
    <w:rsid w:val="00C47BA2"/>
    <w:rsid w:val="00C612DC"/>
    <w:rsid w:val="00C622CB"/>
    <w:rsid w:val="00C64D15"/>
    <w:rsid w:val="00C66366"/>
    <w:rsid w:val="00C74F74"/>
    <w:rsid w:val="00C7554B"/>
    <w:rsid w:val="00C83E31"/>
    <w:rsid w:val="00C912DD"/>
    <w:rsid w:val="00C916A4"/>
    <w:rsid w:val="00CA2A52"/>
    <w:rsid w:val="00CA2B15"/>
    <w:rsid w:val="00CA4C7E"/>
    <w:rsid w:val="00CA6490"/>
    <w:rsid w:val="00CB5744"/>
    <w:rsid w:val="00CB7022"/>
    <w:rsid w:val="00CC2E8B"/>
    <w:rsid w:val="00CD1937"/>
    <w:rsid w:val="00CE214C"/>
    <w:rsid w:val="00CE5F9F"/>
    <w:rsid w:val="00CE6858"/>
    <w:rsid w:val="00CF34DF"/>
    <w:rsid w:val="00CF50BE"/>
    <w:rsid w:val="00CF6A52"/>
    <w:rsid w:val="00D03583"/>
    <w:rsid w:val="00D117B4"/>
    <w:rsid w:val="00D169F7"/>
    <w:rsid w:val="00D24ACF"/>
    <w:rsid w:val="00D26D01"/>
    <w:rsid w:val="00D327D8"/>
    <w:rsid w:val="00D33DA3"/>
    <w:rsid w:val="00D36D4A"/>
    <w:rsid w:val="00D405D6"/>
    <w:rsid w:val="00D45318"/>
    <w:rsid w:val="00D4723B"/>
    <w:rsid w:val="00D50473"/>
    <w:rsid w:val="00D53E41"/>
    <w:rsid w:val="00D55EE8"/>
    <w:rsid w:val="00D5785A"/>
    <w:rsid w:val="00D64C48"/>
    <w:rsid w:val="00D7006D"/>
    <w:rsid w:val="00D731C4"/>
    <w:rsid w:val="00D81BAA"/>
    <w:rsid w:val="00D85BE0"/>
    <w:rsid w:val="00D86AF2"/>
    <w:rsid w:val="00D87C1A"/>
    <w:rsid w:val="00D87FD7"/>
    <w:rsid w:val="00D92167"/>
    <w:rsid w:val="00D9502B"/>
    <w:rsid w:val="00D97047"/>
    <w:rsid w:val="00D97108"/>
    <w:rsid w:val="00DA13C8"/>
    <w:rsid w:val="00DB055E"/>
    <w:rsid w:val="00DB3ADC"/>
    <w:rsid w:val="00DB5FB3"/>
    <w:rsid w:val="00DC5665"/>
    <w:rsid w:val="00DD47FB"/>
    <w:rsid w:val="00DD4F44"/>
    <w:rsid w:val="00DD5D8B"/>
    <w:rsid w:val="00DE0F9E"/>
    <w:rsid w:val="00DE5D76"/>
    <w:rsid w:val="00E02E78"/>
    <w:rsid w:val="00E04C8D"/>
    <w:rsid w:val="00E128D8"/>
    <w:rsid w:val="00E30D45"/>
    <w:rsid w:val="00E30F39"/>
    <w:rsid w:val="00E42FE4"/>
    <w:rsid w:val="00E46FAA"/>
    <w:rsid w:val="00E5750B"/>
    <w:rsid w:val="00E60E2E"/>
    <w:rsid w:val="00E63A24"/>
    <w:rsid w:val="00E71A2D"/>
    <w:rsid w:val="00E8698A"/>
    <w:rsid w:val="00E923F2"/>
    <w:rsid w:val="00EA185E"/>
    <w:rsid w:val="00EA31CC"/>
    <w:rsid w:val="00EA5D6B"/>
    <w:rsid w:val="00EB14DF"/>
    <w:rsid w:val="00EB2B64"/>
    <w:rsid w:val="00EB3A07"/>
    <w:rsid w:val="00EB4143"/>
    <w:rsid w:val="00EB4728"/>
    <w:rsid w:val="00EC207A"/>
    <w:rsid w:val="00EC3F31"/>
    <w:rsid w:val="00ED103B"/>
    <w:rsid w:val="00ED3C91"/>
    <w:rsid w:val="00ED4112"/>
    <w:rsid w:val="00EF1347"/>
    <w:rsid w:val="00EF2BEB"/>
    <w:rsid w:val="00F01129"/>
    <w:rsid w:val="00F03D93"/>
    <w:rsid w:val="00F03D9E"/>
    <w:rsid w:val="00F060D0"/>
    <w:rsid w:val="00F227BF"/>
    <w:rsid w:val="00F374B2"/>
    <w:rsid w:val="00F4016E"/>
    <w:rsid w:val="00F40AFC"/>
    <w:rsid w:val="00F4730E"/>
    <w:rsid w:val="00F50A92"/>
    <w:rsid w:val="00F513FC"/>
    <w:rsid w:val="00F53430"/>
    <w:rsid w:val="00F53F24"/>
    <w:rsid w:val="00F614F1"/>
    <w:rsid w:val="00F63341"/>
    <w:rsid w:val="00F70976"/>
    <w:rsid w:val="00F7536E"/>
    <w:rsid w:val="00F81F93"/>
    <w:rsid w:val="00F84123"/>
    <w:rsid w:val="00F86F1B"/>
    <w:rsid w:val="00F9266B"/>
    <w:rsid w:val="00F92A21"/>
    <w:rsid w:val="00F92E9B"/>
    <w:rsid w:val="00F95814"/>
    <w:rsid w:val="00F96D66"/>
    <w:rsid w:val="00FA01D9"/>
    <w:rsid w:val="00FA031C"/>
    <w:rsid w:val="00FB13C1"/>
    <w:rsid w:val="00FB420B"/>
    <w:rsid w:val="00FC1C5F"/>
    <w:rsid w:val="00FC5C0C"/>
    <w:rsid w:val="00FC64EF"/>
    <w:rsid w:val="00FC69EB"/>
    <w:rsid w:val="00FD2673"/>
    <w:rsid w:val="00FE2A29"/>
    <w:rsid w:val="00FF0123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C20E7D-E7F2-431B-9345-CF642D50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C3622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6C3622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5731A8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semiHidden/>
    <w:unhideWhenUsed/>
    <w:rsid w:val="008A4A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A4A3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A4A3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4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4A3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7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SS%20New%20Design\Libraries\Corporate%20Branding\Templates\Word%20Templates\Folk%20templates%20(old)\DSS_Fact%20Sheet%20template_Green.dotx" TargetMode="External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EE358-3C13-42A6-A000-786F0803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DSS_Fact Sheet template_Green</Template>
  <TotalTime>122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Social Services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Makeila</dc:creator>
  <cp:lastModifiedBy>HODGKIN, Robyn</cp:lastModifiedBy>
  <cp:revision>10</cp:revision>
  <cp:lastPrinted>2019-05-24T05:04:00Z</cp:lastPrinted>
  <dcterms:created xsi:type="dcterms:W3CDTF">2018-09-27T22:14:00Z</dcterms:created>
  <dcterms:modified xsi:type="dcterms:W3CDTF">2019-05-24T05:04:00Z</dcterms:modified>
</cp:coreProperties>
</file>