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295A2" w14:textId="77777777" w:rsidR="005316BE" w:rsidRDefault="00CF553B" w:rsidP="00537B50">
      <w:pPr>
        <w:spacing w:before="0" w:after="0"/>
        <w:ind w:left="-850"/>
      </w:pPr>
      <w:bookmarkStart w:id="0" w:name="_GoBack"/>
      <w:bookmarkEnd w:id="0"/>
      <w:r>
        <w:rPr>
          <w:noProof/>
        </w:rPr>
        <w:drawing>
          <wp:inline distT="0" distB="0" distL="0" distR="0" wp14:anchorId="3362FF00" wp14:editId="77DD817B">
            <wp:extent cx="7541998" cy="1436354"/>
            <wp:effectExtent l="0" t="0" r="1905"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7">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14:paraId="76B33FAA" w14:textId="77777777" w:rsidR="00E900AA" w:rsidRDefault="00E900AA" w:rsidP="00C80192">
      <w:pPr>
        <w:pStyle w:val="Subtitle"/>
        <w:rPr>
          <w:rFonts w:ascii="Georgia" w:eastAsia="Times New Roman" w:hAnsi="Georgia" w:cs="Arial"/>
          <w:bCs/>
          <w:iCs w:val="0"/>
          <w:color w:val="500778"/>
          <w:spacing w:val="0"/>
          <w:kern w:val="28"/>
          <w:sz w:val="72"/>
          <w:szCs w:val="32"/>
        </w:rPr>
      </w:pPr>
      <w:r w:rsidRPr="00E900AA">
        <w:rPr>
          <w:rFonts w:ascii="Georgia" w:eastAsia="Times New Roman" w:hAnsi="Georgia" w:cs="Arial"/>
          <w:bCs/>
          <w:iCs w:val="0"/>
          <w:color w:val="500778"/>
          <w:spacing w:val="0"/>
          <w:kern w:val="28"/>
          <w:sz w:val="72"/>
          <w:szCs w:val="32"/>
        </w:rPr>
        <w:t>Encouraging Self Sufficiency for Newly Arrived Migrants</w:t>
      </w:r>
    </w:p>
    <w:p w14:paraId="559E5877" w14:textId="77777777" w:rsidR="00E900AA" w:rsidRPr="00E900AA" w:rsidRDefault="00E900AA" w:rsidP="00C80192">
      <w:pPr>
        <w:pStyle w:val="Subtitle"/>
        <w:rPr>
          <w:rFonts w:ascii="Georgia" w:eastAsia="Times New Roman" w:hAnsi="Georgia" w:cs="Arial"/>
          <w:bCs/>
          <w:iCs w:val="0"/>
          <w:color w:val="500778"/>
          <w:spacing w:val="0"/>
          <w:kern w:val="28"/>
          <w:sz w:val="24"/>
        </w:rPr>
      </w:pPr>
    </w:p>
    <w:p w14:paraId="36B4A2E0" w14:textId="77777777" w:rsidR="00C80192" w:rsidRDefault="00E900AA" w:rsidP="00917A7C">
      <w:pPr>
        <w:pStyle w:val="Subtitle"/>
        <w:spacing w:after="240"/>
      </w:pPr>
      <w:r>
        <w:t xml:space="preserve">Changes to waiting periods for migrants </w:t>
      </w:r>
      <w:r w:rsidR="001D4A1A">
        <w:t xml:space="preserve">from </w:t>
      </w:r>
      <w:r>
        <w:t>July 2018*</w:t>
      </w:r>
    </w:p>
    <w:p w14:paraId="4AD93674" w14:textId="77777777" w:rsidR="00E900AA" w:rsidRPr="00E900AA" w:rsidRDefault="00E900AA" w:rsidP="001D4A1A">
      <w:r>
        <w:t>* Subject to the passage of legislation</w:t>
      </w:r>
    </w:p>
    <w:p w14:paraId="0A0ADA22" w14:textId="77777777" w:rsidR="00C80192" w:rsidRDefault="00E900AA" w:rsidP="00C80192">
      <w:pPr>
        <w:pStyle w:val="Heading1"/>
      </w:pPr>
      <w:r>
        <w:t>What has changed?</w:t>
      </w:r>
    </w:p>
    <w:p w14:paraId="5D5F0398" w14:textId="77777777" w:rsidR="001D4A1A" w:rsidRDefault="001D4A1A" w:rsidP="001D4A1A">
      <w:bookmarkStart w:id="1" w:name="_Toc391890681"/>
      <w:r>
        <w:t>From 1 July 2018, the Government will extend the Newly Arrived Resident’s Waiting Period for a number of welfare payments, and introduce new waiting periods for some family payments and concession cards.</w:t>
      </w:r>
    </w:p>
    <w:p w14:paraId="772935E8" w14:textId="0C68FE74" w:rsidR="00DF22B3" w:rsidRDefault="001D4A1A" w:rsidP="001D4A1A">
      <w:r>
        <w:t xml:space="preserve">New migrants to Australia under the skilled and family visa streams will be required to wait </w:t>
      </w:r>
      <w:r w:rsidR="007C2B2F">
        <w:t xml:space="preserve">four </w:t>
      </w:r>
      <w:r>
        <w:t>years before they are eligible for the following payments and concession cards:</w:t>
      </w:r>
    </w:p>
    <w:p w14:paraId="0305F05C" w14:textId="77777777" w:rsidR="00766D15" w:rsidRDefault="00766D15" w:rsidP="00A14751">
      <w:pPr>
        <w:pStyle w:val="ListBullet"/>
        <w:numPr>
          <w:ilvl w:val="0"/>
          <w:numId w:val="0"/>
        </w:numPr>
        <w:ind w:left="533" w:hanging="360"/>
        <w:sectPr w:rsidR="00766D15" w:rsidSect="00D87F42">
          <w:headerReference w:type="even" r:id="rId8"/>
          <w:headerReference w:type="default" r:id="rId9"/>
          <w:footerReference w:type="even" r:id="rId10"/>
          <w:footerReference w:type="default" r:id="rId11"/>
          <w:headerReference w:type="first" r:id="rId12"/>
          <w:footerReference w:type="first" r:id="rId13"/>
          <w:pgSz w:w="11906" w:h="16838" w:code="9"/>
          <w:pgMar w:top="568" w:right="1134" w:bottom="1134" w:left="851" w:header="0" w:footer="471" w:gutter="0"/>
          <w:cols w:space="708"/>
          <w:titlePg/>
          <w:docGrid w:linePitch="360"/>
        </w:sectPr>
      </w:pPr>
    </w:p>
    <w:p w14:paraId="15E29C44" w14:textId="69100DEB" w:rsidR="001D4A1A" w:rsidRDefault="001D4A1A" w:rsidP="001D4A1A">
      <w:pPr>
        <w:pStyle w:val="ListBullet"/>
      </w:pPr>
      <w:r>
        <w:t>Newstart</w:t>
      </w:r>
      <w:r w:rsidR="008470A6">
        <w:t xml:space="preserve"> Allowance</w:t>
      </w:r>
    </w:p>
    <w:p w14:paraId="3191A1F1" w14:textId="77777777" w:rsidR="001D4A1A" w:rsidRDefault="001D4A1A" w:rsidP="001D4A1A">
      <w:pPr>
        <w:pStyle w:val="ListBullet"/>
      </w:pPr>
      <w:r>
        <w:t>Youth Allowance</w:t>
      </w:r>
    </w:p>
    <w:p w14:paraId="3AFE5EBC" w14:textId="77777777" w:rsidR="00766D15" w:rsidRDefault="00766D15" w:rsidP="00766D15">
      <w:pPr>
        <w:pStyle w:val="ListBullet"/>
      </w:pPr>
      <w:r>
        <w:t>Austudy</w:t>
      </w:r>
    </w:p>
    <w:p w14:paraId="4B853760" w14:textId="77777777" w:rsidR="00766D15" w:rsidRDefault="00766D15" w:rsidP="00766D15">
      <w:pPr>
        <w:pStyle w:val="ListBullet"/>
      </w:pPr>
      <w:r>
        <w:t>Parenting Payment</w:t>
      </w:r>
    </w:p>
    <w:p w14:paraId="50AA38FD" w14:textId="77777777" w:rsidR="00766D15" w:rsidRDefault="00766D15" w:rsidP="00766D15">
      <w:pPr>
        <w:pStyle w:val="ListBullet"/>
      </w:pPr>
      <w:r>
        <w:t>Family Tax Benefit</w:t>
      </w:r>
    </w:p>
    <w:p w14:paraId="2D5916F5" w14:textId="77777777" w:rsidR="00766D15" w:rsidRDefault="00766D15" w:rsidP="00766D15">
      <w:pPr>
        <w:pStyle w:val="ListBullet"/>
      </w:pPr>
      <w:r>
        <w:t xml:space="preserve">Parental Leave Pay </w:t>
      </w:r>
    </w:p>
    <w:p w14:paraId="4DD26EB3" w14:textId="77777777" w:rsidR="00766D15" w:rsidRDefault="00766D15" w:rsidP="00766D15">
      <w:pPr>
        <w:pStyle w:val="ListBullet"/>
      </w:pPr>
      <w:r>
        <w:t>Dad and Partner Pay</w:t>
      </w:r>
    </w:p>
    <w:p w14:paraId="1CED9DA0" w14:textId="77777777" w:rsidR="001D4A1A" w:rsidRDefault="001D4A1A" w:rsidP="001D4A1A">
      <w:pPr>
        <w:pStyle w:val="ListBullet"/>
      </w:pPr>
      <w:r>
        <w:t>Carer Payment</w:t>
      </w:r>
    </w:p>
    <w:p w14:paraId="62C4B95F" w14:textId="77777777" w:rsidR="00766D15" w:rsidRDefault="00766D15" w:rsidP="00766D15">
      <w:pPr>
        <w:pStyle w:val="ListBullet"/>
      </w:pPr>
      <w:r>
        <w:t>Carer Allowance</w:t>
      </w:r>
    </w:p>
    <w:p w14:paraId="30085ED5" w14:textId="77777777" w:rsidR="001D4A1A" w:rsidRDefault="001D4A1A" w:rsidP="001D4A1A">
      <w:pPr>
        <w:pStyle w:val="ListBullet"/>
      </w:pPr>
      <w:r>
        <w:t>Mobility Allowance</w:t>
      </w:r>
    </w:p>
    <w:p w14:paraId="4C2AEBBE" w14:textId="77777777" w:rsidR="001D4A1A" w:rsidRDefault="001D4A1A" w:rsidP="001D4A1A">
      <w:pPr>
        <w:pStyle w:val="ListBullet"/>
      </w:pPr>
      <w:r>
        <w:t>Widow Allowance</w:t>
      </w:r>
    </w:p>
    <w:p w14:paraId="25A2B41D" w14:textId="77777777" w:rsidR="001D4A1A" w:rsidRDefault="001D4A1A" w:rsidP="001D4A1A">
      <w:pPr>
        <w:pStyle w:val="ListBullet"/>
      </w:pPr>
      <w:r>
        <w:t>Sickness Allowance</w:t>
      </w:r>
    </w:p>
    <w:p w14:paraId="6DE47913" w14:textId="77777777" w:rsidR="001D4A1A" w:rsidRDefault="001D4A1A" w:rsidP="001D4A1A">
      <w:pPr>
        <w:pStyle w:val="ListBullet"/>
      </w:pPr>
      <w:r>
        <w:t>Bereavement Allowance</w:t>
      </w:r>
    </w:p>
    <w:p w14:paraId="7105C51C" w14:textId="77777777" w:rsidR="001D4A1A" w:rsidRDefault="001D4A1A" w:rsidP="001D4A1A">
      <w:pPr>
        <w:pStyle w:val="ListBullet"/>
      </w:pPr>
      <w:r>
        <w:t>Special Benefit</w:t>
      </w:r>
    </w:p>
    <w:p w14:paraId="0567C314" w14:textId="77777777" w:rsidR="001D4A1A" w:rsidRDefault="001D4A1A" w:rsidP="001D4A1A">
      <w:pPr>
        <w:pStyle w:val="ListBullet"/>
      </w:pPr>
      <w:r>
        <w:t>Pensioner Education Supplement</w:t>
      </w:r>
    </w:p>
    <w:p w14:paraId="78B38C23" w14:textId="77777777" w:rsidR="001D4A1A" w:rsidRDefault="001D4A1A" w:rsidP="001D4A1A">
      <w:pPr>
        <w:pStyle w:val="ListBullet"/>
      </w:pPr>
      <w:r>
        <w:t>Farm Household Allowance</w:t>
      </w:r>
    </w:p>
    <w:p w14:paraId="1B140B8F" w14:textId="77777777" w:rsidR="001D4A1A" w:rsidRDefault="001D4A1A" w:rsidP="001D4A1A">
      <w:pPr>
        <w:pStyle w:val="ListBullet"/>
      </w:pPr>
      <w:r>
        <w:t>Commonwealth Seniors Health Care Card</w:t>
      </w:r>
    </w:p>
    <w:p w14:paraId="6B0C35B4" w14:textId="77777777" w:rsidR="00766D15" w:rsidRDefault="001D4A1A" w:rsidP="001D4A1A">
      <w:pPr>
        <w:pStyle w:val="ListBullet"/>
        <w:sectPr w:rsidR="00766D15" w:rsidSect="001B3AF3">
          <w:type w:val="continuous"/>
          <w:pgSz w:w="11906" w:h="16838" w:code="9"/>
          <w:pgMar w:top="568" w:right="1134" w:bottom="1134" w:left="851" w:header="0" w:footer="471" w:gutter="0"/>
          <w:cols w:num="2" w:space="285" w:equalWidth="0">
            <w:col w:w="4253" w:space="285"/>
            <w:col w:w="5383"/>
          </w:cols>
          <w:titlePg/>
          <w:docGrid w:linePitch="360"/>
        </w:sectPr>
      </w:pPr>
      <w:r>
        <w:t>Low Income Health Care Card</w:t>
      </w:r>
    </w:p>
    <w:p w14:paraId="4E75228A" w14:textId="77777777" w:rsidR="001D4A1A" w:rsidRDefault="001D4A1A" w:rsidP="001B3AF3">
      <w:pPr>
        <w:pStyle w:val="ListBullet"/>
        <w:numPr>
          <w:ilvl w:val="0"/>
          <w:numId w:val="0"/>
        </w:numPr>
        <w:ind w:left="173"/>
      </w:pPr>
    </w:p>
    <w:p w14:paraId="7EBAF48D" w14:textId="44390C1C" w:rsidR="00DF22B3" w:rsidRDefault="00DF22B3" w:rsidP="00DF22B3">
      <w:r>
        <w:t>This measure will only apply to people granted permanent residency, and some temporary visas</w:t>
      </w:r>
      <w:r w:rsidR="008B51F4">
        <w:t xml:space="preserve"> such as temporary partner visas</w:t>
      </w:r>
      <w:r>
        <w:t>, on or after 1 July 2018. Migrants already granted permanent residency before 1 July 2018 will not be affected by this</w:t>
      </w:r>
      <w:r w:rsidR="00902499">
        <w:t xml:space="preserve"> </w:t>
      </w:r>
      <w:r>
        <w:t>measure</w:t>
      </w:r>
      <w:r w:rsidR="008B51F4" w:rsidRPr="008B51F4">
        <w:t>.</w:t>
      </w:r>
      <w:r w:rsidR="00902499">
        <w:t xml:space="preserve"> </w:t>
      </w:r>
    </w:p>
    <w:p w14:paraId="4B20E00B" w14:textId="33084CD6" w:rsidR="003070A3" w:rsidRDefault="00A14751" w:rsidP="00DF22B3">
      <w:r>
        <w:t xml:space="preserve">Individuals and families subject to a waiting period will continue to have access to </w:t>
      </w:r>
      <w:r w:rsidR="001412CE">
        <w:t xml:space="preserve">broader </w:t>
      </w:r>
      <w:r>
        <w:t>Govern</w:t>
      </w:r>
      <w:r w:rsidR="001412CE">
        <w:t>ment</w:t>
      </w:r>
      <w:r w:rsidR="009F32FC">
        <w:t xml:space="preserve"> </w:t>
      </w:r>
      <w:r w:rsidR="001412CE">
        <w:t xml:space="preserve">funded healthcare, </w:t>
      </w:r>
      <w:r>
        <w:t>education services and to childcare subsidies where they are using approved childcare and participating in work, study or other approved activities.</w:t>
      </w:r>
    </w:p>
    <w:p w14:paraId="630CE7AA" w14:textId="0062EC28" w:rsidR="003070A3" w:rsidRDefault="003070A3" w:rsidP="003070A3">
      <w:pPr>
        <w:pStyle w:val="Heading2"/>
      </w:pPr>
      <w:r>
        <w:t xml:space="preserve">Assurance of Support </w:t>
      </w:r>
    </w:p>
    <w:p w14:paraId="01204665" w14:textId="6F6E2EE6" w:rsidR="003070A3" w:rsidRDefault="003070A3" w:rsidP="003070A3">
      <w:r>
        <w:t>An Assurance of Support is a commitment by o</w:t>
      </w:r>
      <w:r w:rsidR="00ED1429">
        <w:t>ne or more Australian residents</w:t>
      </w:r>
      <w:r>
        <w:t xml:space="preserve"> to provide financial support to a new resident </w:t>
      </w:r>
      <w:r w:rsidR="00ED1429">
        <w:t>during an initial period</w:t>
      </w:r>
      <w:r>
        <w:t>. This period is either two years for most visas or ten years for Contributory Parent Visas.</w:t>
      </w:r>
    </w:p>
    <w:p w14:paraId="4E3937CE" w14:textId="0766F9CD" w:rsidR="003070A3" w:rsidRDefault="003070A3" w:rsidP="003070A3">
      <w:r>
        <w:t>Unde</w:t>
      </w:r>
      <w:r w:rsidR="00DD5D17">
        <w:t>r this measure, the current two</w:t>
      </w:r>
      <w:r w:rsidR="009F32FC">
        <w:t xml:space="preserve"> </w:t>
      </w:r>
      <w:r>
        <w:t>year A</w:t>
      </w:r>
      <w:r w:rsidR="00DD5D17">
        <w:t>ssurance of Support</w:t>
      </w:r>
      <w:r>
        <w:t xml:space="preserve"> period that applies to family visas will increase from two to </w:t>
      </w:r>
      <w:r w:rsidR="007C2B2F">
        <w:t xml:space="preserve">four </w:t>
      </w:r>
      <w:r>
        <w:t xml:space="preserve">years, in line with the </w:t>
      </w:r>
      <w:r w:rsidR="00DD5D17">
        <w:t>waiting periods</w:t>
      </w:r>
      <w:r>
        <w:t xml:space="preserve"> for welfare payments.</w:t>
      </w:r>
    </w:p>
    <w:p w14:paraId="5FEBE1DD" w14:textId="329F9C09" w:rsidR="003070A3" w:rsidRDefault="003070A3" w:rsidP="003070A3">
      <w:r>
        <w:t>For more information on the current rules and residency requirements please visit the Department of Social Services website.</w:t>
      </w:r>
    </w:p>
    <w:p w14:paraId="3031D72B" w14:textId="30AA6750" w:rsidR="00DD5D17" w:rsidRDefault="00DD5D17" w:rsidP="003070A3"/>
    <w:p w14:paraId="144A3398" w14:textId="15892C7D" w:rsidR="00DD5D17" w:rsidRDefault="00DD5D17" w:rsidP="00DD5D17">
      <w:pPr>
        <w:pStyle w:val="Heading1"/>
      </w:pPr>
      <w:r>
        <w:t>Exemptions to the waiting periods</w:t>
      </w:r>
    </w:p>
    <w:p w14:paraId="470C5D6D" w14:textId="613D425E" w:rsidR="00DD5D17" w:rsidRDefault="0090545E" w:rsidP="00DD5D17">
      <w:r>
        <w:t xml:space="preserve">There </w:t>
      </w:r>
      <w:r w:rsidR="008470A6">
        <w:t xml:space="preserve">is a </w:t>
      </w:r>
      <w:r w:rsidR="00DD5D17">
        <w:t xml:space="preserve">range of exemptions that will ensure a safety net remains available for migrants who may be particularly vulnerable and </w:t>
      </w:r>
      <w:r w:rsidR="00D447C7">
        <w:t xml:space="preserve">for </w:t>
      </w:r>
      <w:r w:rsidR="00DD5D17">
        <w:t>people who are unable to support themselves as planned for reasons beyond their control.</w:t>
      </w:r>
    </w:p>
    <w:p w14:paraId="43FC3B5E" w14:textId="5E9D94CF" w:rsidR="00D447C7" w:rsidRDefault="00D447C7" w:rsidP="00DD5D17">
      <w:r>
        <w:t>The following exemptions to waiting periods for migrants apply:</w:t>
      </w:r>
    </w:p>
    <w:p w14:paraId="135DD167" w14:textId="79DBF85F" w:rsidR="00DD5D17" w:rsidRDefault="00DD5D17" w:rsidP="00D447C7">
      <w:pPr>
        <w:pStyle w:val="ListBullet"/>
      </w:pPr>
      <w:r>
        <w:t>Humanitarian entrants and their families will continue to be exempt from existing and new waiting period</w:t>
      </w:r>
      <w:r w:rsidR="00D447C7">
        <w:t xml:space="preserve">s for all payments. </w:t>
      </w:r>
    </w:p>
    <w:p w14:paraId="07166521" w14:textId="392855B8" w:rsidR="00DD5D17" w:rsidRDefault="00DD5D17" w:rsidP="00D447C7">
      <w:pPr>
        <w:pStyle w:val="ListBullet"/>
      </w:pPr>
      <w:r>
        <w:t>Migrants who become a lone parent after becoming an Australian r</w:t>
      </w:r>
      <w:r w:rsidR="00D447C7">
        <w:t>esident continue to have access</w:t>
      </w:r>
      <w:r>
        <w:t xml:space="preserve"> to payments such as </w:t>
      </w:r>
      <w:r w:rsidR="00D447C7">
        <w:t xml:space="preserve">the </w:t>
      </w:r>
      <w:r>
        <w:t>Parenting Payment and Newstart Allowance, depending on the age of their youngest child. These parents will also have access</w:t>
      </w:r>
      <w:r w:rsidR="00D447C7">
        <w:t xml:space="preserve"> to Family Tax Benefit.</w:t>
      </w:r>
    </w:p>
    <w:p w14:paraId="013D7B27" w14:textId="1CE5F913" w:rsidR="00DD5D17" w:rsidRDefault="00DD5D17" w:rsidP="00D447C7">
      <w:pPr>
        <w:pStyle w:val="ListBullet"/>
      </w:pPr>
      <w:r>
        <w:t xml:space="preserve">Other migrants who experience a substantial change of circumstances during their waiting period, and are in financial hardship, will continue to have access to Special Benefit as well as Family Tax Benefit if they have dependent </w:t>
      </w:r>
      <w:r w:rsidR="00D447C7">
        <w:t>children.</w:t>
      </w:r>
    </w:p>
    <w:p w14:paraId="50850C8C" w14:textId="5272132A" w:rsidR="00DD5D17" w:rsidRDefault="00DD5D17" w:rsidP="00D447C7">
      <w:pPr>
        <w:pStyle w:val="ListBullet"/>
      </w:pPr>
      <w:r>
        <w:t xml:space="preserve">New Zealand citizens who hold a Special Category Visa will be exempt from the waiting period for Family Tax Benefit, Parental Leave Pay and Dad and Partner Pay. This will ensure that this group continues to have immediate access to these payments upon commencing residence in Australia, if they have children in their care, and meet relevant </w:t>
      </w:r>
      <w:r w:rsidR="00D447C7">
        <w:t xml:space="preserve">qualification and means tests. </w:t>
      </w:r>
    </w:p>
    <w:p w14:paraId="4A7C8629" w14:textId="06280C9C" w:rsidR="00DD5D17" w:rsidRPr="00DD5D17" w:rsidRDefault="00DD5D17" w:rsidP="00D447C7">
      <w:pPr>
        <w:pStyle w:val="ListBullet"/>
      </w:pPr>
      <w:r>
        <w:t>Temporary partner and permanent visa holders</w:t>
      </w:r>
      <w:r w:rsidR="0090545E">
        <w:t xml:space="preserve"> who have a baby born between 1 </w:t>
      </w:r>
      <w:r>
        <w:t>July</w:t>
      </w:r>
      <w:r w:rsidR="009F32FC">
        <w:t> </w:t>
      </w:r>
      <w:r>
        <w:t>2018 and 31 December 2018, and are otherw</w:t>
      </w:r>
      <w:r w:rsidR="0090545E">
        <w:t>ise eligible for Parental Leave </w:t>
      </w:r>
      <w:r>
        <w:t>Pay or Dad and Partner Pay, will still be able to access these payments for that baby.</w:t>
      </w:r>
    </w:p>
    <w:p w14:paraId="405B9488" w14:textId="77777777" w:rsidR="003070A3" w:rsidRDefault="003070A3" w:rsidP="00DF22B3"/>
    <w:p w14:paraId="7257F51B" w14:textId="5AB67C50" w:rsidR="00CB05BE" w:rsidRPr="004649E2" w:rsidRDefault="002D5BE2">
      <w:r w:rsidRPr="002D5BE2">
        <w:t xml:space="preserve">For more information on the current rules and residency requirements please visit the </w:t>
      </w:r>
      <w:hyperlink r:id="rId14" w:history="1">
        <w:r w:rsidRPr="00A26BED">
          <w:rPr>
            <w:rStyle w:val="Hyperlink"/>
          </w:rPr>
          <w:t>Department of Social Services websit</w:t>
        </w:r>
        <w:bookmarkEnd w:id="1"/>
        <w:r w:rsidR="00A26BED" w:rsidRPr="00A26BED">
          <w:rPr>
            <w:rStyle w:val="Hyperlink"/>
          </w:rPr>
          <w:t>e</w:t>
        </w:r>
      </w:hyperlink>
    </w:p>
    <w:sectPr w:rsidR="00CB05BE" w:rsidRPr="004649E2" w:rsidSect="00A26BED">
      <w:headerReference w:type="first" r:id="rId15"/>
      <w:pgSz w:w="11906" w:h="16838" w:code="9"/>
      <w:pgMar w:top="0" w:right="851" w:bottom="113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4DACB" w14:textId="77777777" w:rsidR="00FB3A60" w:rsidRDefault="00FB3A60">
      <w:r>
        <w:separator/>
      </w:r>
    </w:p>
  </w:endnote>
  <w:endnote w:type="continuationSeparator" w:id="0">
    <w:p w14:paraId="15B6515E" w14:textId="77777777" w:rsidR="00FB3A60" w:rsidRDefault="00FB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B8202" w14:textId="77777777" w:rsidR="00F12EDE" w:rsidRDefault="00F12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DDB5" w14:textId="2938A31D" w:rsidR="00A06C77" w:rsidRPr="00846C1D" w:rsidRDefault="00321148" w:rsidP="00846C1D">
    <w:pPr>
      <w:pStyle w:val="Footer"/>
    </w:pPr>
    <w:r>
      <w:tab/>
    </w:r>
    <w:r>
      <w:fldChar w:fldCharType="begin"/>
    </w:r>
    <w:r>
      <w:instrText xml:space="preserve"> PAGE   \* MERGEFORMAT </w:instrText>
    </w:r>
    <w:r>
      <w:fldChar w:fldCharType="separate"/>
    </w:r>
    <w:r w:rsidR="00F55948">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590325"/>
      <w:docPartObj>
        <w:docPartGallery w:val="Page Numbers (Bottom of Page)"/>
        <w:docPartUnique/>
      </w:docPartObj>
    </w:sdtPr>
    <w:sdtEndPr>
      <w:rPr>
        <w:noProof/>
      </w:rPr>
    </w:sdtEndPr>
    <w:sdtContent>
      <w:p w14:paraId="0ADBCCC7" w14:textId="2DF757D1" w:rsidR="00E50FB5" w:rsidRDefault="00E50FB5">
        <w:pPr>
          <w:pStyle w:val="Footer"/>
          <w:jc w:val="right"/>
        </w:pPr>
        <w:r>
          <w:fldChar w:fldCharType="begin"/>
        </w:r>
        <w:r>
          <w:instrText xml:space="preserve"> PAGE   \* MERGEFORMAT </w:instrText>
        </w:r>
        <w:r>
          <w:fldChar w:fldCharType="separate"/>
        </w:r>
        <w:r w:rsidR="001D5406">
          <w:rPr>
            <w:noProof/>
          </w:rPr>
          <w:t>2</w:t>
        </w:r>
        <w:r>
          <w:rPr>
            <w:noProof/>
          </w:rPr>
          <w:fldChar w:fldCharType="end"/>
        </w:r>
      </w:p>
    </w:sdtContent>
  </w:sdt>
  <w:p w14:paraId="2D4B9435" w14:textId="77777777" w:rsidR="00E50FB5" w:rsidRDefault="00E50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6CD66" w14:textId="77777777" w:rsidR="00FB3A60" w:rsidRDefault="00FB3A60">
      <w:r>
        <w:separator/>
      </w:r>
    </w:p>
  </w:footnote>
  <w:footnote w:type="continuationSeparator" w:id="0">
    <w:p w14:paraId="5AC3FECB" w14:textId="77777777" w:rsidR="00FB3A60" w:rsidRDefault="00FB3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47A01" w14:textId="77777777" w:rsidR="00F12EDE" w:rsidRDefault="00F12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A8AE3" w14:textId="77777777" w:rsidR="00F12EDE" w:rsidRDefault="00F12E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F2D20" w14:textId="77777777" w:rsidR="00F12EDE" w:rsidRDefault="00F12E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65E5D" w14:textId="77777777" w:rsidR="00142F3E" w:rsidRDefault="00FB3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E7C00F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1"/>
  </w:num>
  <w:num w:numId="5">
    <w:abstractNumId w:val="15"/>
  </w:num>
  <w:num w:numId="6">
    <w:abstractNumId w:val="57"/>
  </w:num>
  <w:num w:numId="7">
    <w:abstractNumId w:val="44"/>
  </w:num>
  <w:num w:numId="8">
    <w:abstractNumId w:val="49"/>
  </w:num>
  <w:num w:numId="9">
    <w:abstractNumId w:val="7"/>
  </w:num>
  <w:num w:numId="10">
    <w:abstractNumId w:val="56"/>
  </w:num>
  <w:num w:numId="11">
    <w:abstractNumId w:val="16"/>
  </w:num>
  <w:num w:numId="12">
    <w:abstractNumId w:val="41"/>
  </w:num>
  <w:num w:numId="13">
    <w:abstractNumId w:val="51"/>
  </w:num>
  <w:num w:numId="14">
    <w:abstractNumId w:val="34"/>
  </w:num>
  <w:num w:numId="15">
    <w:abstractNumId w:val="3"/>
  </w:num>
  <w:num w:numId="16">
    <w:abstractNumId w:val="12"/>
  </w:num>
  <w:num w:numId="17">
    <w:abstractNumId w:val="55"/>
  </w:num>
  <w:num w:numId="18">
    <w:abstractNumId w:val="48"/>
  </w:num>
  <w:num w:numId="19">
    <w:abstractNumId w:val="13"/>
  </w:num>
  <w:num w:numId="20">
    <w:abstractNumId w:val="2"/>
  </w:num>
  <w:num w:numId="21">
    <w:abstractNumId w:val="5"/>
  </w:num>
  <w:num w:numId="22">
    <w:abstractNumId w:val="20"/>
  </w:num>
  <w:num w:numId="23">
    <w:abstractNumId w:val="17"/>
  </w:num>
  <w:num w:numId="24">
    <w:abstractNumId w:val="59"/>
  </w:num>
  <w:num w:numId="25">
    <w:abstractNumId w:val="33"/>
  </w:num>
  <w:num w:numId="26">
    <w:abstractNumId w:val="38"/>
  </w:num>
  <w:num w:numId="27">
    <w:abstractNumId w:val="19"/>
  </w:num>
  <w:num w:numId="28">
    <w:abstractNumId w:val="58"/>
  </w:num>
  <w:num w:numId="29">
    <w:abstractNumId w:val="47"/>
  </w:num>
  <w:num w:numId="30">
    <w:abstractNumId w:val="25"/>
  </w:num>
  <w:num w:numId="31">
    <w:abstractNumId w:val="43"/>
  </w:num>
  <w:num w:numId="32">
    <w:abstractNumId w:val="52"/>
  </w:num>
  <w:num w:numId="33">
    <w:abstractNumId w:val="54"/>
  </w:num>
  <w:num w:numId="34">
    <w:abstractNumId w:val="4"/>
  </w:num>
  <w:num w:numId="35">
    <w:abstractNumId w:val="23"/>
  </w:num>
  <w:num w:numId="36">
    <w:abstractNumId w:val="46"/>
  </w:num>
  <w:num w:numId="37">
    <w:abstractNumId w:val="8"/>
  </w:num>
  <w:num w:numId="38">
    <w:abstractNumId w:val="28"/>
  </w:num>
  <w:num w:numId="39">
    <w:abstractNumId w:val="22"/>
  </w:num>
  <w:num w:numId="40">
    <w:abstractNumId w:val="32"/>
  </w:num>
  <w:num w:numId="41">
    <w:abstractNumId w:val="36"/>
  </w:num>
  <w:num w:numId="42">
    <w:abstractNumId w:val="21"/>
  </w:num>
  <w:num w:numId="43">
    <w:abstractNumId w:val="14"/>
  </w:num>
  <w:num w:numId="44">
    <w:abstractNumId w:val="40"/>
  </w:num>
  <w:num w:numId="45">
    <w:abstractNumId w:val="45"/>
  </w:num>
  <w:num w:numId="46">
    <w:abstractNumId w:val="31"/>
  </w:num>
  <w:num w:numId="47">
    <w:abstractNumId w:val="29"/>
  </w:num>
  <w:num w:numId="48">
    <w:abstractNumId w:val="1"/>
  </w:num>
  <w:num w:numId="49">
    <w:abstractNumId w:val="42"/>
  </w:num>
  <w:num w:numId="50">
    <w:abstractNumId w:val="53"/>
  </w:num>
  <w:num w:numId="51">
    <w:abstractNumId w:val="39"/>
  </w:num>
  <w:num w:numId="52">
    <w:abstractNumId w:val="9"/>
  </w:num>
  <w:num w:numId="53">
    <w:abstractNumId w:val="50"/>
  </w:num>
  <w:num w:numId="54">
    <w:abstractNumId w:val="24"/>
  </w:num>
  <w:num w:numId="55">
    <w:abstractNumId w:val="18"/>
  </w:num>
  <w:num w:numId="56">
    <w:abstractNumId w:val="27"/>
  </w:num>
  <w:num w:numId="57">
    <w:abstractNumId w:val="26"/>
  </w:num>
  <w:num w:numId="58">
    <w:abstractNumId w:val="10"/>
  </w:num>
  <w:num w:numId="59">
    <w:abstractNumId w:val="35"/>
  </w:num>
  <w:num w:numId="60">
    <w:abstractNumId w:val="6"/>
  </w:num>
  <w:num w:numId="61">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7F"/>
    <w:rsid w:val="00002C18"/>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5E56"/>
    <w:rsid w:val="000A669D"/>
    <w:rsid w:val="000A66A8"/>
    <w:rsid w:val="000C014D"/>
    <w:rsid w:val="000D0178"/>
    <w:rsid w:val="000D4703"/>
    <w:rsid w:val="000D693C"/>
    <w:rsid w:val="000E12D4"/>
    <w:rsid w:val="00104669"/>
    <w:rsid w:val="00110028"/>
    <w:rsid w:val="0011449B"/>
    <w:rsid w:val="00116EDF"/>
    <w:rsid w:val="001179F7"/>
    <w:rsid w:val="00124B26"/>
    <w:rsid w:val="00130C4E"/>
    <w:rsid w:val="00131B54"/>
    <w:rsid w:val="001354B7"/>
    <w:rsid w:val="001404FA"/>
    <w:rsid w:val="001412CE"/>
    <w:rsid w:val="001413C5"/>
    <w:rsid w:val="00142956"/>
    <w:rsid w:val="00143502"/>
    <w:rsid w:val="00144494"/>
    <w:rsid w:val="00144868"/>
    <w:rsid w:val="00157709"/>
    <w:rsid w:val="00167330"/>
    <w:rsid w:val="00167CF4"/>
    <w:rsid w:val="00185F6A"/>
    <w:rsid w:val="001943DD"/>
    <w:rsid w:val="00195374"/>
    <w:rsid w:val="001A127F"/>
    <w:rsid w:val="001A1F53"/>
    <w:rsid w:val="001A3CA4"/>
    <w:rsid w:val="001A3EA4"/>
    <w:rsid w:val="001B3AEC"/>
    <w:rsid w:val="001B3AF3"/>
    <w:rsid w:val="001B5000"/>
    <w:rsid w:val="001B6F28"/>
    <w:rsid w:val="001D4585"/>
    <w:rsid w:val="001D4A1A"/>
    <w:rsid w:val="001D5406"/>
    <w:rsid w:val="001D5D54"/>
    <w:rsid w:val="001E41C8"/>
    <w:rsid w:val="001F3AD7"/>
    <w:rsid w:val="001F45EB"/>
    <w:rsid w:val="00204ACF"/>
    <w:rsid w:val="00207630"/>
    <w:rsid w:val="00213082"/>
    <w:rsid w:val="0021714E"/>
    <w:rsid w:val="00222187"/>
    <w:rsid w:val="00222C8D"/>
    <w:rsid w:val="00222E33"/>
    <w:rsid w:val="00227B95"/>
    <w:rsid w:val="0023523A"/>
    <w:rsid w:val="002353DF"/>
    <w:rsid w:val="00235F71"/>
    <w:rsid w:val="0025272A"/>
    <w:rsid w:val="00271922"/>
    <w:rsid w:val="0027204E"/>
    <w:rsid w:val="00273412"/>
    <w:rsid w:val="00274ACF"/>
    <w:rsid w:val="00285F1B"/>
    <w:rsid w:val="00295831"/>
    <w:rsid w:val="00296F1B"/>
    <w:rsid w:val="002A6DF5"/>
    <w:rsid w:val="002D00B0"/>
    <w:rsid w:val="002D2E16"/>
    <w:rsid w:val="002D5BE2"/>
    <w:rsid w:val="002E43CF"/>
    <w:rsid w:val="002F19EF"/>
    <w:rsid w:val="00302415"/>
    <w:rsid w:val="0030693C"/>
    <w:rsid w:val="003070A3"/>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3DF3"/>
    <w:rsid w:val="003656B1"/>
    <w:rsid w:val="0037056B"/>
    <w:rsid w:val="00377173"/>
    <w:rsid w:val="003774DA"/>
    <w:rsid w:val="00392557"/>
    <w:rsid w:val="003937D1"/>
    <w:rsid w:val="003945C0"/>
    <w:rsid w:val="003A06C2"/>
    <w:rsid w:val="003B6D2E"/>
    <w:rsid w:val="003C430D"/>
    <w:rsid w:val="003C7404"/>
    <w:rsid w:val="003D3C5A"/>
    <w:rsid w:val="003D404A"/>
    <w:rsid w:val="003E6FDA"/>
    <w:rsid w:val="003F3072"/>
    <w:rsid w:val="00401A2A"/>
    <w:rsid w:val="00402BC0"/>
    <w:rsid w:val="004103D7"/>
    <w:rsid w:val="0041307C"/>
    <w:rsid w:val="004167B4"/>
    <w:rsid w:val="00430D7E"/>
    <w:rsid w:val="00433B04"/>
    <w:rsid w:val="00440BD3"/>
    <w:rsid w:val="00446F93"/>
    <w:rsid w:val="004649E2"/>
    <w:rsid w:val="00464E8C"/>
    <w:rsid w:val="00466D36"/>
    <w:rsid w:val="00467185"/>
    <w:rsid w:val="0047050C"/>
    <w:rsid w:val="00475504"/>
    <w:rsid w:val="00480F21"/>
    <w:rsid w:val="00484FED"/>
    <w:rsid w:val="00495AF1"/>
    <w:rsid w:val="004D44E8"/>
    <w:rsid w:val="004F775C"/>
    <w:rsid w:val="004F77BF"/>
    <w:rsid w:val="005015E4"/>
    <w:rsid w:val="0050291D"/>
    <w:rsid w:val="0050697E"/>
    <w:rsid w:val="00515976"/>
    <w:rsid w:val="00521B0F"/>
    <w:rsid w:val="00524B3C"/>
    <w:rsid w:val="005300B9"/>
    <w:rsid w:val="005315A9"/>
    <w:rsid w:val="005316BE"/>
    <w:rsid w:val="00532B56"/>
    <w:rsid w:val="00537B50"/>
    <w:rsid w:val="00540AD0"/>
    <w:rsid w:val="0054322A"/>
    <w:rsid w:val="00543923"/>
    <w:rsid w:val="005519C9"/>
    <w:rsid w:val="005523D1"/>
    <w:rsid w:val="00554A9C"/>
    <w:rsid w:val="00557624"/>
    <w:rsid w:val="00557E9D"/>
    <w:rsid w:val="0056023E"/>
    <w:rsid w:val="005658EF"/>
    <w:rsid w:val="005822A3"/>
    <w:rsid w:val="0059070B"/>
    <w:rsid w:val="00594445"/>
    <w:rsid w:val="005B1225"/>
    <w:rsid w:val="005B3AB1"/>
    <w:rsid w:val="005C09F4"/>
    <w:rsid w:val="005C561A"/>
    <w:rsid w:val="005C5B93"/>
    <w:rsid w:val="005C66FF"/>
    <w:rsid w:val="005C785A"/>
    <w:rsid w:val="005D03CA"/>
    <w:rsid w:val="005D45AB"/>
    <w:rsid w:val="005E4662"/>
    <w:rsid w:val="005F093F"/>
    <w:rsid w:val="005F214A"/>
    <w:rsid w:val="005F4329"/>
    <w:rsid w:val="005F6BD6"/>
    <w:rsid w:val="00601C99"/>
    <w:rsid w:val="00607597"/>
    <w:rsid w:val="006255E4"/>
    <w:rsid w:val="006303C6"/>
    <w:rsid w:val="006325E2"/>
    <w:rsid w:val="00641020"/>
    <w:rsid w:val="006410C1"/>
    <w:rsid w:val="00643F4D"/>
    <w:rsid w:val="00647F05"/>
    <w:rsid w:val="006530EF"/>
    <w:rsid w:val="00654D06"/>
    <w:rsid w:val="00661536"/>
    <w:rsid w:val="006678ED"/>
    <w:rsid w:val="00672162"/>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A1A"/>
    <w:rsid w:val="00754D44"/>
    <w:rsid w:val="00766D15"/>
    <w:rsid w:val="00767B7E"/>
    <w:rsid w:val="007746A9"/>
    <w:rsid w:val="00777F97"/>
    <w:rsid w:val="0078313D"/>
    <w:rsid w:val="00785465"/>
    <w:rsid w:val="00787656"/>
    <w:rsid w:val="007A67EA"/>
    <w:rsid w:val="007B15AF"/>
    <w:rsid w:val="007B7E83"/>
    <w:rsid w:val="007C1631"/>
    <w:rsid w:val="007C2B2F"/>
    <w:rsid w:val="007C636F"/>
    <w:rsid w:val="007D0EF8"/>
    <w:rsid w:val="007D39EB"/>
    <w:rsid w:val="00800A4D"/>
    <w:rsid w:val="008131E7"/>
    <w:rsid w:val="00813711"/>
    <w:rsid w:val="00814279"/>
    <w:rsid w:val="008263C2"/>
    <w:rsid w:val="008425C1"/>
    <w:rsid w:val="00842959"/>
    <w:rsid w:val="008451FE"/>
    <w:rsid w:val="008466A1"/>
    <w:rsid w:val="00846C1D"/>
    <w:rsid w:val="008470A6"/>
    <w:rsid w:val="00851758"/>
    <w:rsid w:val="00856D5A"/>
    <w:rsid w:val="008609EB"/>
    <w:rsid w:val="00862D6D"/>
    <w:rsid w:val="008653E0"/>
    <w:rsid w:val="008657FB"/>
    <w:rsid w:val="00865EA9"/>
    <w:rsid w:val="00871D4F"/>
    <w:rsid w:val="00874FB3"/>
    <w:rsid w:val="00880BE3"/>
    <w:rsid w:val="00882588"/>
    <w:rsid w:val="00895792"/>
    <w:rsid w:val="008A3738"/>
    <w:rsid w:val="008A384C"/>
    <w:rsid w:val="008A6981"/>
    <w:rsid w:val="008B51F4"/>
    <w:rsid w:val="008B645B"/>
    <w:rsid w:val="008B67B8"/>
    <w:rsid w:val="008B774D"/>
    <w:rsid w:val="008C123E"/>
    <w:rsid w:val="008C3ED0"/>
    <w:rsid w:val="008C5585"/>
    <w:rsid w:val="008C5E94"/>
    <w:rsid w:val="008D4E4B"/>
    <w:rsid w:val="008E6E9D"/>
    <w:rsid w:val="008F1897"/>
    <w:rsid w:val="008F4774"/>
    <w:rsid w:val="008F68F7"/>
    <w:rsid w:val="008F7480"/>
    <w:rsid w:val="00902499"/>
    <w:rsid w:val="009037B6"/>
    <w:rsid w:val="0090545E"/>
    <w:rsid w:val="00906CBE"/>
    <w:rsid w:val="00906FFA"/>
    <w:rsid w:val="00910384"/>
    <w:rsid w:val="009139C0"/>
    <w:rsid w:val="009161C8"/>
    <w:rsid w:val="009164AD"/>
    <w:rsid w:val="00917A7C"/>
    <w:rsid w:val="00922289"/>
    <w:rsid w:val="00936F46"/>
    <w:rsid w:val="0094271E"/>
    <w:rsid w:val="00943142"/>
    <w:rsid w:val="00943A29"/>
    <w:rsid w:val="0095197E"/>
    <w:rsid w:val="00952AB2"/>
    <w:rsid w:val="009551E0"/>
    <w:rsid w:val="00955801"/>
    <w:rsid w:val="0095654E"/>
    <w:rsid w:val="00956F3C"/>
    <w:rsid w:val="0095779B"/>
    <w:rsid w:val="0096485D"/>
    <w:rsid w:val="009900F0"/>
    <w:rsid w:val="00991769"/>
    <w:rsid w:val="00994E9F"/>
    <w:rsid w:val="00996931"/>
    <w:rsid w:val="009A0F18"/>
    <w:rsid w:val="009A4CD8"/>
    <w:rsid w:val="009A6AFA"/>
    <w:rsid w:val="009B3ED1"/>
    <w:rsid w:val="009C07EC"/>
    <w:rsid w:val="009C206F"/>
    <w:rsid w:val="009C433C"/>
    <w:rsid w:val="009D28B7"/>
    <w:rsid w:val="009D7E1A"/>
    <w:rsid w:val="009E2162"/>
    <w:rsid w:val="009F2F95"/>
    <w:rsid w:val="009F32FC"/>
    <w:rsid w:val="00A006EB"/>
    <w:rsid w:val="00A03572"/>
    <w:rsid w:val="00A03709"/>
    <w:rsid w:val="00A06C77"/>
    <w:rsid w:val="00A10147"/>
    <w:rsid w:val="00A13D26"/>
    <w:rsid w:val="00A146A5"/>
    <w:rsid w:val="00A14751"/>
    <w:rsid w:val="00A17411"/>
    <w:rsid w:val="00A2223D"/>
    <w:rsid w:val="00A223EF"/>
    <w:rsid w:val="00A239A0"/>
    <w:rsid w:val="00A26BED"/>
    <w:rsid w:val="00A34A74"/>
    <w:rsid w:val="00A35351"/>
    <w:rsid w:val="00A42ADE"/>
    <w:rsid w:val="00A479D9"/>
    <w:rsid w:val="00A54718"/>
    <w:rsid w:val="00A60693"/>
    <w:rsid w:val="00A67728"/>
    <w:rsid w:val="00A81A4F"/>
    <w:rsid w:val="00A82E14"/>
    <w:rsid w:val="00A901E9"/>
    <w:rsid w:val="00A9762C"/>
    <w:rsid w:val="00AA4067"/>
    <w:rsid w:val="00AB1A5B"/>
    <w:rsid w:val="00AC0A54"/>
    <w:rsid w:val="00AC125E"/>
    <w:rsid w:val="00AC43F6"/>
    <w:rsid w:val="00AC45DF"/>
    <w:rsid w:val="00AC474D"/>
    <w:rsid w:val="00AC4DFD"/>
    <w:rsid w:val="00AC58FD"/>
    <w:rsid w:val="00AC60CD"/>
    <w:rsid w:val="00AD60E6"/>
    <w:rsid w:val="00AD793A"/>
    <w:rsid w:val="00AE457D"/>
    <w:rsid w:val="00AE5956"/>
    <w:rsid w:val="00AE619F"/>
    <w:rsid w:val="00AE627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52E16"/>
    <w:rsid w:val="00B55177"/>
    <w:rsid w:val="00B72D62"/>
    <w:rsid w:val="00B76920"/>
    <w:rsid w:val="00B843C8"/>
    <w:rsid w:val="00B951E2"/>
    <w:rsid w:val="00B96F37"/>
    <w:rsid w:val="00BA607C"/>
    <w:rsid w:val="00BB3E2A"/>
    <w:rsid w:val="00BC16F5"/>
    <w:rsid w:val="00BC287D"/>
    <w:rsid w:val="00BC4A76"/>
    <w:rsid w:val="00BD32E5"/>
    <w:rsid w:val="00BD7ADD"/>
    <w:rsid w:val="00BE41C3"/>
    <w:rsid w:val="00BE6767"/>
    <w:rsid w:val="00BE68D7"/>
    <w:rsid w:val="00BF0784"/>
    <w:rsid w:val="00BF7763"/>
    <w:rsid w:val="00C02ED3"/>
    <w:rsid w:val="00C04D5E"/>
    <w:rsid w:val="00C24EA2"/>
    <w:rsid w:val="00C24F70"/>
    <w:rsid w:val="00C25D5B"/>
    <w:rsid w:val="00C325C4"/>
    <w:rsid w:val="00C33479"/>
    <w:rsid w:val="00C47BA2"/>
    <w:rsid w:val="00C612DC"/>
    <w:rsid w:val="00C622CB"/>
    <w:rsid w:val="00C64D15"/>
    <w:rsid w:val="00C74F74"/>
    <w:rsid w:val="00C7554B"/>
    <w:rsid w:val="00C80192"/>
    <w:rsid w:val="00C83E31"/>
    <w:rsid w:val="00C916A4"/>
    <w:rsid w:val="00CA2A52"/>
    <w:rsid w:val="00CA2B15"/>
    <w:rsid w:val="00CA6490"/>
    <w:rsid w:val="00CB05BE"/>
    <w:rsid w:val="00CB5744"/>
    <w:rsid w:val="00CB7022"/>
    <w:rsid w:val="00CD1937"/>
    <w:rsid w:val="00CE214C"/>
    <w:rsid w:val="00CE64F2"/>
    <w:rsid w:val="00CE6858"/>
    <w:rsid w:val="00CF50BE"/>
    <w:rsid w:val="00CF553B"/>
    <w:rsid w:val="00CF6A52"/>
    <w:rsid w:val="00D03583"/>
    <w:rsid w:val="00D117B4"/>
    <w:rsid w:val="00D169F7"/>
    <w:rsid w:val="00D21382"/>
    <w:rsid w:val="00D26D01"/>
    <w:rsid w:val="00D33DA3"/>
    <w:rsid w:val="00D406F6"/>
    <w:rsid w:val="00D447C7"/>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5665"/>
    <w:rsid w:val="00DD46FC"/>
    <w:rsid w:val="00DD4F44"/>
    <w:rsid w:val="00DD5D17"/>
    <w:rsid w:val="00DD5D8B"/>
    <w:rsid w:val="00DE0F9E"/>
    <w:rsid w:val="00DE5D76"/>
    <w:rsid w:val="00DF22B3"/>
    <w:rsid w:val="00E04C8D"/>
    <w:rsid w:val="00E128D8"/>
    <w:rsid w:val="00E30D45"/>
    <w:rsid w:val="00E42FE4"/>
    <w:rsid w:val="00E46FAA"/>
    <w:rsid w:val="00E50FB5"/>
    <w:rsid w:val="00E5750B"/>
    <w:rsid w:val="00E60E2E"/>
    <w:rsid w:val="00E63A24"/>
    <w:rsid w:val="00E67913"/>
    <w:rsid w:val="00E71A2D"/>
    <w:rsid w:val="00E8698A"/>
    <w:rsid w:val="00E900AA"/>
    <w:rsid w:val="00E923F2"/>
    <w:rsid w:val="00EA31CC"/>
    <w:rsid w:val="00EB14DF"/>
    <w:rsid w:val="00EB2B64"/>
    <w:rsid w:val="00EB3A07"/>
    <w:rsid w:val="00EB4143"/>
    <w:rsid w:val="00EB4728"/>
    <w:rsid w:val="00EC207A"/>
    <w:rsid w:val="00EC306F"/>
    <w:rsid w:val="00EC3F31"/>
    <w:rsid w:val="00ED1429"/>
    <w:rsid w:val="00ED3C91"/>
    <w:rsid w:val="00ED4112"/>
    <w:rsid w:val="00EF1347"/>
    <w:rsid w:val="00EF2BEB"/>
    <w:rsid w:val="00F01129"/>
    <w:rsid w:val="00F03D93"/>
    <w:rsid w:val="00F03D9E"/>
    <w:rsid w:val="00F12EDE"/>
    <w:rsid w:val="00F227BF"/>
    <w:rsid w:val="00F374B2"/>
    <w:rsid w:val="00F40AFC"/>
    <w:rsid w:val="00F4730E"/>
    <w:rsid w:val="00F50A92"/>
    <w:rsid w:val="00F53F24"/>
    <w:rsid w:val="00F55948"/>
    <w:rsid w:val="00F63341"/>
    <w:rsid w:val="00F7536E"/>
    <w:rsid w:val="00F81F93"/>
    <w:rsid w:val="00F839A8"/>
    <w:rsid w:val="00F86F1B"/>
    <w:rsid w:val="00F92A21"/>
    <w:rsid w:val="00F92E9B"/>
    <w:rsid w:val="00F95814"/>
    <w:rsid w:val="00FA01D9"/>
    <w:rsid w:val="00FA031C"/>
    <w:rsid w:val="00FB13C1"/>
    <w:rsid w:val="00FB3A60"/>
    <w:rsid w:val="00FB420B"/>
    <w:rsid w:val="00FC1C5F"/>
    <w:rsid w:val="00FC5A4D"/>
    <w:rsid w:val="00FC5C0C"/>
    <w:rsid w:val="00FC64EF"/>
    <w:rsid w:val="00FD2673"/>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3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CommentReference">
    <w:name w:val="annotation reference"/>
    <w:basedOn w:val="DefaultParagraphFont"/>
    <w:semiHidden/>
    <w:unhideWhenUsed/>
    <w:rsid w:val="00DF22B3"/>
    <w:rPr>
      <w:sz w:val="16"/>
      <w:szCs w:val="16"/>
    </w:rPr>
  </w:style>
  <w:style w:type="paragraph" w:styleId="CommentText">
    <w:name w:val="annotation text"/>
    <w:basedOn w:val="Normal"/>
    <w:link w:val="CommentTextChar"/>
    <w:semiHidden/>
    <w:unhideWhenUsed/>
    <w:rsid w:val="00DF22B3"/>
    <w:pPr>
      <w:spacing w:line="240" w:lineRule="auto"/>
    </w:pPr>
    <w:rPr>
      <w:sz w:val="20"/>
      <w:szCs w:val="20"/>
    </w:rPr>
  </w:style>
  <w:style w:type="character" w:customStyle="1" w:styleId="CommentTextChar">
    <w:name w:val="Comment Text Char"/>
    <w:basedOn w:val="DefaultParagraphFont"/>
    <w:link w:val="CommentText"/>
    <w:semiHidden/>
    <w:rsid w:val="00DF22B3"/>
    <w:rPr>
      <w:rFonts w:ascii="Arial" w:hAnsi="Arial"/>
      <w:spacing w:val="4"/>
    </w:rPr>
  </w:style>
  <w:style w:type="paragraph" w:styleId="CommentSubject">
    <w:name w:val="annotation subject"/>
    <w:basedOn w:val="CommentText"/>
    <w:next w:val="CommentText"/>
    <w:link w:val="CommentSubjectChar"/>
    <w:semiHidden/>
    <w:unhideWhenUsed/>
    <w:rsid w:val="00DF22B3"/>
    <w:rPr>
      <w:b/>
      <w:bCs/>
    </w:rPr>
  </w:style>
  <w:style w:type="character" w:customStyle="1" w:styleId="CommentSubjectChar">
    <w:name w:val="Comment Subject Char"/>
    <w:basedOn w:val="CommentTextChar"/>
    <w:link w:val="CommentSubject"/>
    <w:semiHidden/>
    <w:rsid w:val="00DF22B3"/>
    <w:rPr>
      <w:rFonts w:ascii="Arial" w:hAnsi="Arial"/>
      <w:b/>
      <w:bCs/>
      <w:spacing w:val="4"/>
    </w:rPr>
  </w:style>
  <w:style w:type="character" w:styleId="FollowedHyperlink">
    <w:name w:val="FollowedHyperlink"/>
    <w:basedOn w:val="DefaultParagraphFont"/>
    <w:uiPriority w:val="99"/>
    <w:semiHidden/>
    <w:unhideWhenUsed/>
    <w:rsid w:val="00A26BED"/>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dss.gov.au/about-the-department/international/policy/social-security-payments-residence-criteria" TargetMode="Externa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2018-05-09T04:24:00Z</dcterms:created>
  <dcterms:modified xsi:type="dcterms:W3CDTF">2018-05-09T04:24:00Z</dcterms:modified>
</cp:coreProperties>
</file>