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6BE" w:rsidRDefault="00CF553B" w:rsidP="00537B50">
      <w:pPr>
        <w:spacing w:before="0" w:after="0"/>
        <w:ind w:left="-850"/>
      </w:pPr>
      <w:bookmarkStart w:id="0" w:name="_GoBack"/>
      <w:bookmarkEnd w:id="0"/>
      <w:r>
        <w:rPr>
          <w:noProof/>
        </w:rPr>
        <w:drawing>
          <wp:inline distT="0" distB="0" distL="0" distR="0" wp14:anchorId="0009CC01" wp14:editId="12E3F1F2">
            <wp:extent cx="7541998" cy="1436354"/>
            <wp:effectExtent l="0" t="0" r="1905"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7">
                      <a:extLst>
                        <a:ext uri="{28A0092B-C50C-407E-A947-70E740481C1C}">
                          <a14:useLocalDpi xmlns:a14="http://schemas.microsoft.com/office/drawing/2010/main" val="0"/>
                        </a:ext>
                      </a:extLst>
                    </a:blip>
                    <a:stretch>
                      <a:fillRect/>
                    </a:stretch>
                  </pic:blipFill>
                  <pic:spPr>
                    <a:xfrm>
                      <a:off x="0" y="0"/>
                      <a:ext cx="7541998" cy="1436354"/>
                    </a:xfrm>
                    <a:prstGeom prst="rect">
                      <a:avLst/>
                    </a:prstGeom>
                  </pic:spPr>
                </pic:pic>
              </a:graphicData>
            </a:graphic>
          </wp:inline>
        </w:drawing>
      </w:r>
    </w:p>
    <w:p w:rsidR="00C80192" w:rsidRDefault="00AC15DF" w:rsidP="00537B50">
      <w:pPr>
        <w:pStyle w:val="Smalltext"/>
        <w:ind w:right="-427"/>
      </w:pPr>
      <w:r>
        <w:t xml:space="preserve">Last updated: </w:t>
      </w:r>
      <w:r w:rsidR="00E276CF">
        <w:t>January 2018</w:t>
      </w:r>
    </w:p>
    <w:p w:rsidR="00CB05BE" w:rsidRDefault="00AC15DF" w:rsidP="00AC15DF">
      <w:pPr>
        <w:pStyle w:val="Title"/>
      </w:pPr>
      <w:r>
        <w:t>Post Adoption Guidelines</w:t>
      </w:r>
    </w:p>
    <w:p w:rsidR="00AC15DF" w:rsidRDefault="00AC15DF" w:rsidP="00AC15DF">
      <w:pPr>
        <w:pStyle w:val="Subtitle"/>
      </w:pPr>
      <w:r>
        <w:t>Ethiopia</w:t>
      </w:r>
    </w:p>
    <w:p w:rsidR="00E565B8" w:rsidRPr="00E565B8" w:rsidRDefault="00E565B8" w:rsidP="00E565B8">
      <w:pPr>
        <w:jc w:val="center"/>
      </w:pPr>
      <w:r>
        <w:rPr>
          <w:noProof/>
        </w:rPr>
        <w:drawing>
          <wp:inline distT="0" distB="0" distL="0" distR="0" wp14:anchorId="4B40C318" wp14:editId="0E8955ED">
            <wp:extent cx="2791460" cy="3484245"/>
            <wp:effectExtent l="0" t="0" r="8890" b="1905"/>
            <wp:docPr id="5" name="Picture 3" title="A map of Ethi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title="A map of Ethiop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1460" cy="3484245"/>
                    </a:xfrm>
                    <a:prstGeom prst="rect">
                      <a:avLst/>
                    </a:prstGeom>
                    <a:noFill/>
                  </pic:spPr>
                </pic:pic>
              </a:graphicData>
            </a:graphic>
          </wp:inline>
        </w:drawing>
      </w:r>
    </w:p>
    <w:p w:rsidR="00E565B8" w:rsidRDefault="00E565B8">
      <w:pPr>
        <w:spacing w:before="0" w:after="0" w:line="240" w:lineRule="auto"/>
        <w:rPr>
          <w:rFonts w:ascii="Georgia" w:hAnsi="Georgia" w:cs="Arial"/>
          <w:bCs/>
          <w:iCs/>
          <w:color w:val="500778"/>
          <w:spacing w:val="0"/>
          <w:szCs w:val="28"/>
        </w:rPr>
      </w:pPr>
      <w:r>
        <w:br w:type="page"/>
      </w:r>
    </w:p>
    <w:p w:rsidR="00E565B8" w:rsidRDefault="00E565B8" w:rsidP="00E565B8">
      <w:pPr>
        <w:pStyle w:val="Pullouttext"/>
      </w:pPr>
      <w:r>
        <w:lastRenderedPageBreak/>
        <w:t xml:space="preserve">Australia supports open adoption practices. Many adoptees and adoptive families wish to search for information about their birth origins and, where possible, establish and maintain relationships with their birth families.  These Guidelines outline the post-adoption reporting process, and factors influencing the exploration of birth origins and search for birth families in Ethiopia. </w:t>
      </w:r>
    </w:p>
    <w:p w:rsidR="00E565B8" w:rsidRDefault="00E565B8" w:rsidP="00E565B8">
      <w:pPr>
        <w:pStyle w:val="Heading1"/>
      </w:pPr>
      <w:r w:rsidRPr="00486F03">
        <w:t>Post</w:t>
      </w:r>
      <w:r>
        <w:t xml:space="preserve"> adoption reporting</w:t>
      </w:r>
    </w:p>
    <w:p w:rsidR="00E565B8" w:rsidRDefault="00E565B8" w:rsidP="00E565B8">
      <w:pPr>
        <w:keepNext/>
      </w:pPr>
      <w:r>
        <w:t>The Ethiopian Government r</w:t>
      </w:r>
      <w:r w:rsidRPr="008B0C82">
        <w:t>espect</w:t>
      </w:r>
      <w:r>
        <w:t>s</w:t>
      </w:r>
      <w:r w:rsidRPr="008B0C82">
        <w:t xml:space="preserve"> the right of </w:t>
      </w:r>
      <w:r>
        <w:t xml:space="preserve">adoptees </w:t>
      </w:r>
      <w:r w:rsidRPr="008B0C82">
        <w:t xml:space="preserve">to information about </w:t>
      </w:r>
      <w:r>
        <w:t>their birth families, and prefers to encourage open adoption practices.</w:t>
      </w:r>
      <w:r>
        <w:rPr>
          <w:rStyle w:val="FootnoteReference"/>
        </w:rPr>
        <w:footnoteReference w:id="1"/>
      </w:r>
      <w:r>
        <w:t xml:space="preserve"> </w:t>
      </w:r>
    </w:p>
    <w:p w:rsidR="00E565B8" w:rsidRDefault="00E565B8" w:rsidP="00E565B8">
      <w:pPr>
        <w:keepNext/>
      </w:pPr>
      <w:r>
        <w:t>Post adoption reports are required annually for each Ethiopian-Australian adoptee by the Ethiopian Government, until the adoptee turns eighteen. It is important that adoptive families continue to prepare reports until their adopted child turns eighteen.</w:t>
      </w:r>
    </w:p>
    <w:p w:rsidR="00E565B8" w:rsidRDefault="00E565B8" w:rsidP="00E565B8">
      <w:r>
        <w:t xml:space="preserve">Some adoptive families have chosen in the past to send their reports to the Ethiopian Government through Woz Lemlem Fesseha, the former Australian Representative. The Australian Representative role has been discontinued, and Woz Lemlem will no longer deliver post adoption reports.  </w:t>
      </w:r>
    </w:p>
    <w:p w:rsidR="00E565B8" w:rsidRDefault="00E565B8" w:rsidP="00E565B8">
      <w:r>
        <w:t xml:space="preserve">The Ethiopian Government has advised the Australian Central Authority that it will only accept post adoption reports that it receives directly from the Australian Government or state and territory governments.  </w:t>
      </w:r>
    </w:p>
    <w:p w:rsidR="00E565B8" w:rsidRDefault="00E565B8" w:rsidP="00E565B8">
      <w:r>
        <w:t xml:space="preserve">Adoptive families </w:t>
      </w:r>
      <w:r w:rsidRPr="009E642D">
        <w:t xml:space="preserve">should </w:t>
      </w:r>
      <w:r>
        <w:t xml:space="preserve">send their reports </w:t>
      </w:r>
      <w:r w:rsidRPr="009E642D">
        <w:t>to</w:t>
      </w:r>
      <w:r w:rsidR="00EA28FF">
        <w:t>:</w:t>
      </w:r>
      <w:r w:rsidRPr="009E642D">
        <w:t xml:space="preserve"> </w:t>
      </w:r>
    </w:p>
    <w:p w:rsidR="00E565B8" w:rsidRDefault="00E565B8" w:rsidP="00E565B8">
      <w:pPr>
        <w:pStyle w:val="ListParagraph"/>
        <w:numPr>
          <w:ilvl w:val="0"/>
          <w:numId w:val="62"/>
        </w:numPr>
        <w:spacing w:before="0" w:after="200" w:line="360" w:lineRule="auto"/>
      </w:pPr>
      <w:r w:rsidRPr="009E642D">
        <w:t xml:space="preserve">the relevant state or territory </w:t>
      </w:r>
      <w:r>
        <w:t>c</w:t>
      </w:r>
      <w:r w:rsidRPr="009E642D">
        <w:t xml:space="preserve">entral </w:t>
      </w:r>
      <w:r>
        <w:t>a</w:t>
      </w:r>
      <w:r w:rsidRPr="009E642D">
        <w:t>uthority</w:t>
      </w:r>
      <w:r>
        <w:t xml:space="preserve"> (the state or territory in which the adoption was processed),</w:t>
      </w:r>
      <w:r w:rsidRPr="009E642D">
        <w:t xml:space="preserve"> </w:t>
      </w:r>
    </w:p>
    <w:p w:rsidR="00E565B8" w:rsidRDefault="00E565B8" w:rsidP="00E565B8">
      <w:pPr>
        <w:pStyle w:val="ListParagraph"/>
        <w:numPr>
          <w:ilvl w:val="0"/>
          <w:numId w:val="62"/>
        </w:numPr>
        <w:spacing w:before="0" w:after="200" w:line="360" w:lineRule="auto"/>
      </w:pPr>
      <w:r w:rsidRPr="009E642D">
        <w:t xml:space="preserve">the </w:t>
      </w:r>
      <w:r w:rsidR="00283FFD">
        <w:t xml:space="preserve">Australian Government </w:t>
      </w:r>
      <w:r w:rsidR="00221757">
        <w:t>Department of Social Services</w:t>
      </w:r>
      <w:r w:rsidR="00EA28FF">
        <w:t xml:space="preserve"> (DSS)</w:t>
      </w:r>
      <w:r>
        <w:t>.</w:t>
      </w:r>
    </w:p>
    <w:p w:rsidR="00E565B8" w:rsidRPr="0019319F" w:rsidRDefault="00E565B8" w:rsidP="00E565B8">
      <w:r>
        <w:t>The Australian c</w:t>
      </w:r>
      <w:r w:rsidRPr="009E642D">
        <w:t xml:space="preserve">entral </w:t>
      </w:r>
      <w:r>
        <w:t>a</w:t>
      </w:r>
      <w:r w:rsidRPr="009E642D">
        <w:t>uthorit</w:t>
      </w:r>
      <w:r>
        <w:t>ies</w:t>
      </w:r>
      <w:r w:rsidR="00283FFD">
        <w:t xml:space="preserve"> and DSS</w:t>
      </w:r>
      <w:r w:rsidRPr="009E642D">
        <w:t xml:space="preserve"> will arrange for the reports to be provided to the Ethiopian Government.</w:t>
      </w:r>
      <w:r>
        <w:t xml:space="preserve"> </w:t>
      </w:r>
      <w:r w:rsidRPr="00A3404C">
        <w:t>Appendix A provides postal address</w:t>
      </w:r>
      <w:r>
        <w:t xml:space="preserve">es for </w:t>
      </w:r>
      <w:r w:rsidRPr="00E20BB7">
        <w:t xml:space="preserve">the </w:t>
      </w:r>
      <w:r w:rsidR="00221757">
        <w:t xml:space="preserve">Department of Social Services </w:t>
      </w:r>
      <w:r w:rsidRPr="00E20BB7">
        <w:t>and state and territory central authorities</w:t>
      </w:r>
      <w:r>
        <w:t xml:space="preserve">. </w:t>
      </w:r>
    </w:p>
    <w:p w:rsidR="00E565B8" w:rsidRDefault="00E565B8" w:rsidP="00E565B8">
      <w:pPr>
        <w:pStyle w:val="Heading1"/>
      </w:pPr>
      <w:r>
        <w:t xml:space="preserve">Post adoption exploring and </w:t>
      </w:r>
      <w:r w:rsidRPr="00E565B8">
        <w:t>searching</w:t>
      </w:r>
    </w:p>
    <w:p w:rsidR="00E565B8" w:rsidRPr="006E55E1" w:rsidRDefault="00E565B8" w:rsidP="00E565B8">
      <w:r w:rsidRPr="006E55E1">
        <w:t>Th</w:t>
      </w:r>
      <w:r>
        <w:t>e Australian Central Authorities</w:t>
      </w:r>
      <w:r w:rsidRPr="007B00C4">
        <w:t xml:space="preserve"> recognise</w:t>
      </w:r>
      <w:r w:rsidRPr="006E55E1">
        <w:t xml:space="preserve"> the importance of post adoption exploring and searching for many adoptees and adoptive families, to learn about origins, and contact birth families.</w:t>
      </w:r>
    </w:p>
    <w:p w:rsidR="00E565B8" w:rsidRDefault="00E565B8" w:rsidP="00E565B8">
      <w:r w:rsidRPr="005E6AA8">
        <w:t xml:space="preserve">It is up to adoptees and adoptive families to decide how they wish to undertake post adoption exploring and searching. </w:t>
      </w:r>
      <w:r>
        <w:t>Intercountry Adoption Australia provides information on its website about post adoption support and follow up.</w:t>
      </w:r>
    </w:p>
    <w:p w:rsidR="00E565B8" w:rsidRPr="005E6AA8" w:rsidRDefault="00E565B8" w:rsidP="00E565B8">
      <w:r>
        <w:t xml:space="preserve">While post adoption searching can be a fulfilling and positive experience, adoptees and adoptive families </w:t>
      </w:r>
      <w:r w:rsidRPr="007B00C4">
        <w:t>undertak</w:t>
      </w:r>
      <w:r>
        <w:t>ing</w:t>
      </w:r>
      <w:r w:rsidRPr="005E6AA8">
        <w:t xml:space="preserve"> post adoption searching need to be sensitive and appropriate in doing so. Not all Ethiopians are open about adoption, or understand the effect or purpose of adoption in the same way as Australians. This means that contacting a birth family, if located, can potentiall</w:t>
      </w:r>
      <w:r w:rsidRPr="007B00C4">
        <w:t>y have serious consequences. I</w:t>
      </w:r>
      <w:r>
        <w:t>t is important to</w:t>
      </w:r>
      <w:r w:rsidRPr="005E6AA8">
        <w:t xml:space="preserve"> respect and </w:t>
      </w:r>
      <w:r w:rsidRPr="005E6AA8">
        <w:lastRenderedPageBreak/>
        <w:t xml:space="preserve">understand that </w:t>
      </w:r>
      <w:r>
        <w:t xml:space="preserve">birth families </w:t>
      </w:r>
      <w:r w:rsidRPr="005E6AA8">
        <w:t xml:space="preserve">may have preferences about how, or whether, they are </w:t>
      </w:r>
      <w:r w:rsidR="001F706B">
        <w:t>c</w:t>
      </w:r>
      <w:r w:rsidRPr="005E6AA8">
        <w:t>ontacted.</w:t>
      </w:r>
    </w:p>
    <w:p w:rsidR="00E565B8" w:rsidRPr="005E6AA8" w:rsidRDefault="00E565B8" w:rsidP="00E565B8">
      <w:r>
        <w:t>The s</w:t>
      </w:r>
      <w:r w:rsidRPr="005E6AA8">
        <w:t>tate</w:t>
      </w:r>
      <w:r w:rsidRPr="007B00C4">
        <w:t xml:space="preserve"> and territory central authorit</w:t>
      </w:r>
      <w:r>
        <w:t>ies</w:t>
      </w:r>
      <w:r w:rsidRPr="005E6AA8">
        <w:t xml:space="preserve"> can provide further guidance on cultural sensitivities in post adoption searching</w:t>
      </w:r>
      <w:r>
        <w:t>, as well as general information on post adoption exploring and searching</w:t>
      </w:r>
      <w:r w:rsidRPr="005E6AA8">
        <w:t xml:space="preserve">. Contact details for </w:t>
      </w:r>
      <w:r w:rsidR="00283FFD" w:rsidRPr="00EA28FF">
        <w:t>state and territory central authorities</w:t>
      </w:r>
      <w:r w:rsidR="0024666C">
        <w:t xml:space="preserve"> </w:t>
      </w:r>
      <w:r w:rsidR="00283FFD">
        <w:t xml:space="preserve">(see </w:t>
      </w:r>
      <w:hyperlink r:id="rId9" w:history="1">
        <w:r w:rsidR="001F706B" w:rsidRPr="00232A85">
          <w:rPr>
            <w:rStyle w:val="Hyperlink"/>
          </w:rPr>
          <w:t>https://www.intercountryadoption.gov.au/post-adoption-support/state-territory-support/</w:t>
        </w:r>
      </w:hyperlink>
      <w:r w:rsidR="001F706B">
        <w:t>)</w:t>
      </w:r>
      <w:r w:rsidR="00283FFD">
        <w:t>.</w:t>
      </w:r>
    </w:p>
    <w:p w:rsidR="00E565B8" w:rsidRPr="00BA51E8" w:rsidRDefault="00E565B8" w:rsidP="00E565B8">
      <w:pPr>
        <w:pStyle w:val="Heading2"/>
      </w:pPr>
      <w:r w:rsidRPr="00BA51E8">
        <w:t>Access to adoption files</w:t>
      </w:r>
    </w:p>
    <w:p w:rsidR="00E565B8" w:rsidRDefault="00E565B8" w:rsidP="00E565B8">
      <w:r>
        <w:t xml:space="preserve">The adoption files previously held by Ato Lakew and Woz Lemlem, and stored by the Australian Embassy in Ethiopia, are now with the state and territory central authority </w:t>
      </w:r>
      <w:r w:rsidR="00283FFD">
        <w:t xml:space="preserve">that </w:t>
      </w:r>
      <w:r>
        <w:t xml:space="preserve">facilitated the adoption. This ensures the file is maintained with other relevant information about the adoption. For information on how to access these files, please contact the relevant </w:t>
      </w:r>
      <w:r w:rsidR="00283FFD" w:rsidRPr="00EA28FF">
        <w:t>state or territory central authority</w:t>
      </w:r>
      <w:r w:rsidR="00283FFD">
        <w:t xml:space="preserve"> (see </w:t>
      </w:r>
      <w:hyperlink r:id="rId10" w:history="1">
        <w:r w:rsidR="001F706B" w:rsidRPr="00232A85">
          <w:rPr>
            <w:rStyle w:val="Hyperlink"/>
          </w:rPr>
          <w:t>https://www.intercountryadoption.gov.au/post-adoption-support/state-territory-support/</w:t>
        </w:r>
      </w:hyperlink>
      <w:r w:rsidR="00283FFD">
        <w:t>)</w:t>
      </w:r>
      <w:r>
        <w:t xml:space="preserve">. </w:t>
      </w:r>
    </w:p>
    <w:p w:rsidR="00221757" w:rsidRPr="00641D48" w:rsidRDefault="00221757" w:rsidP="00E565B8">
      <w:r>
        <w:t>The Department of Social Services do not keep a copy of the post adoption reports it receives. However, the department does record what post adoption reports we have received and forwarded to the Ethiopian Government.</w:t>
      </w:r>
    </w:p>
    <w:p w:rsidR="00E565B8" w:rsidRPr="00BA51E8" w:rsidRDefault="00E565B8" w:rsidP="00E565B8">
      <w:pPr>
        <w:pStyle w:val="Heading2"/>
      </w:pPr>
      <w:r w:rsidRPr="00BA51E8">
        <w:t>Post adoption support services</w:t>
      </w:r>
    </w:p>
    <w:p w:rsidR="00E565B8" w:rsidRDefault="00E565B8" w:rsidP="00E565B8">
      <w:pPr>
        <w:keepNext/>
      </w:pPr>
      <w:r>
        <w:t xml:space="preserve">Post adoption support includes </w:t>
      </w:r>
      <w:r w:rsidRPr="00DA76C8">
        <w:t>information, resources and a range of services such as counselling, workshops and support groups.</w:t>
      </w:r>
      <w:r>
        <w:t xml:space="preserve"> Adoptive families and adoptees may find value and support in sharing their experiences with others, either through professional post adoption support services, or through less formal means such as social networks.</w:t>
      </w:r>
    </w:p>
    <w:p w:rsidR="00E565B8" w:rsidRDefault="00E565B8" w:rsidP="00E565B8">
      <w:pPr>
        <w:sectPr w:rsidR="00E565B8" w:rsidSect="00D87F42">
          <w:headerReference w:type="even" r:id="rId11"/>
          <w:headerReference w:type="default" r:id="rId12"/>
          <w:footerReference w:type="even" r:id="rId13"/>
          <w:footerReference w:type="default" r:id="rId14"/>
          <w:headerReference w:type="first" r:id="rId15"/>
          <w:footerReference w:type="first" r:id="rId16"/>
          <w:pgSz w:w="11906" w:h="16838" w:code="9"/>
          <w:pgMar w:top="1112" w:right="851" w:bottom="1134" w:left="851" w:header="0" w:footer="471" w:gutter="0"/>
          <w:cols w:space="708"/>
          <w:titlePg/>
          <w:docGrid w:linePitch="360"/>
        </w:sectPr>
      </w:pPr>
      <w:r>
        <w:t xml:space="preserve">Details for some providers can be found at </w:t>
      </w:r>
      <w:hyperlink r:id="rId17" w:tooltip="Details for post adoption support services providers" w:history="1">
        <w:r>
          <w:rPr>
            <w:rStyle w:val="Hyperlink"/>
          </w:rPr>
          <w:t>http://www.intercountryadoption.gov.au/post-adoption-support/state-territory-support/</w:t>
        </w:r>
      </w:hyperlink>
      <w:r>
        <w:t>.</w:t>
      </w:r>
    </w:p>
    <w:p w:rsidR="00E565B8" w:rsidRDefault="00E565B8" w:rsidP="00E565B8">
      <w:pPr>
        <w:pStyle w:val="Subtitle"/>
      </w:pPr>
      <w:r>
        <w:lastRenderedPageBreak/>
        <w:t>Appendix A</w:t>
      </w:r>
    </w:p>
    <w:p w:rsidR="00E565B8" w:rsidRDefault="00E565B8" w:rsidP="00E565B8">
      <w:pPr>
        <w:pStyle w:val="Heading1"/>
      </w:pPr>
      <w:r>
        <w:t xml:space="preserve">Postal addresses for </w:t>
      </w:r>
      <w:r w:rsidR="001F706B">
        <w:t>DSS and</w:t>
      </w:r>
      <w:r>
        <w:t xml:space="preserve"> state and territory central authorities</w:t>
      </w:r>
    </w:p>
    <w:p w:rsidR="00283FFD" w:rsidRDefault="00283FFD" w:rsidP="00283FFD">
      <w:pPr>
        <w:pStyle w:val="Heading2"/>
      </w:pPr>
      <w:r>
        <w:t>Relevant Public Authority</w:t>
      </w:r>
    </w:p>
    <w:p w:rsidR="00283FFD" w:rsidRPr="00C45E74" w:rsidRDefault="00283FFD" w:rsidP="00283FFD">
      <w:pPr>
        <w:spacing w:before="0" w:after="0"/>
      </w:pPr>
      <w:r>
        <w:t>Children’s Policy Branch</w:t>
      </w:r>
      <w:r w:rsidRPr="00C45E74">
        <w:br/>
      </w:r>
      <w:r>
        <w:t>Department of Social Services</w:t>
      </w:r>
      <w:r w:rsidRPr="00C45E74">
        <w:br/>
      </w:r>
      <w:r>
        <w:t>GPO BOX 9820</w:t>
      </w:r>
      <w:r>
        <w:br/>
        <w:t>CANBERRA ACT 2601</w:t>
      </w:r>
    </w:p>
    <w:p w:rsidR="00E565B8" w:rsidRDefault="00E565B8" w:rsidP="00E565B8">
      <w:pPr>
        <w:pStyle w:val="Heading2"/>
      </w:pPr>
      <w:r>
        <w:t xml:space="preserve">State and </w:t>
      </w:r>
      <w:r w:rsidRPr="00FC012F">
        <w:t>territory</w:t>
      </w:r>
      <w:r>
        <w:t xml:space="preserve"> central authorities</w:t>
      </w:r>
    </w:p>
    <w:p w:rsidR="00E565B8" w:rsidRPr="00BA51E8" w:rsidRDefault="00E565B8" w:rsidP="00E565B8">
      <w:pPr>
        <w:pStyle w:val="Heading3"/>
      </w:pPr>
      <w:r w:rsidRPr="00BA51E8">
        <w:t>New South Wales</w:t>
      </w:r>
    </w:p>
    <w:p w:rsidR="00E565B8" w:rsidRPr="00C45E74" w:rsidRDefault="00E565B8" w:rsidP="00E565B8">
      <w:pPr>
        <w:pStyle w:val="TableText"/>
      </w:pPr>
      <w:r w:rsidRPr="00C45E74">
        <w:t>Adoption Services</w:t>
      </w:r>
    </w:p>
    <w:p w:rsidR="00E565B8" w:rsidRPr="00C45E74" w:rsidRDefault="00E565B8" w:rsidP="00E565B8">
      <w:pPr>
        <w:pStyle w:val="TableText"/>
      </w:pPr>
      <w:r w:rsidRPr="00C45E74">
        <w:t>Department of Family and Community Services</w:t>
      </w:r>
    </w:p>
    <w:p w:rsidR="00E565B8" w:rsidRPr="00C45E74" w:rsidRDefault="005B6A74" w:rsidP="00E565B8">
      <w:pPr>
        <w:pStyle w:val="TableText"/>
      </w:pPr>
      <w:r>
        <w:t xml:space="preserve">223 Liverpool Rd </w:t>
      </w:r>
      <w:r w:rsidR="00E565B8">
        <w:br/>
        <w:t xml:space="preserve">ASHFIELD NSW </w:t>
      </w:r>
      <w:r w:rsidR="00E565B8" w:rsidRPr="00C45E74">
        <w:t>2131</w:t>
      </w:r>
    </w:p>
    <w:p w:rsidR="00E565B8" w:rsidRPr="00BA51E8" w:rsidRDefault="00E565B8" w:rsidP="00E565B8">
      <w:pPr>
        <w:pStyle w:val="Heading3"/>
      </w:pPr>
      <w:r w:rsidRPr="00BA51E8">
        <w:t>Victoria</w:t>
      </w:r>
    </w:p>
    <w:p w:rsidR="005B6A74" w:rsidRDefault="00E565B8" w:rsidP="00E565B8">
      <w:pPr>
        <w:pStyle w:val="TableText"/>
      </w:pPr>
      <w:r>
        <w:t xml:space="preserve">Intercountry Adoption </w:t>
      </w:r>
      <w:r w:rsidR="005B6A74">
        <w:t>Victoria</w:t>
      </w:r>
      <w:r>
        <w:br/>
        <w:t xml:space="preserve">Department of </w:t>
      </w:r>
      <w:r w:rsidR="00283FFD">
        <w:t xml:space="preserve">Health and </w:t>
      </w:r>
      <w:r>
        <w:t>Human Services</w:t>
      </w:r>
      <w:r>
        <w:br/>
      </w:r>
      <w:r w:rsidR="005B6A74">
        <w:t>GPO Box 588</w:t>
      </w:r>
      <w:r>
        <w:t xml:space="preserve"> </w:t>
      </w:r>
    </w:p>
    <w:p w:rsidR="00E565B8" w:rsidRDefault="00E565B8" w:rsidP="00E565B8">
      <w:pPr>
        <w:pStyle w:val="TableText"/>
      </w:pPr>
      <w:r>
        <w:t>Collins St West</w:t>
      </w:r>
      <w:r>
        <w:br/>
        <w:t xml:space="preserve">MELBOURNE VIC </w:t>
      </w:r>
      <w:r w:rsidR="00283FFD">
        <w:t>3003</w:t>
      </w:r>
    </w:p>
    <w:p w:rsidR="00E565B8" w:rsidRPr="00BA51E8" w:rsidRDefault="00E565B8" w:rsidP="00E565B8">
      <w:pPr>
        <w:pStyle w:val="Heading3"/>
      </w:pPr>
      <w:r w:rsidRPr="00BA51E8">
        <w:t xml:space="preserve">Queensland </w:t>
      </w:r>
    </w:p>
    <w:p w:rsidR="005B6A74" w:rsidRDefault="00E565B8" w:rsidP="00E565B8">
      <w:pPr>
        <w:pStyle w:val="TableText"/>
      </w:pPr>
      <w:r>
        <w:t xml:space="preserve">Adoptions Services </w:t>
      </w:r>
    </w:p>
    <w:p w:rsidR="00E565B8" w:rsidRDefault="00E565B8" w:rsidP="00E565B8">
      <w:pPr>
        <w:pStyle w:val="TableText"/>
      </w:pPr>
      <w:r>
        <w:t xml:space="preserve">Department of </w:t>
      </w:r>
      <w:r w:rsidR="00283FFD">
        <w:t>Child Safety, Youth and Women</w:t>
      </w:r>
      <w:r>
        <w:br/>
        <w:t>GPO Box 806</w:t>
      </w:r>
      <w:r>
        <w:br/>
        <w:t>BRISBANE QLD 4001</w:t>
      </w:r>
    </w:p>
    <w:p w:rsidR="00E565B8" w:rsidRPr="00BA51E8" w:rsidRDefault="00E565B8" w:rsidP="00E565B8">
      <w:pPr>
        <w:pStyle w:val="Heading3"/>
      </w:pPr>
      <w:r w:rsidRPr="00BA51E8">
        <w:t>Western Australia</w:t>
      </w:r>
    </w:p>
    <w:p w:rsidR="00E565B8" w:rsidRPr="00C45E74" w:rsidRDefault="00E565B8" w:rsidP="00E565B8">
      <w:pPr>
        <w:pStyle w:val="TableText"/>
      </w:pPr>
      <w:r>
        <w:t>Adoption Services</w:t>
      </w:r>
      <w:r>
        <w:br/>
        <w:t xml:space="preserve">Department </w:t>
      </w:r>
      <w:r w:rsidR="005B6A74">
        <w:t>of Communities</w:t>
      </w:r>
      <w:r>
        <w:br/>
        <w:t xml:space="preserve">PO Box </w:t>
      </w:r>
      <w:r w:rsidR="005B6A74">
        <w:t>6334</w:t>
      </w:r>
      <w:r>
        <w:br/>
      </w:r>
      <w:r w:rsidR="005B6A74">
        <w:t>EAST PERTH</w:t>
      </w:r>
      <w:r>
        <w:t xml:space="preserve"> WA </w:t>
      </w:r>
      <w:r w:rsidR="005B6A74">
        <w:t>6892</w:t>
      </w:r>
    </w:p>
    <w:p w:rsidR="00E565B8" w:rsidRPr="00BA51E8" w:rsidRDefault="00E565B8" w:rsidP="00E565B8">
      <w:pPr>
        <w:pStyle w:val="Heading3"/>
      </w:pPr>
      <w:r w:rsidRPr="00BA51E8">
        <w:t xml:space="preserve">South </w:t>
      </w:r>
      <w:r w:rsidRPr="00E565B8">
        <w:t>Australia</w:t>
      </w:r>
    </w:p>
    <w:p w:rsidR="00E565B8" w:rsidRDefault="005B6A74" w:rsidP="00E565B8">
      <w:pPr>
        <w:pStyle w:val="TableText"/>
      </w:pPr>
      <w:r>
        <w:t>Adoption Services</w:t>
      </w:r>
      <w:r w:rsidR="00E565B8">
        <w:br/>
        <w:t xml:space="preserve">Department for </w:t>
      </w:r>
      <w:r>
        <w:t>Child Protection</w:t>
      </w:r>
      <w:r w:rsidR="00E565B8">
        <w:t xml:space="preserve"> </w:t>
      </w:r>
      <w:r w:rsidR="00E565B8">
        <w:br/>
        <w:t xml:space="preserve">GPO Box </w:t>
      </w:r>
      <w:r>
        <w:t>1072</w:t>
      </w:r>
      <w:r>
        <w:br/>
        <w:t>ADELAIDE SA 500</w:t>
      </w:r>
      <w:r w:rsidR="00283FFD">
        <w:t>1</w:t>
      </w:r>
    </w:p>
    <w:p w:rsidR="00E565B8" w:rsidRPr="00BA51E8" w:rsidRDefault="00E565B8" w:rsidP="00E565B8">
      <w:pPr>
        <w:pStyle w:val="Heading3"/>
      </w:pPr>
      <w:r w:rsidRPr="00BA51E8">
        <w:lastRenderedPageBreak/>
        <w:t xml:space="preserve">Tasmania </w:t>
      </w:r>
    </w:p>
    <w:p w:rsidR="00E565B8" w:rsidRDefault="00E565B8" w:rsidP="00E565B8">
      <w:pPr>
        <w:pStyle w:val="TableText"/>
      </w:pPr>
      <w:r>
        <w:t>Adoption and Permanency Services</w:t>
      </w:r>
      <w:r>
        <w:br/>
        <w:t>Department of Health and Human Services</w:t>
      </w:r>
      <w:r>
        <w:br/>
        <w:t xml:space="preserve">GPO Box </w:t>
      </w:r>
      <w:r w:rsidR="00283FFD">
        <w:t>538</w:t>
      </w:r>
      <w:r>
        <w:br/>
        <w:t>HOBART TAS 7001</w:t>
      </w:r>
    </w:p>
    <w:p w:rsidR="00E565B8" w:rsidRPr="00BA51E8" w:rsidRDefault="00E565B8" w:rsidP="00E565B8">
      <w:pPr>
        <w:pStyle w:val="Heading3"/>
      </w:pPr>
      <w:r w:rsidRPr="00BA51E8">
        <w:t>Australian Capital Territory</w:t>
      </w:r>
    </w:p>
    <w:p w:rsidR="00E565B8" w:rsidRPr="00C45E74" w:rsidRDefault="00283FFD" w:rsidP="00E565B8">
      <w:pPr>
        <w:pStyle w:val="TableText"/>
      </w:pPr>
      <w:r>
        <w:t>Assessment and Support Unit - Adoptions</w:t>
      </w:r>
    </w:p>
    <w:p w:rsidR="00E565B8" w:rsidRPr="00C45E74" w:rsidRDefault="00283FFD" w:rsidP="00E565B8">
      <w:pPr>
        <w:pStyle w:val="TableText"/>
      </w:pPr>
      <w:r>
        <w:t>Child and Youth Protection Services</w:t>
      </w:r>
    </w:p>
    <w:p w:rsidR="00E565B8" w:rsidRPr="00C45E74" w:rsidRDefault="00E565B8" w:rsidP="00E565B8">
      <w:pPr>
        <w:pStyle w:val="TableText"/>
      </w:pPr>
      <w:r w:rsidRPr="00C45E74">
        <w:t>GPO Box 158</w:t>
      </w:r>
    </w:p>
    <w:p w:rsidR="00E565B8" w:rsidRPr="00C45E74" w:rsidRDefault="00E565B8" w:rsidP="00E565B8">
      <w:pPr>
        <w:pStyle w:val="TableText"/>
      </w:pPr>
      <w:r>
        <w:t>CANBERRA ACT </w:t>
      </w:r>
      <w:r w:rsidRPr="00C45E74">
        <w:t>2601</w:t>
      </w:r>
    </w:p>
    <w:p w:rsidR="00E565B8" w:rsidRPr="00BA51E8" w:rsidRDefault="00E565B8" w:rsidP="00E565B8">
      <w:pPr>
        <w:pStyle w:val="Heading3"/>
      </w:pPr>
      <w:r w:rsidRPr="00BA51E8">
        <w:t>Northern Territory</w:t>
      </w:r>
    </w:p>
    <w:p w:rsidR="00E565B8" w:rsidRPr="00C45E74" w:rsidRDefault="00E565B8" w:rsidP="00E565B8">
      <w:pPr>
        <w:pStyle w:val="TableText"/>
      </w:pPr>
      <w:r w:rsidRPr="00C45E74">
        <w:t xml:space="preserve">NT Adoption Unit </w:t>
      </w:r>
      <w:r w:rsidRPr="00C45E74">
        <w:br/>
      </w:r>
      <w:r w:rsidR="005B6A74">
        <w:t>Territory Families</w:t>
      </w:r>
      <w:r>
        <w:br/>
        <w:t xml:space="preserve">PO Box </w:t>
      </w:r>
      <w:r w:rsidR="00283FFD">
        <w:t>37037</w:t>
      </w:r>
      <w:r>
        <w:br/>
      </w:r>
      <w:r w:rsidR="00283FFD">
        <w:t xml:space="preserve">WINNELLIE </w:t>
      </w:r>
      <w:r>
        <w:t xml:space="preserve">NT </w:t>
      </w:r>
      <w:r w:rsidR="00283FFD" w:rsidRPr="00C45E74">
        <w:t>08</w:t>
      </w:r>
      <w:r w:rsidR="00283FFD">
        <w:t>20</w:t>
      </w:r>
    </w:p>
    <w:p w:rsidR="00E565B8" w:rsidRPr="00E565B8" w:rsidRDefault="00E565B8" w:rsidP="00E565B8"/>
    <w:sectPr w:rsidR="00E565B8" w:rsidRPr="00E565B8" w:rsidSect="00D87F42">
      <w:pgSz w:w="11906" w:h="16838" w:code="9"/>
      <w:pgMar w:top="1112" w:right="851" w:bottom="1134"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66A" w:rsidRDefault="00F4366A">
      <w:r>
        <w:separator/>
      </w:r>
    </w:p>
  </w:endnote>
  <w:endnote w:type="continuationSeparator" w:id="0">
    <w:p w:rsidR="00F4366A" w:rsidRDefault="00F4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DA9" w:rsidRDefault="00D42D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027179"/>
      <w:docPartObj>
        <w:docPartGallery w:val="Page Numbers (Bottom of Page)"/>
        <w:docPartUnique/>
      </w:docPartObj>
    </w:sdtPr>
    <w:sdtEndPr/>
    <w:sdtContent>
      <w:sdt>
        <w:sdtPr>
          <w:id w:val="1015341280"/>
          <w:docPartObj>
            <w:docPartGallery w:val="Page Numbers (Top of Page)"/>
            <w:docPartUnique/>
          </w:docPartObj>
        </w:sdtPr>
        <w:sdtEndPr/>
        <w:sdtContent>
          <w:p w:rsidR="00C570B8" w:rsidRDefault="00C570B8">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C47C2A">
              <w:rPr>
                <w:b/>
                <w:bCs/>
                <w:noProof/>
              </w:rPr>
              <w:t>5</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C47C2A">
              <w:rPr>
                <w:b/>
                <w:bCs/>
                <w:noProof/>
              </w:rPr>
              <w:t>5</w:t>
            </w:r>
            <w:r>
              <w:rPr>
                <w:b/>
                <w:bCs/>
                <w:sz w:val="24"/>
              </w:rPr>
              <w:fldChar w:fldCharType="end"/>
            </w:r>
          </w:p>
        </w:sdtContent>
      </w:sdt>
    </w:sdtContent>
  </w:sdt>
  <w:p w:rsidR="00E565B8" w:rsidRPr="00C570B8" w:rsidRDefault="00E565B8" w:rsidP="00C570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740869"/>
      <w:docPartObj>
        <w:docPartGallery w:val="Page Numbers (Bottom of Page)"/>
        <w:docPartUnique/>
      </w:docPartObj>
    </w:sdtPr>
    <w:sdtEndPr/>
    <w:sdtContent>
      <w:sdt>
        <w:sdtPr>
          <w:id w:val="860082579"/>
          <w:docPartObj>
            <w:docPartGallery w:val="Page Numbers (Top of Page)"/>
            <w:docPartUnique/>
          </w:docPartObj>
        </w:sdtPr>
        <w:sdtEndPr/>
        <w:sdtContent>
          <w:p w:rsidR="00C570B8" w:rsidRDefault="00C570B8">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C47C2A">
              <w:rPr>
                <w:b/>
                <w:bCs/>
                <w:noProof/>
              </w:rPr>
              <w:t>4</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C47C2A">
              <w:rPr>
                <w:b/>
                <w:bCs/>
                <w:noProof/>
              </w:rPr>
              <w:t>5</w:t>
            </w:r>
            <w:r>
              <w:rPr>
                <w:b/>
                <w:bCs/>
                <w:sz w:val="24"/>
              </w:rPr>
              <w:fldChar w:fldCharType="end"/>
            </w:r>
          </w:p>
        </w:sdtContent>
      </w:sdt>
    </w:sdtContent>
  </w:sdt>
  <w:p w:rsidR="00E565B8" w:rsidRPr="00C570B8" w:rsidRDefault="00E565B8" w:rsidP="00C57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66A" w:rsidRDefault="00F4366A">
      <w:r>
        <w:separator/>
      </w:r>
    </w:p>
  </w:footnote>
  <w:footnote w:type="continuationSeparator" w:id="0">
    <w:p w:rsidR="00F4366A" w:rsidRDefault="00F4366A">
      <w:r>
        <w:continuationSeparator/>
      </w:r>
    </w:p>
  </w:footnote>
  <w:footnote w:id="1">
    <w:p w:rsidR="00E565B8" w:rsidRDefault="00E565B8" w:rsidP="00E565B8">
      <w:pPr>
        <w:pStyle w:val="FootnoteText"/>
      </w:pPr>
      <w:r>
        <w:rPr>
          <w:rStyle w:val="FootnoteReference"/>
        </w:rPr>
        <w:footnoteRef/>
      </w:r>
      <w:r>
        <w:t xml:space="preserve"> </w:t>
      </w:r>
      <w:r w:rsidRPr="00DC6B1F">
        <w:t>Federal Democratic Republic of Ethiopia</w:t>
      </w:r>
      <w:r>
        <w:t xml:space="preserve"> </w:t>
      </w:r>
      <w:r w:rsidRPr="00DC6B1F">
        <w:t>Ministry of Women’s Affairs</w:t>
      </w:r>
      <w:r>
        <w:t xml:space="preserve">, </w:t>
      </w:r>
      <w:r w:rsidRPr="00DC6B1F">
        <w:rPr>
          <w:i/>
        </w:rPr>
        <w:t>Alternative</w:t>
      </w:r>
      <w:r>
        <w:rPr>
          <w:i/>
        </w:rPr>
        <w:t xml:space="preserve"> Childcare Guidelines</w:t>
      </w:r>
      <w:r>
        <w:t>, June 2009,</w:t>
      </w:r>
      <w:r>
        <w:rPr>
          <w:i/>
        </w:rPr>
        <w:t xml:space="preserve"> </w:t>
      </w:r>
      <w:r>
        <w:t xml:space="preserve">at 47.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DA9" w:rsidRDefault="00D42D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DA9" w:rsidRDefault="00D42D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DA9" w:rsidRDefault="00D42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12A7C3C"/>
    <w:multiLevelType w:val="hybridMultilevel"/>
    <w:tmpl w:val="B4B06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38"/>
  </w:num>
  <w:num w:numId="4">
    <w:abstractNumId w:val="11"/>
  </w:num>
  <w:num w:numId="5">
    <w:abstractNumId w:val="15"/>
  </w:num>
  <w:num w:numId="6">
    <w:abstractNumId w:val="58"/>
  </w:num>
  <w:num w:numId="7">
    <w:abstractNumId w:val="45"/>
  </w:num>
  <w:num w:numId="8">
    <w:abstractNumId w:val="50"/>
  </w:num>
  <w:num w:numId="9">
    <w:abstractNumId w:val="7"/>
  </w:num>
  <w:num w:numId="10">
    <w:abstractNumId w:val="57"/>
  </w:num>
  <w:num w:numId="11">
    <w:abstractNumId w:val="16"/>
  </w:num>
  <w:num w:numId="12">
    <w:abstractNumId w:val="42"/>
  </w:num>
  <w:num w:numId="13">
    <w:abstractNumId w:val="52"/>
  </w:num>
  <w:num w:numId="14">
    <w:abstractNumId w:val="35"/>
  </w:num>
  <w:num w:numId="15">
    <w:abstractNumId w:val="3"/>
  </w:num>
  <w:num w:numId="16">
    <w:abstractNumId w:val="12"/>
  </w:num>
  <w:num w:numId="17">
    <w:abstractNumId w:val="56"/>
  </w:num>
  <w:num w:numId="18">
    <w:abstractNumId w:val="49"/>
  </w:num>
  <w:num w:numId="19">
    <w:abstractNumId w:val="13"/>
  </w:num>
  <w:num w:numId="20">
    <w:abstractNumId w:val="2"/>
  </w:num>
  <w:num w:numId="21">
    <w:abstractNumId w:val="5"/>
  </w:num>
  <w:num w:numId="22">
    <w:abstractNumId w:val="20"/>
  </w:num>
  <w:num w:numId="23">
    <w:abstractNumId w:val="17"/>
  </w:num>
  <w:num w:numId="24">
    <w:abstractNumId w:val="60"/>
  </w:num>
  <w:num w:numId="25">
    <w:abstractNumId w:val="33"/>
  </w:num>
  <w:num w:numId="26">
    <w:abstractNumId w:val="39"/>
  </w:num>
  <w:num w:numId="27">
    <w:abstractNumId w:val="19"/>
  </w:num>
  <w:num w:numId="28">
    <w:abstractNumId w:val="59"/>
  </w:num>
  <w:num w:numId="29">
    <w:abstractNumId w:val="48"/>
  </w:num>
  <w:num w:numId="30">
    <w:abstractNumId w:val="25"/>
  </w:num>
  <w:num w:numId="31">
    <w:abstractNumId w:val="44"/>
  </w:num>
  <w:num w:numId="32">
    <w:abstractNumId w:val="53"/>
  </w:num>
  <w:num w:numId="33">
    <w:abstractNumId w:val="55"/>
  </w:num>
  <w:num w:numId="34">
    <w:abstractNumId w:val="4"/>
  </w:num>
  <w:num w:numId="35">
    <w:abstractNumId w:val="23"/>
  </w:num>
  <w:num w:numId="36">
    <w:abstractNumId w:val="47"/>
  </w:num>
  <w:num w:numId="37">
    <w:abstractNumId w:val="8"/>
  </w:num>
  <w:num w:numId="38">
    <w:abstractNumId w:val="28"/>
  </w:num>
  <w:num w:numId="39">
    <w:abstractNumId w:val="22"/>
  </w:num>
  <w:num w:numId="40">
    <w:abstractNumId w:val="32"/>
  </w:num>
  <w:num w:numId="41">
    <w:abstractNumId w:val="37"/>
  </w:num>
  <w:num w:numId="42">
    <w:abstractNumId w:val="21"/>
  </w:num>
  <w:num w:numId="43">
    <w:abstractNumId w:val="14"/>
  </w:num>
  <w:num w:numId="44">
    <w:abstractNumId w:val="41"/>
  </w:num>
  <w:num w:numId="45">
    <w:abstractNumId w:val="46"/>
  </w:num>
  <w:num w:numId="46">
    <w:abstractNumId w:val="31"/>
  </w:num>
  <w:num w:numId="47">
    <w:abstractNumId w:val="29"/>
  </w:num>
  <w:num w:numId="48">
    <w:abstractNumId w:val="1"/>
  </w:num>
  <w:num w:numId="49">
    <w:abstractNumId w:val="43"/>
  </w:num>
  <w:num w:numId="50">
    <w:abstractNumId w:val="54"/>
  </w:num>
  <w:num w:numId="51">
    <w:abstractNumId w:val="40"/>
  </w:num>
  <w:num w:numId="52">
    <w:abstractNumId w:val="9"/>
  </w:num>
  <w:num w:numId="53">
    <w:abstractNumId w:val="51"/>
  </w:num>
  <w:num w:numId="54">
    <w:abstractNumId w:val="24"/>
  </w:num>
  <w:num w:numId="55">
    <w:abstractNumId w:val="18"/>
  </w:num>
  <w:num w:numId="56">
    <w:abstractNumId w:val="27"/>
  </w:num>
  <w:num w:numId="57">
    <w:abstractNumId w:val="26"/>
  </w:num>
  <w:num w:numId="58">
    <w:abstractNumId w:val="10"/>
  </w:num>
  <w:num w:numId="59">
    <w:abstractNumId w:val="36"/>
  </w:num>
  <w:num w:numId="60">
    <w:abstractNumId w:val="6"/>
  </w:num>
  <w:num w:numId="61">
    <w:abstractNumId w:val="30"/>
  </w:num>
  <w:num w:numId="62">
    <w:abstractNumId w:val="3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5DF"/>
    <w:rsid w:val="00002C18"/>
    <w:rsid w:val="00010549"/>
    <w:rsid w:val="00012F84"/>
    <w:rsid w:val="00013F99"/>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6E3C"/>
    <w:rsid w:val="0008796E"/>
    <w:rsid w:val="00087B2C"/>
    <w:rsid w:val="00087DBD"/>
    <w:rsid w:val="00090570"/>
    <w:rsid w:val="00090753"/>
    <w:rsid w:val="00096F54"/>
    <w:rsid w:val="00097BFF"/>
    <w:rsid w:val="000A669D"/>
    <w:rsid w:val="000A66A8"/>
    <w:rsid w:val="000C014D"/>
    <w:rsid w:val="000D0178"/>
    <w:rsid w:val="000D4703"/>
    <w:rsid w:val="000D693C"/>
    <w:rsid w:val="000E12D4"/>
    <w:rsid w:val="00104669"/>
    <w:rsid w:val="00110028"/>
    <w:rsid w:val="0011449B"/>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943DD"/>
    <w:rsid w:val="00195374"/>
    <w:rsid w:val="001A127F"/>
    <w:rsid w:val="001A1F53"/>
    <w:rsid w:val="001A3CA4"/>
    <w:rsid w:val="001A3EA4"/>
    <w:rsid w:val="001B3AEC"/>
    <w:rsid w:val="001B5000"/>
    <w:rsid w:val="001B6F28"/>
    <w:rsid w:val="001D4585"/>
    <w:rsid w:val="001D5D54"/>
    <w:rsid w:val="001E41C8"/>
    <w:rsid w:val="001F3AD7"/>
    <w:rsid w:val="001F45EB"/>
    <w:rsid w:val="001F706B"/>
    <w:rsid w:val="00207630"/>
    <w:rsid w:val="00213082"/>
    <w:rsid w:val="0021714E"/>
    <w:rsid w:val="00221757"/>
    <w:rsid w:val="00222187"/>
    <w:rsid w:val="00222C8D"/>
    <w:rsid w:val="00222E33"/>
    <w:rsid w:val="00227B95"/>
    <w:rsid w:val="0023523A"/>
    <w:rsid w:val="002353DF"/>
    <w:rsid w:val="00235F71"/>
    <w:rsid w:val="0024666C"/>
    <w:rsid w:val="0025272A"/>
    <w:rsid w:val="00271922"/>
    <w:rsid w:val="0027204E"/>
    <w:rsid w:val="00273412"/>
    <w:rsid w:val="00274ACF"/>
    <w:rsid w:val="0027527A"/>
    <w:rsid w:val="00283FFD"/>
    <w:rsid w:val="00285F1B"/>
    <w:rsid w:val="00295831"/>
    <w:rsid w:val="00296F1B"/>
    <w:rsid w:val="002A6DF5"/>
    <w:rsid w:val="002D00B0"/>
    <w:rsid w:val="002D2E16"/>
    <w:rsid w:val="002F19EF"/>
    <w:rsid w:val="00302415"/>
    <w:rsid w:val="0030693C"/>
    <w:rsid w:val="003102F6"/>
    <w:rsid w:val="00313304"/>
    <w:rsid w:val="00313C48"/>
    <w:rsid w:val="00314D15"/>
    <w:rsid w:val="003162AD"/>
    <w:rsid w:val="00321148"/>
    <w:rsid w:val="00321798"/>
    <w:rsid w:val="00325F44"/>
    <w:rsid w:val="00326976"/>
    <w:rsid w:val="003311D7"/>
    <w:rsid w:val="00332B8B"/>
    <w:rsid w:val="00342476"/>
    <w:rsid w:val="00347104"/>
    <w:rsid w:val="0035213F"/>
    <w:rsid w:val="003555D2"/>
    <w:rsid w:val="00363DF3"/>
    <w:rsid w:val="003656B1"/>
    <w:rsid w:val="0037056B"/>
    <w:rsid w:val="00377173"/>
    <w:rsid w:val="003774DA"/>
    <w:rsid w:val="00392557"/>
    <w:rsid w:val="003945C0"/>
    <w:rsid w:val="003A06C2"/>
    <w:rsid w:val="003B6D2E"/>
    <w:rsid w:val="003C430D"/>
    <w:rsid w:val="003C7404"/>
    <w:rsid w:val="003D3C5A"/>
    <w:rsid w:val="003D404A"/>
    <w:rsid w:val="003E6FDA"/>
    <w:rsid w:val="003F3072"/>
    <w:rsid w:val="00401A2A"/>
    <w:rsid w:val="004103D7"/>
    <w:rsid w:val="00410C1F"/>
    <w:rsid w:val="0041307C"/>
    <w:rsid w:val="004167B4"/>
    <w:rsid w:val="00430D7E"/>
    <w:rsid w:val="00433B04"/>
    <w:rsid w:val="00440BD3"/>
    <w:rsid w:val="00446F93"/>
    <w:rsid w:val="004649E2"/>
    <w:rsid w:val="00464E8C"/>
    <w:rsid w:val="00466D36"/>
    <w:rsid w:val="00467185"/>
    <w:rsid w:val="0047050C"/>
    <w:rsid w:val="00475504"/>
    <w:rsid w:val="00480F21"/>
    <w:rsid w:val="00484FED"/>
    <w:rsid w:val="00495AF1"/>
    <w:rsid w:val="004D44E8"/>
    <w:rsid w:val="004F775C"/>
    <w:rsid w:val="004F77BF"/>
    <w:rsid w:val="005015E4"/>
    <w:rsid w:val="0050291D"/>
    <w:rsid w:val="0050697E"/>
    <w:rsid w:val="00524B3C"/>
    <w:rsid w:val="005300B9"/>
    <w:rsid w:val="005315A9"/>
    <w:rsid w:val="005316BE"/>
    <w:rsid w:val="00532B56"/>
    <w:rsid w:val="00537B50"/>
    <w:rsid w:val="00540AD0"/>
    <w:rsid w:val="0054322A"/>
    <w:rsid w:val="00543923"/>
    <w:rsid w:val="005519C9"/>
    <w:rsid w:val="005523D1"/>
    <w:rsid w:val="00554A9C"/>
    <w:rsid w:val="00557624"/>
    <w:rsid w:val="0056023E"/>
    <w:rsid w:val="005658EF"/>
    <w:rsid w:val="005822A3"/>
    <w:rsid w:val="0059070B"/>
    <w:rsid w:val="00594445"/>
    <w:rsid w:val="005B1225"/>
    <w:rsid w:val="005B6A74"/>
    <w:rsid w:val="005C09F4"/>
    <w:rsid w:val="005C561A"/>
    <w:rsid w:val="005C5B93"/>
    <w:rsid w:val="005C66FF"/>
    <w:rsid w:val="005C785A"/>
    <w:rsid w:val="005D03CA"/>
    <w:rsid w:val="005D45AB"/>
    <w:rsid w:val="005E4662"/>
    <w:rsid w:val="005F093F"/>
    <w:rsid w:val="005F214A"/>
    <w:rsid w:val="005F4329"/>
    <w:rsid w:val="005F5616"/>
    <w:rsid w:val="005F6BD6"/>
    <w:rsid w:val="00601C99"/>
    <w:rsid w:val="00607597"/>
    <w:rsid w:val="006255E4"/>
    <w:rsid w:val="006325E2"/>
    <w:rsid w:val="00640F76"/>
    <w:rsid w:val="00641020"/>
    <w:rsid w:val="006410C1"/>
    <w:rsid w:val="00647F05"/>
    <w:rsid w:val="006530EF"/>
    <w:rsid w:val="00654D06"/>
    <w:rsid w:val="00661536"/>
    <w:rsid w:val="006678ED"/>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E1F3C"/>
    <w:rsid w:val="006E6073"/>
    <w:rsid w:val="006F7300"/>
    <w:rsid w:val="00703C09"/>
    <w:rsid w:val="00712300"/>
    <w:rsid w:val="00720739"/>
    <w:rsid w:val="00721695"/>
    <w:rsid w:val="007242B4"/>
    <w:rsid w:val="00725FB2"/>
    <w:rsid w:val="00730C64"/>
    <w:rsid w:val="007322AF"/>
    <w:rsid w:val="00735477"/>
    <w:rsid w:val="00736DCA"/>
    <w:rsid w:val="00742399"/>
    <w:rsid w:val="007457E8"/>
    <w:rsid w:val="0074640C"/>
    <w:rsid w:val="0075003D"/>
    <w:rsid w:val="00751B37"/>
    <w:rsid w:val="00754D44"/>
    <w:rsid w:val="00767B7E"/>
    <w:rsid w:val="007746A9"/>
    <w:rsid w:val="00785465"/>
    <w:rsid w:val="00787656"/>
    <w:rsid w:val="007A67EA"/>
    <w:rsid w:val="007B15AF"/>
    <w:rsid w:val="007B7E83"/>
    <w:rsid w:val="007C1631"/>
    <w:rsid w:val="007C636F"/>
    <w:rsid w:val="007D0EF8"/>
    <w:rsid w:val="007D39EB"/>
    <w:rsid w:val="00800A4D"/>
    <w:rsid w:val="008131E7"/>
    <w:rsid w:val="00813711"/>
    <w:rsid w:val="00814279"/>
    <w:rsid w:val="008263C2"/>
    <w:rsid w:val="00842959"/>
    <w:rsid w:val="008451FE"/>
    <w:rsid w:val="008466A1"/>
    <w:rsid w:val="00846C1D"/>
    <w:rsid w:val="00851758"/>
    <w:rsid w:val="00856D5A"/>
    <w:rsid w:val="008609EB"/>
    <w:rsid w:val="00862D6D"/>
    <w:rsid w:val="008653E0"/>
    <w:rsid w:val="008657FB"/>
    <w:rsid w:val="00865EA9"/>
    <w:rsid w:val="00871D4F"/>
    <w:rsid w:val="00874FB3"/>
    <w:rsid w:val="00880BE3"/>
    <w:rsid w:val="00882588"/>
    <w:rsid w:val="00895792"/>
    <w:rsid w:val="008A3738"/>
    <w:rsid w:val="008A384C"/>
    <w:rsid w:val="008A6981"/>
    <w:rsid w:val="008B645B"/>
    <w:rsid w:val="008B67B8"/>
    <w:rsid w:val="008B774D"/>
    <w:rsid w:val="008C123E"/>
    <w:rsid w:val="008C3ED0"/>
    <w:rsid w:val="008C5585"/>
    <w:rsid w:val="008C5E94"/>
    <w:rsid w:val="008D4E4B"/>
    <w:rsid w:val="008E6E9D"/>
    <w:rsid w:val="008F1897"/>
    <w:rsid w:val="008F4774"/>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485D"/>
    <w:rsid w:val="009900F0"/>
    <w:rsid w:val="00991769"/>
    <w:rsid w:val="00994E9F"/>
    <w:rsid w:val="00996931"/>
    <w:rsid w:val="009A0F18"/>
    <w:rsid w:val="009A4CD8"/>
    <w:rsid w:val="009A6AFA"/>
    <w:rsid w:val="009B3ED1"/>
    <w:rsid w:val="009C07EC"/>
    <w:rsid w:val="009C206F"/>
    <w:rsid w:val="009C433C"/>
    <w:rsid w:val="009D28B7"/>
    <w:rsid w:val="009D7E1A"/>
    <w:rsid w:val="009E2162"/>
    <w:rsid w:val="009F2F95"/>
    <w:rsid w:val="00A006EB"/>
    <w:rsid w:val="00A03709"/>
    <w:rsid w:val="00A06C77"/>
    <w:rsid w:val="00A10147"/>
    <w:rsid w:val="00A13D26"/>
    <w:rsid w:val="00A146A5"/>
    <w:rsid w:val="00A17411"/>
    <w:rsid w:val="00A2223D"/>
    <w:rsid w:val="00A223EF"/>
    <w:rsid w:val="00A34A74"/>
    <w:rsid w:val="00A35351"/>
    <w:rsid w:val="00A42ADE"/>
    <w:rsid w:val="00A60693"/>
    <w:rsid w:val="00A67728"/>
    <w:rsid w:val="00A81A4F"/>
    <w:rsid w:val="00A82E14"/>
    <w:rsid w:val="00A901E9"/>
    <w:rsid w:val="00A9762C"/>
    <w:rsid w:val="00AA4067"/>
    <w:rsid w:val="00AB1A5B"/>
    <w:rsid w:val="00AC0A54"/>
    <w:rsid w:val="00AC125E"/>
    <w:rsid w:val="00AC15DF"/>
    <w:rsid w:val="00AC45DF"/>
    <w:rsid w:val="00AC474D"/>
    <w:rsid w:val="00AC4DFD"/>
    <w:rsid w:val="00AC58FD"/>
    <w:rsid w:val="00AC60CD"/>
    <w:rsid w:val="00AD60E6"/>
    <w:rsid w:val="00AD793A"/>
    <w:rsid w:val="00AE457D"/>
    <w:rsid w:val="00AE5956"/>
    <w:rsid w:val="00AE619F"/>
    <w:rsid w:val="00AF373A"/>
    <w:rsid w:val="00AF7EFE"/>
    <w:rsid w:val="00B03BEE"/>
    <w:rsid w:val="00B049AA"/>
    <w:rsid w:val="00B0517E"/>
    <w:rsid w:val="00B056E2"/>
    <w:rsid w:val="00B11314"/>
    <w:rsid w:val="00B1192C"/>
    <w:rsid w:val="00B138E3"/>
    <w:rsid w:val="00B23267"/>
    <w:rsid w:val="00B25891"/>
    <w:rsid w:val="00B27149"/>
    <w:rsid w:val="00B40D26"/>
    <w:rsid w:val="00B4451B"/>
    <w:rsid w:val="00B51316"/>
    <w:rsid w:val="00B72D62"/>
    <w:rsid w:val="00B76920"/>
    <w:rsid w:val="00B843C8"/>
    <w:rsid w:val="00B951E2"/>
    <w:rsid w:val="00B96F37"/>
    <w:rsid w:val="00BA607C"/>
    <w:rsid w:val="00BB3E2A"/>
    <w:rsid w:val="00BC16F5"/>
    <w:rsid w:val="00BC287D"/>
    <w:rsid w:val="00BC4A76"/>
    <w:rsid w:val="00BD32E5"/>
    <w:rsid w:val="00BD7ADD"/>
    <w:rsid w:val="00BE41C3"/>
    <w:rsid w:val="00BE6767"/>
    <w:rsid w:val="00BE68D7"/>
    <w:rsid w:val="00BF0784"/>
    <w:rsid w:val="00BF7763"/>
    <w:rsid w:val="00C02ED3"/>
    <w:rsid w:val="00C04D5E"/>
    <w:rsid w:val="00C23E38"/>
    <w:rsid w:val="00C24EA2"/>
    <w:rsid w:val="00C24F70"/>
    <w:rsid w:val="00C25D5B"/>
    <w:rsid w:val="00C325C4"/>
    <w:rsid w:val="00C33479"/>
    <w:rsid w:val="00C47BA2"/>
    <w:rsid w:val="00C47C2A"/>
    <w:rsid w:val="00C570B8"/>
    <w:rsid w:val="00C612DC"/>
    <w:rsid w:val="00C622CB"/>
    <w:rsid w:val="00C64D15"/>
    <w:rsid w:val="00C74F74"/>
    <w:rsid w:val="00C7554B"/>
    <w:rsid w:val="00C80192"/>
    <w:rsid w:val="00C83E31"/>
    <w:rsid w:val="00C916A4"/>
    <w:rsid w:val="00C95BC5"/>
    <w:rsid w:val="00CA2A52"/>
    <w:rsid w:val="00CA2B15"/>
    <w:rsid w:val="00CA6490"/>
    <w:rsid w:val="00CB05BE"/>
    <w:rsid w:val="00CB5744"/>
    <w:rsid w:val="00CB7022"/>
    <w:rsid w:val="00CD1937"/>
    <w:rsid w:val="00CE214C"/>
    <w:rsid w:val="00CE6858"/>
    <w:rsid w:val="00CF50BE"/>
    <w:rsid w:val="00CF553B"/>
    <w:rsid w:val="00CF6A52"/>
    <w:rsid w:val="00D03583"/>
    <w:rsid w:val="00D117B4"/>
    <w:rsid w:val="00D169F7"/>
    <w:rsid w:val="00D21382"/>
    <w:rsid w:val="00D26D01"/>
    <w:rsid w:val="00D33DA3"/>
    <w:rsid w:val="00D42DA9"/>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C5665"/>
    <w:rsid w:val="00DD46FC"/>
    <w:rsid w:val="00DD4F44"/>
    <w:rsid w:val="00DD5D8B"/>
    <w:rsid w:val="00DE0F9E"/>
    <w:rsid w:val="00DE5D76"/>
    <w:rsid w:val="00E04C8D"/>
    <w:rsid w:val="00E128D8"/>
    <w:rsid w:val="00E276CF"/>
    <w:rsid w:val="00E30D45"/>
    <w:rsid w:val="00E42FE4"/>
    <w:rsid w:val="00E46FAA"/>
    <w:rsid w:val="00E50FB5"/>
    <w:rsid w:val="00E565B8"/>
    <w:rsid w:val="00E5750B"/>
    <w:rsid w:val="00E60E2E"/>
    <w:rsid w:val="00E63A24"/>
    <w:rsid w:val="00E67913"/>
    <w:rsid w:val="00E71A2D"/>
    <w:rsid w:val="00E8698A"/>
    <w:rsid w:val="00E923F2"/>
    <w:rsid w:val="00EA28FF"/>
    <w:rsid w:val="00EA31CC"/>
    <w:rsid w:val="00EB14DF"/>
    <w:rsid w:val="00EB2B64"/>
    <w:rsid w:val="00EB3A07"/>
    <w:rsid w:val="00EB4143"/>
    <w:rsid w:val="00EB4728"/>
    <w:rsid w:val="00EC207A"/>
    <w:rsid w:val="00EC3F31"/>
    <w:rsid w:val="00ED3C91"/>
    <w:rsid w:val="00ED4112"/>
    <w:rsid w:val="00EF1347"/>
    <w:rsid w:val="00EF2BEB"/>
    <w:rsid w:val="00F01129"/>
    <w:rsid w:val="00F03D93"/>
    <w:rsid w:val="00F03D9E"/>
    <w:rsid w:val="00F227BF"/>
    <w:rsid w:val="00F374B2"/>
    <w:rsid w:val="00F40AFC"/>
    <w:rsid w:val="00F4366A"/>
    <w:rsid w:val="00F4730E"/>
    <w:rsid w:val="00F50A92"/>
    <w:rsid w:val="00F53F24"/>
    <w:rsid w:val="00F63341"/>
    <w:rsid w:val="00F7536E"/>
    <w:rsid w:val="00F81F93"/>
    <w:rsid w:val="00F839A8"/>
    <w:rsid w:val="00F86F1B"/>
    <w:rsid w:val="00F92A21"/>
    <w:rsid w:val="00F92E9B"/>
    <w:rsid w:val="00F95814"/>
    <w:rsid w:val="00FA01D9"/>
    <w:rsid w:val="00FA031C"/>
    <w:rsid w:val="00FB13C1"/>
    <w:rsid w:val="00FB420B"/>
    <w:rsid w:val="00FC1C5F"/>
    <w:rsid w:val="00FC5A4D"/>
    <w:rsid w:val="00FC5C0C"/>
    <w:rsid w:val="00FC64EF"/>
    <w:rsid w:val="00FD2673"/>
    <w:rsid w:val="00FE22FA"/>
    <w:rsid w:val="00FE26C9"/>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9" w:qFormat="1"/>
    <w:lsdException w:name="heading 3" w:uiPriority="9"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9"/>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9"/>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95197E"/>
    <w:pPr>
      <w:spacing w:before="0"/>
    </w:pPr>
    <w:rPr>
      <w:sz w:val="16"/>
      <w:szCs w:val="20"/>
    </w:rPr>
  </w:style>
  <w:style w:type="character" w:customStyle="1" w:styleId="FootnoteTextChar">
    <w:name w:val="Footnote Text Char"/>
    <w:basedOn w:val="DefaultParagraphFont"/>
    <w:link w:val="FootnoteText"/>
    <w:uiPriority w:val="99"/>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9"/>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9"/>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qFormat/>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FootnoteReference">
    <w:name w:val="footnote reference"/>
    <w:uiPriority w:val="99"/>
    <w:unhideWhenUsed/>
    <w:rsid w:val="00E565B8"/>
    <w:rPr>
      <w:vertAlign w:val="superscript"/>
    </w:rPr>
  </w:style>
  <w:style w:type="character" w:styleId="CommentReference">
    <w:name w:val="annotation reference"/>
    <w:basedOn w:val="DefaultParagraphFont"/>
    <w:rsid w:val="0008796E"/>
    <w:rPr>
      <w:sz w:val="16"/>
      <w:szCs w:val="16"/>
    </w:rPr>
  </w:style>
  <w:style w:type="paragraph" w:styleId="CommentText">
    <w:name w:val="annotation text"/>
    <w:basedOn w:val="Normal"/>
    <w:link w:val="CommentTextChar"/>
    <w:rsid w:val="0008796E"/>
    <w:pPr>
      <w:spacing w:line="240" w:lineRule="auto"/>
    </w:pPr>
    <w:rPr>
      <w:sz w:val="20"/>
      <w:szCs w:val="20"/>
    </w:rPr>
  </w:style>
  <w:style w:type="character" w:customStyle="1" w:styleId="CommentTextChar">
    <w:name w:val="Comment Text Char"/>
    <w:basedOn w:val="DefaultParagraphFont"/>
    <w:link w:val="CommentText"/>
    <w:rsid w:val="0008796E"/>
    <w:rPr>
      <w:rFonts w:ascii="Arial" w:hAnsi="Arial"/>
      <w:spacing w:val="4"/>
    </w:rPr>
  </w:style>
  <w:style w:type="paragraph" w:styleId="CommentSubject">
    <w:name w:val="annotation subject"/>
    <w:basedOn w:val="CommentText"/>
    <w:next w:val="CommentText"/>
    <w:link w:val="CommentSubjectChar"/>
    <w:rsid w:val="0008796E"/>
    <w:rPr>
      <w:b/>
      <w:bCs/>
    </w:rPr>
  </w:style>
  <w:style w:type="character" w:customStyle="1" w:styleId="CommentSubjectChar">
    <w:name w:val="Comment Subject Char"/>
    <w:basedOn w:val="CommentTextChar"/>
    <w:link w:val="CommentSubject"/>
    <w:rsid w:val="0008796E"/>
    <w:rPr>
      <w:rFonts w:ascii="Arial" w:hAnsi="Arial"/>
      <w:b/>
      <w:bCs/>
      <w:spacing w:val="4"/>
    </w:rPr>
  </w:style>
  <w:style w:type="character" w:styleId="FollowedHyperlink">
    <w:name w:val="FollowedHyperlink"/>
    <w:basedOn w:val="DefaultParagraphFont"/>
    <w:uiPriority w:val="99"/>
    <w:rsid w:val="005B6A74"/>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hyperlink" Target="http://www.intercountryadoption.gov.au/post-adoption-support/state-territory-support/" TargetMode="Externa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intercountryadoption.gov.au/post-adoption-support/state-territory-suppor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ntercountryadoption.gov.au/post-adoption-support/state-territory-suppor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773</Words>
  <Characters>5134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2018-05-29T04:04:00Z</dcterms:created>
  <dcterms:modified xsi:type="dcterms:W3CDTF">2018-05-29T04:44:00Z</dcterms:modified>
</cp:coreProperties>
</file>