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bookmarkStart w:id="0" w:name="_GoBack"/>
      <w:bookmarkEnd w:id="0"/>
      <w:r>
        <w:rPr>
          <w:noProof/>
        </w:rPr>
        <w:drawing>
          <wp:inline distT="0" distB="0" distL="0" distR="0" wp14:anchorId="0DE44EB8" wp14:editId="0AACA53D">
            <wp:extent cx="7542000"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inline>
        </w:drawing>
      </w:r>
    </w:p>
    <w:p w:rsidR="00C80192" w:rsidRDefault="00C80192" w:rsidP="00537B50">
      <w:pPr>
        <w:pStyle w:val="Smalltext"/>
        <w:ind w:right="-427"/>
      </w:pPr>
      <w:r>
        <w:t xml:space="preserve">DSS </w:t>
      </w:r>
      <w:r w:rsidR="00163ACA">
        <w:t>2113.05.17</w:t>
      </w:r>
    </w:p>
    <w:p w:rsidR="00123B6E" w:rsidRPr="000F00D5" w:rsidRDefault="00123B6E" w:rsidP="00123B6E">
      <w:pPr>
        <w:pStyle w:val="Title"/>
        <w:rPr>
          <w:sz w:val="56"/>
          <w:szCs w:val="56"/>
        </w:rPr>
      </w:pPr>
      <w:r w:rsidRPr="000F00D5">
        <w:rPr>
          <w:sz w:val="56"/>
          <w:szCs w:val="56"/>
        </w:rPr>
        <w:t xml:space="preserve">Disability Employment Services </w:t>
      </w:r>
    </w:p>
    <w:p w:rsidR="00F7052A" w:rsidRPr="000F00D5" w:rsidRDefault="00F7052A" w:rsidP="00F7052A">
      <w:pPr>
        <w:pStyle w:val="Subtitle"/>
        <w:spacing w:after="240"/>
        <w:rPr>
          <w:szCs w:val="36"/>
        </w:rPr>
      </w:pPr>
      <w:r w:rsidRPr="000F00D5">
        <w:rPr>
          <w:szCs w:val="36"/>
        </w:rPr>
        <w:t>Program c</w:t>
      </w:r>
      <w:r w:rsidR="00123B6E" w:rsidRPr="000F00D5">
        <w:rPr>
          <w:szCs w:val="36"/>
        </w:rPr>
        <w:t>hang</w:t>
      </w:r>
      <w:r w:rsidRPr="000F00D5">
        <w:rPr>
          <w:szCs w:val="36"/>
        </w:rPr>
        <w:t>es from 2018 - Information for providers</w:t>
      </w:r>
    </w:p>
    <w:p w:rsidR="00123B6E" w:rsidRPr="00721770" w:rsidRDefault="00123B6E" w:rsidP="00F7052A">
      <w:pPr>
        <w:pStyle w:val="Heading1"/>
        <w:spacing w:before="120"/>
        <w:rPr>
          <w:color w:val="auto"/>
          <w:szCs w:val="36"/>
        </w:rPr>
      </w:pPr>
      <w:r w:rsidRPr="00721770">
        <w:rPr>
          <w:szCs w:val="36"/>
        </w:rPr>
        <w:t xml:space="preserve">Improvements to the Australian Government’s Disability Employment Services Program will help more people with disability, </w:t>
      </w:r>
      <w:r w:rsidR="00F21CF3" w:rsidRPr="00721770">
        <w:rPr>
          <w:szCs w:val="36"/>
        </w:rPr>
        <w:t xml:space="preserve">injury or </w:t>
      </w:r>
      <w:r w:rsidR="00E634EC" w:rsidRPr="00721770">
        <w:rPr>
          <w:szCs w:val="36"/>
        </w:rPr>
        <w:t xml:space="preserve">a </w:t>
      </w:r>
      <w:r w:rsidR="00F21CF3" w:rsidRPr="00721770">
        <w:rPr>
          <w:szCs w:val="36"/>
        </w:rPr>
        <w:t xml:space="preserve">health condition to </w:t>
      </w:r>
      <w:r w:rsidR="00F7052A" w:rsidRPr="00721770">
        <w:rPr>
          <w:szCs w:val="36"/>
        </w:rPr>
        <w:t xml:space="preserve">find and keep </w:t>
      </w:r>
      <w:r w:rsidRPr="00721770">
        <w:rPr>
          <w:szCs w:val="36"/>
        </w:rPr>
        <w:t>long-term jobs</w:t>
      </w:r>
      <w:r w:rsidR="00E318F0" w:rsidRPr="00721770">
        <w:rPr>
          <w:szCs w:val="36"/>
        </w:rPr>
        <w:t>.</w:t>
      </w:r>
      <w:r w:rsidRPr="00721770">
        <w:rPr>
          <w:szCs w:val="36"/>
        </w:rPr>
        <w:t xml:space="preserve"> </w:t>
      </w:r>
    </w:p>
    <w:p w:rsidR="00123B6E" w:rsidRDefault="00123B6E" w:rsidP="00123B6E">
      <w:pPr>
        <w:pStyle w:val="Heading1"/>
        <w:rPr>
          <w:sz w:val="24"/>
          <w:szCs w:val="24"/>
        </w:rPr>
      </w:pPr>
    </w:p>
    <w:p w:rsidR="00123B6E" w:rsidRPr="002D02C3" w:rsidRDefault="00123B6E" w:rsidP="00123B6E">
      <w:pPr>
        <w:pStyle w:val="Heading1"/>
        <w:rPr>
          <w:rStyle w:val="Strong"/>
          <w:rFonts w:asciiTheme="majorHAnsi" w:hAnsiTheme="majorHAnsi"/>
          <w:sz w:val="28"/>
          <w:szCs w:val="28"/>
        </w:rPr>
      </w:pPr>
      <w:r w:rsidRPr="002D02C3">
        <w:rPr>
          <w:rStyle w:val="Strong"/>
          <w:rFonts w:asciiTheme="majorHAnsi" w:hAnsiTheme="majorHAnsi"/>
          <w:sz w:val="28"/>
          <w:szCs w:val="28"/>
        </w:rPr>
        <w:t>D</w:t>
      </w:r>
      <w:r>
        <w:rPr>
          <w:rStyle w:val="Strong"/>
          <w:rFonts w:asciiTheme="majorHAnsi" w:hAnsiTheme="majorHAnsi"/>
          <w:sz w:val="28"/>
          <w:szCs w:val="28"/>
        </w:rPr>
        <w:t xml:space="preserve">isability Employment Services (DES) </w:t>
      </w:r>
      <w:r w:rsidR="00F7052A">
        <w:rPr>
          <w:rStyle w:val="Strong"/>
          <w:rFonts w:asciiTheme="majorHAnsi" w:hAnsiTheme="majorHAnsi"/>
          <w:sz w:val="28"/>
          <w:szCs w:val="28"/>
        </w:rPr>
        <w:t>p</w:t>
      </w:r>
      <w:r w:rsidRPr="002D02C3">
        <w:rPr>
          <w:rStyle w:val="Strong"/>
          <w:rFonts w:asciiTheme="majorHAnsi" w:hAnsiTheme="majorHAnsi"/>
          <w:sz w:val="28"/>
          <w:szCs w:val="28"/>
        </w:rPr>
        <w:t xml:space="preserve">rogram </w:t>
      </w:r>
      <w:r w:rsidR="00F7052A">
        <w:rPr>
          <w:rStyle w:val="Strong"/>
          <w:rFonts w:asciiTheme="majorHAnsi" w:hAnsiTheme="majorHAnsi"/>
          <w:sz w:val="28"/>
          <w:szCs w:val="28"/>
        </w:rPr>
        <w:t>c</w:t>
      </w:r>
      <w:r w:rsidRPr="002D02C3">
        <w:rPr>
          <w:rStyle w:val="Strong"/>
          <w:rFonts w:asciiTheme="majorHAnsi" w:hAnsiTheme="majorHAnsi"/>
          <w:sz w:val="28"/>
          <w:szCs w:val="28"/>
        </w:rPr>
        <w:t>hanges</w:t>
      </w:r>
    </w:p>
    <w:p w:rsidR="00123B6E" w:rsidRPr="00B54B5F" w:rsidRDefault="00123B6E" w:rsidP="00123B6E">
      <w:pPr>
        <w:pStyle w:val="Heading4"/>
        <w:rPr>
          <w:rStyle w:val="SubtleEmphasis"/>
          <w:rFonts w:asciiTheme="majorHAnsi" w:hAnsiTheme="majorHAnsi"/>
          <w:color w:val="404040" w:themeColor="text1" w:themeTint="BF"/>
        </w:rPr>
      </w:pPr>
      <w:r w:rsidRPr="00B54B5F">
        <w:rPr>
          <w:rStyle w:val="SubtleEmphasis"/>
          <w:rFonts w:asciiTheme="majorHAnsi" w:hAnsiTheme="majorHAnsi"/>
          <w:color w:val="404040" w:themeColor="text1" w:themeTint="BF"/>
        </w:rPr>
        <w:t>Improving choice and control</w:t>
      </w:r>
      <w:r w:rsidR="00F7052A">
        <w:rPr>
          <w:rStyle w:val="SubtleEmphasis"/>
          <w:rFonts w:asciiTheme="majorHAnsi" w:hAnsiTheme="majorHAnsi"/>
          <w:color w:val="404040" w:themeColor="text1" w:themeTint="BF"/>
        </w:rPr>
        <w:t xml:space="preserve"> for participants</w:t>
      </w:r>
    </w:p>
    <w:p w:rsidR="00CD3A4C" w:rsidRPr="00721770" w:rsidRDefault="00123B6E" w:rsidP="00123B6E">
      <w:pPr>
        <w:pStyle w:val="ListBullet"/>
        <w:numPr>
          <w:ilvl w:val="0"/>
          <w:numId w:val="0"/>
        </w:numPr>
        <w:tabs>
          <w:tab w:val="clear" w:pos="170"/>
          <w:tab w:val="left" w:pos="0"/>
        </w:tabs>
        <w:spacing w:after="120"/>
        <w:rPr>
          <w:rFonts w:cs="Arial"/>
          <w:bCs/>
          <w:kern w:val="32"/>
        </w:rPr>
      </w:pPr>
      <w:r w:rsidRPr="00721770">
        <w:rPr>
          <w:rFonts w:cs="Arial"/>
          <w:bCs/>
          <w:kern w:val="32"/>
        </w:rPr>
        <w:t xml:space="preserve">Under the new arrangements, </w:t>
      </w:r>
      <w:r w:rsidR="00F7052A" w:rsidRPr="00721770">
        <w:rPr>
          <w:rFonts w:cs="Arial"/>
          <w:bCs/>
          <w:kern w:val="32"/>
        </w:rPr>
        <w:t xml:space="preserve">DES </w:t>
      </w:r>
      <w:r w:rsidR="00CD3A4C" w:rsidRPr="00721770">
        <w:rPr>
          <w:rFonts w:cs="Arial"/>
          <w:bCs/>
          <w:kern w:val="32"/>
        </w:rPr>
        <w:t>participant</w:t>
      </w:r>
      <w:r w:rsidR="00F7052A" w:rsidRPr="00721770">
        <w:rPr>
          <w:rFonts w:cs="Arial"/>
          <w:bCs/>
          <w:kern w:val="32"/>
        </w:rPr>
        <w:t xml:space="preserve">s will have greater </w:t>
      </w:r>
      <w:r w:rsidR="00F21CF3" w:rsidRPr="00721770">
        <w:rPr>
          <w:rFonts w:cs="Arial"/>
          <w:bCs/>
          <w:kern w:val="32"/>
        </w:rPr>
        <w:t xml:space="preserve">choice </w:t>
      </w:r>
      <w:r w:rsidR="00F7052A" w:rsidRPr="00721770">
        <w:rPr>
          <w:rFonts w:cs="Arial"/>
          <w:bCs/>
          <w:kern w:val="32"/>
        </w:rPr>
        <w:t>about the services they receive and how the</w:t>
      </w:r>
      <w:r w:rsidR="00F21CF3" w:rsidRPr="00721770">
        <w:rPr>
          <w:rFonts w:cs="Arial"/>
          <w:bCs/>
          <w:kern w:val="32"/>
        </w:rPr>
        <w:t>y receive them. Changes include:</w:t>
      </w:r>
    </w:p>
    <w:p w:rsidR="00A06BD8" w:rsidRPr="00721770" w:rsidRDefault="00B568C0" w:rsidP="00123B6E">
      <w:pPr>
        <w:pStyle w:val="ListBullet"/>
        <w:spacing w:before="60" w:after="120"/>
        <w:ind w:left="527" w:hanging="357"/>
        <w:rPr>
          <w:rFonts w:cs="Arial"/>
          <w:bCs/>
          <w:kern w:val="32"/>
        </w:rPr>
      </w:pPr>
      <w:r>
        <w:rPr>
          <w:rFonts w:cs="Arial"/>
        </w:rPr>
        <w:t>m</w:t>
      </w:r>
      <w:r w:rsidR="00A06BD8" w:rsidRPr="00721770">
        <w:rPr>
          <w:rFonts w:cs="Arial"/>
        </w:rPr>
        <w:t>ore flexible servicing arrangements</w:t>
      </w:r>
      <w:r w:rsidR="00A86301">
        <w:rPr>
          <w:rFonts w:cs="Arial"/>
        </w:rPr>
        <w:t>,</w:t>
      </w:r>
      <w:r w:rsidR="00A06BD8" w:rsidRPr="00721770">
        <w:rPr>
          <w:rFonts w:cs="Arial"/>
        </w:rPr>
        <w:t xml:space="preserve"> so participant and provider appointments are not limited to face-to-face contacts</w:t>
      </w:r>
      <w:r w:rsidR="00D2238A">
        <w:rPr>
          <w:rFonts w:cs="Arial"/>
        </w:rPr>
        <w:t>;</w:t>
      </w:r>
    </w:p>
    <w:p w:rsidR="00123B6E" w:rsidRPr="00721770" w:rsidRDefault="00E634EC" w:rsidP="00123B6E">
      <w:pPr>
        <w:pStyle w:val="ListBullet"/>
        <w:spacing w:before="60" w:after="120"/>
        <w:ind w:left="527" w:hanging="357"/>
        <w:rPr>
          <w:rFonts w:cs="Arial"/>
          <w:bCs/>
          <w:kern w:val="32"/>
        </w:rPr>
      </w:pPr>
      <w:r w:rsidRPr="00721770">
        <w:rPr>
          <w:rFonts w:cs="Arial"/>
        </w:rPr>
        <w:t>r</w:t>
      </w:r>
      <w:r w:rsidR="00123B6E" w:rsidRPr="00721770">
        <w:rPr>
          <w:rFonts w:cs="Arial"/>
        </w:rPr>
        <w:t>emoval of the current market share arrangements that restrict participant choice</w:t>
      </w:r>
      <w:r w:rsidR="000F00D5" w:rsidRPr="00721770">
        <w:rPr>
          <w:rFonts w:cs="Arial"/>
        </w:rPr>
        <w:t xml:space="preserve"> of provider</w:t>
      </w:r>
      <w:r w:rsidR="00D2238A">
        <w:rPr>
          <w:rFonts w:cs="Arial"/>
        </w:rPr>
        <w:t>;</w:t>
      </w:r>
    </w:p>
    <w:p w:rsidR="00CD3A4C" w:rsidRPr="00721770" w:rsidRDefault="00E634EC" w:rsidP="00123B6E">
      <w:pPr>
        <w:pStyle w:val="ListBullet"/>
        <w:spacing w:before="60" w:after="120"/>
        <w:ind w:left="527" w:hanging="357"/>
        <w:rPr>
          <w:rFonts w:cs="Arial"/>
          <w:bCs/>
          <w:kern w:val="32"/>
        </w:rPr>
      </w:pPr>
      <w:r w:rsidRPr="00721770">
        <w:rPr>
          <w:rFonts w:cs="Arial"/>
        </w:rPr>
        <w:t>r</w:t>
      </w:r>
      <w:r w:rsidR="00CD3A4C" w:rsidRPr="00721770">
        <w:rPr>
          <w:rFonts w:cs="Arial"/>
        </w:rPr>
        <w:t>elaxing Employment Service Area restrictions for participa</w:t>
      </w:r>
      <w:r w:rsidR="00F7052A" w:rsidRPr="00721770">
        <w:rPr>
          <w:rFonts w:cs="Arial"/>
        </w:rPr>
        <w:t>nts so they can choose to use</w:t>
      </w:r>
      <w:r w:rsidR="00CD3A4C" w:rsidRPr="00721770">
        <w:rPr>
          <w:rFonts w:cs="Arial"/>
        </w:rPr>
        <w:t xml:space="preserve"> a provider outside of their local area</w:t>
      </w:r>
      <w:r w:rsidR="00D2238A">
        <w:rPr>
          <w:rFonts w:cs="Arial"/>
        </w:rPr>
        <w:t>;</w:t>
      </w:r>
    </w:p>
    <w:p w:rsidR="00123B6E" w:rsidRPr="00721770" w:rsidRDefault="00E634EC" w:rsidP="00123B6E">
      <w:pPr>
        <w:pStyle w:val="ListBullet"/>
        <w:spacing w:before="60" w:after="120"/>
        <w:ind w:left="527" w:hanging="357"/>
        <w:rPr>
          <w:rFonts w:cs="Arial"/>
          <w:bCs/>
          <w:kern w:val="32"/>
        </w:rPr>
      </w:pPr>
      <w:r w:rsidRPr="00721770">
        <w:rPr>
          <w:rFonts w:cs="Arial"/>
        </w:rPr>
        <w:t>m</w:t>
      </w:r>
      <w:r w:rsidR="00E355AE" w:rsidRPr="00721770">
        <w:rPr>
          <w:rFonts w:cs="Arial"/>
        </w:rPr>
        <w:t>aking it easier for participants to change providers if they are unhappy with the services they are receiving</w:t>
      </w:r>
      <w:r w:rsidR="00D2238A">
        <w:rPr>
          <w:rFonts w:cs="Arial"/>
        </w:rPr>
        <w:t>; and</w:t>
      </w:r>
    </w:p>
    <w:p w:rsidR="00123B6E" w:rsidRPr="00721770" w:rsidRDefault="00E634EC" w:rsidP="00123B6E">
      <w:pPr>
        <w:pStyle w:val="ListBullet"/>
        <w:spacing w:before="60" w:after="120"/>
        <w:ind w:left="527" w:hanging="357"/>
        <w:rPr>
          <w:rFonts w:cs="Arial"/>
          <w:bCs/>
          <w:kern w:val="32"/>
        </w:rPr>
      </w:pPr>
      <w:r w:rsidRPr="00721770">
        <w:rPr>
          <w:rFonts w:cs="Arial"/>
        </w:rPr>
        <w:t>i</w:t>
      </w:r>
      <w:r w:rsidR="00123B6E" w:rsidRPr="00721770">
        <w:rPr>
          <w:rFonts w:cs="Arial"/>
        </w:rPr>
        <w:t xml:space="preserve">mproved information for participants </w:t>
      </w:r>
      <w:r w:rsidR="00F7052A" w:rsidRPr="00721770">
        <w:rPr>
          <w:rFonts w:cs="Arial"/>
        </w:rPr>
        <w:t>about DES p</w:t>
      </w:r>
      <w:r w:rsidR="00123B6E" w:rsidRPr="00721770">
        <w:rPr>
          <w:rFonts w:cs="Arial"/>
        </w:rPr>
        <w:t>roviders</w:t>
      </w:r>
      <w:r w:rsidR="001A2ED7">
        <w:rPr>
          <w:rFonts w:cs="Arial"/>
        </w:rPr>
        <w:t xml:space="preserve"> and what they offer via websites and a mobile application</w:t>
      </w:r>
      <w:r w:rsidR="00B568C0">
        <w:rPr>
          <w:rFonts w:cs="Arial"/>
        </w:rPr>
        <w:t>.</w:t>
      </w:r>
    </w:p>
    <w:p w:rsidR="00123B6E" w:rsidRPr="00B54B5F" w:rsidRDefault="00123B6E" w:rsidP="00962BD9">
      <w:pPr>
        <w:pStyle w:val="Heading4"/>
        <w:spacing w:after="120"/>
        <w:rPr>
          <w:rStyle w:val="SubtleEmphasis"/>
          <w:rFonts w:asciiTheme="majorHAnsi" w:hAnsiTheme="majorHAnsi"/>
          <w:color w:val="404040" w:themeColor="text1" w:themeTint="BF"/>
        </w:rPr>
      </w:pPr>
      <w:r w:rsidRPr="00B54B5F">
        <w:rPr>
          <w:rStyle w:val="SubtleEmphasis"/>
          <w:rFonts w:asciiTheme="majorHAnsi" w:hAnsiTheme="majorHAnsi"/>
          <w:color w:val="404040" w:themeColor="text1" w:themeTint="BF"/>
        </w:rPr>
        <w:t xml:space="preserve">Improving competition and contestability </w:t>
      </w:r>
    </w:p>
    <w:p w:rsidR="00123B6E" w:rsidRPr="00721770" w:rsidRDefault="001A2ED7" w:rsidP="00123B6E">
      <w:pPr>
        <w:pStyle w:val="ListBullet"/>
        <w:numPr>
          <w:ilvl w:val="0"/>
          <w:numId w:val="0"/>
        </w:numPr>
        <w:tabs>
          <w:tab w:val="clear" w:pos="170"/>
          <w:tab w:val="left" w:pos="0"/>
        </w:tabs>
        <w:spacing w:after="120"/>
        <w:rPr>
          <w:rFonts w:asciiTheme="minorHAnsi" w:hAnsiTheme="minorHAnsi" w:cstheme="minorHAnsi"/>
          <w:bCs/>
          <w:kern w:val="32"/>
        </w:rPr>
      </w:pPr>
      <w:r>
        <w:rPr>
          <w:rFonts w:asciiTheme="minorHAnsi" w:hAnsiTheme="minorHAnsi" w:cstheme="minorHAnsi"/>
          <w:bCs/>
          <w:kern w:val="32"/>
        </w:rPr>
        <w:t xml:space="preserve">Market share arrangements will be removed. This </w:t>
      </w:r>
      <w:r w:rsidR="00F7052A" w:rsidRPr="00721770">
        <w:rPr>
          <w:rFonts w:asciiTheme="minorHAnsi" w:hAnsiTheme="minorHAnsi" w:cstheme="minorHAnsi"/>
          <w:bCs/>
          <w:kern w:val="32"/>
        </w:rPr>
        <w:t xml:space="preserve">means that DES providers will need </w:t>
      </w:r>
      <w:r w:rsidR="00123B6E" w:rsidRPr="00721770">
        <w:rPr>
          <w:rFonts w:asciiTheme="minorHAnsi" w:hAnsiTheme="minorHAnsi" w:cstheme="minorHAnsi"/>
          <w:bCs/>
          <w:kern w:val="32"/>
        </w:rPr>
        <w:t xml:space="preserve">to attract </w:t>
      </w:r>
      <w:r w:rsidR="00F7052A" w:rsidRPr="00721770">
        <w:rPr>
          <w:rFonts w:asciiTheme="minorHAnsi" w:hAnsiTheme="minorHAnsi" w:cstheme="minorHAnsi"/>
          <w:bCs/>
          <w:kern w:val="32"/>
        </w:rPr>
        <w:t>participants</w:t>
      </w:r>
      <w:r w:rsidR="00123B6E" w:rsidRPr="00721770">
        <w:rPr>
          <w:rFonts w:asciiTheme="minorHAnsi" w:hAnsiTheme="minorHAnsi" w:cstheme="minorHAnsi"/>
          <w:bCs/>
          <w:kern w:val="32"/>
        </w:rPr>
        <w:t xml:space="preserve"> to their organisation, rather than </w:t>
      </w:r>
      <w:r w:rsidR="00A86301">
        <w:rPr>
          <w:rFonts w:asciiTheme="minorHAnsi" w:hAnsiTheme="minorHAnsi" w:cstheme="minorHAnsi"/>
          <w:bCs/>
          <w:kern w:val="32"/>
        </w:rPr>
        <w:t xml:space="preserve">relying on a percentage of </w:t>
      </w:r>
      <w:r w:rsidR="00D37E6D">
        <w:rPr>
          <w:rFonts w:asciiTheme="minorHAnsi" w:hAnsiTheme="minorHAnsi" w:cstheme="minorHAnsi"/>
          <w:bCs/>
          <w:kern w:val="32"/>
        </w:rPr>
        <w:t xml:space="preserve">DES participants </w:t>
      </w:r>
      <w:r w:rsidR="00123B6E" w:rsidRPr="00721770">
        <w:rPr>
          <w:rFonts w:asciiTheme="minorHAnsi" w:hAnsiTheme="minorHAnsi" w:cstheme="minorHAnsi"/>
          <w:bCs/>
          <w:kern w:val="32"/>
        </w:rPr>
        <w:t xml:space="preserve">being </w:t>
      </w:r>
      <w:r w:rsidR="00D37E6D">
        <w:rPr>
          <w:rFonts w:asciiTheme="minorHAnsi" w:hAnsiTheme="minorHAnsi" w:cstheme="minorHAnsi"/>
          <w:bCs/>
          <w:kern w:val="32"/>
        </w:rPr>
        <w:t xml:space="preserve">referred </w:t>
      </w:r>
      <w:r w:rsidR="00182795" w:rsidRPr="00721770">
        <w:rPr>
          <w:rFonts w:asciiTheme="minorHAnsi" w:hAnsiTheme="minorHAnsi" w:cstheme="minorHAnsi"/>
          <w:bCs/>
          <w:kern w:val="32"/>
        </w:rPr>
        <w:t>through Centrelink</w:t>
      </w:r>
      <w:r w:rsidR="00123B6E" w:rsidRPr="00721770">
        <w:rPr>
          <w:rFonts w:asciiTheme="minorHAnsi" w:hAnsiTheme="minorHAnsi" w:cstheme="minorHAnsi"/>
          <w:bCs/>
          <w:kern w:val="32"/>
        </w:rPr>
        <w:t xml:space="preserve">. </w:t>
      </w:r>
    </w:p>
    <w:p w:rsidR="00123B6E" w:rsidRPr="008D40C6" w:rsidRDefault="00BA2C38" w:rsidP="00123B6E">
      <w:pPr>
        <w:pStyle w:val="ListBullet"/>
        <w:numPr>
          <w:ilvl w:val="0"/>
          <w:numId w:val="0"/>
        </w:numPr>
        <w:tabs>
          <w:tab w:val="clear" w:pos="170"/>
          <w:tab w:val="left" w:pos="0"/>
        </w:tabs>
        <w:spacing w:after="120"/>
        <w:rPr>
          <w:rFonts w:asciiTheme="minorHAnsi" w:hAnsiTheme="minorHAnsi"/>
          <w:kern w:val="32"/>
        </w:rPr>
      </w:pPr>
      <w:r w:rsidRPr="00A90DF8">
        <w:rPr>
          <w:rFonts w:asciiTheme="minorHAnsi" w:hAnsiTheme="minorHAnsi"/>
        </w:rPr>
        <w:t>A panel of DES providers will be established for an initial five-year period. Following this initial intake, subsequent application processes will be undertaken for DES on a regular basis, up to once a year, to allow new providers to enter the market or existing providers to move into additional regions. There will be options to extend contracts multiple times beyond 2023, up to a maximum additional 10 years.</w:t>
      </w:r>
    </w:p>
    <w:p w:rsidR="005646F4" w:rsidRDefault="005646F4" w:rsidP="005646F4">
      <w:pPr>
        <w:spacing w:after="240" w:line="240" w:lineRule="auto"/>
        <w:rPr>
          <w:rFonts w:asciiTheme="minorHAnsi" w:hAnsiTheme="minorHAnsi" w:cstheme="minorHAnsi"/>
          <w:bCs/>
          <w:kern w:val="32"/>
        </w:rPr>
      </w:pPr>
      <w:r>
        <w:rPr>
          <w:rFonts w:asciiTheme="minorHAnsi" w:hAnsiTheme="minorHAnsi" w:cstheme="minorHAnsi"/>
          <w:bCs/>
          <w:kern w:val="32"/>
        </w:rPr>
        <w:t xml:space="preserve">The distinction between Disability Management Service (DMS) and Employment Support Service (ESS) will be retained so providers have more flexibility to deliver specialised services. A single </w:t>
      </w:r>
      <w:r w:rsidR="00A70F3B">
        <w:rPr>
          <w:rFonts w:asciiTheme="minorHAnsi" w:hAnsiTheme="minorHAnsi" w:cstheme="minorHAnsi"/>
          <w:bCs/>
          <w:kern w:val="32"/>
        </w:rPr>
        <w:t xml:space="preserve">application </w:t>
      </w:r>
      <w:r>
        <w:rPr>
          <w:rFonts w:asciiTheme="minorHAnsi" w:hAnsiTheme="minorHAnsi" w:cstheme="minorHAnsi"/>
          <w:bCs/>
          <w:kern w:val="32"/>
        </w:rPr>
        <w:t>process will be introduced for DMS and ESS</w:t>
      </w:r>
      <w:r w:rsidR="00B568C0">
        <w:rPr>
          <w:rFonts w:asciiTheme="minorHAnsi" w:hAnsiTheme="minorHAnsi" w:cstheme="minorHAnsi"/>
          <w:bCs/>
          <w:kern w:val="32"/>
        </w:rPr>
        <w:t>,</w:t>
      </w:r>
      <w:r>
        <w:rPr>
          <w:rFonts w:asciiTheme="minorHAnsi" w:hAnsiTheme="minorHAnsi" w:cstheme="minorHAnsi"/>
          <w:bCs/>
          <w:kern w:val="32"/>
        </w:rPr>
        <w:t xml:space="preserve"> </w:t>
      </w:r>
      <w:r w:rsidRPr="0016699C">
        <w:rPr>
          <w:rFonts w:asciiTheme="minorHAnsi" w:hAnsiTheme="minorHAnsi"/>
          <w:kern w:val="32"/>
        </w:rPr>
        <w:t>which reduces the administrative burden of providers</w:t>
      </w:r>
      <w:r w:rsidR="00A70F3B" w:rsidRPr="0005186F">
        <w:rPr>
          <w:rFonts w:asciiTheme="minorHAnsi" w:hAnsiTheme="minorHAnsi" w:cstheme="minorHAnsi"/>
          <w:bCs/>
          <w:kern w:val="32"/>
        </w:rPr>
        <w:t xml:space="preserve"> seeking to deliver both services</w:t>
      </w:r>
      <w:r w:rsidRPr="0005186F">
        <w:rPr>
          <w:rFonts w:asciiTheme="minorHAnsi" w:hAnsiTheme="minorHAnsi" w:cstheme="minorHAnsi"/>
          <w:bCs/>
          <w:kern w:val="32"/>
        </w:rPr>
        <w:t>.</w:t>
      </w:r>
      <w:r>
        <w:rPr>
          <w:rFonts w:asciiTheme="minorHAnsi" w:hAnsiTheme="minorHAnsi" w:cstheme="minorHAnsi"/>
          <w:bCs/>
          <w:kern w:val="32"/>
        </w:rPr>
        <w:t xml:space="preserve"> </w:t>
      </w:r>
    </w:p>
    <w:p w:rsidR="005646F4" w:rsidRPr="005646F4" w:rsidRDefault="00A70F3B" w:rsidP="005646F4">
      <w:pPr>
        <w:pStyle w:val="ListBullet"/>
        <w:numPr>
          <w:ilvl w:val="0"/>
          <w:numId w:val="0"/>
        </w:numPr>
        <w:tabs>
          <w:tab w:val="clear" w:pos="170"/>
          <w:tab w:val="left" w:pos="0"/>
        </w:tabs>
        <w:spacing w:after="120"/>
        <w:rPr>
          <w:rFonts w:asciiTheme="minorHAnsi" w:hAnsiTheme="minorHAnsi" w:cstheme="minorHAnsi"/>
          <w:bCs/>
          <w:kern w:val="32"/>
        </w:rPr>
      </w:pPr>
      <w:r>
        <w:rPr>
          <w:rFonts w:asciiTheme="minorHAnsi" w:hAnsiTheme="minorHAnsi" w:cstheme="minorHAnsi"/>
          <w:bCs/>
          <w:kern w:val="32"/>
        </w:rPr>
        <w:lastRenderedPageBreak/>
        <w:t xml:space="preserve">The </w:t>
      </w:r>
      <w:r w:rsidR="005646F4" w:rsidRPr="005646F4">
        <w:rPr>
          <w:rFonts w:asciiTheme="minorHAnsi" w:hAnsiTheme="minorHAnsi" w:cstheme="minorHAnsi"/>
          <w:bCs/>
          <w:kern w:val="32"/>
        </w:rPr>
        <w:t xml:space="preserve">Department of Social Services will continue to monitor provider performance and compliance </w:t>
      </w:r>
      <w:r w:rsidR="00C85464">
        <w:rPr>
          <w:rFonts w:asciiTheme="minorHAnsi" w:hAnsiTheme="minorHAnsi" w:cstheme="minorHAnsi"/>
          <w:bCs/>
          <w:kern w:val="32"/>
        </w:rPr>
        <w:t xml:space="preserve">with </w:t>
      </w:r>
      <w:r w:rsidR="005646F4" w:rsidRPr="005646F4">
        <w:rPr>
          <w:rFonts w:asciiTheme="minorHAnsi" w:hAnsiTheme="minorHAnsi" w:cstheme="minorHAnsi"/>
          <w:bCs/>
          <w:kern w:val="32"/>
        </w:rPr>
        <w:t>the contract through its assurance</w:t>
      </w:r>
      <w:r w:rsidR="00D2238A">
        <w:rPr>
          <w:rFonts w:asciiTheme="minorHAnsi" w:hAnsiTheme="minorHAnsi" w:cstheme="minorHAnsi"/>
          <w:bCs/>
          <w:kern w:val="32"/>
        </w:rPr>
        <w:t xml:space="preserve"> and performance</w:t>
      </w:r>
      <w:r w:rsidR="005646F4" w:rsidRPr="005646F4">
        <w:rPr>
          <w:rFonts w:asciiTheme="minorHAnsi" w:hAnsiTheme="minorHAnsi" w:cstheme="minorHAnsi"/>
          <w:bCs/>
          <w:kern w:val="32"/>
        </w:rPr>
        <w:t xml:space="preserve"> framework. Providers found to be non-compliant or performing poorly</w:t>
      </w:r>
      <w:r>
        <w:rPr>
          <w:rFonts w:asciiTheme="minorHAnsi" w:hAnsiTheme="minorHAnsi" w:cstheme="minorHAnsi"/>
          <w:bCs/>
          <w:kern w:val="32"/>
        </w:rPr>
        <w:t xml:space="preserve"> over a period of time</w:t>
      </w:r>
      <w:r w:rsidR="005646F4" w:rsidRPr="005646F4">
        <w:rPr>
          <w:rFonts w:asciiTheme="minorHAnsi" w:hAnsiTheme="minorHAnsi" w:cstheme="minorHAnsi"/>
          <w:bCs/>
          <w:kern w:val="32"/>
        </w:rPr>
        <w:t xml:space="preserve"> may have their </w:t>
      </w:r>
      <w:r w:rsidR="00A86301">
        <w:rPr>
          <w:rFonts w:asciiTheme="minorHAnsi" w:hAnsiTheme="minorHAnsi" w:cstheme="minorHAnsi"/>
          <w:bCs/>
          <w:kern w:val="32"/>
        </w:rPr>
        <w:t>poor-</w:t>
      </w:r>
      <w:r w:rsidR="00D2238A">
        <w:rPr>
          <w:rFonts w:asciiTheme="minorHAnsi" w:hAnsiTheme="minorHAnsi" w:cstheme="minorHAnsi"/>
          <w:bCs/>
          <w:kern w:val="32"/>
        </w:rPr>
        <w:t xml:space="preserve">performing </w:t>
      </w:r>
      <w:r w:rsidR="005646F4" w:rsidRPr="005646F4">
        <w:rPr>
          <w:rFonts w:asciiTheme="minorHAnsi" w:hAnsiTheme="minorHAnsi" w:cstheme="minorHAnsi"/>
          <w:bCs/>
          <w:kern w:val="32"/>
        </w:rPr>
        <w:t xml:space="preserve">contract </w:t>
      </w:r>
      <w:r w:rsidR="00D2238A">
        <w:rPr>
          <w:rFonts w:asciiTheme="minorHAnsi" w:hAnsiTheme="minorHAnsi" w:cstheme="minorHAnsi"/>
          <w:bCs/>
          <w:kern w:val="32"/>
        </w:rPr>
        <w:t>cancelled</w:t>
      </w:r>
      <w:r w:rsidR="005646F4" w:rsidRPr="005646F4">
        <w:rPr>
          <w:rFonts w:asciiTheme="minorHAnsi" w:hAnsiTheme="minorHAnsi" w:cstheme="minorHAnsi"/>
          <w:bCs/>
          <w:kern w:val="32"/>
        </w:rPr>
        <w:t>.</w:t>
      </w:r>
    </w:p>
    <w:p w:rsidR="00123B6E" w:rsidRPr="00B54B5F" w:rsidRDefault="00E634EC" w:rsidP="00331917">
      <w:pPr>
        <w:pStyle w:val="Heading4"/>
        <w:rPr>
          <w:rStyle w:val="SubtleEmphasis"/>
          <w:rFonts w:asciiTheme="majorHAnsi" w:hAnsiTheme="majorHAnsi"/>
          <w:color w:val="404040" w:themeColor="text1" w:themeTint="BF"/>
        </w:rPr>
      </w:pPr>
      <w:r>
        <w:rPr>
          <w:rStyle w:val="SubtleEmphasis"/>
          <w:rFonts w:asciiTheme="majorHAnsi" w:hAnsiTheme="majorHAnsi"/>
          <w:color w:val="404040" w:themeColor="text1" w:themeTint="BF"/>
        </w:rPr>
        <w:t>Changes to the</w:t>
      </w:r>
      <w:r w:rsidR="00123B6E" w:rsidRPr="00B54B5F">
        <w:rPr>
          <w:rStyle w:val="SubtleEmphasis"/>
          <w:rFonts w:asciiTheme="majorHAnsi" w:hAnsiTheme="majorHAnsi"/>
          <w:color w:val="404040" w:themeColor="text1" w:themeTint="BF"/>
        </w:rPr>
        <w:t xml:space="preserve"> DES funding model </w:t>
      </w:r>
    </w:p>
    <w:p w:rsidR="00123B6E" w:rsidRPr="00690A3F" w:rsidRDefault="00A86301" w:rsidP="00690A3F">
      <w:pPr>
        <w:pStyle w:val="ListBullet"/>
        <w:numPr>
          <w:ilvl w:val="0"/>
          <w:numId w:val="0"/>
        </w:numPr>
        <w:tabs>
          <w:tab w:val="clear" w:pos="170"/>
          <w:tab w:val="left" w:pos="0"/>
        </w:tabs>
        <w:spacing w:after="120"/>
        <w:rPr>
          <w:rFonts w:asciiTheme="minorHAnsi" w:hAnsiTheme="minorHAnsi" w:cstheme="minorHAnsi"/>
          <w:bCs/>
          <w:kern w:val="32"/>
        </w:rPr>
      </w:pPr>
      <w:r w:rsidRPr="00182CC2">
        <w:rPr>
          <w:rFonts w:asciiTheme="minorHAnsi" w:hAnsiTheme="minorHAnsi" w:cs="Arial"/>
          <w:color w:val="000000" w:themeColor="text1"/>
        </w:rPr>
        <w:t>The payment model will be adjusted to rebalance expenditure from the current split of 60 per cent service fees and 40 per cent outcome fees to a new 50:50 split of service fees to outcome fees</w:t>
      </w:r>
      <w:r w:rsidR="00C85464">
        <w:rPr>
          <w:rFonts w:asciiTheme="minorHAnsi" w:hAnsiTheme="minorHAnsi" w:cs="Arial"/>
          <w:color w:val="000000" w:themeColor="text1"/>
        </w:rPr>
        <w:t xml:space="preserve"> (at current levels of performance) </w:t>
      </w:r>
      <w:r w:rsidRPr="00182CC2">
        <w:rPr>
          <w:rFonts w:asciiTheme="minorHAnsi" w:hAnsiTheme="minorHAnsi" w:cs="Arial"/>
          <w:color w:val="000000" w:themeColor="text1"/>
        </w:rPr>
        <w:t xml:space="preserve">to provide </w:t>
      </w:r>
      <w:r w:rsidR="00C85464">
        <w:rPr>
          <w:rFonts w:asciiTheme="minorHAnsi" w:hAnsiTheme="minorHAnsi" w:cs="Arial"/>
          <w:color w:val="000000" w:themeColor="text1"/>
        </w:rPr>
        <w:t xml:space="preserve">stronger </w:t>
      </w:r>
      <w:r w:rsidRPr="00182CC2">
        <w:rPr>
          <w:rFonts w:asciiTheme="minorHAnsi" w:hAnsiTheme="minorHAnsi" w:cs="Arial"/>
          <w:color w:val="000000" w:themeColor="text1"/>
        </w:rPr>
        <w:t xml:space="preserve">incentives </w:t>
      </w:r>
      <w:r w:rsidR="00C85464">
        <w:rPr>
          <w:rFonts w:asciiTheme="minorHAnsi" w:hAnsiTheme="minorHAnsi" w:cs="Arial"/>
          <w:color w:val="000000" w:themeColor="text1"/>
        </w:rPr>
        <w:t xml:space="preserve">for </w:t>
      </w:r>
      <w:r w:rsidRPr="00182CC2">
        <w:rPr>
          <w:rFonts w:asciiTheme="minorHAnsi" w:hAnsiTheme="minorHAnsi" w:cs="Arial"/>
          <w:color w:val="000000" w:themeColor="text1"/>
        </w:rPr>
        <w:t>providers to support participants towards employment outcomes.</w:t>
      </w:r>
    </w:p>
    <w:p w:rsidR="00717DB1" w:rsidRDefault="00A86301" w:rsidP="00690A3F">
      <w:pPr>
        <w:pStyle w:val="ListBullet"/>
        <w:numPr>
          <w:ilvl w:val="0"/>
          <w:numId w:val="0"/>
        </w:numPr>
        <w:tabs>
          <w:tab w:val="clear" w:pos="170"/>
          <w:tab w:val="left" w:pos="0"/>
        </w:tabs>
        <w:spacing w:after="120"/>
        <w:rPr>
          <w:rFonts w:asciiTheme="minorHAnsi" w:hAnsiTheme="minorHAnsi" w:cstheme="minorHAnsi"/>
          <w:bCs/>
          <w:kern w:val="32"/>
        </w:rPr>
      </w:pPr>
      <w:r w:rsidRPr="00182CC2">
        <w:rPr>
          <w:rFonts w:asciiTheme="minorHAnsi" w:hAnsiTheme="minorHAnsi" w:cs="Arial"/>
          <w:color w:val="000000" w:themeColor="text1"/>
        </w:rPr>
        <w:t>Outcomes fees will be risk-adjusted. Payments will be lower for easier-to-place participants, and higher for those who are more difficult to place</w:t>
      </w:r>
      <w:r w:rsidR="00C85464">
        <w:rPr>
          <w:rFonts w:asciiTheme="minorHAnsi" w:hAnsiTheme="minorHAnsi" w:cs="Arial"/>
          <w:color w:val="000000" w:themeColor="text1"/>
        </w:rPr>
        <w:t xml:space="preserve"> in employment</w:t>
      </w:r>
      <w:r w:rsidRPr="00182CC2">
        <w:rPr>
          <w:rFonts w:asciiTheme="minorHAnsi" w:hAnsiTheme="minorHAnsi" w:cs="Arial"/>
          <w:color w:val="000000" w:themeColor="text1"/>
        </w:rPr>
        <w:t xml:space="preserve">. Participants will be assigned a funding level based on their likelihood of achieving an employment outcome. The model will be recalibrated </w:t>
      </w:r>
      <w:r w:rsidR="00C85464">
        <w:rPr>
          <w:rFonts w:asciiTheme="minorHAnsi" w:hAnsiTheme="minorHAnsi" w:cs="Arial"/>
          <w:color w:val="000000" w:themeColor="text1"/>
        </w:rPr>
        <w:t xml:space="preserve">from time to time using </w:t>
      </w:r>
      <w:r w:rsidRPr="00182CC2">
        <w:rPr>
          <w:rFonts w:asciiTheme="minorHAnsi" w:hAnsiTheme="minorHAnsi" w:cs="Arial"/>
          <w:color w:val="000000" w:themeColor="text1"/>
        </w:rPr>
        <w:t xml:space="preserve">the most recent </w:t>
      </w:r>
      <w:r w:rsidR="00C85464">
        <w:rPr>
          <w:rFonts w:asciiTheme="minorHAnsi" w:hAnsiTheme="minorHAnsi" w:cs="Arial"/>
          <w:color w:val="000000" w:themeColor="text1"/>
        </w:rPr>
        <w:t xml:space="preserve">available </w:t>
      </w:r>
      <w:r w:rsidRPr="00182CC2">
        <w:rPr>
          <w:rFonts w:asciiTheme="minorHAnsi" w:hAnsiTheme="minorHAnsi" w:cs="Arial"/>
          <w:color w:val="000000" w:themeColor="text1"/>
        </w:rPr>
        <w:t>data</w:t>
      </w:r>
      <w:r w:rsidR="00C85464">
        <w:rPr>
          <w:rFonts w:asciiTheme="minorHAnsi" w:hAnsiTheme="minorHAnsi" w:cs="Arial"/>
          <w:color w:val="000000" w:themeColor="text1"/>
        </w:rPr>
        <w:t xml:space="preserve"> to reflect changes in outcome rates by participant characteristics and local labour market.</w:t>
      </w:r>
    </w:p>
    <w:p w:rsidR="006E5E41" w:rsidRPr="00690A3F" w:rsidRDefault="00A05BA7" w:rsidP="00690A3F">
      <w:pPr>
        <w:pStyle w:val="ListBullet"/>
        <w:numPr>
          <w:ilvl w:val="0"/>
          <w:numId w:val="0"/>
        </w:numPr>
        <w:tabs>
          <w:tab w:val="clear" w:pos="170"/>
          <w:tab w:val="left" w:pos="0"/>
        </w:tabs>
        <w:spacing w:after="120"/>
        <w:rPr>
          <w:rFonts w:asciiTheme="minorHAnsi" w:hAnsiTheme="minorHAnsi" w:cstheme="minorHAnsi"/>
          <w:bCs/>
          <w:kern w:val="32"/>
        </w:rPr>
      </w:pPr>
      <w:r w:rsidRPr="00690A3F">
        <w:rPr>
          <w:rFonts w:asciiTheme="minorHAnsi" w:hAnsiTheme="minorHAnsi" w:cstheme="minorHAnsi"/>
          <w:bCs/>
          <w:kern w:val="32"/>
        </w:rPr>
        <w:t>P</w:t>
      </w:r>
      <w:r w:rsidR="006E5E41" w:rsidRPr="00690A3F">
        <w:rPr>
          <w:rFonts w:asciiTheme="minorHAnsi" w:hAnsiTheme="minorHAnsi" w:cstheme="minorHAnsi"/>
          <w:bCs/>
          <w:kern w:val="32"/>
        </w:rPr>
        <w:t>ro-rat</w:t>
      </w:r>
      <w:r w:rsidR="00C85464">
        <w:rPr>
          <w:rFonts w:asciiTheme="minorHAnsi" w:hAnsiTheme="minorHAnsi" w:cstheme="minorHAnsi"/>
          <w:bCs/>
          <w:kern w:val="32"/>
        </w:rPr>
        <w:t>ing</w:t>
      </w:r>
      <w:r w:rsidR="006E5E41" w:rsidRPr="00690A3F">
        <w:rPr>
          <w:rFonts w:asciiTheme="minorHAnsi" w:hAnsiTheme="minorHAnsi" w:cstheme="minorHAnsi"/>
          <w:bCs/>
          <w:kern w:val="32"/>
        </w:rPr>
        <w:t xml:space="preserve"> </w:t>
      </w:r>
      <w:r w:rsidR="00C85464">
        <w:rPr>
          <w:rFonts w:asciiTheme="minorHAnsi" w:hAnsiTheme="minorHAnsi" w:cstheme="minorHAnsi"/>
          <w:bCs/>
          <w:kern w:val="32"/>
        </w:rPr>
        <w:t xml:space="preserve">of </w:t>
      </w:r>
      <w:r w:rsidR="006E5E41" w:rsidRPr="00690A3F">
        <w:rPr>
          <w:rFonts w:asciiTheme="minorHAnsi" w:hAnsiTheme="minorHAnsi" w:cstheme="minorHAnsi"/>
          <w:bCs/>
          <w:kern w:val="32"/>
        </w:rPr>
        <w:t>service fees</w:t>
      </w:r>
      <w:r w:rsidRPr="00690A3F">
        <w:rPr>
          <w:rFonts w:asciiTheme="minorHAnsi" w:hAnsiTheme="minorHAnsi" w:cstheme="minorHAnsi"/>
          <w:bCs/>
          <w:kern w:val="32"/>
        </w:rPr>
        <w:t xml:space="preserve"> will be introduced</w:t>
      </w:r>
      <w:r w:rsidR="00E634EC" w:rsidRPr="00690A3F">
        <w:rPr>
          <w:rFonts w:asciiTheme="minorHAnsi" w:hAnsiTheme="minorHAnsi" w:cstheme="minorHAnsi"/>
          <w:bCs/>
          <w:kern w:val="32"/>
        </w:rPr>
        <w:t>,</w:t>
      </w:r>
      <w:r w:rsidR="006E5E41" w:rsidRPr="00690A3F">
        <w:rPr>
          <w:rFonts w:asciiTheme="minorHAnsi" w:hAnsiTheme="minorHAnsi" w:cstheme="minorHAnsi"/>
          <w:bCs/>
          <w:kern w:val="32"/>
        </w:rPr>
        <w:t xml:space="preserve"> so </w:t>
      </w:r>
      <w:r w:rsidR="003F2F83" w:rsidRPr="00690A3F">
        <w:rPr>
          <w:rFonts w:asciiTheme="minorHAnsi" w:hAnsiTheme="minorHAnsi" w:cstheme="minorHAnsi"/>
          <w:bCs/>
          <w:kern w:val="32"/>
        </w:rPr>
        <w:t>fund</w:t>
      </w:r>
      <w:r w:rsidR="00F21CF3" w:rsidRPr="00690A3F">
        <w:rPr>
          <w:rFonts w:asciiTheme="minorHAnsi" w:hAnsiTheme="minorHAnsi" w:cstheme="minorHAnsi"/>
          <w:bCs/>
          <w:kern w:val="32"/>
        </w:rPr>
        <w:t>ing follows the participant where</w:t>
      </w:r>
      <w:r w:rsidR="003F2F83" w:rsidRPr="00690A3F">
        <w:rPr>
          <w:rFonts w:asciiTheme="minorHAnsi" w:hAnsiTheme="minorHAnsi" w:cstheme="minorHAnsi"/>
          <w:bCs/>
          <w:kern w:val="32"/>
        </w:rPr>
        <w:t xml:space="preserve"> they change providers.</w:t>
      </w:r>
    </w:p>
    <w:p w:rsidR="00123B6E" w:rsidRPr="00690A3F" w:rsidRDefault="00201776" w:rsidP="00690A3F">
      <w:pPr>
        <w:pStyle w:val="ListBullet"/>
        <w:numPr>
          <w:ilvl w:val="0"/>
          <w:numId w:val="0"/>
        </w:numPr>
        <w:tabs>
          <w:tab w:val="clear" w:pos="170"/>
          <w:tab w:val="left" w:pos="0"/>
        </w:tabs>
        <w:spacing w:after="120"/>
        <w:rPr>
          <w:rFonts w:asciiTheme="minorHAnsi" w:hAnsiTheme="minorHAnsi" w:cstheme="minorHAnsi"/>
          <w:bCs/>
          <w:kern w:val="32"/>
        </w:rPr>
      </w:pPr>
      <w:r w:rsidRPr="00690A3F">
        <w:rPr>
          <w:rFonts w:asciiTheme="minorHAnsi" w:hAnsiTheme="minorHAnsi" w:cstheme="minorHAnsi"/>
          <w:bCs/>
          <w:kern w:val="32"/>
        </w:rPr>
        <w:t xml:space="preserve">Outcome </w:t>
      </w:r>
      <w:r w:rsidR="003F2F83" w:rsidRPr="00690A3F">
        <w:rPr>
          <w:rFonts w:asciiTheme="minorHAnsi" w:hAnsiTheme="minorHAnsi" w:cstheme="minorHAnsi"/>
          <w:bCs/>
          <w:kern w:val="32"/>
        </w:rPr>
        <w:t>fee</w:t>
      </w:r>
      <w:r w:rsidR="00123B6E" w:rsidRPr="00690A3F">
        <w:rPr>
          <w:rFonts w:asciiTheme="minorHAnsi" w:hAnsiTheme="minorHAnsi" w:cstheme="minorHAnsi"/>
          <w:bCs/>
          <w:kern w:val="32"/>
        </w:rPr>
        <w:t>s will be paid after four</w:t>
      </w:r>
      <w:r w:rsidR="00F21CF3" w:rsidRPr="00690A3F">
        <w:rPr>
          <w:rFonts w:asciiTheme="minorHAnsi" w:hAnsiTheme="minorHAnsi" w:cstheme="minorHAnsi"/>
          <w:bCs/>
          <w:kern w:val="32"/>
        </w:rPr>
        <w:t>, 13, 26 and 52 weeks</w:t>
      </w:r>
      <w:r w:rsidR="00123B6E" w:rsidRPr="00690A3F">
        <w:rPr>
          <w:rFonts w:asciiTheme="minorHAnsi" w:hAnsiTheme="minorHAnsi" w:cstheme="minorHAnsi"/>
          <w:bCs/>
          <w:kern w:val="32"/>
        </w:rPr>
        <w:t xml:space="preserve"> to improve job matching and </w:t>
      </w:r>
      <w:r w:rsidR="00F21CF3" w:rsidRPr="00690A3F">
        <w:rPr>
          <w:rFonts w:asciiTheme="minorHAnsi" w:hAnsiTheme="minorHAnsi" w:cstheme="minorHAnsi"/>
          <w:bCs/>
          <w:kern w:val="32"/>
        </w:rPr>
        <w:t xml:space="preserve">the </w:t>
      </w:r>
      <w:r w:rsidR="00123B6E" w:rsidRPr="00690A3F">
        <w:rPr>
          <w:rFonts w:asciiTheme="minorHAnsi" w:hAnsiTheme="minorHAnsi" w:cstheme="minorHAnsi"/>
          <w:bCs/>
          <w:kern w:val="32"/>
        </w:rPr>
        <w:t>quality of initial job placements</w:t>
      </w:r>
      <w:r w:rsidR="00A86301">
        <w:rPr>
          <w:rFonts w:asciiTheme="minorHAnsi" w:hAnsiTheme="minorHAnsi" w:cstheme="minorHAnsi"/>
          <w:bCs/>
          <w:kern w:val="32"/>
        </w:rPr>
        <w:t>,</w:t>
      </w:r>
      <w:r w:rsidR="000F00D5" w:rsidRPr="00690A3F">
        <w:rPr>
          <w:rFonts w:asciiTheme="minorHAnsi" w:hAnsiTheme="minorHAnsi" w:cstheme="minorHAnsi"/>
          <w:bCs/>
          <w:kern w:val="32"/>
        </w:rPr>
        <w:t xml:space="preserve"> as well as rewarding sustained employment</w:t>
      </w:r>
      <w:r w:rsidR="003F2F83" w:rsidRPr="00690A3F">
        <w:rPr>
          <w:rFonts w:asciiTheme="minorHAnsi" w:hAnsiTheme="minorHAnsi" w:cstheme="minorHAnsi"/>
          <w:bCs/>
          <w:kern w:val="32"/>
        </w:rPr>
        <w:t>.</w:t>
      </w:r>
    </w:p>
    <w:p w:rsidR="005646F4" w:rsidRPr="00690A3F" w:rsidRDefault="005646F4" w:rsidP="00690A3F">
      <w:pPr>
        <w:pStyle w:val="ListBullet"/>
        <w:numPr>
          <w:ilvl w:val="0"/>
          <w:numId w:val="0"/>
        </w:numPr>
        <w:tabs>
          <w:tab w:val="clear" w:pos="170"/>
          <w:tab w:val="left" w:pos="0"/>
        </w:tabs>
        <w:spacing w:after="120"/>
        <w:rPr>
          <w:rFonts w:asciiTheme="minorHAnsi" w:hAnsiTheme="minorHAnsi" w:cstheme="minorHAnsi"/>
          <w:bCs/>
          <w:kern w:val="32"/>
        </w:rPr>
      </w:pPr>
      <w:r w:rsidRPr="00690A3F">
        <w:rPr>
          <w:rFonts w:asciiTheme="minorHAnsi" w:hAnsiTheme="minorHAnsi" w:cstheme="minorHAnsi"/>
          <w:bCs/>
          <w:kern w:val="32"/>
        </w:rPr>
        <w:t xml:space="preserve">The 4 week outcome payment will be paid when participants work at </w:t>
      </w:r>
      <w:r w:rsidR="00C85464">
        <w:rPr>
          <w:rFonts w:asciiTheme="minorHAnsi" w:hAnsiTheme="minorHAnsi" w:cstheme="minorHAnsi"/>
          <w:bCs/>
          <w:kern w:val="32"/>
        </w:rPr>
        <w:t xml:space="preserve">least </w:t>
      </w:r>
      <w:r w:rsidR="00A05BA7" w:rsidRPr="00690A3F">
        <w:rPr>
          <w:rFonts w:asciiTheme="minorHAnsi" w:hAnsiTheme="minorHAnsi" w:cstheme="minorHAnsi"/>
          <w:bCs/>
          <w:kern w:val="32"/>
        </w:rPr>
        <w:t xml:space="preserve">their average </w:t>
      </w:r>
      <w:r w:rsidRPr="00690A3F">
        <w:rPr>
          <w:rFonts w:asciiTheme="minorHAnsi" w:hAnsiTheme="minorHAnsi" w:cstheme="minorHAnsi"/>
          <w:bCs/>
          <w:kern w:val="32"/>
        </w:rPr>
        <w:t xml:space="preserve">benchmark hours </w:t>
      </w:r>
      <w:r w:rsidR="00C85464">
        <w:rPr>
          <w:rFonts w:asciiTheme="minorHAnsi" w:hAnsiTheme="minorHAnsi" w:cstheme="minorHAnsi"/>
          <w:bCs/>
          <w:kern w:val="32"/>
        </w:rPr>
        <w:t>fo</w:t>
      </w:r>
      <w:r w:rsidR="00A05BA7" w:rsidRPr="00690A3F">
        <w:rPr>
          <w:rFonts w:asciiTheme="minorHAnsi" w:hAnsiTheme="minorHAnsi" w:cstheme="minorHAnsi"/>
          <w:bCs/>
          <w:kern w:val="32"/>
        </w:rPr>
        <w:t>r</w:t>
      </w:r>
      <w:r w:rsidRPr="00690A3F">
        <w:rPr>
          <w:rFonts w:asciiTheme="minorHAnsi" w:hAnsiTheme="minorHAnsi" w:cstheme="minorHAnsi"/>
          <w:bCs/>
          <w:kern w:val="32"/>
        </w:rPr>
        <w:t xml:space="preserve"> </w:t>
      </w:r>
      <w:r w:rsidR="00C85464">
        <w:rPr>
          <w:rFonts w:asciiTheme="minorHAnsi" w:hAnsiTheme="minorHAnsi" w:cstheme="minorHAnsi"/>
          <w:bCs/>
          <w:kern w:val="32"/>
        </w:rPr>
        <w:t xml:space="preserve">at least </w:t>
      </w:r>
      <w:r w:rsidRPr="00690A3F">
        <w:rPr>
          <w:rFonts w:asciiTheme="minorHAnsi" w:hAnsiTheme="minorHAnsi" w:cstheme="minorHAnsi"/>
          <w:bCs/>
          <w:kern w:val="32"/>
        </w:rPr>
        <w:t>3 weeks over a four week period.</w:t>
      </w:r>
    </w:p>
    <w:p w:rsidR="009F1C94" w:rsidRPr="00690A3F" w:rsidRDefault="00E44730" w:rsidP="00690A3F">
      <w:pPr>
        <w:pStyle w:val="ListBullet"/>
        <w:numPr>
          <w:ilvl w:val="0"/>
          <w:numId w:val="0"/>
        </w:numPr>
        <w:tabs>
          <w:tab w:val="clear" w:pos="170"/>
          <w:tab w:val="left" w:pos="0"/>
        </w:tabs>
        <w:spacing w:after="120"/>
        <w:rPr>
          <w:rFonts w:asciiTheme="minorHAnsi" w:hAnsiTheme="minorHAnsi" w:cstheme="minorHAnsi"/>
          <w:bCs/>
          <w:kern w:val="32"/>
        </w:rPr>
      </w:pPr>
      <w:r w:rsidRPr="00690A3F">
        <w:rPr>
          <w:rFonts w:asciiTheme="minorHAnsi" w:hAnsiTheme="minorHAnsi" w:cstheme="minorHAnsi"/>
          <w:bCs/>
          <w:kern w:val="32"/>
        </w:rPr>
        <w:t xml:space="preserve">More robust education outcome requirements </w:t>
      </w:r>
      <w:r w:rsidR="00BA2C38">
        <w:rPr>
          <w:rFonts w:asciiTheme="minorHAnsi" w:hAnsiTheme="minorHAnsi" w:cstheme="minorHAnsi"/>
          <w:bCs/>
          <w:kern w:val="32"/>
        </w:rPr>
        <w:t>will</w:t>
      </w:r>
      <w:r w:rsidR="00BA2C38" w:rsidRPr="00690A3F">
        <w:rPr>
          <w:rFonts w:asciiTheme="minorHAnsi" w:hAnsiTheme="minorHAnsi" w:cstheme="minorHAnsi"/>
          <w:bCs/>
          <w:kern w:val="32"/>
        </w:rPr>
        <w:t xml:space="preserve"> </w:t>
      </w:r>
      <w:r w:rsidRPr="00690A3F">
        <w:rPr>
          <w:rFonts w:asciiTheme="minorHAnsi" w:hAnsiTheme="minorHAnsi" w:cstheme="minorHAnsi"/>
          <w:bCs/>
          <w:kern w:val="32"/>
        </w:rPr>
        <w:t xml:space="preserve">help ensure </w:t>
      </w:r>
      <w:r w:rsidR="00BA2C38">
        <w:rPr>
          <w:rFonts w:asciiTheme="minorHAnsi" w:hAnsiTheme="minorHAnsi" w:cstheme="minorHAnsi"/>
          <w:bCs/>
          <w:kern w:val="32"/>
        </w:rPr>
        <w:t xml:space="preserve">that </w:t>
      </w:r>
      <w:r w:rsidRPr="00690A3F">
        <w:rPr>
          <w:rFonts w:asciiTheme="minorHAnsi" w:hAnsiTheme="minorHAnsi" w:cstheme="minorHAnsi"/>
          <w:bCs/>
          <w:kern w:val="32"/>
        </w:rPr>
        <w:t>education</w:t>
      </w:r>
      <w:r w:rsidR="00A71310" w:rsidRPr="00690A3F">
        <w:rPr>
          <w:rFonts w:asciiTheme="minorHAnsi" w:hAnsiTheme="minorHAnsi" w:cstheme="minorHAnsi"/>
          <w:bCs/>
          <w:kern w:val="32"/>
        </w:rPr>
        <w:t xml:space="preserve"> for participants</w:t>
      </w:r>
      <w:r w:rsidRPr="00690A3F">
        <w:rPr>
          <w:rFonts w:asciiTheme="minorHAnsi" w:hAnsiTheme="minorHAnsi" w:cstheme="minorHAnsi"/>
          <w:bCs/>
          <w:kern w:val="32"/>
        </w:rPr>
        <w:t xml:space="preserve"> </w:t>
      </w:r>
      <w:r w:rsidR="00C85464">
        <w:rPr>
          <w:rFonts w:asciiTheme="minorHAnsi" w:hAnsiTheme="minorHAnsi" w:cstheme="minorHAnsi"/>
          <w:bCs/>
          <w:kern w:val="32"/>
        </w:rPr>
        <w:t xml:space="preserve">is more likely to </w:t>
      </w:r>
      <w:r w:rsidRPr="00690A3F">
        <w:rPr>
          <w:rFonts w:asciiTheme="minorHAnsi" w:hAnsiTheme="minorHAnsi" w:cstheme="minorHAnsi"/>
          <w:bCs/>
          <w:kern w:val="32"/>
        </w:rPr>
        <w:t>lead to a job</w:t>
      </w:r>
      <w:r w:rsidR="003F2F83" w:rsidRPr="00690A3F">
        <w:rPr>
          <w:rFonts w:asciiTheme="minorHAnsi" w:hAnsiTheme="minorHAnsi" w:cstheme="minorHAnsi"/>
          <w:bCs/>
          <w:kern w:val="32"/>
        </w:rPr>
        <w:t>. F</w:t>
      </w:r>
      <w:r w:rsidRPr="00690A3F">
        <w:rPr>
          <w:rFonts w:asciiTheme="minorHAnsi" w:hAnsiTheme="minorHAnsi" w:cstheme="minorHAnsi"/>
          <w:bCs/>
          <w:kern w:val="32"/>
        </w:rPr>
        <w:t xml:space="preserve">or example, introducing a Certificate 3 minimum requirement for </w:t>
      </w:r>
      <w:r w:rsidR="000F00D5" w:rsidRPr="00690A3F">
        <w:rPr>
          <w:rFonts w:asciiTheme="minorHAnsi" w:hAnsiTheme="minorHAnsi" w:cstheme="minorHAnsi"/>
          <w:bCs/>
          <w:kern w:val="32"/>
        </w:rPr>
        <w:t xml:space="preserve">the highest </w:t>
      </w:r>
      <w:r w:rsidRPr="00690A3F">
        <w:rPr>
          <w:rFonts w:asciiTheme="minorHAnsi" w:hAnsiTheme="minorHAnsi" w:cstheme="minorHAnsi"/>
          <w:bCs/>
          <w:kern w:val="32"/>
        </w:rPr>
        <w:t xml:space="preserve">education </w:t>
      </w:r>
      <w:r w:rsidR="000F00D5" w:rsidRPr="00690A3F">
        <w:rPr>
          <w:rFonts w:asciiTheme="minorHAnsi" w:hAnsiTheme="minorHAnsi" w:cstheme="minorHAnsi"/>
          <w:bCs/>
          <w:kern w:val="32"/>
        </w:rPr>
        <w:t xml:space="preserve">payment </w:t>
      </w:r>
      <w:r w:rsidRPr="00690A3F">
        <w:rPr>
          <w:rFonts w:asciiTheme="minorHAnsi" w:hAnsiTheme="minorHAnsi" w:cstheme="minorHAnsi"/>
          <w:bCs/>
          <w:kern w:val="32"/>
        </w:rPr>
        <w:t>outcomes</w:t>
      </w:r>
      <w:r w:rsidR="002D565D" w:rsidRPr="00690A3F">
        <w:rPr>
          <w:rFonts w:asciiTheme="minorHAnsi" w:hAnsiTheme="minorHAnsi" w:cstheme="minorHAnsi"/>
          <w:bCs/>
          <w:kern w:val="32"/>
        </w:rPr>
        <w:t>; tightening requirements to qualify for full and pathway outcomes;</w:t>
      </w:r>
      <w:r w:rsidRPr="00690A3F">
        <w:rPr>
          <w:rFonts w:asciiTheme="minorHAnsi" w:hAnsiTheme="minorHAnsi" w:cstheme="minorHAnsi"/>
          <w:bCs/>
          <w:kern w:val="32"/>
        </w:rPr>
        <w:t xml:space="preserve"> and </w:t>
      </w:r>
      <w:r w:rsidR="002D565D" w:rsidRPr="00690A3F">
        <w:rPr>
          <w:rFonts w:asciiTheme="minorHAnsi" w:hAnsiTheme="minorHAnsi" w:cstheme="minorHAnsi"/>
          <w:bCs/>
          <w:kern w:val="32"/>
        </w:rPr>
        <w:t>introduc</w:t>
      </w:r>
      <w:r w:rsidR="00C85464">
        <w:rPr>
          <w:rFonts w:asciiTheme="minorHAnsi" w:hAnsiTheme="minorHAnsi" w:cstheme="minorHAnsi"/>
          <w:bCs/>
          <w:kern w:val="32"/>
        </w:rPr>
        <w:t xml:space="preserve">ing </w:t>
      </w:r>
      <w:r w:rsidRPr="00690A3F">
        <w:rPr>
          <w:rFonts w:asciiTheme="minorHAnsi" w:hAnsiTheme="minorHAnsi" w:cstheme="minorHAnsi"/>
          <w:bCs/>
          <w:kern w:val="32"/>
        </w:rPr>
        <w:t xml:space="preserve">a new </w:t>
      </w:r>
      <w:r w:rsidR="002D565D" w:rsidRPr="00690A3F">
        <w:rPr>
          <w:rFonts w:asciiTheme="minorHAnsi" w:hAnsiTheme="minorHAnsi" w:cstheme="minorHAnsi"/>
          <w:bCs/>
          <w:kern w:val="32"/>
        </w:rPr>
        <w:t xml:space="preserve">PaTH </w:t>
      </w:r>
      <w:r w:rsidRPr="00690A3F">
        <w:rPr>
          <w:rFonts w:asciiTheme="minorHAnsi" w:hAnsiTheme="minorHAnsi" w:cstheme="minorHAnsi"/>
          <w:bCs/>
          <w:kern w:val="32"/>
        </w:rPr>
        <w:t xml:space="preserve">internship </w:t>
      </w:r>
      <w:r w:rsidR="002D565D" w:rsidRPr="00690A3F">
        <w:rPr>
          <w:rFonts w:asciiTheme="minorHAnsi" w:hAnsiTheme="minorHAnsi" w:cstheme="minorHAnsi"/>
          <w:bCs/>
          <w:kern w:val="32"/>
        </w:rPr>
        <w:t xml:space="preserve">outcome </w:t>
      </w:r>
      <w:r w:rsidRPr="00690A3F">
        <w:rPr>
          <w:rFonts w:asciiTheme="minorHAnsi" w:hAnsiTheme="minorHAnsi" w:cstheme="minorHAnsi"/>
          <w:bCs/>
          <w:kern w:val="32"/>
        </w:rPr>
        <w:t>payment</w:t>
      </w:r>
      <w:r w:rsidR="002D565D" w:rsidRPr="00690A3F">
        <w:rPr>
          <w:rFonts w:asciiTheme="minorHAnsi" w:hAnsiTheme="minorHAnsi" w:cstheme="minorHAnsi"/>
          <w:bCs/>
          <w:kern w:val="32"/>
        </w:rPr>
        <w:t xml:space="preserve"> from 1 July 2018</w:t>
      </w:r>
      <w:r w:rsidRPr="00690A3F">
        <w:rPr>
          <w:rFonts w:asciiTheme="minorHAnsi" w:hAnsiTheme="minorHAnsi" w:cstheme="minorHAnsi"/>
          <w:bCs/>
          <w:kern w:val="32"/>
        </w:rPr>
        <w:t>.</w:t>
      </w:r>
    </w:p>
    <w:p w:rsidR="00D46B1F" w:rsidRPr="00690A3F" w:rsidRDefault="009F1C94" w:rsidP="00690A3F">
      <w:pPr>
        <w:pStyle w:val="ListBullet"/>
        <w:numPr>
          <w:ilvl w:val="0"/>
          <w:numId w:val="0"/>
        </w:numPr>
        <w:tabs>
          <w:tab w:val="clear" w:pos="170"/>
          <w:tab w:val="left" w:pos="0"/>
        </w:tabs>
        <w:spacing w:after="120"/>
        <w:rPr>
          <w:rFonts w:asciiTheme="minorHAnsi" w:hAnsiTheme="minorHAnsi" w:cstheme="minorHAnsi"/>
          <w:bCs/>
          <w:kern w:val="32"/>
        </w:rPr>
      </w:pPr>
      <w:r w:rsidRPr="00690A3F">
        <w:rPr>
          <w:rFonts w:asciiTheme="minorHAnsi" w:hAnsiTheme="minorHAnsi" w:cstheme="minorHAnsi"/>
          <w:bCs/>
          <w:kern w:val="32"/>
        </w:rPr>
        <w:t xml:space="preserve">Annual indexation </w:t>
      </w:r>
      <w:r w:rsidR="00ED2B99" w:rsidRPr="00690A3F">
        <w:rPr>
          <w:rFonts w:asciiTheme="minorHAnsi" w:hAnsiTheme="minorHAnsi" w:cstheme="minorHAnsi"/>
          <w:bCs/>
          <w:kern w:val="32"/>
        </w:rPr>
        <w:t>of</w:t>
      </w:r>
      <w:r w:rsidRPr="00690A3F">
        <w:rPr>
          <w:rFonts w:asciiTheme="minorHAnsi" w:hAnsiTheme="minorHAnsi" w:cstheme="minorHAnsi"/>
          <w:bCs/>
          <w:kern w:val="32"/>
        </w:rPr>
        <w:t xml:space="preserve"> provider payments on 1 July each year </w:t>
      </w:r>
      <w:r w:rsidR="00BA2C38">
        <w:rPr>
          <w:rFonts w:asciiTheme="minorHAnsi" w:hAnsiTheme="minorHAnsi" w:cstheme="minorHAnsi"/>
          <w:bCs/>
          <w:kern w:val="32"/>
        </w:rPr>
        <w:t>will</w:t>
      </w:r>
      <w:r w:rsidR="00BA2C38" w:rsidRPr="00690A3F">
        <w:rPr>
          <w:rFonts w:asciiTheme="minorHAnsi" w:hAnsiTheme="minorHAnsi" w:cstheme="minorHAnsi"/>
          <w:bCs/>
          <w:kern w:val="32"/>
        </w:rPr>
        <w:t xml:space="preserve"> </w:t>
      </w:r>
      <w:r w:rsidR="00C85464">
        <w:rPr>
          <w:rFonts w:asciiTheme="minorHAnsi" w:hAnsiTheme="minorHAnsi" w:cstheme="minorHAnsi"/>
          <w:bCs/>
          <w:kern w:val="32"/>
        </w:rPr>
        <w:t>adjust payment rates in line with a measure of general inflation</w:t>
      </w:r>
      <w:r w:rsidR="00BA2C38">
        <w:rPr>
          <w:rFonts w:asciiTheme="minorHAnsi" w:hAnsiTheme="minorHAnsi" w:cstheme="minorHAnsi"/>
          <w:bCs/>
          <w:kern w:val="32"/>
        </w:rPr>
        <w:t>,</w:t>
      </w:r>
      <w:r w:rsidR="00ED2B99" w:rsidRPr="00690A3F">
        <w:rPr>
          <w:rFonts w:asciiTheme="minorHAnsi" w:hAnsiTheme="minorHAnsi" w:cstheme="minorHAnsi"/>
          <w:bCs/>
          <w:kern w:val="32"/>
        </w:rPr>
        <w:t xml:space="preserve"> </w:t>
      </w:r>
      <w:r w:rsidRPr="00690A3F">
        <w:rPr>
          <w:rFonts w:asciiTheme="minorHAnsi" w:hAnsiTheme="minorHAnsi" w:cstheme="minorHAnsi"/>
          <w:bCs/>
          <w:kern w:val="32"/>
        </w:rPr>
        <w:t>at a</w:t>
      </w:r>
      <w:r w:rsidR="00C85464">
        <w:rPr>
          <w:rFonts w:asciiTheme="minorHAnsi" w:hAnsiTheme="minorHAnsi" w:cstheme="minorHAnsi"/>
          <w:bCs/>
          <w:kern w:val="32"/>
        </w:rPr>
        <w:t xml:space="preserve">n estimated </w:t>
      </w:r>
      <w:r w:rsidRPr="00690A3F">
        <w:rPr>
          <w:rFonts w:asciiTheme="minorHAnsi" w:hAnsiTheme="minorHAnsi" w:cstheme="minorHAnsi"/>
          <w:bCs/>
          <w:kern w:val="32"/>
        </w:rPr>
        <w:t>cost of more than $300 million over the next ten years.</w:t>
      </w:r>
      <w:r w:rsidR="0005186F" w:rsidRPr="00690A3F">
        <w:rPr>
          <w:rFonts w:asciiTheme="minorHAnsi" w:hAnsiTheme="minorHAnsi" w:cstheme="minorHAnsi"/>
          <w:bCs/>
          <w:kern w:val="32"/>
        </w:rPr>
        <w:t xml:space="preserve"> </w:t>
      </w:r>
      <w:r w:rsidRPr="00690A3F">
        <w:rPr>
          <w:rFonts w:asciiTheme="minorHAnsi" w:hAnsiTheme="minorHAnsi" w:cstheme="minorHAnsi"/>
          <w:bCs/>
          <w:kern w:val="32"/>
        </w:rPr>
        <w:t>The first indexation point is 1 July 2019.</w:t>
      </w:r>
      <w:r w:rsidR="00D46B1F" w:rsidRPr="00690A3F">
        <w:rPr>
          <w:rFonts w:asciiTheme="minorHAnsi" w:hAnsiTheme="minorHAnsi" w:cstheme="minorHAnsi"/>
          <w:bCs/>
          <w:kern w:val="32"/>
        </w:rPr>
        <w:t xml:space="preserve"> </w:t>
      </w:r>
    </w:p>
    <w:p w:rsidR="00123B6E" w:rsidRPr="0014629B" w:rsidRDefault="00123B6E" w:rsidP="00331917">
      <w:pPr>
        <w:pStyle w:val="Heading4"/>
        <w:rPr>
          <w:rStyle w:val="SubtleEmphasis"/>
          <w:rFonts w:asciiTheme="majorHAnsi" w:hAnsiTheme="majorHAnsi"/>
          <w:color w:val="404040" w:themeColor="text1" w:themeTint="BF"/>
        </w:rPr>
      </w:pPr>
      <w:r w:rsidRPr="0014629B">
        <w:rPr>
          <w:rStyle w:val="SubtleEmphasis"/>
          <w:rFonts w:asciiTheme="majorHAnsi" w:hAnsiTheme="majorHAnsi"/>
          <w:color w:val="404040" w:themeColor="text1" w:themeTint="BF"/>
        </w:rPr>
        <w:t>Supporting people with disability in the workplace</w:t>
      </w:r>
    </w:p>
    <w:p w:rsidR="005B221F" w:rsidRDefault="00123B6E" w:rsidP="00123B6E">
      <w:pPr>
        <w:spacing w:after="240" w:line="240" w:lineRule="auto"/>
        <w:rPr>
          <w:rFonts w:asciiTheme="minorHAnsi" w:hAnsiTheme="minorHAnsi" w:cstheme="minorHAnsi"/>
          <w:bCs/>
          <w:kern w:val="32"/>
        </w:rPr>
      </w:pPr>
      <w:r w:rsidRPr="00721770">
        <w:rPr>
          <w:rFonts w:asciiTheme="minorHAnsi" w:hAnsiTheme="minorHAnsi" w:cstheme="minorHAnsi"/>
          <w:bCs/>
          <w:kern w:val="32"/>
        </w:rPr>
        <w:t xml:space="preserve">The weekly minimum work hours for a </w:t>
      </w:r>
      <w:r w:rsidR="005B221F">
        <w:rPr>
          <w:rFonts w:asciiTheme="minorHAnsi" w:hAnsiTheme="minorHAnsi" w:cstheme="minorHAnsi"/>
          <w:bCs/>
          <w:kern w:val="32"/>
        </w:rPr>
        <w:t xml:space="preserve">DES </w:t>
      </w:r>
      <w:r w:rsidRPr="00721770">
        <w:rPr>
          <w:rFonts w:asciiTheme="minorHAnsi" w:hAnsiTheme="minorHAnsi" w:cstheme="minorHAnsi"/>
          <w:bCs/>
          <w:kern w:val="32"/>
        </w:rPr>
        <w:t xml:space="preserve">participant to maintain eligibility for Ongoing Support will </w:t>
      </w:r>
      <w:r w:rsidR="006E5E41" w:rsidRPr="00721770">
        <w:rPr>
          <w:rFonts w:asciiTheme="minorHAnsi" w:hAnsiTheme="minorHAnsi" w:cstheme="minorHAnsi"/>
          <w:bCs/>
          <w:kern w:val="32"/>
        </w:rPr>
        <w:t>be</w:t>
      </w:r>
      <w:r w:rsidR="00A71310" w:rsidRPr="00721770">
        <w:rPr>
          <w:rFonts w:asciiTheme="minorHAnsi" w:hAnsiTheme="minorHAnsi" w:cstheme="minorHAnsi"/>
          <w:bCs/>
          <w:kern w:val="32"/>
        </w:rPr>
        <w:t xml:space="preserve"> eight</w:t>
      </w:r>
      <w:r w:rsidRPr="00721770">
        <w:rPr>
          <w:rFonts w:asciiTheme="minorHAnsi" w:hAnsiTheme="minorHAnsi" w:cstheme="minorHAnsi"/>
          <w:bCs/>
          <w:kern w:val="32"/>
        </w:rPr>
        <w:t xml:space="preserve"> hours a week</w:t>
      </w:r>
      <w:r w:rsidR="00A71310" w:rsidRPr="00721770">
        <w:rPr>
          <w:rFonts w:asciiTheme="minorHAnsi" w:hAnsiTheme="minorHAnsi" w:cstheme="minorHAnsi"/>
          <w:bCs/>
          <w:kern w:val="32"/>
        </w:rPr>
        <w:t xml:space="preserve">. This change ensures </w:t>
      </w:r>
      <w:r w:rsidR="00E44730" w:rsidRPr="00721770">
        <w:rPr>
          <w:rFonts w:asciiTheme="minorHAnsi" w:hAnsiTheme="minorHAnsi" w:cstheme="minorHAnsi"/>
          <w:bCs/>
          <w:kern w:val="32"/>
        </w:rPr>
        <w:t xml:space="preserve">that the eligibility </w:t>
      </w:r>
      <w:r w:rsidR="00717DB1" w:rsidRPr="00721770">
        <w:rPr>
          <w:rFonts w:asciiTheme="minorHAnsi" w:hAnsiTheme="minorHAnsi" w:cstheme="minorHAnsi"/>
          <w:bCs/>
          <w:kern w:val="32"/>
        </w:rPr>
        <w:t>criteria for DES are</w:t>
      </w:r>
      <w:r w:rsidR="00E44730" w:rsidRPr="00721770">
        <w:rPr>
          <w:rFonts w:asciiTheme="minorHAnsi" w:hAnsiTheme="minorHAnsi" w:cstheme="minorHAnsi"/>
          <w:bCs/>
          <w:kern w:val="32"/>
        </w:rPr>
        <w:t xml:space="preserve"> applied consist</w:t>
      </w:r>
      <w:r w:rsidR="005B221F">
        <w:rPr>
          <w:rFonts w:asciiTheme="minorHAnsi" w:hAnsiTheme="minorHAnsi" w:cstheme="minorHAnsi"/>
          <w:bCs/>
          <w:kern w:val="32"/>
        </w:rPr>
        <w:t>ently across the whole program.</w:t>
      </w:r>
    </w:p>
    <w:p w:rsidR="00123B6E" w:rsidRPr="00721770" w:rsidRDefault="00530486" w:rsidP="00123B6E">
      <w:pPr>
        <w:spacing w:after="240" w:line="240" w:lineRule="auto"/>
        <w:rPr>
          <w:rFonts w:asciiTheme="minorHAnsi" w:hAnsiTheme="minorHAnsi" w:cstheme="minorHAnsi"/>
          <w:bCs/>
          <w:kern w:val="32"/>
        </w:rPr>
      </w:pPr>
      <w:r>
        <w:rPr>
          <w:rFonts w:asciiTheme="minorHAnsi" w:hAnsiTheme="minorHAnsi" w:cstheme="minorHAnsi"/>
          <w:bCs/>
          <w:kern w:val="32"/>
        </w:rPr>
        <w:t>‘</w:t>
      </w:r>
      <w:r w:rsidR="00123B6E" w:rsidRPr="00721770">
        <w:rPr>
          <w:rFonts w:asciiTheme="minorHAnsi" w:hAnsiTheme="minorHAnsi" w:cstheme="minorHAnsi"/>
          <w:bCs/>
          <w:i/>
          <w:kern w:val="32"/>
        </w:rPr>
        <w:t>Work Assis</w:t>
      </w:r>
      <w:r w:rsidR="009F1C94">
        <w:rPr>
          <w:rFonts w:asciiTheme="minorHAnsi" w:hAnsiTheme="minorHAnsi" w:cstheme="minorHAnsi"/>
          <w:bCs/>
          <w:i/>
          <w:kern w:val="32"/>
        </w:rPr>
        <w:t>t</w:t>
      </w:r>
      <w:r w:rsidR="00EB3610">
        <w:rPr>
          <w:rFonts w:asciiTheme="minorHAnsi" w:hAnsiTheme="minorHAnsi" w:cstheme="minorHAnsi"/>
          <w:bCs/>
          <w:i/>
          <w:kern w:val="32"/>
        </w:rPr>
        <w:t>’</w:t>
      </w:r>
      <w:r w:rsidR="009F1C94">
        <w:rPr>
          <w:rFonts w:asciiTheme="minorHAnsi" w:hAnsiTheme="minorHAnsi" w:cstheme="minorHAnsi"/>
          <w:bCs/>
          <w:kern w:val="32"/>
        </w:rPr>
        <w:t xml:space="preserve"> </w:t>
      </w:r>
      <w:r w:rsidR="0095296D">
        <w:rPr>
          <w:rFonts w:asciiTheme="minorHAnsi" w:hAnsiTheme="minorHAnsi" w:cstheme="minorHAnsi"/>
          <w:bCs/>
          <w:kern w:val="32"/>
        </w:rPr>
        <w:t xml:space="preserve">will provide </w:t>
      </w:r>
      <w:r w:rsidR="00B568C0">
        <w:rPr>
          <w:rFonts w:asciiTheme="minorHAnsi" w:hAnsiTheme="minorHAnsi" w:cstheme="minorHAnsi"/>
          <w:bCs/>
          <w:kern w:val="32"/>
        </w:rPr>
        <w:t>assistance</w:t>
      </w:r>
      <w:r w:rsidR="0095296D">
        <w:rPr>
          <w:rFonts w:asciiTheme="minorHAnsi" w:hAnsiTheme="minorHAnsi" w:cstheme="minorHAnsi"/>
          <w:bCs/>
          <w:kern w:val="32"/>
        </w:rPr>
        <w:t xml:space="preserve"> for people with disability already in work</w:t>
      </w:r>
      <w:r w:rsidR="00C85464">
        <w:rPr>
          <w:rFonts w:asciiTheme="minorHAnsi" w:hAnsiTheme="minorHAnsi" w:cstheme="minorHAnsi"/>
          <w:bCs/>
          <w:kern w:val="32"/>
        </w:rPr>
        <w:t xml:space="preserve"> </w:t>
      </w:r>
      <w:r w:rsidR="0095296D">
        <w:rPr>
          <w:rFonts w:asciiTheme="minorHAnsi" w:hAnsiTheme="minorHAnsi" w:cstheme="minorHAnsi"/>
          <w:bCs/>
          <w:kern w:val="32"/>
        </w:rPr>
        <w:t>who need support</w:t>
      </w:r>
      <w:r w:rsidR="00B568C0">
        <w:rPr>
          <w:rFonts w:asciiTheme="minorHAnsi" w:hAnsiTheme="minorHAnsi" w:cstheme="minorHAnsi"/>
          <w:bCs/>
          <w:kern w:val="32"/>
        </w:rPr>
        <w:t xml:space="preserve"> to remain in their job</w:t>
      </w:r>
      <w:r w:rsidR="0095296D">
        <w:rPr>
          <w:rFonts w:asciiTheme="minorHAnsi" w:hAnsiTheme="minorHAnsi" w:cstheme="minorHAnsi"/>
          <w:bCs/>
          <w:kern w:val="32"/>
        </w:rPr>
        <w:t>.</w:t>
      </w:r>
      <w:r w:rsidR="009F1C94">
        <w:rPr>
          <w:rFonts w:asciiTheme="minorHAnsi" w:hAnsiTheme="minorHAnsi" w:cstheme="minorHAnsi"/>
          <w:bCs/>
          <w:kern w:val="32"/>
        </w:rPr>
        <w:t xml:space="preserve"> </w:t>
      </w:r>
      <w:r w:rsidR="00B568C0">
        <w:rPr>
          <w:rFonts w:asciiTheme="minorHAnsi" w:hAnsiTheme="minorHAnsi" w:cstheme="minorHAnsi"/>
          <w:bCs/>
          <w:kern w:val="32"/>
        </w:rPr>
        <w:t>Work Assist replaces the current Job-In-Jeopardy program.</w:t>
      </w:r>
    </w:p>
    <w:p w:rsidR="00123B6E" w:rsidRPr="00962BD9" w:rsidRDefault="00123B6E" w:rsidP="00331917">
      <w:pPr>
        <w:pStyle w:val="Heading4"/>
        <w:rPr>
          <w:rStyle w:val="SubtleEmphasis"/>
          <w:rFonts w:asciiTheme="majorHAnsi" w:hAnsiTheme="majorHAnsi"/>
          <w:color w:val="404040" w:themeColor="text1" w:themeTint="BF"/>
        </w:rPr>
      </w:pPr>
      <w:r w:rsidRPr="00A16335">
        <w:rPr>
          <w:rStyle w:val="SubtleEmphasis"/>
          <w:rFonts w:asciiTheme="majorHAnsi" w:hAnsiTheme="majorHAnsi"/>
          <w:color w:val="404040" w:themeColor="text1" w:themeTint="BF"/>
        </w:rPr>
        <w:t>School Leaver trial</w:t>
      </w:r>
    </w:p>
    <w:p w:rsidR="00123B6E" w:rsidRPr="00721770" w:rsidRDefault="00123B6E" w:rsidP="00123B6E">
      <w:pPr>
        <w:spacing w:after="240" w:line="240" w:lineRule="auto"/>
        <w:rPr>
          <w:rFonts w:asciiTheme="minorHAnsi" w:hAnsiTheme="minorHAnsi" w:cstheme="minorHAnsi"/>
          <w:bCs/>
          <w:kern w:val="32"/>
        </w:rPr>
      </w:pPr>
      <w:r w:rsidRPr="00721770">
        <w:rPr>
          <w:rFonts w:asciiTheme="minorHAnsi" w:hAnsiTheme="minorHAnsi" w:cstheme="minorHAnsi"/>
          <w:bCs/>
          <w:kern w:val="32"/>
        </w:rPr>
        <w:t>A two</w:t>
      </w:r>
      <w:r w:rsidR="006E5E41" w:rsidRPr="00721770">
        <w:rPr>
          <w:rFonts w:asciiTheme="minorHAnsi" w:hAnsiTheme="minorHAnsi" w:cstheme="minorHAnsi"/>
          <w:bCs/>
          <w:kern w:val="32"/>
        </w:rPr>
        <w:t>-</w:t>
      </w:r>
      <w:r w:rsidRPr="00721770">
        <w:rPr>
          <w:rFonts w:asciiTheme="minorHAnsi" w:hAnsiTheme="minorHAnsi" w:cstheme="minorHAnsi"/>
          <w:bCs/>
          <w:kern w:val="32"/>
        </w:rPr>
        <w:t xml:space="preserve">year trial </w:t>
      </w:r>
      <w:r w:rsidR="00A71310" w:rsidRPr="00721770">
        <w:rPr>
          <w:rFonts w:asciiTheme="minorHAnsi" w:hAnsiTheme="minorHAnsi" w:cstheme="minorHAnsi"/>
          <w:bCs/>
          <w:kern w:val="32"/>
        </w:rPr>
        <w:t xml:space="preserve">starting from 1 July 2018 </w:t>
      </w:r>
      <w:r w:rsidRPr="00721770">
        <w:rPr>
          <w:rFonts w:asciiTheme="minorHAnsi" w:hAnsiTheme="minorHAnsi" w:cstheme="minorHAnsi"/>
          <w:bCs/>
          <w:kern w:val="32"/>
        </w:rPr>
        <w:t xml:space="preserve">will </w:t>
      </w:r>
      <w:r w:rsidR="00A71310" w:rsidRPr="00721770">
        <w:rPr>
          <w:rFonts w:asciiTheme="minorHAnsi" w:hAnsiTheme="minorHAnsi" w:cstheme="minorHAnsi"/>
          <w:bCs/>
          <w:kern w:val="32"/>
        </w:rPr>
        <w:t xml:space="preserve">see DES extended to up to 1,000 students </w:t>
      </w:r>
      <w:r w:rsidRPr="00721770">
        <w:rPr>
          <w:rFonts w:asciiTheme="minorHAnsi" w:hAnsiTheme="minorHAnsi" w:cstheme="minorHAnsi"/>
          <w:bCs/>
          <w:kern w:val="32"/>
        </w:rPr>
        <w:t xml:space="preserve">with disability </w:t>
      </w:r>
      <w:r w:rsidR="00A71310" w:rsidRPr="00721770">
        <w:rPr>
          <w:rFonts w:asciiTheme="minorHAnsi" w:hAnsiTheme="minorHAnsi" w:cstheme="minorHAnsi"/>
          <w:bCs/>
          <w:kern w:val="32"/>
        </w:rPr>
        <w:t xml:space="preserve">who are </w:t>
      </w:r>
      <w:r w:rsidR="00A9190F" w:rsidRPr="00721770">
        <w:rPr>
          <w:rFonts w:asciiTheme="minorHAnsi" w:hAnsiTheme="minorHAnsi" w:cstheme="minorHAnsi"/>
          <w:bCs/>
          <w:kern w:val="32"/>
        </w:rPr>
        <w:t>not currently eligible for DES. The trial will look at</w:t>
      </w:r>
      <w:r w:rsidRPr="00721770">
        <w:rPr>
          <w:rFonts w:asciiTheme="minorHAnsi" w:hAnsiTheme="minorHAnsi" w:cstheme="minorHAnsi"/>
          <w:bCs/>
          <w:kern w:val="32"/>
        </w:rPr>
        <w:t xml:space="preserve"> </w:t>
      </w:r>
      <w:r w:rsidR="00C85464">
        <w:rPr>
          <w:rFonts w:asciiTheme="minorHAnsi" w:hAnsiTheme="minorHAnsi" w:cstheme="minorHAnsi"/>
          <w:bCs/>
          <w:kern w:val="32"/>
        </w:rPr>
        <w:t xml:space="preserve">whether and </w:t>
      </w:r>
      <w:r w:rsidR="00A71310" w:rsidRPr="00721770">
        <w:rPr>
          <w:rFonts w:asciiTheme="minorHAnsi" w:hAnsiTheme="minorHAnsi" w:cstheme="minorHAnsi"/>
          <w:bCs/>
          <w:kern w:val="32"/>
        </w:rPr>
        <w:t xml:space="preserve">how DES </w:t>
      </w:r>
      <w:r w:rsidR="00C85464">
        <w:rPr>
          <w:rFonts w:asciiTheme="minorHAnsi" w:hAnsiTheme="minorHAnsi" w:cstheme="minorHAnsi"/>
          <w:bCs/>
          <w:kern w:val="32"/>
        </w:rPr>
        <w:t xml:space="preserve">may be able to </w:t>
      </w:r>
      <w:r w:rsidR="00A71310" w:rsidRPr="00721770">
        <w:rPr>
          <w:rFonts w:asciiTheme="minorHAnsi" w:hAnsiTheme="minorHAnsi" w:cstheme="minorHAnsi"/>
          <w:bCs/>
          <w:kern w:val="32"/>
        </w:rPr>
        <w:t>support</w:t>
      </w:r>
      <w:r w:rsidR="00A9190F" w:rsidRPr="00721770">
        <w:rPr>
          <w:rFonts w:asciiTheme="minorHAnsi" w:hAnsiTheme="minorHAnsi" w:cstheme="minorHAnsi"/>
          <w:bCs/>
          <w:kern w:val="32"/>
        </w:rPr>
        <w:t xml:space="preserve"> students with disability </w:t>
      </w:r>
      <w:r w:rsidR="00A71310" w:rsidRPr="00721770">
        <w:rPr>
          <w:rFonts w:asciiTheme="minorHAnsi" w:hAnsiTheme="minorHAnsi" w:cstheme="minorHAnsi"/>
          <w:bCs/>
          <w:kern w:val="32"/>
        </w:rPr>
        <w:t xml:space="preserve">to </w:t>
      </w:r>
      <w:r w:rsidR="00A9190F" w:rsidRPr="00721770">
        <w:rPr>
          <w:rFonts w:asciiTheme="minorHAnsi" w:hAnsiTheme="minorHAnsi" w:cstheme="minorHAnsi"/>
          <w:bCs/>
          <w:kern w:val="32"/>
        </w:rPr>
        <w:t>successfully transition</w:t>
      </w:r>
      <w:r w:rsidRPr="00721770">
        <w:rPr>
          <w:rFonts w:asciiTheme="minorHAnsi" w:hAnsiTheme="minorHAnsi" w:cstheme="minorHAnsi"/>
          <w:bCs/>
          <w:kern w:val="32"/>
        </w:rPr>
        <w:t xml:space="preserve"> from school to work, without adversely affecting their education.</w:t>
      </w:r>
      <w:r w:rsidR="00E634EC" w:rsidRPr="00721770">
        <w:rPr>
          <w:rFonts w:asciiTheme="minorHAnsi" w:hAnsiTheme="minorHAnsi" w:cstheme="minorHAnsi"/>
          <w:bCs/>
          <w:kern w:val="32"/>
        </w:rPr>
        <w:t xml:space="preserve"> </w:t>
      </w:r>
      <w:r w:rsidR="00A71310" w:rsidRPr="00721770">
        <w:rPr>
          <w:rFonts w:asciiTheme="minorHAnsi" w:hAnsiTheme="minorHAnsi" w:cstheme="minorHAnsi"/>
          <w:bCs/>
          <w:kern w:val="32"/>
        </w:rPr>
        <w:t xml:space="preserve">The trial </w:t>
      </w:r>
      <w:r w:rsidRPr="00721770">
        <w:rPr>
          <w:rFonts w:asciiTheme="minorHAnsi" w:hAnsiTheme="minorHAnsi" w:cstheme="minorHAnsi"/>
          <w:bCs/>
          <w:kern w:val="32"/>
        </w:rPr>
        <w:t>will help to determine whether DES should be extended to this cohort in the future.</w:t>
      </w:r>
    </w:p>
    <w:p w:rsidR="00123B6E" w:rsidRPr="00331917" w:rsidRDefault="0016699C" w:rsidP="00331917">
      <w:pPr>
        <w:pStyle w:val="Heading4"/>
        <w:rPr>
          <w:rStyle w:val="SubtleEmphasis"/>
          <w:rFonts w:asciiTheme="majorHAnsi" w:hAnsiTheme="majorHAnsi"/>
          <w:color w:val="404040" w:themeColor="text1" w:themeTint="BF"/>
        </w:rPr>
      </w:pPr>
      <w:r>
        <w:rPr>
          <w:rStyle w:val="SubtleEmphasis"/>
          <w:rFonts w:asciiTheme="majorHAnsi" w:hAnsiTheme="majorHAnsi"/>
          <w:color w:val="404040" w:themeColor="text1" w:themeTint="BF"/>
        </w:rPr>
        <w:t>E</w:t>
      </w:r>
      <w:r w:rsidR="00C67F10">
        <w:rPr>
          <w:rStyle w:val="SubtleEmphasis"/>
          <w:rFonts w:asciiTheme="majorHAnsi" w:hAnsiTheme="majorHAnsi"/>
          <w:color w:val="404040" w:themeColor="text1" w:themeTint="BF"/>
        </w:rPr>
        <w:t>lements</w:t>
      </w:r>
      <w:r>
        <w:rPr>
          <w:rStyle w:val="SubtleEmphasis"/>
          <w:rFonts w:asciiTheme="majorHAnsi" w:hAnsiTheme="majorHAnsi"/>
          <w:color w:val="404040" w:themeColor="text1" w:themeTint="BF"/>
        </w:rPr>
        <w:t xml:space="preserve"> of the DES program to continue</w:t>
      </w:r>
    </w:p>
    <w:p w:rsidR="002D565D" w:rsidRPr="00690A3F" w:rsidRDefault="00DE3C24" w:rsidP="00690A3F">
      <w:pPr>
        <w:spacing w:after="240" w:line="240" w:lineRule="auto"/>
        <w:rPr>
          <w:rFonts w:asciiTheme="minorHAnsi" w:hAnsiTheme="minorHAnsi" w:cstheme="minorHAnsi"/>
          <w:bCs/>
          <w:kern w:val="32"/>
        </w:rPr>
      </w:pPr>
      <w:r w:rsidRPr="00690A3F">
        <w:rPr>
          <w:rFonts w:asciiTheme="minorHAnsi" w:hAnsiTheme="minorHAnsi" w:cstheme="minorHAnsi"/>
          <w:bCs/>
          <w:kern w:val="32"/>
        </w:rPr>
        <w:t>The</w:t>
      </w:r>
      <w:r w:rsidR="0095296D" w:rsidRPr="00690A3F">
        <w:rPr>
          <w:rFonts w:asciiTheme="minorHAnsi" w:hAnsiTheme="minorHAnsi" w:cstheme="minorHAnsi"/>
          <w:bCs/>
          <w:kern w:val="32"/>
        </w:rPr>
        <w:t xml:space="preserve"> current </w:t>
      </w:r>
      <w:r w:rsidR="00690A3F">
        <w:rPr>
          <w:rFonts w:asciiTheme="minorHAnsi" w:hAnsiTheme="minorHAnsi" w:cstheme="minorHAnsi"/>
          <w:bCs/>
          <w:kern w:val="32"/>
        </w:rPr>
        <w:t>Employment Service</w:t>
      </w:r>
      <w:r w:rsidR="00123B6E" w:rsidRPr="00690A3F">
        <w:rPr>
          <w:rFonts w:asciiTheme="minorHAnsi" w:hAnsiTheme="minorHAnsi" w:cstheme="minorHAnsi"/>
          <w:bCs/>
          <w:kern w:val="32"/>
        </w:rPr>
        <w:t xml:space="preserve"> Areas</w:t>
      </w:r>
      <w:r w:rsidR="002D565D" w:rsidRPr="00690A3F">
        <w:rPr>
          <w:rFonts w:asciiTheme="minorHAnsi" w:hAnsiTheme="minorHAnsi" w:cstheme="minorHAnsi"/>
          <w:bCs/>
          <w:kern w:val="32"/>
        </w:rPr>
        <w:t xml:space="preserve"> (ESAs) </w:t>
      </w:r>
      <w:r w:rsidR="0095296D" w:rsidRPr="00690A3F">
        <w:rPr>
          <w:rFonts w:asciiTheme="minorHAnsi" w:hAnsiTheme="minorHAnsi" w:cstheme="minorHAnsi"/>
          <w:bCs/>
          <w:kern w:val="32"/>
        </w:rPr>
        <w:t xml:space="preserve">structure of 110 ESAs will continue </w:t>
      </w:r>
      <w:r w:rsidR="00DE0246" w:rsidRPr="00690A3F">
        <w:rPr>
          <w:rFonts w:asciiTheme="minorHAnsi" w:hAnsiTheme="minorHAnsi" w:cstheme="minorHAnsi"/>
          <w:bCs/>
          <w:kern w:val="32"/>
        </w:rPr>
        <w:t xml:space="preserve">under the new model. </w:t>
      </w:r>
    </w:p>
    <w:p w:rsidR="00ED121D" w:rsidRPr="00690A3F" w:rsidRDefault="00B568C0" w:rsidP="00690A3F">
      <w:pPr>
        <w:spacing w:after="240" w:line="240" w:lineRule="auto"/>
        <w:rPr>
          <w:rFonts w:asciiTheme="minorHAnsi" w:hAnsiTheme="minorHAnsi" w:cstheme="minorHAnsi"/>
          <w:bCs/>
          <w:kern w:val="32"/>
        </w:rPr>
      </w:pPr>
      <w:r w:rsidRPr="00690A3F">
        <w:rPr>
          <w:rFonts w:asciiTheme="minorHAnsi" w:hAnsiTheme="minorHAnsi" w:cstheme="minorHAnsi"/>
          <w:bCs/>
          <w:kern w:val="32"/>
        </w:rPr>
        <w:lastRenderedPageBreak/>
        <w:t>The DES Star R</w:t>
      </w:r>
      <w:r w:rsidR="00ED121D" w:rsidRPr="00690A3F">
        <w:rPr>
          <w:rFonts w:asciiTheme="minorHAnsi" w:hAnsiTheme="minorHAnsi" w:cstheme="minorHAnsi"/>
          <w:bCs/>
          <w:kern w:val="32"/>
        </w:rPr>
        <w:t xml:space="preserve">atings </w:t>
      </w:r>
      <w:r w:rsidRPr="00690A3F">
        <w:rPr>
          <w:rFonts w:asciiTheme="minorHAnsi" w:hAnsiTheme="minorHAnsi" w:cstheme="minorHAnsi"/>
          <w:bCs/>
          <w:kern w:val="32"/>
        </w:rPr>
        <w:t>will continue to be use</w:t>
      </w:r>
      <w:r w:rsidR="00690A3F">
        <w:rPr>
          <w:rFonts w:asciiTheme="minorHAnsi" w:hAnsiTheme="minorHAnsi" w:cstheme="minorHAnsi"/>
          <w:bCs/>
          <w:kern w:val="32"/>
        </w:rPr>
        <w:t>d</w:t>
      </w:r>
      <w:r w:rsidRPr="00690A3F">
        <w:rPr>
          <w:rFonts w:asciiTheme="minorHAnsi" w:hAnsiTheme="minorHAnsi" w:cstheme="minorHAnsi"/>
          <w:bCs/>
          <w:kern w:val="32"/>
        </w:rPr>
        <w:t xml:space="preserve"> as a measure of a provider</w:t>
      </w:r>
      <w:r w:rsidR="00BA2C38">
        <w:rPr>
          <w:rFonts w:asciiTheme="minorHAnsi" w:hAnsiTheme="minorHAnsi" w:cstheme="minorHAnsi"/>
          <w:bCs/>
          <w:kern w:val="32"/>
        </w:rPr>
        <w:t>’</w:t>
      </w:r>
      <w:r w:rsidRPr="00690A3F">
        <w:rPr>
          <w:rFonts w:asciiTheme="minorHAnsi" w:hAnsiTheme="minorHAnsi" w:cstheme="minorHAnsi"/>
          <w:bCs/>
          <w:kern w:val="32"/>
        </w:rPr>
        <w:t xml:space="preserve">s </w:t>
      </w:r>
      <w:r w:rsidR="001F0C8E">
        <w:rPr>
          <w:rFonts w:asciiTheme="minorHAnsi" w:hAnsiTheme="minorHAnsi" w:cstheme="minorHAnsi"/>
          <w:bCs/>
          <w:kern w:val="32"/>
        </w:rPr>
        <w:t xml:space="preserve">relative </w:t>
      </w:r>
      <w:r w:rsidR="00ED121D" w:rsidRPr="00690A3F">
        <w:rPr>
          <w:rFonts w:asciiTheme="minorHAnsi" w:hAnsiTheme="minorHAnsi" w:cstheme="minorHAnsi"/>
          <w:bCs/>
          <w:kern w:val="32"/>
        </w:rPr>
        <w:t xml:space="preserve">performance </w:t>
      </w:r>
      <w:r w:rsidRPr="00690A3F">
        <w:rPr>
          <w:rFonts w:asciiTheme="minorHAnsi" w:hAnsiTheme="minorHAnsi" w:cstheme="minorHAnsi"/>
          <w:bCs/>
          <w:kern w:val="32"/>
        </w:rPr>
        <w:t xml:space="preserve">with </w:t>
      </w:r>
      <w:r w:rsidR="00ED121D" w:rsidRPr="00690A3F">
        <w:rPr>
          <w:rFonts w:asciiTheme="minorHAnsi" w:hAnsiTheme="minorHAnsi" w:cstheme="minorHAnsi"/>
          <w:bCs/>
          <w:kern w:val="32"/>
        </w:rPr>
        <w:t xml:space="preserve">a review to </w:t>
      </w:r>
      <w:r w:rsidRPr="00690A3F">
        <w:rPr>
          <w:rFonts w:asciiTheme="minorHAnsi" w:hAnsiTheme="minorHAnsi" w:cstheme="minorHAnsi"/>
          <w:bCs/>
          <w:kern w:val="32"/>
        </w:rPr>
        <w:t xml:space="preserve">be conducted in 2017 to </w:t>
      </w:r>
      <w:r w:rsidR="00ED121D" w:rsidRPr="00690A3F">
        <w:rPr>
          <w:rFonts w:asciiTheme="minorHAnsi" w:hAnsiTheme="minorHAnsi" w:cstheme="minorHAnsi"/>
          <w:bCs/>
          <w:kern w:val="32"/>
        </w:rPr>
        <w:t xml:space="preserve">ensure that it aligns with the </w:t>
      </w:r>
      <w:r w:rsidRPr="00690A3F">
        <w:rPr>
          <w:rFonts w:asciiTheme="minorHAnsi" w:hAnsiTheme="minorHAnsi" w:cstheme="minorHAnsi"/>
          <w:bCs/>
          <w:kern w:val="32"/>
        </w:rPr>
        <w:t xml:space="preserve">direction of the </w:t>
      </w:r>
      <w:r w:rsidR="00ED121D" w:rsidRPr="00690A3F">
        <w:rPr>
          <w:rFonts w:asciiTheme="minorHAnsi" w:hAnsiTheme="minorHAnsi" w:cstheme="minorHAnsi"/>
          <w:bCs/>
          <w:kern w:val="32"/>
        </w:rPr>
        <w:t>new DES model.</w:t>
      </w:r>
    </w:p>
    <w:p w:rsidR="00C4180B" w:rsidRPr="00690A3F" w:rsidRDefault="00B568C0" w:rsidP="00690A3F">
      <w:pPr>
        <w:spacing w:after="240" w:line="240" w:lineRule="auto"/>
        <w:rPr>
          <w:rFonts w:asciiTheme="minorHAnsi" w:hAnsiTheme="minorHAnsi" w:cstheme="minorHAnsi"/>
          <w:bCs/>
          <w:kern w:val="32"/>
        </w:rPr>
      </w:pPr>
      <w:r w:rsidRPr="00690A3F">
        <w:rPr>
          <w:rFonts w:asciiTheme="minorHAnsi" w:hAnsiTheme="minorHAnsi" w:cstheme="minorHAnsi"/>
          <w:bCs/>
          <w:kern w:val="32"/>
        </w:rPr>
        <w:t xml:space="preserve">Three levels of </w:t>
      </w:r>
      <w:r w:rsidR="00BA2C38">
        <w:rPr>
          <w:rFonts w:asciiTheme="minorHAnsi" w:hAnsiTheme="minorHAnsi" w:cstheme="minorHAnsi"/>
          <w:bCs/>
          <w:kern w:val="32"/>
        </w:rPr>
        <w:t>O</w:t>
      </w:r>
      <w:r w:rsidRPr="00690A3F">
        <w:rPr>
          <w:rFonts w:asciiTheme="minorHAnsi" w:hAnsiTheme="minorHAnsi" w:cstheme="minorHAnsi"/>
          <w:bCs/>
          <w:kern w:val="32"/>
        </w:rPr>
        <w:t xml:space="preserve">ngoing </w:t>
      </w:r>
      <w:r w:rsidR="00BA2C38">
        <w:rPr>
          <w:rFonts w:asciiTheme="minorHAnsi" w:hAnsiTheme="minorHAnsi" w:cstheme="minorHAnsi"/>
          <w:bCs/>
          <w:kern w:val="32"/>
        </w:rPr>
        <w:t>S</w:t>
      </w:r>
      <w:r w:rsidRPr="00690A3F">
        <w:rPr>
          <w:rFonts w:asciiTheme="minorHAnsi" w:hAnsiTheme="minorHAnsi" w:cstheme="minorHAnsi"/>
          <w:bCs/>
          <w:kern w:val="32"/>
        </w:rPr>
        <w:t xml:space="preserve">upport will continue to be available to participants (flexible, moderate and high). Payments for flexible </w:t>
      </w:r>
      <w:r w:rsidR="00BA2C38">
        <w:rPr>
          <w:rFonts w:asciiTheme="minorHAnsi" w:hAnsiTheme="minorHAnsi" w:cstheme="minorHAnsi"/>
          <w:bCs/>
          <w:kern w:val="32"/>
        </w:rPr>
        <w:t>O</w:t>
      </w:r>
      <w:r w:rsidRPr="00690A3F">
        <w:rPr>
          <w:rFonts w:asciiTheme="minorHAnsi" w:hAnsiTheme="minorHAnsi" w:cstheme="minorHAnsi"/>
          <w:bCs/>
          <w:kern w:val="32"/>
        </w:rPr>
        <w:t xml:space="preserve">ngoing </w:t>
      </w:r>
      <w:r w:rsidR="00BA2C38">
        <w:rPr>
          <w:rFonts w:asciiTheme="minorHAnsi" w:hAnsiTheme="minorHAnsi" w:cstheme="minorHAnsi"/>
          <w:bCs/>
          <w:kern w:val="32"/>
        </w:rPr>
        <w:t>S</w:t>
      </w:r>
      <w:r w:rsidRPr="00690A3F">
        <w:rPr>
          <w:rFonts w:asciiTheme="minorHAnsi" w:hAnsiTheme="minorHAnsi" w:cstheme="minorHAnsi"/>
          <w:bCs/>
          <w:kern w:val="32"/>
        </w:rPr>
        <w:t xml:space="preserve">upport will continue to be paid per </w:t>
      </w:r>
      <w:r w:rsidR="005B221F" w:rsidRPr="00690A3F">
        <w:rPr>
          <w:rFonts w:asciiTheme="minorHAnsi" w:hAnsiTheme="minorHAnsi" w:cstheme="minorHAnsi"/>
          <w:bCs/>
          <w:kern w:val="32"/>
        </w:rPr>
        <w:t>instance</w:t>
      </w:r>
      <w:r w:rsidR="00BA2C38">
        <w:rPr>
          <w:rFonts w:asciiTheme="minorHAnsi" w:hAnsiTheme="minorHAnsi" w:cstheme="minorHAnsi"/>
          <w:bCs/>
          <w:kern w:val="32"/>
        </w:rPr>
        <w:t>,</w:t>
      </w:r>
      <w:r w:rsidR="005B221F" w:rsidRPr="00690A3F">
        <w:rPr>
          <w:rFonts w:asciiTheme="minorHAnsi" w:hAnsiTheme="minorHAnsi" w:cstheme="minorHAnsi"/>
          <w:bCs/>
          <w:kern w:val="32"/>
        </w:rPr>
        <w:t xml:space="preserve"> with moderate and high to be paid on a </w:t>
      </w:r>
      <w:r w:rsidR="00BA2C38">
        <w:rPr>
          <w:rFonts w:asciiTheme="minorHAnsi" w:hAnsiTheme="minorHAnsi" w:cstheme="minorHAnsi"/>
          <w:bCs/>
          <w:kern w:val="32"/>
        </w:rPr>
        <w:t xml:space="preserve">monthly or </w:t>
      </w:r>
      <w:r w:rsidR="005B221F" w:rsidRPr="00690A3F">
        <w:rPr>
          <w:rFonts w:asciiTheme="minorHAnsi" w:hAnsiTheme="minorHAnsi" w:cstheme="minorHAnsi"/>
          <w:bCs/>
          <w:kern w:val="32"/>
        </w:rPr>
        <w:t>quarterly basis.</w:t>
      </w:r>
    </w:p>
    <w:p w:rsidR="00500B19" w:rsidRPr="00331917" w:rsidRDefault="00500B19" w:rsidP="00331917">
      <w:pPr>
        <w:pStyle w:val="Heading4"/>
        <w:rPr>
          <w:rStyle w:val="SubtleEmphasis"/>
          <w:rFonts w:asciiTheme="majorHAnsi" w:hAnsiTheme="majorHAnsi"/>
          <w:color w:val="404040" w:themeColor="text1" w:themeTint="BF"/>
        </w:rPr>
      </w:pPr>
      <w:r w:rsidRPr="00690A3F">
        <w:rPr>
          <w:rStyle w:val="SubtleEmphasis"/>
          <w:rFonts w:asciiTheme="majorHAnsi" w:hAnsiTheme="majorHAnsi"/>
          <w:color w:val="404040" w:themeColor="text1" w:themeTint="BF"/>
        </w:rPr>
        <w:t xml:space="preserve">Employment Services Assessment (ESAt) </w:t>
      </w:r>
    </w:p>
    <w:p w:rsidR="00123B6E" w:rsidRPr="0016699C" w:rsidRDefault="00BA2C38" w:rsidP="0016699C">
      <w:pPr>
        <w:spacing w:after="240" w:line="240" w:lineRule="auto"/>
        <w:rPr>
          <w:rFonts w:asciiTheme="minorHAnsi" w:hAnsiTheme="minorHAnsi" w:cstheme="minorHAnsi"/>
          <w:bCs/>
          <w:kern w:val="32"/>
        </w:rPr>
      </w:pPr>
      <w:r w:rsidRPr="00182CC2">
        <w:rPr>
          <w:rFonts w:asciiTheme="minorHAnsi" w:hAnsiTheme="minorHAnsi" w:cs="Arial"/>
          <w:color w:val="000000" w:themeColor="text1"/>
        </w:rPr>
        <w:t>Changes to ESAts are not part of the reforms commencing on 1 July 2018; however, a review of assessments will be undertaken which may result in changes being introduced from 2019 as the new DES program becomes established.  The review will be undertaken in consultation with representatives of people with disability and of DES providers.</w:t>
      </w:r>
    </w:p>
    <w:p w:rsidR="00B568C0" w:rsidRPr="00331917" w:rsidRDefault="00B568C0" w:rsidP="00331917">
      <w:pPr>
        <w:pStyle w:val="Heading4"/>
        <w:rPr>
          <w:rStyle w:val="SubtleEmphasis"/>
          <w:rFonts w:asciiTheme="majorHAnsi" w:hAnsiTheme="majorHAnsi"/>
          <w:color w:val="404040" w:themeColor="text1" w:themeTint="BF"/>
        </w:rPr>
      </w:pPr>
      <w:r w:rsidRPr="00690A3F">
        <w:rPr>
          <w:rStyle w:val="SubtleEmphasis"/>
          <w:rFonts w:asciiTheme="majorHAnsi" w:hAnsiTheme="majorHAnsi"/>
          <w:color w:val="404040" w:themeColor="text1" w:themeTint="BF"/>
        </w:rPr>
        <w:t>National Panel of Assessors (NPA)</w:t>
      </w:r>
    </w:p>
    <w:p w:rsidR="00B568C0" w:rsidRPr="00721770" w:rsidRDefault="00717DB1" w:rsidP="00B568C0">
      <w:pPr>
        <w:spacing w:after="240" w:line="240" w:lineRule="auto"/>
        <w:rPr>
          <w:rFonts w:asciiTheme="minorHAnsi" w:hAnsiTheme="minorHAnsi" w:cstheme="minorHAnsi"/>
          <w:bCs/>
          <w:kern w:val="32"/>
        </w:rPr>
      </w:pPr>
      <w:r w:rsidRPr="00984CBA">
        <w:rPr>
          <w:szCs w:val="22"/>
        </w:rPr>
        <w:t>The National Panel of Assessors provide</w:t>
      </w:r>
      <w:r>
        <w:rPr>
          <w:szCs w:val="22"/>
        </w:rPr>
        <w:t>s</w:t>
      </w:r>
      <w:r w:rsidRPr="00984CBA">
        <w:rPr>
          <w:szCs w:val="22"/>
        </w:rPr>
        <w:t xml:space="preserve"> a range of </w:t>
      </w:r>
      <w:r w:rsidR="001F0C8E" w:rsidRPr="00984CBA">
        <w:rPr>
          <w:szCs w:val="22"/>
        </w:rPr>
        <w:t xml:space="preserve">assessment services </w:t>
      </w:r>
      <w:r w:rsidRPr="00984CBA">
        <w:rPr>
          <w:szCs w:val="22"/>
        </w:rPr>
        <w:t xml:space="preserve">to assist with the needs of people with disability in the workplace. </w:t>
      </w:r>
      <w:r w:rsidR="00B568C0">
        <w:rPr>
          <w:rFonts w:asciiTheme="minorHAnsi" w:hAnsiTheme="minorHAnsi" w:cstheme="minorHAnsi"/>
          <w:bCs/>
          <w:kern w:val="32"/>
        </w:rPr>
        <w:t xml:space="preserve">The </w:t>
      </w:r>
      <w:r>
        <w:rPr>
          <w:rFonts w:asciiTheme="minorHAnsi" w:hAnsiTheme="minorHAnsi" w:cstheme="minorHAnsi"/>
          <w:bCs/>
          <w:kern w:val="32"/>
        </w:rPr>
        <w:t xml:space="preserve">NPA </w:t>
      </w:r>
      <w:r w:rsidR="00B568C0">
        <w:rPr>
          <w:rFonts w:asciiTheme="minorHAnsi" w:hAnsiTheme="minorHAnsi" w:cstheme="minorHAnsi"/>
          <w:bCs/>
          <w:kern w:val="32"/>
        </w:rPr>
        <w:t xml:space="preserve">contracts </w:t>
      </w:r>
      <w:r w:rsidR="00690A3F">
        <w:rPr>
          <w:rFonts w:asciiTheme="minorHAnsi" w:hAnsiTheme="minorHAnsi" w:cstheme="minorHAnsi"/>
          <w:bCs/>
          <w:kern w:val="32"/>
        </w:rPr>
        <w:t>will be</w:t>
      </w:r>
      <w:r w:rsidR="00B568C0">
        <w:rPr>
          <w:rFonts w:asciiTheme="minorHAnsi" w:hAnsiTheme="minorHAnsi" w:cstheme="minorHAnsi"/>
          <w:bCs/>
          <w:kern w:val="32"/>
        </w:rPr>
        <w:t xml:space="preserve"> extended from 30 June 2017 to 30 June 2018</w:t>
      </w:r>
      <w:r>
        <w:rPr>
          <w:rFonts w:asciiTheme="minorHAnsi" w:hAnsiTheme="minorHAnsi" w:cstheme="minorHAnsi"/>
          <w:bCs/>
          <w:kern w:val="32"/>
        </w:rPr>
        <w:t>, and a new NPA will be established next year through an application process. This wi</w:t>
      </w:r>
      <w:r w:rsidR="00B568C0">
        <w:rPr>
          <w:rFonts w:asciiTheme="minorHAnsi" w:hAnsiTheme="minorHAnsi" w:cstheme="minorHAnsi"/>
          <w:bCs/>
          <w:kern w:val="32"/>
        </w:rPr>
        <w:t>ll occur in conjunction with the application process</w:t>
      </w:r>
      <w:r w:rsidR="00BA2C38">
        <w:rPr>
          <w:rFonts w:asciiTheme="minorHAnsi" w:hAnsiTheme="minorHAnsi" w:cstheme="minorHAnsi"/>
          <w:bCs/>
          <w:kern w:val="32"/>
        </w:rPr>
        <w:t xml:space="preserve"> for DES providers</w:t>
      </w:r>
      <w:r w:rsidR="00B568C0">
        <w:rPr>
          <w:rFonts w:asciiTheme="minorHAnsi" w:hAnsiTheme="minorHAnsi" w:cstheme="minorHAnsi"/>
          <w:bCs/>
          <w:kern w:val="32"/>
        </w:rPr>
        <w:t>.</w:t>
      </w:r>
    </w:p>
    <w:p w:rsidR="00123B6E" w:rsidRPr="00331917" w:rsidRDefault="00962BD9" w:rsidP="00331917">
      <w:pPr>
        <w:spacing w:after="240" w:line="240" w:lineRule="auto"/>
        <w:rPr>
          <w:rStyle w:val="SubtleEmphasis"/>
          <w:rFonts w:asciiTheme="majorHAnsi" w:hAnsiTheme="majorHAnsi"/>
          <w:b/>
          <w:color w:val="404040" w:themeColor="text1" w:themeTint="BF"/>
          <w:lang w:val="en-US"/>
        </w:rPr>
      </w:pPr>
      <w:r w:rsidRPr="00331917">
        <w:rPr>
          <w:rStyle w:val="SubtleEmphasis"/>
          <w:rFonts w:asciiTheme="majorHAnsi" w:hAnsiTheme="majorHAnsi"/>
          <w:b/>
          <w:color w:val="404040" w:themeColor="text1" w:themeTint="BF"/>
          <w:lang w:val="en-US"/>
        </w:rPr>
        <w:t>What’s next?</w:t>
      </w:r>
    </w:p>
    <w:p w:rsidR="000F3867" w:rsidRPr="00721770" w:rsidRDefault="00962BD9" w:rsidP="000F3867">
      <w:pPr>
        <w:spacing w:after="240" w:line="240" w:lineRule="auto"/>
        <w:rPr>
          <w:rFonts w:asciiTheme="minorHAnsi" w:hAnsiTheme="minorHAnsi" w:cstheme="minorHAnsi"/>
          <w:bCs/>
          <w:kern w:val="32"/>
        </w:rPr>
      </w:pPr>
      <w:r w:rsidRPr="00721770">
        <w:rPr>
          <w:rFonts w:asciiTheme="minorHAnsi" w:hAnsiTheme="minorHAnsi" w:cstheme="minorHAnsi"/>
          <w:bCs/>
          <w:kern w:val="32"/>
        </w:rPr>
        <w:t xml:space="preserve">Current </w:t>
      </w:r>
      <w:r w:rsidR="00004956" w:rsidRPr="00721770">
        <w:rPr>
          <w:rFonts w:asciiTheme="minorHAnsi" w:hAnsiTheme="minorHAnsi" w:cstheme="minorHAnsi"/>
          <w:bCs/>
          <w:kern w:val="32"/>
        </w:rPr>
        <w:t xml:space="preserve">DES </w:t>
      </w:r>
      <w:r w:rsidRPr="00721770">
        <w:rPr>
          <w:rFonts w:asciiTheme="minorHAnsi" w:hAnsiTheme="minorHAnsi" w:cstheme="minorHAnsi"/>
          <w:bCs/>
          <w:kern w:val="32"/>
        </w:rPr>
        <w:t>provider contracts</w:t>
      </w:r>
      <w:r w:rsidR="00123B6E" w:rsidRPr="00721770">
        <w:rPr>
          <w:rFonts w:asciiTheme="minorHAnsi" w:hAnsiTheme="minorHAnsi" w:cstheme="minorHAnsi"/>
          <w:bCs/>
          <w:kern w:val="32"/>
        </w:rPr>
        <w:t xml:space="preserve"> </w:t>
      </w:r>
      <w:r w:rsidR="00690A3F">
        <w:rPr>
          <w:rFonts w:asciiTheme="minorHAnsi" w:hAnsiTheme="minorHAnsi" w:cstheme="minorHAnsi"/>
          <w:bCs/>
          <w:kern w:val="32"/>
        </w:rPr>
        <w:t xml:space="preserve">will be </w:t>
      </w:r>
      <w:r w:rsidR="00123B6E" w:rsidRPr="00721770">
        <w:rPr>
          <w:rFonts w:asciiTheme="minorHAnsi" w:hAnsiTheme="minorHAnsi" w:cstheme="minorHAnsi"/>
          <w:bCs/>
          <w:kern w:val="32"/>
        </w:rPr>
        <w:t xml:space="preserve">extended from March 2018 </w:t>
      </w:r>
      <w:r w:rsidR="00A9190F" w:rsidRPr="00721770">
        <w:rPr>
          <w:rFonts w:asciiTheme="minorHAnsi" w:hAnsiTheme="minorHAnsi" w:cstheme="minorHAnsi"/>
          <w:bCs/>
          <w:kern w:val="32"/>
        </w:rPr>
        <w:t>to 30</w:t>
      </w:r>
      <w:r w:rsidR="00DC56FA" w:rsidRPr="00721770">
        <w:rPr>
          <w:rFonts w:asciiTheme="minorHAnsi" w:hAnsiTheme="minorHAnsi" w:cstheme="minorHAnsi"/>
          <w:bCs/>
          <w:kern w:val="32"/>
        </w:rPr>
        <w:t> </w:t>
      </w:r>
      <w:r w:rsidR="00123B6E" w:rsidRPr="00721770">
        <w:rPr>
          <w:rFonts w:asciiTheme="minorHAnsi" w:hAnsiTheme="minorHAnsi" w:cstheme="minorHAnsi"/>
          <w:bCs/>
          <w:kern w:val="32"/>
        </w:rPr>
        <w:t xml:space="preserve">June 2018, to </w:t>
      </w:r>
      <w:r w:rsidR="00A9190F" w:rsidRPr="00721770">
        <w:rPr>
          <w:rFonts w:asciiTheme="minorHAnsi" w:hAnsiTheme="minorHAnsi" w:cstheme="minorHAnsi"/>
          <w:bCs/>
          <w:kern w:val="32"/>
        </w:rPr>
        <w:t xml:space="preserve">help participants and providers adjust to the new arrangements. </w:t>
      </w:r>
      <w:r w:rsidR="000F3867" w:rsidRPr="00721770">
        <w:rPr>
          <w:rFonts w:asciiTheme="minorHAnsi" w:hAnsiTheme="minorHAnsi" w:cstheme="minorHAnsi"/>
          <w:bCs/>
          <w:kern w:val="32"/>
        </w:rPr>
        <w:t xml:space="preserve">A new DES Provider Panel will be established during the second half of 2017. </w:t>
      </w:r>
    </w:p>
    <w:p w:rsidR="00690A3F" w:rsidRPr="00331917" w:rsidRDefault="00690A3F" w:rsidP="00690A3F">
      <w:pPr>
        <w:rPr>
          <w:rFonts w:asciiTheme="minorHAnsi" w:hAnsiTheme="minorHAnsi" w:cstheme="minorHAnsi"/>
          <w:bCs/>
          <w:kern w:val="32"/>
        </w:rPr>
      </w:pPr>
      <w:r w:rsidRPr="00721770">
        <w:rPr>
          <w:rFonts w:asciiTheme="minorHAnsi" w:hAnsiTheme="minorHAnsi" w:cstheme="minorHAnsi"/>
          <w:bCs/>
          <w:kern w:val="32"/>
        </w:rPr>
        <w:t>Information for current and potential DES providers will be provided through an Industry Information Paper</w:t>
      </w:r>
      <w:r>
        <w:rPr>
          <w:rFonts w:asciiTheme="minorHAnsi" w:hAnsiTheme="minorHAnsi" w:cstheme="minorHAnsi"/>
          <w:bCs/>
          <w:kern w:val="32"/>
        </w:rPr>
        <w:t xml:space="preserve"> to be released </w:t>
      </w:r>
      <w:r w:rsidR="001F0C8E">
        <w:rPr>
          <w:rFonts w:asciiTheme="minorHAnsi" w:hAnsiTheme="minorHAnsi" w:cstheme="minorHAnsi"/>
          <w:bCs/>
          <w:kern w:val="32"/>
        </w:rPr>
        <w:t>in</w:t>
      </w:r>
      <w:r w:rsidR="00717DB1">
        <w:rPr>
          <w:rFonts w:asciiTheme="minorHAnsi" w:hAnsiTheme="minorHAnsi" w:cstheme="minorHAnsi"/>
          <w:bCs/>
          <w:kern w:val="32"/>
        </w:rPr>
        <w:t xml:space="preserve"> </w:t>
      </w:r>
      <w:r>
        <w:rPr>
          <w:rFonts w:asciiTheme="minorHAnsi" w:hAnsiTheme="minorHAnsi" w:cstheme="minorHAnsi"/>
          <w:bCs/>
          <w:kern w:val="32"/>
        </w:rPr>
        <w:t>early June 2017.</w:t>
      </w:r>
      <w:r w:rsidR="00EB3610">
        <w:rPr>
          <w:rFonts w:asciiTheme="minorHAnsi" w:hAnsiTheme="minorHAnsi" w:cstheme="minorHAnsi"/>
          <w:bCs/>
          <w:kern w:val="32"/>
        </w:rPr>
        <w:t xml:space="preserve"> Provider application process </w:t>
      </w:r>
      <w:r w:rsidR="00EB3610" w:rsidRPr="00331917">
        <w:rPr>
          <w:rFonts w:asciiTheme="minorHAnsi" w:hAnsiTheme="minorHAnsi" w:cstheme="minorHAnsi"/>
          <w:bCs/>
          <w:kern w:val="32"/>
        </w:rPr>
        <w:t>timeframes will be released with the Industry Information Paper.</w:t>
      </w:r>
      <w:r w:rsidR="00717DB1">
        <w:rPr>
          <w:rFonts w:asciiTheme="minorHAnsi" w:hAnsiTheme="minorHAnsi" w:cstheme="minorHAnsi"/>
          <w:bCs/>
          <w:kern w:val="32"/>
        </w:rPr>
        <w:t xml:space="preserve"> </w:t>
      </w:r>
      <w:r>
        <w:rPr>
          <w:rFonts w:asciiTheme="minorHAnsi" w:hAnsiTheme="minorHAnsi" w:cstheme="minorHAnsi"/>
          <w:bCs/>
          <w:kern w:val="32"/>
        </w:rPr>
        <w:t xml:space="preserve">This will </w:t>
      </w:r>
      <w:r w:rsidRPr="00721770">
        <w:rPr>
          <w:rFonts w:asciiTheme="minorHAnsi" w:hAnsiTheme="minorHAnsi" w:cstheme="minorHAnsi"/>
          <w:bCs/>
          <w:kern w:val="32"/>
        </w:rPr>
        <w:t>be published on the Provider Portal and the</w:t>
      </w:r>
      <w:r w:rsidRPr="00721770">
        <w:rPr>
          <w:rFonts w:asciiTheme="minorHAnsi" w:hAnsiTheme="minorHAnsi" w:cstheme="minorHAnsi"/>
        </w:rPr>
        <w:t xml:space="preserve"> </w:t>
      </w:r>
      <w:hyperlink r:id="rId9" w:history="1">
        <w:r w:rsidRPr="00721770">
          <w:rPr>
            <w:rStyle w:val="Hyperlink"/>
            <w:rFonts w:asciiTheme="minorHAnsi" w:hAnsiTheme="minorHAnsi" w:cstheme="minorHAnsi"/>
          </w:rPr>
          <w:t>Department of Social Services</w:t>
        </w:r>
      </w:hyperlink>
      <w:r w:rsidRPr="00721770">
        <w:rPr>
          <w:rFonts w:asciiTheme="minorHAnsi" w:hAnsiTheme="minorHAnsi" w:cstheme="minorHAnsi"/>
        </w:rPr>
        <w:t xml:space="preserve"> website. </w:t>
      </w:r>
    </w:p>
    <w:p w:rsidR="00F21CF3" w:rsidRPr="00721770" w:rsidRDefault="00F21CF3" w:rsidP="00721770">
      <w:pPr>
        <w:spacing w:after="240" w:line="240" w:lineRule="auto"/>
        <w:rPr>
          <w:rFonts w:asciiTheme="minorHAnsi" w:hAnsiTheme="minorHAnsi" w:cstheme="minorHAnsi"/>
          <w:bCs/>
          <w:kern w:val="32"/>
        </w:rPr>
      </w:pPr>
      <w:r w:rsidRPr="00721770">
        <w:rPr>
          <w:rFonts w:asciiTheme="minorHAnsi" w:hAnsiTheme="minorHAnsi" w:cstheme="minorHAnsi"/>
          <w:bCs/>
          <w:kern w:val="32"/>
        </w:rPr>
        <w:t>T</w:t>
      </w:r>
      <w:r w:rsidR="006912F4" w:rsidRPr="00721770">
        <w:rPr>
          <w:rFonts w:asciiTheme="minorHAnsi" w:hAnsiTheme="minorHAnsi" w:cstheme="minorHAnsi"/>
          <w:bCs/>
          <w:kern w:val="32"/>
        </w:rPr>
        <w:t>o</w:t>
      </w:r>
      <w:r w:rsidRPr="00721770">
        <w:rPr>
          <w:rFonts w:asciiTheme="minorHAnsi" w:hAnsiTheme="minorHAnsi" w:cstheme="minorHAnsi"/>
          <w:bCs/>
          <w:kern w:val="32"/>
        </w:rPr>
        <w:t xml:space="preserve"> ensure stability in the DES market as we transition to the new model</w:t>
      </w:r>
      <w:r w:rsidR="006519D8" w:rsidRPr="00721770">
        <w:rPr>
          <w:rFonts w:asciiTheme="minorHAnsi" w:hAnsiTheme="minorHAnsi" w:cstheme="minorHAnsi"/>
          <w:bCs/>
          <w:kern w:val="32"/>
        </w:rPr>
        <w:t>,</w:t>
      </w:r>
      <w:r w:rsidR="006912F4" w:rsidRPr="00721770">
        <w:rPr>
          <w:rFonts w:asciiTheme="minorHAnsi" w:hAnsiTheme="minorHAnsi" w:cstheme="minorHAnsi"/>
          <w:bCs/>
          <w:kern w:val="32"/>
        </w:rPr>
        <w:t xml:space="preserve"> DES providers</w:t>
      </w:r>
      <w:r w:rsidR="006519D8" w:rsidRPr="00721770">
        <w:rPr>
          <w:rFonts w:asciiTheme="minorHAnsi" w:hAnsiTheme="minorHAnsi" w:cstheme="minorHAnsi"/>
          <w:bCs/>
          <w:kern w:val="32"/>
        </w:rPr>
        <w:t xml:space="preserve"> will be invited to continue to deliver services in th</w:t>
      </w:r>
      <w:r w:rsidR="00201776">
        <w:rPr>
          <w:rFonts w:asciiTheme="minorHAnsi" w:hAnsiTheme="minorHAnsi" w:cstheme="minorHAnsi"/>
          <w:bCs/>
          <w:kern w:val="32"/>
        </w:rPr>
        <w:t>ose</w:t>
      </w:r>
      <w:r w:rsidR="0016699C">
        <w:rPr>
          <w:rFonts w:asciiTheme="minorHAnsi" w:hAnsiTheme="minorHAnsi" w:cstheme="minorHAnsi"/>
          <w:bCs/>
          <w:kern w:val="32"/>
        </w:rPr>
        <w:t xml:space="preserve"> Employment Service A</w:t>
      </w:r>
      <w:r w:rsidR="006519D8" w:rsidRPr="00721770">
        <w:rPr>
          <w:rFonts w:asciiTheme="minorHAnsi" w:hAnsiTheme="minorHAnsi" w:cstheme="minorHAnsi"/>
          <w:bCs/>
          <w:kern w:val="32"/>
        </w:rPr>
        <w:t xml:space="preserve">reas </w:t>
      </w:r>
      <w:r w:rsidR="00201776">
        <w:rPr>
          <w:rFonts w:asciiTheme="minorHAnsi" w:hAnsiTheme="minorHAnsi" w:cstheme="minorHAnsi"/>
          <w:bCs/>
          <w:kern w:val="32"/>
        </w:rPr>
        <w:t xml:space="preserve">where </w:t>
      </w:r>
      <w:r w:rsidR="006519D8" w:rsidRPr="00721770">
        <w:rPr>
          <w:rFonts w:asciiTheme="minorHAnsi" w:hAnsiTheme="minorHAnsi" w:cstheme="minorHAnsi"/>
          <w:bCs/>
          <w:kern w:val="32"/>
        </w:rPr>
        <w:t>they operate</w:t>
      </w:r>
      <w:r w:rsidR="0016699C">
        <w:rPr>
          <w:rFonts w:asciiTheme="minorHAnsi" w:hAnsiTheme="minorHAnsi" w:cstheme="minorHAnsi"/>
          <w:bCs/>
          <w:kern w:val="32"/>
        </w:rPr>
        <w:t xml:space="preserve"> business that is performing </w:t>
      </w:r>
      <w:r w:rsidR="00201776">
        <w:rPr>
          <w:rFonts w:asciiTheme="minorHAnsi" w:hAnsiTheme="minorHAnsi" w:cstheme="minorHAnsi"/>
          <w:bCs/>
          <w:kern w:val="32"/>
        </w:rPr>
        <w:t xml:space="preserve">above average </w:t>
      </w:r>
      <w:r w:rsidR="0016699C">
        <w:rPr>
          <w:rFonts w:asciiTheme="minorHAnsi" w:hAnsiTheme="minorHAnsi" w:cstheme="minorHAnsi"/>
          <w:bCs/>
          <w:kern w:val="32"/>
        </w:rPr>
        <w:t>under the June 201</w:t>
      </w:r>
      <w:r w:rsidR="00D348C2">
        <w:rPr>
          <w:rFonts w:asciiTheme="minorHAnsi" w:hAnsiTheme="minorHAnsi" w:cstheme="minorHAnsi"/>
          <w:bCs/>
          <w:kern w:val="32"/>
        </w:rPr>
        <w:t>7</w:t>
      </w:r>
      <w:r w:rsidR="0016699C">
        <w:rPr>
          <w:rFonts w:asciiTheme="minorHAnsi" w:hAnsiTheme="minorHAnsi" w:cstheme="minorHAnsi"/>
          <w:bCs/>
          <w:kern w:val="32"/>
        </w:rPr>
        <w:t xml:space="preserve"> DES Star Ratings</w:t>
      </w:r>
      <w:r w:rsidR="006519D8" w:rsidRPr="00721770">
        <w:rPr>
          <w:rFonts w:asciiTheme="minorHAnsi" w:hAnsiTheme="minorHAnsi" w:cstheme="minorHAnsi"/>
          <w:bCs/>
          <w:kern w:val="32"/>
        </w:rPr>
        <w:t xml:space="preserve">. </w:t>
      </w:r>
    </w:p>
    <w:p w:rsidR="00123B6E" w:rsidRPr="00721770" w:rsidRDefault="00E634EC" w:rsidP="00123B6E">
      <w:pPr>
        <w:spacing w:after="240" w:line="240" w:lineRule="auto"/>
        <w:rPr>
          <w:rStyle w:val="SubtleEmphasis"/>
          <w:rFonts w:asciiTheme="minorHAnsi" w:hAnsiTheme="minorHAnsi" w:cstheme="minorHAnsi"/>
          <w:b/>
          <w:i w:val="0"/>
          <w:lang w:val="en-US"/>
        </w:rPr>
      </w:pPr>
      <w:r w:rsidRPr="00721770">
        <w:rPr>
          <w:rStyle w:val="SubtleEmphasis"/>
          <w:rFonts w:asciiTheme="minorHAnsi" w:hAnsiTheme="minorHAnsi" w:cstheme="minorHAnsi"/>
          <w:b/>
          <w:i w:val="0"/>
          <w:lang w:val="en-US"/>
        </w:rPr>
        <w:t>More i</w:t>
      </w:r>
      <w:r w:rsidR="00123B6E" w:rsidRPr="00721770">
        <w:rPr>
          <w:rStyle w:val="SubtleEmphasis"/>
          <w:rFonts w:asciiTheme="minorHAnsi" w:hAnsiTheme="minorHAnsi" w:cstheme="minorHAnsi"/>
          <w:b/>
          <w:i w:val="0"/>
          <w:lang w:val="en-US"/>
        </w:rPr>
        <w:t>nformation</w:t>
      </w:r>
    </w:p>
    <w:p w:rsidR="00123B6E" w:rsidRPr="00721770" w:rsidRDefault="009F1C94" w:rsidP="00123B6E">
      <w:pPr>
        <w:spacing w:after="240" w:line="240" w:lineRule="auto"/>
        <w:rPr>
          <w:rFonts w:asciiTheme="minorHAnsi" w:hAnsiTheme="minorHAnsi" w:cstheme="minorHAnsi"/>
        </w:rPr>
      </w:pPr>
      <w:r>
        <w:rPr>
          <w:rFonts w:asciiTheme="minorHAnsi" w:hAnsiTheme="minorHAnsi"/>
        </w:rPr>
        <w:t xml:space="preserve">More information </w:t>
      </w:r>
      <w:r w:rsidR="00EB3610">
        <w:rPr>
          <w:rFonts w:asciiTheme="minorHAnsi" w:hAnsiTheme="minorHAnsi"/>
        </w:rPr>
        <w:t xml:space="preserve">on the application processes </w:t>
      </w:r>
      <w:r>
        <w:rPr>
          <w:rFonts w:asciiTheme="minorHAnsi" w:hAnsiTheme="minorHAnsi"/>
        </w:rPr>
        <w:t xml:space="preserve">will be made available on the DES </w:t>
      </w:r>
      <w:r w:rsidR="00EB3610">
        <w:rPr>
          <w:rFonts w:asciiTheme="minorHAnsi" w:hAnsiTheme="minorHAnsi"/>
        </w:rPr>
        <w:t>P</w:t>
      </w:r>
      <w:r>
        <w:rPr>
          <w:rFonts w:asciiTheme="minorHAnsi" w:hAnsiTheme="minorHAnsi"/>
        </w:rPr>
        <w:t xml:space="preserve">rovider </w:t>
      </w:r>
      <w:r w:rsidR="00EB3610">
        <w:rPr>
          <w:rFonts w:asciiTheme="minorHAnsi" w:hAnsiTheme="minorHAnsi"/>
        </w:rPr>
        <w:t>P</w:t>
      </w:r>
      <w:r>
        <w:rPr>
          <w:rFonts w:asciiTheme="minorHAnsi" w:hAnsiTheme="minorHAnsi"/>
        </w:rPr>
        <w:t>ortal, JobAccess and Department of Social Services’ websites</w:t>
      </w:r>
      <w:r w:rsidR="00EB3610">
        <w:rPr>
          <w:rFonts w:asciiTheme="minorHAnsi" w:hAnsiTheme="minorHAnsi"/>
        </w:rPr>
        <w:t xml:space="preserve"> in the coming weeks</w:t>
      </w:r>
      <w:r>
        <w:rPr>
          <w:rFonts w:asciiTheme="minorHAnsi" w:hAnsiTheme="minorHAnsi"/>
        </w:rPr>
        <w:t>.</w:t>
      </w:r>
    </w:p>
    <w:sectPr w:rsidR="00123B6E" w:rsidRPr="00721770" w:rsidSect="00123B6E">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737" w:left="851" w:header="0" w:footer="471"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C9E3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64" w:rsidRDefault="00BC5F64">
      <w:r>
        <w:separator/>
      </w:r>
    </w:p>
  </w:endnote>
  <w:endnote w:type="continuationSeparator" w:id="0">
    <w:p w:rsidR="00BC5F64" w:rsidRDefault="00BC5F64">
      <w:r>
        <w:continuationSeparator/>
      </w:r>
    </w:p>
  </w:endnote>
  <w:endnote w:type="continuationNotice" w:id="1">
    <w:p w:rsidR="00BC5F64" w:rsidRDefault="00BC5F6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FE" w:rsidRDefault="000F6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086333"/>
      <w:docPartObj>
        <w:docPartGallery w:val="Page Numbers (Bottom of Page)"/>
        <w:docPartUnique/>
      </w:docPartObj>
    </w:sdtPr>
    <w:sdtEndPr>
      <w:rPr>
        <w:noProof/>
      </w:rPr>
    </w:sdtEndPr>
    <w:sdtContent>
      <w:p w:rsidR="00C85464" w:rsidRDefault="00C85464">
        <w:pPr>
          <w:pStyle w:val="Footer"/>
          <w:jc w:val="center"/>
        </w:pPr>
        <w:r>
          <w:fldChar w:fldCharType="begin"/>
        </w:r>
        <w:r>
          <w:instrText xml:space="preserve"> PAGE   \* MERGEFORMAT </w:instrText>
        </w:r>
        <w:r>
          <w:fldChar w:fldCharType="separate"/>
        </w:r>
        <w:r w:rsidR="000F6BFE">
          <w:rPr>
            <w:noProof/>
          </w:rPr>
          <w:t>3</w:t>
        </w:r>
        <w:r>
          <w:rPr>
            <w:noProof/>
          </w:rPr>
          <w:fldChar w:fldCharType="end"/>
        </w:r>
      </w:p>
    </w:sdtContent>
  </w:sdt>
  <w:p w:rsidR="00C85464" w:rsidRDefault="00C85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036058"/>
      <w:docPartObj>
        <w:docPartGallery w:val="Page Numbers (Bottom of Page)"/>
        <w:docPartUnique/>
      </w:docPartObj>
    </w:sdtPr>
    <w:sdtEndPr>
      <w:rPr>
        <w:noProof/>
      </w:rPr>
    </w:sdtEndPr>
    <w:sdtContent>
      <w:p w:rsidR="00C85464" w:rsidRDefault="00C85464">
        <w:pPr>
          <w:pStyle w:val="Footer"/>
          <w:jc w:val="center"/>
        </w:pPr>
        <w:r>
          <w:fldChar w:fldCharType="begin"/>
        </w:r>
        <w:r>
          <w:instrText xml:space="preserve"> PAGE   \* MERGEFORMAT </w:instrText>
        </w:r>
        <w:r>
          <w:fldChar w:fldCharType="separate"/>
        </w:r>
        <w:r w:rsidR="000F6BFE">
          <w:rPr>
            <w:noProof/>
          </w:rPr>
          <w:t>1</w:t>
        </w:r>
        <w:r>
          <w:rPr>
            <w:noProof/>
          </w:rPr>
          <w:fldChar w:fldCharType="end"/>
        </w:r>
      </w:p>
    </w:sdtContent>
  </w:sdt>
  <w:p w:rsidR="00C85464" w:rsidRDefault="00C85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64" w:rsidRDefault="00BC5F64">
      <w:r>
        <w:separator/>
      </w:r>
    </w:p>
  </w:footnote>
  <w:footnote w:type="continuationSeparator" w:id="0">
    <w:p w:rsidR="00BC5F64" w:rsidRDefault="00BC5F64">
      <w:r>
        <w:continuationSeparator/>
      </w:r>
    </w:p>
  </w:footnote>
  <w:footnote w:type="continuationNotice" w:id="1">
    <w:p w:rsidR="00BC5F64" w:rsidRDefault="00BC5F64">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FE" w:rsidRDefault="000F6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FE" w:rsidRDefault="000F6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BFE" w:rsidRDefault="000F6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B0FEE2"/>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77BCED76"/>
    <w:lvl w:ilvl="0" w:tplc="B5FAC41A">
      <w:start w:val="1"/>
      <w:numFmt w:val="bullet"/>
      <w:pStyle w:val="ListBullet"/>
      <w:lvlText w:val=""/>
      <w:lvlJc w:val="left"/>
      <w:pPr>
        <w:ind w:left="53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2F4540"/>
    <w:multiLevelType w:val="hybridMultilevel"/>
    <w:tmpl w:val="68782DAA"/>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B53A06"/>
    <w:multiLevelType w:val="hybridMultilevel"/>
    <w:tmpl w:val="8304D258"/>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23">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6D958D6"/>
    <w:multiLevelType w:val="hybridMultilevel"/>
    <w:tmpl w:val="9014BD90"/>
    <w:lvl w:ilvl="0" w:tplc="0C090001">
      <w:start w:val="1"/>
      <w:numFmt w:val="bullet"/>
      <w:lvlText w:val=""/>
      <w:lvlJc w:val="left"/>
      <w:pPr>
        <w:ind w:left="292" w:hanging="360"/>
      </w:pPr>
      <w:rPr>
        <w:rFonts w:ascii="Symbol" w:hAnsi="Symbol" w:hint="default"/>
      </w:rPr>
    </w:lvl>
    <w:lvl w:ilvl="1" w:tplc="0C090003">
      <w:start w:val="1"/>
      <w:numFmt w:val="bullet"/>
      <w:lvlText w:val="o"/>
      <w:lvlJc w:val="left"/>
      <w:pPr>
        <w:ind w:left="1012" w:hanging="360"/>
      </w:pPr>
      <w:rPr>
        <w:rFonts w:ascii="Courier New" w:hAnsi="Courier New" w:cs="Courier New" w:hint="default"/>
      </w:rPr>
    </w:lvl>
    <w:lvl w:ilvl="2" w:tplc="0C090005" w:tentative="1">
      <w:start w:val="1"/>
      <w:numFmt w:val="bullet"/>
      <w:lvlText w:val=""/>
      <w:lvlJc w:val="left"/>
      <w:pPr>
        <w:ind w:left="1732" w:hanging="360"/>
      </w:pPr>
      <w:rPr>
        <w:rFonts w:ascii="Wingdings" w:hAnsi="Wingdings" w:hint="default"/>
      </w:rPr>
    </w:lvl>
    <w:lvl w:ilvl="3" w:tplc="0C090001" w:tentative="1">
      <w:start w:val="1"/>
      <w:numFmt w:val="bullet"/>
      <w:lvlText w:val=""/>
      <w:lvlJc w:val="left"/>
      <w:pPr>
        <w:ind w:left="2452" w:hanging="360"/>
      </w:pPr>
      <w:rPr>
        <w:rFonts w:ascii="Symbol" w:hAnsi="Symbol" w:hint="default"/>
      </w:rPr>
    </w:lvl>
    <w:lvl w:ilvl="4" w:tplc="0C090003" w:tentative="1">
      <w:start w:val="1"/>
      <w:numFmt w:val="bullet"/>
      <w:lvlText w:val="o"/>
      <w:lvlJc w:val="left"/>
      <w:pPr>
        <w:ind w:left="3172" w:hanging="360"/>
      </w:pPr>
      <w:rPr>
        <w:rFonts w:ascii="Courier New" w:hAnsi="Courier New" w:cs="Courier New" w:hint="default"/>
      </w:rPr>
    </w:lvl>
    <w:lvl w:ilvl="5" w:tplc="0C090005" w:tentative="1">
      <w:start w:val="1"/>
      <w:numFmt w:val="bullet"/>
      <w:lvlText w:val=""/>
      <w:lvlJc w:val="left"/>
      <w:pPr>
        <w:ind w:left="3892" w:hanging="360"/>
      </w:pPr>
      <w:rPr>
        <w:rFonts w:ascii="Wingdings" w:hAnsi="Wingdings" w:hint="default"/>
      </w:rPr>
    </w:lvl>
    <w:lvl w:ilvl="6" w:tplc="0C090001" w:tentative="1">
      <w:start w:val="1"/>
      <w:numFmt w:val="bullet"/>
      <w:lvlText w:val=""/>
      <w:lvlJc w:val="left"/>
      <w:pPr>
        <w:ind w:left="4612" w:hanging="360"/>
      </w:pPr>
      <w:rPr>
        <w:rFonts w:ascii="Symbol" w:hAnsi="Symbol" w:hint="default"/>
      </w:rPr>
    </w:lvl>
    <w:lvl w:ilvl="7" w:tplc="0C090003" w:tentative="1">
      <w:start w:val="1"/>
      <w:numFmt w:val="bullet"/>
      <w:lvlText w:val="o"/>
      <w:lvlJc w:val="left"/>
      <w:pPr>
        <w:ind w:left="5332" w:hanging="360"/>
      </w:pPr>
      <w:rPr>
        <w:rFonts w:ascii="Courier New" w:hAnsi="Courier New" w:cs="Courier New" w:hint="default"/>
      </w:rPr>
    </w:lvl>
    <w:lvl w:ilvl="8" w:tplc="0C090005" w:tentative="1">
      <w:start w:val="1"/>
      <w:numFmt w:val="bullet"/>
      <w:lvlText w:val=""/>
      <w:lvlJc w:val="left"/>
      <w:pPr>
        <w:ind w:left="6052" w:hanging="360"/>
      </w:pPr>
      <w:rPr>
        <w:rFonts w:ascii="Wingdings" w:hAnsi="Wingdings" w:hint="default"/>
      </w:rPr>
    </w:lvl>
  </w:abstractNum>
  <w:abstractNum w:abstractNumId="46">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1"/>
  </w:num>
  <w:num w:numId="5">
    <w:abstractNumId w:val="16"/>
  </w:num>
  <w:num w:numId="6">
    <w:abstractNumId w:val="60"/>
  </w:num>
  <w:num w:numId="7">
    <w:abstractNumId w:val="47"/>
  </w:num>
  <w:num w:numId="8">
    <w:abstractNumId w:val="52"/>
  </w:num>
  <w:num w:numId="9">
    <w:abstractNumId w:val="7"/>
  </w:num>
  <w:num w:numId="10">
    <w:abstractNumId w:val="59"/>
  </w:num>
  <w:num w:numId="11">
    <w:abstractNumId w:val="17"/>
  </w:num>
  <w:num w:numId="12">
    <w:abstractNumId w:val="43"/>
  </w:num>
  <w:num w:numId="13">
    <w:abstractNumId w:val="54"/>
  </w:num>
  <w:num w:numId="14">
    <w:abstractNumId w:val="36"/>
  </w:num>
  <w:num w:numId="15">
    <w:abstractNumId w:val="3"/>
  </w:num>
  <w:num w:numId="16">
    <w:abstractNumId w:val="13"/>
  </w:num>
  <w:num w:numId="17">
    <w:abstractNumId w:val="58"/>
  </w:num>
  <w:num w:numId="18">
    <w:abstractNumId w:val="51"/>
  </w:num>
  <w:num w:numId="19">
    <w:abstractNumId w:val="14"/>
  </w:num>
  <w:num w:numId="20">
    <w:abstractNumId w:val="2"/>
  </w:num>
  <w:num w:numId="21">
    <w:abstractNumId w:val="5"/>
  </w:num>
  <w:num w:numId="22">
    <w:abstractNumId w:val="21"/>
  </w:num>
  <w:num w:numId="23">
    <w:abstractNumId w:val="18"/>
  </w:num>
  <w:num w:numId="24">
    <w:abstractNumId w:val="62"/>
  </w:num>
  <w:num w:numId="25">
    <w:abstractNumId w:val="35"/>
  </w:num>
  <w:num w:numId="26">
    <w:abstractNumId w:val="40"/>
  </w:num>
  <w:num w:numId="27">
    <w:abstractNumId w:val="20"/>
  </w:num>
  <w:num w:numId="28">
    <w:abstractNumId w:val="61"/>
  </w:num>
  <w:num w:numId="29">
    <w:abstractNumId w:val="50"/>
  </w:num>
  <w:num w:numId="30">
    <w:abstractNumId w:val="27"/>
  </w:num>
  <w:num w:numId="31">
    <w:abstractNumId w:val="46"/>
  </w:num>
  <w:num w:numId="32">
    <w:abstractNumId w:val="55"/>
  </w:num>
  <w:num w:numId="33">
    <w:abstractNumId w:val="57"/>
  </w:num>
  <w:num w:numId="34">
    <w:abstractNumId w:val="4"/>
  </w:num>
  <w:num w:numId="35">
    <w:abstractNumId w:val="25"/>
  </w:num>
  <w:num w:numId="36">
    <w:abstractNumId w:val="49"/>
  </w:num>
  <w:num w:numId="37">
    <w:abstractNumId w:val="8"/>
  </w:num>
  <w:num w:numId="38">
    <w:abstractNumId w:val="30"/>
  </w:num>
  <w:num w:numId="39">
    <w:abstractNumId w:val="24"/>
  </w:num>
  <w:num w:numId="40">
    <w:abstractNumId w:val="34"/>
  </w:num>
  <w:num w:numId="41">
    <w:abstractNumId w:val="38"/>
  </w:num>
  <w:num w:numId="42">
    <w:abstractNumId w:val="23"/>
  </w:num>
  <w:num w:numId="43">
    <w:abstractNumId w:val="15"/>
  </w:num>
  <w:num w:numId="44">
    <w:abstractNumId w:val="42"/>
  </w:num>
  <w:num w:numId="45">
    <w:abstractNumId w:val="48"/>
  </w:num>
  <w:num w:numId="46">
    <w:abstractNumId w:val="33"/>
  </w:num>
  <w:num w:numId="47">
    <w:abstractNumId w:val="31"/>
  </w:num>
  <w:num w:numId="48">
    <w:abstractNumId w:val="1"/>
  </w:num>
  <w:num w:numId="49">
    <w:abstractNumId w:val="44"/>
  </w:num>
  <w:num w:numId="50">
    <w:abstractNumId w:val="56"/>
  </w:num>
  <w:num w:numId="51">
    <w:abstractNumId w:val="41"/>
  </w:num>
  <w:num w:numId="52">
    <w:abstractNumId w:val="9"/>
  </w:num>
  <w:num w:numId="53">
    <w:abstractNumId w:val="53"/>
  </w:num>
  <w:num w:numId="54">
    <w:abstractNumId w:val="26"/>
  </w:num>
  <w:num w:numId="55">
    <w:abstractNumId w:val="19"/>
  </w:num>
  <w:num w:numId="56">
    <w:abstractNumId w:val="29"/>
  </w:num>
  <w:num w:numId="57">
    <w:abstractNumId w:val="28"/>
  </w:num>
  <w:num w:numId="58">
    <w:abstractNumId w:val="10"/>
  </w:num>
  <w:num w:numId="59">
    <w:abstractNumId w:val="37"/>
  </w:num>
  <w:num w:numId="60">
    <w:abstractNumId w:val="6"/>
  </w:num>
  <w:num w:numId="61">
    <w:abstractNumId w:val="32"/>
  </w:num>
  <w:num w:numId="62">
    <w:abstractNumId w:val="12"/>
    <w:lvlOverride w:ilvl="0">
      <w:startOverride w:val="1"/>
    </w:lvlOverride>
    <w:lvlOverride w:ilvl="1"/>
    <w:lvlOverride w:ilvl="2"/>
    <w:lvlOverride w:ilvl="3"/>
    <w:lvlOverride w:ilvl="4"/>
    <w:lvlOverride w:ilvl="5"/>
    <w:lvlOverride w:ilvl="6"/>
    <w:lvlOverride w:ilvl="7"/>
    <w:lvlOverride w:ilvl="8"/>
  </w:num>
  <w:num w:numId="63">
    <w:abstractNumId w:val="6"/>
  </w:num>
  <w:num w:numId="64">
    <w:abstractNumId w:val="6"/>
  </w:num>
  <w:num w:numId="65">
    <w:abstractNumId w:val="12"/>
  </w:num>
  <w:num w:numId="66">
    <w:abstractNumId w:val="45"/>
  </w:num>
  <w:num w:numId="67">
    <w:abstractNumId w:val="22"/>
  </w:num>
  <w:num w:numId="68">
    <w:abstractNumId w:val="6"/>
  </w:num>
  <w:numIdMacAtCleanup w:val="5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eleine Clifford">
    <w15:presenceInfo w15:providerId="Windows Live" w15:userId="2fece591355e31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removePersonalInformation/>
  <w:removeDateAndTime/>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6E"/>
    <w:rsid w:val="00002C18"/>
    <w:rsid w:val="00004956"/>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186F"/>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0F00D5"/>
    <w:rsid w:val="000F3867"/>
    <w:rsid w:val="000F6BFE"/>
    <w:rsid w:val="00104669"/>
    <w:rsid w:val="00110028"/>
    <w:rsid w:val="00116EDF"/>
    <w:rsid w:val="00117D3F"/>
    <w:rsid w:val="001228C7"/>
    <w:rsid w:val="00123B6E"/>
    <w:rsid w:val="00124B26"/>
    <w:rsid w:val="00130C4E"/>
    <w:rsid w:val="00131B54"/>
    <w:rsid w:val="001354B7"/>
    <w:rsid w:val="001404FA"/>
    <w:rsid w:val="001413C5"/>
    <w:rsid w:val="00142956"/>
    <w:rsid w:val="00143502"/>
    <w:rsid w:val="00144494"/>
    <w:rsid w:val="00144868"/>
    <w:rsid w:val="00157709"/>
    <w:rsid w:val="00163ACA"/>
    <w:rsid w:val="0016699C"/>
    <w:rsid w:val="00167330"/>
    <w:rsid w:val="00167CF4"/>
    <w:rsid w:val="00182795"/>
    <w:rsid w:val="00185F6A"/>
    <w:rsid w:val="001943DD"/>
    <w:rsid w:val="00195374"/>
    <w:rsid w:val="001A127F"/>
    <w:rsid w:val="001A1F53"/>
    <w:rsid w:val="001A2ED7"/>
    <w:rsid w:val="001A3CA4"/>
    <w:rsid w:val="001A3EA4"/>
    <w:rsid w:val="001B3AEC"/>
    <w:rsid w:val="001B5000"/>
    <w:rsid w:val="001B6F28"/>
    <w:rsid w:val="001D00B3"/>
    <w:rsid w:val="001D4585"/>
    <w:rsid w:val="001D5D54"/>
    <w:rsid w:val="001E41C8"/>
    <w:rsid w:val="001F0C8E"/>
    <w:rsid w:val="001F3AD7"/>
    <w:rsid w:val="001F45EB"/>
    <w:rsid w:val="00200487"/>
    <w:rsid w:val="00201776"/>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B547E"/>
    <w:rsid w:val="002D00B0"/>
    <w:rsid w:val="002D2E16"/>
    <w:rsid w:val="002D565D"/>
    <w:rsid w:val="002F19EF"/>
    <w:rsid w:val="00302415"/>
    <w:rsid w:val="0030693C"/>
    <w:rsid w:val="003102F6"/>
    <w:rsid w:val="00313304"/>
    <w:rsid w:val="00313C48"/>
    <w:rsid w:val="00314D15"/>
    <w:rsid w:val="003162AD"/>
    <w:rsid w:val="00321148"/>
    <w:rsid w:val="00321798"/>
    <w:rsid w:val="00325F44"/>
    <w:rsid w:val="00326976"/>
    <w:rsid w:val="003311D7"/>
    <w:rsid w:val="00331917"/>
    <w:rsid w:val="00332B8B"/>
    <w:rsid w:val="0033462C"/>
    <w:rsid w:val="00342476"/>
    <w:rsid w:val="00347104"/>
    <w:rsid w:val="0035213F"/>
    <w:rsid w:val="003555D2"/>
    <w:rsid w:val="00363DF3"/>
    <w:rsid w:val="003656B1"/>
    <w:rsid w:val="0037056B"/>
    <w:rsid w:val="00377173"/>
    <w:rsid w:val="003774DA"/>
    <w:rsid w:val="00392557"/>
    <w:rsid w:val="003945C0"/>
    <w:rsid w:val="003A06C2"/>
    <w:rsid w:val="003B37F7"/>
    <w:rsid w:val="003B6D2E"/>
    <w:rsid w:val="003C430D"/>
    <w:rsid w:val="003C7404"/>
    <w:rsid w:val="003D3C5A"/>
    <w:rsid w:val="003D404A"/>
    <w:rsid w:val="003D71D4"/>
    <w:rsid w:val="003E6FDA"/>
    <w:rsid w:val="003F2F83"/>
    <w:rsid w:val="003F3072"/>
    <w:rsid w:val="00401A2A"/>
    <w:rsid w:val="00403531"/>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C1BFD"/>
    <w:rsid w:val="004C595A"/>
    <w:rsid w:val="004D44E8"/>
    <w:rsid w:val="004F775C"/>
    <w:rsid w:val="004F77BF"/>
    <w:rsid w:val="00500B19"/>
    <w:rsid w:val="005015E4"/>
    <w:rsid w:val="0050291D"/>
    <w:rsid w:val="00502F33"/>
    <w:rsid w:val="0050697E"/>
    <w:rsid w:val="005106DD"/>
    <w:rsid w:val="00524B3C"/>
    <w:rsid w:val="005300B9"/>
    <w:rsid w:val="00530486"/>
    <w:rsid w:val="005315A9"/>
    <w:rsid w:val="005316BE"/>
    <w:rsid w:val="00531ABA"/>
    <w:rsid w:val="00532B56"/>
    <w:rsid w:val="00537B50"/>
    <w:rsid w:val="00540AD0"/>
    <w:rsid w:val="0054322A"/>
    <w:rsid w:val="00543923"/>
    <w:rsid w:val="005519C9"/>
    <w:rsid w:val="005523D1"/>
    <w:rsid w:val="00554A9C"/>
    <w:rsid w:val="00557624"/>
    <w:rsid w:val="0056023E"/>
    <w:rsid w:val="00561CEE"/>
    <w:rsid w:val="0056446C"/>
    <w:rsid w:val="005646F4"/>
    <w:rsid w:val="005658EF"/>
    <w:rsid w:val="005822A3"/>
    <w:rsid w:val="0059070B"/>
    <w:rsid w:val="00594445"/>
    <w:rsid w:val="005B1225"/>
    <w:rsid w:val="005B221F"/>
    <w:rsid w:val="005C09F4"/>
    <w:rsid w:val="005C561A"/>
    <w:rsid w:val="005C5B93"/>
    <w:rsid w:val="005C66FF"/>
    <w:rsid w:val="005C785A"/>
    <w:rsid w:val="005D03CA"/>
    <w:rsid w:val="005D2868"/>
    <w:rsid w:val="005D45AB"/>
    <w:rsid w:val="005E4662"/>
    <w:rsid w:val="005F093F"/>
    <w:rsid w:val="005F214A"/>
    <w:rsid w:val="005F6BD6"/>
    <w:rsid w:val="00601C99"/>
    <w:rsid w:val="00607597"/>
    <w:rsid w:val="006255E4"/>
    <w:rsid w:val="006325E2"/>
    <w:rsid w:val="00641020"/>
    <w:rsid w:val="006410C1"/>
    <w:rsid w:val="006453EE"/>
    <w:rsid w:val="00647F05"/>
    <w:rsid w:val="006519D8"/>
    <w:rsid w:val="006530EF"/>
    <w:rsid w:val="00654D06"/>
    <w:rsid w:val="00661536"/>
    <w:rsid w:val="006678ED"/>
    <w:rsid w:val="0067233D"/>
    <w:rsid w:val="00673A59"/>
    <w:rsid w:val="006745AE"/>
    <w:rsid w:val="00675BEF"/>
    <w:rsid w:val="00676AF3"/>
    <w:rsid w:val="00676D10"/>
    <w:rsid w:val="00680F71"/>
    <w:rsid w:val="00682A53"/>
    <w:rsid w:val="00690A3F"/>
    <w:rsid w:val="006912F4"/>
    <w:rsid w:val="0069174B"/>
    <w:rsid w:val="00693FA1"/>
    <w:rsid w:val="006B05E3"/>
    <w:rsid w:val="006B09BC"/>
    <w:rsid w:val="006B42A0"/>
    <w:rsid w:val="006B4E59"/>
    <w:rsid w:val="006C3402"/>
    <w:rsid w:val="006C3622"/>
    <w:rsid w:val="006C395C"/>
    <w:rsid w:val="006C45D4"/>
    <w:rsid w:val="006E1F3C"/>
    <w:rsid w:val="006E5E41"/>
    <w:rsid w:val="006E6073"/>
    <w:rsid w:val="006F7300"/>
    <w:rsid w:val="00703C09"/>
    <w:rsid w:val="007045FA"/>
    <w:rsid w:val="00712300"/>
    <w:rsid w:val="00717DB1"/>
    <w:rsid w:val="00720739"/>
    <w:rsid w:val="00721695"/>
    <w:rsid w:val="00721770"/>
    <w:rsid w:val="007242B4"/>
    <w:rsid w:val="00725FB2"/>
    <w:rsid w:val="00730C64"/>
    <w:rsid w:val="007322AF"/>
    <w:rsid w:val="00735477"/>
    <w:rsid w:val="00736DCA"/>
    <w:rsid w:val="00742399"/>
    <w:rsid w:val="0074533D"/>
    <w:rsid w:val="007457E8"/>
    <w:rsid w:val="0074640C"/>
    <w:rsid w:val="0075003D"/>
    <w:rsid w:val="00751B37"/>
    <w:rsid w:val="00754D44"/>
    <w:rsid w:val="00767B7E"/>
    <w:rsid w:val="007746A9"/>
    <w:rsid w:val="00785465"/>
    <w:rsid w:val="00787656"/>
    <w:rsid w:val="007A67EA"/>
    <w:rsid w:val="007B15AF"/>
    <w:rsid w:val="007B7E83"/>
    <w:rsid w:val="007C1631"/>
    <w:rsid w:val="007C636F"/>
    <w:rsid w:val="007D0EF8"/>
    <w:rsid w:val="007D39EB"/>
    <w:rsid w:val="007F483D"/>
    <w:rsid w:val="00800A4D"/>
    <w:rsid w:val="00806933"/>
    <w:rsid w:val="008131E7"/>
    <w:rsid w:val="00813711"/>
    <w:rsid w:val="00814279"/>
    <w:rsid w:val="008263C2"/>
    <w:rsid w:val="0082776B"/>
    <w:rsid w:val="00840FB0"/>
    <w:rsid w:val="00842959"/>
    <w:rsid w:val="008451DC"/>
    <w:rsid w:val="008451FE"/>
    <w:rsid w:val="008466A1"/>
    <w:rsid w:val="00846C1D"/>
    <w:rsid w:val="00851758"/>
    <w:rsid w:val="008540D0"/>
    <w:rsid w:val="00856D5A"/>
    <w:rsid w:val="008609EB"/>
    <w:rsid w:val="00862D6D"/>
    <w:rsid w:val="008653E0"/>
    <w:rsid w:val="008657FB"/>
    <w:rsid w:val="00871D4F"/>
    <w:rsid w:val="00874FB3"/>
    <w:rsid w:val="008755DD"/>
    <w:rsid w:val="00880BE3"/>
    <w:rsid w:val="00882588"/>
    <w:rsid w:val="00882C7F"/>
    <w:rsid w:val="00895792"/>
    <w:rsid w:val="00897A08"/>
    <w:rsid w:val="008A3738"/>
    <w:rsid w:val="008A384C"/>
    <w:rsid w:val="008A6981"/>
    <w:rsid w:val="008B645B"/>
    <w:rsid w:val="008B67B8"/>
    <w:rsid w:val="008B774D"/>
    <w:rsid w:val="008C123E"/>
    <w:rsid w:val="008C3ED0"/>
    <w:rsid w:val="008C5585"/>
    <w:rsid w:val="008C5E4B"/>
    <w:rsid w:val="008C5E94"/>
    <w:rsid w:val="008D40C6"/>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2D56"/>
    <w:rsid w:val="00943142"/>
    <w:rsid w:val="00943A29"/>
    <w:rsid w:val="0095197E"/>
    <w:rsid w:val="0095296D"/>
    <w:rsid w:val="00952AB2"/>
    <w:rsid w:val="009551E0"/>
    <w:rsid w:val="00955801"/>
    <w:rsid w:val="0095654E"/>
    <w:rsid w:val="00956F3C"/>
    <w:rsid w:val="0095779B"/>
    <w:rsid w:val="00962BD9"/>
    <w:rsid w:val="0096485D"/>
    <w:rsid w:val="009900F0"/>
    <w:rsid w:val="00991769"/>
    <w:rsid w:val="00994E9F"/>
    <w:rsid w:val="00996931"/>
    <w:rsid w:val="009A0F18"/>
    <w:rsid w:val="009A0FC9"/>
    <w:rsid w:val="009A4CD8"/>
    <w:rsid w:val="009A6AFA"/>
    <w:rsid w:val="009B3ED1"/>
    <w:rsid w:val="009C206F"/>
    <w:rsid w:val="009C20F7"/>
    <w:rsid w:val="009C433C"/>
    <w:rsid w:val="009D28B7"/>
    <w:rsid w:val="009D7E1A"/>
    <w:rsid w:val="009E2162"/>
    <w:rsid w:val="009F1C94"/>
    <w:rsid w:val="009F2F95"/>
    <w:rsid w:val="009F698A"/>
    <w:rsid w:val="00A006EB"/>
    <w:rsid w:val="00A0119E"/>
    <w:rsid w:val="00A03709"/>
    <w:rsid w:val="00A05BA7"/>
    <w:rsid w:val="00A06BD8"/>
    <w:rsid w:val="00A06C77"/>
    <w:rsid w:val="00A10147"/>
    <w:rsid w:val="00A13D26"/>
    <w:rsid w:val="00A146A5"/>
    <w:rsid w:val="00A17411"/>
    <w:rsid w:val="00A2223D"/>
    <w:rsid w:val="00A223EF"/>
    <w:rsid w:val="00A34A74"/>
    <w:rsid w:val="00A35351"/>
    <w:rsid w:val="00A3760A"/>
    <w:rsid w:val="00A42ADE"/>
    <w:rsid w:val="00A60693"/>
    <w:rsid w:val="00A67728"/>
    <w:rsid w:val="00A70F3B"/>
    <w:rsid w:val="00A71310"/>
    <w:rsid w:val="00A777DC"/>
    <w:rsid w:val="00A81A4F"/>
    <w:rsid w:val="00A82E14"/>
    <w:rsid w:val="00A86301"/>
    <w:rsid w:val="00A901E9"/>
    <w:rsid w:val="00A9190F"/>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1848"/>
    <w:rsid w:val="00B02BFD"/>
    <w:rsid w:val="00B03BEE"/>
    <w:rsid w:val="00B049AA"/>
    <w:rsid w:val="00B0517E"/>
    <w:rsid w:val="00B056E2"/>
    <w:rsid w:val="00B11314"/>
    <w:rsid w:val="00B1192C"/>
    <w:rsid w:val="00B1225E"/>
    <w:rsid w:val="00B138E3"/>
    <w:rsid w:val="00B23267"/>
    <w:rsid w:val="00B25891"/>
    <w:rsid w:val="00B27149"/>
    <w:rsid w:val="00B3391D"/>
    <w:rsid w:val="00B40D26"/>
    <w:rsid w:val="00B4451B"/>
    <w:rsid w:val="00B51316"/>
    <w:rsid w:val="00B55347"/>
    <w:rsid w:val="00B568C0"/>
    <w:rsid w:val="00B72D62"/>
    <w:rsid w:val="00B843C8"/>
    <w:rsid w:val="00B951E2"/>
    <w:rsid w:val="00B96F37"/>
    <w:rsid w:val="00BA2C38"/>
    <w:rsid w:val="00BA607C"/>
    <w:rsid w:val="00BB081A"/>
    <w:rsid w:val="00BB3E2A"/>
    <w:rsid w:val="00BC16F5"/>
    <w:rsid w:val="00BC287D"/>
    <w:rsid w:val="00BC4A76"/>
    <w:rsid w:val="00BC5F64"/>
    <w:rsid w:val="00BD32E5"/>
    <w:rsid w:val="00BD7ADD"/>
    <w:rsid w:val="00BE41C3"/>
    <w:rsid w:val="00BE6767"/>
    <w:rsid w:val="00BE68D7"/>
    <w:rsid w:val="00BF0784"/>
    <w:rsid w:val="00BF7763"/>
    <w:rsid w:val="00C00517"/>
    <w:rsid w:val="00C04D5E"/>
    <w:rsid w:val="00C24EA2"/>
    <w:rsid w:val="00C24F70"/>
    <w:rsid w:val="00C25D5B"/>
    <w:rsid w:val="00C325C4"/>
    <w:rsid w:val="00C33479"/>
    <w:rsid w:val="00C4180B"/>
    <w:rsid w:val="00C47BA2"/>
    <w:rsid w:val="00C60533"/>
    <w:rsid w:val="00C612DC"/>
    <w:rsid w:val="00C622CB"/>
    <w:rsid w:val="00C64D15"/>
    <w:rsid w:val="00C65024"/>
    <w:rsid w:val="00C67F10"/>
    <w:rsid w:val="00C74F74"/>
    <w:rsid w:val="00C7554B"/>
    <w:rsid w:val="00C80192"/>
    <w:rsid w:val="00C83E31"/>
    <w:rsid w:val="00C84EF9"/>
    <w:rsid w:val="00C85464"/>
    <w:rsid w:val="00C916A4"/>
    <w:rsid w:val="00CA2A52"/>
    <w:rsid w:val="00CA2B15"/>
    <w:rsid w:val="00CA6490"/>
    <w:rsid w:val="00CB05BE"/>
    <w:rsid w:val="00CB5744"/>
    <w:rsid w:val="00CB7022"/>
    <w:rsid w:val="00CD1937"/>
    <w:rsid w:val="00CD3A4C"/>
    <w:rsid w:val="00CE214C"/>
    <w:rsid w:val="00CE6858"/>
    <w:rsid w:val="00CF50BE"/>
    <w:rsid w:val="00CF553B"/>
    <w:rsid w:val="00CF6A52"/>
    <w:rsid w:val="00D03583"/>
    <w:rsid w:val="00D117B4"/>
    <w:rsid w:val="00D169F7"/>
    <w:rsid w:val="00D21382"/>
    <w:rsid w:val="00D2238A"/>
    <w:rsid w:val="00D26D01"/>
    <w:rsid w:val="00D31DE9"/>
    <w:rsid w:val="00D33DA3"/>
    <w:rsid w:val="00D348C2"/>
    <w:rsid w:val="00D37E6D"/>
    <w:rsid w:val="00D45D9D"/>
    <w:rsid w:val="00D46B1F"/>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C56FA"/>
    <w:rsid w:val="00DD46FC"/>
    <w:rsid w:val="00DD4F44"/>
    <w:rsid w:val="00DD5D8B"/>
    <w:rsid w:val="00DE0246"/>
    <w:rsid w:val="00DE0F9E"/>
    <w:rsid w:val="00DE3C24"/>
    <w:rsid w:val="00DE5421"/>
    <w:rsid w:val="00DE5D76"/>
    <w:rsid w:val="00E04C8D"/>
    <w:rsid w:val="00E128D8"/>
    <w:rsid w:val="00E15C62"/>
    <w:rsid w:val="00E30D45"/>
    <w:rsid w:val="00E318F0"/>
    <w:rsid w:val="00E355AE"/>
    <w:rsid w:val="00E42FE4"/>
    <w:rsid w:val="00E44730"/>
    <w:rsid w:val="00E4609D"/>
    <w:rsid w:val="00E46FAA"/>
    <w:rsid w:val="00E50FB5"/>
    <w:rsid w:val="00E55AE4"/>
    <w:rsid w:val="00E5750B"/>
    <w:rsid w:val="00E60E2E"/>
    <w:rsid w:val="00E634EC"/>
    <w:rsid w:val="00E63A24"/>
    <w:rsid w:val="00E67913"/>
    <w:rsid w:val="00E71A2D"/>
    <w:rsid w:val="00E8698A"/>
    <w:rsid w:val="00E923F2"/>
    <w:rsid w:val="00E94166"/>
    <w:rsid w:val="00EA31CC"/>
    <w:rsid w:val="00EB14DF"/>
    <w:rsid w:val="00EB2B64"/>
    <w:rsid w:val="00EB3610"/>
    <w:rsid w:val="00EB3A07"/>
    <w:rsid w:val="00EB4143"/>
    <w:rsid w:val="00EB4728"/>
    <w:rsid w:val="00EB4E7F"/>
    <w:rsid w:val="00EC207A"/>
    <w:rsid w:val="00EC3F31"/>
    <w:rsid w:val="00ED121D"/>
    <w:rsid w:val="00ED2B99"/>
    <w:rsid w:val="00ED3C91"/>
    <w:rsid w:val="00ED4112"/>
    <w:rsid w:val="00EF1347"/>
    <w:rsid w:val="00EF2BEB"/>
    <w:rsid w:val="00F01129"/>
    <w:rsid w:val="00F03D93"/>
    <w:rsid w:val="00F03D9E"/>
    <w:rsid w:val="00F21CF3"/>
    <w:rsid w:val="00F227BF"/>
    <w:rsid w:val="00F242CB"/>
    <w:rsid w:val="00F34F1E"/>
    <w:rsid w:val="00F374B2"/>
    <w:rsid w:val="00F40AFC"/>
    <w:rsid w:val="00F4730E"/>
    <w:rsid w:val="00F50A92"/>
    <w:rsid w:val="00F53F24"/>
    <w:rsid w:val="00F57F81"/>
    <w:rsid w:val="00F63341"/>
    <w:rsid w:val="00F7052A"/>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uiPriority="2" w:qFormat="1"/>
    <w:lsdException w:name="heading 2" w:semiHidden="0" w:uiPriority="2" w:qFormat="1"/>
    <w:lsdException w:name="heading 3" w:semiHidden="0" w:uiPriority="2" w:qFormat="1"/>
    <w:lsdException w:name="heading 4" w:semiHidden="0" w:uiPriority="4"/>
    <w:lsdException w:name="heading 5" w:uiPriority="2" w:unhideWhenUsed="1"/>
    <w:lsdException w:name="heading 6" w:uiPriority="2" w:unhideWhenUsed="1"/>
    <w:lsdException w:name="heading 7" w:uiPriority="2" w:unhideWhenUsed="1"/>
    <w:lsdException w:name="heading 8" w:uiPriority="2" w:unhideWhenUsed="1"/>
    <w:lsdException w:name="heading 9" w:uiPriority="2"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qFormat="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uiPriority="99"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99"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iPriority="99" w:unhideWhenUsed="1"/>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4"/>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4"/>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SubtleEmphasis">
    <w:name w:val="Subtle Emphasis"/>
    <w:basedOn w:val="DefaultParagraphFont"/>
    <w:uiPriority w:val="19"/>
    <w:rsid w:val="00123B6E"/>
    <w:rPr>
      <w:i/>
      <w:iCs/>
      <w:color w:val="808080" w:themeColor="text1" w:themeTint="7F"/>
    </w:rPr>
  </w:style>
  <w:style w:type="character" w:customStyle="1" w:styleId="BodyTextChar">
    <w:name w:val="Body Text Char"/>
    <w:aliases w:val="Body Text Cab Char,CAB - Body Text Char"/>
    <w:basedOn w:val="DefaultParagraphFont"/>
    <w:link w:val="BodyText"/>
    <w:locked/>
    <w:rsid w:val="00123B6E"/>
    <w:rPr>
      <w:rFonts w:ascii="Arial" w:hAnsi="Arial" w:cs="Arial"/>
    </w:rPr>
  </w:style>
  <w:style w:type="paragraph" w:styleId="BodyText">
    <w:name w:val="Body Text"/>
    <w:aliases w:val="Body Text Cab,CAB - Body Text"/>
    <w:basedOn w:val="Normal"/>
    <w:link w:val="BodyTextChar"/>
    <w:unhideWhenUsed/>
    <w:rsid w:val="00123B6E"/>
    <w:pPr>
      <w:spacing w:after="120" w:line="240" w:lineRule="auto"/>
    </w:pPr>
    <w:rPr>
      <w:rFonts w:cs="Arial"/>
      <w:spacing w:val="0"/>
      <w:sz w:val="20"/>
      <w:szCs w:val="20"/>
    </w:rPr>
  </w:style>
  <w:style w:type="character" w:customStyle="1" w:styleId="BodyTextChar1">
    <w:name w:val="Body Text Char1"/>
    <w:basedOn w:val="DefaultParagraphFont"/>
    <w:rsid w:val="00123B6E"/>
    <w:rPr>
      <w:rFonts w:ascii="Arial" w:hAnsi="Arial"/>
      <w:spacing w:val="4"/>
      <w:sz w:val="24"/>
      <w:szCs w:val="24"/>
    </w:rPr>
  </w:style>
  <w:style w:type="character" w:styleId="CommentReference">
    <w:name w:val="annotation reference"/>
    <w:basedOn w:val="DefaultParagraphFont"/>
    <w:rsid w:val="00E355AE"/>
    <w:rPr>
      <w:sz w:val="16"/>
      <w:szCs w:val="16"/>
    </w:rPr>
  </w:style>
  <w:style w:type="paragraph" w:styleId="CommentText">
    <w:name w:val="annotation text"/>
    <w:basedOn w:val="Normal"/>
    <w:link w:val="CommentTextChar"/>
    <w:rsid w:val="00E355AE"/>
    <w:pPr>
      <w:spacing w:line="240" w:lineRule="auto"/>
    </w:pPr>
    <w:rPr>
      <w:sz w:val="20"/>
      <w:szCs w:val="20"/>
    </w:rPr>
  </w:style>
  <w:style w:type="character" w:customStyle="1" w:styleId="CommentTextChar">
    <w:name w:val="Comment Text Char"/>
    <w:basedOn w:val="DefaultParagraphFont"/>
    <w:link w:val="CommentText"/>
    <w:rsid w:val="00E355AE"/>
    <w:rPr>
      <w:rFonts w:ascii="Arial" w:hAnsi="Arial"/>
      <w:spacing w:val="4"/>
    </w:rPr>
  </w:style>
  <w:style w:type="paragraph" w:styleId="CommentSubject">
    <w:name w:val="annotation subject"/>
    <w:basedOn w:val="CommentText"/>
    <w:next w:val="CommentText"/>
    <w:link w:val="CommentSubjectChar"/>
    <w:rsid w:val="00E355AE"/>
    <w:rPr>
      <w:b/>
      <w:bCs/>
    </w:rPr>
  </w:style>
  <w:style w:type="character" w:customStyle="1" w:styleId="CommentSubjectChar">
    <w:name w:val="Comment Subject Char"/>
    <w:basedOn w:val="CommentTextChar"/>
    <w:link w:val="CommentSubject"/>
    <w:rsid w:val="00E355AE"/>
    <w:rPr>
      <w:rFonts w:ascii="Arial" w:hAnsi="Arial"/>
      <w:b/>
      <w:bCs/>
      <w:spacing w:val="4"/>
    </w:rPr>
  </w:style>
  <w:style w:type="character" w:styleId="FollowedHyperlink">
    <w:name w:val="FollowedHyperlink"/>
    <w:basedOn w:val="DefaultParagraphFont"/>
    <w:uiPriority w:val="99"/>
    <w:rsid w:val="0074533D"/>
    <w:rPr>
      <w:color w:val="000000" w:themeColor="followedHyperlink"/>
      <w:u w:val="single"/>
    </w:rPr>
  </w:style>
  <w:style w:type="paragraph" w:styleId="Revision">
    <w:name w:val="Revision"/>
    <w:hidden/>
    <w:uiPriority w:val="99"/>
    <w:semiHidden/>
    <w:rsid w:val="00F57F81"/>
    <w:rPr>
      <w:rFonts w:ascii="Arial" w:hAnsi="Arial"/>
      <w:spacing w:val="4"/>
      <w:sz w:val="24"/>
      <w:szCs w:val="24"/>
    </w:rPr>
  </w:style>
  <w:style w:type="character" w:styleId="BookTitle">
    <w:name w:val="Book Title"/>
    <w:uiPriority w:val="33"/>
    <w:qFormat/>
    <w:rsid w:val="00500B19"/>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uiPriority="2" w:qFormat="1"/>
    <w:lsdException w:name="heading 2" w:semiHidden="0" w:uiPriority="2" w:qFormat="1"/>
    <w:lsdException w:name="heading 3" w:semiHidden="0" w:uiPriority="2" w:qFormat="1"/>
    <w:lsdException w:name="heading 4" w:semiHidden="0" w:uiPriority="4"/>
    <w:lsdException w:name="heading 5" w:uiPriority="2" w:unhideWhenUsed="1"/>
    <w:lsdException w:name="heading 6" w:uiPriority="2" w:unhideWhenUsed="1"/>
    <w:lsdException w:name="heading 7" w:uiPriority="2" w:unhideWhenUsed="1"/>
    <w:lsdException w:name="heading 8" w:uiPriority="2" w:unhideWhenUsed="1"/>
    <w:lsdException w:name="heading 9" w:uiPriority="2"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qFormat="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uiPriority="99"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99"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iPriority="99" w:unhideWhenUsed="1"/>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4"/>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4"/>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SubtleEmphasis">
    <w:name w:val="Subtle Emphasis"/>
    <w:basedOn w:val="DefaultParagraphFont"/>
    <w:uiPriority w:val="19"/>
    <w:rsid w:val="00123B6E"/>
    <w:rPr>
      <w:i/>
      <w:iCs/>
      <w:color w:val="808080" w:themeColor="text1" w:themeTint="7F"/>
    </w:rPr>
  </w:style>
  <w:style w:type="character" w:customStyle="1" w:styleId="BodyTextChar">
    <w:name w:val="Body Text Char"/>
    <w:aliases w:val="Body Text Cab Char,CAB - Body Text Char"/>
    <w:basedOn w:val="DefaultParagraphFont"/>
    <w:link w:val="BodyText"/>
    <w:locked/>
    <w:rsid w:val="00123B6E"/>
    <w:rPr>
      <w:rFonts w:ascii="Arial" w:hAnsi="Arial" w:cs="Arial"/>
    </w:rPr>
  </w:style>
  <w:style w:type="paragraph" w:styleId="BodyText">
    <w:name w:val="Body Text"/>
    <w:aliases w:val="Body Text Cab,CAB - Body Text"/>
    <w:basedOn w:val="Normal"/>
    <w:link w:val="BodyTextChar"/>
    <w:unhideWhenUsed/>
    <w:rsid w:val="00123B6E"/>
    <w:pPr>
      <w:spacing w:after="120" w:line="240" w:lineRule="auto"/>
    </w:pPr>
    <w:rPr>
      <w:rFonts w:cs="Arial"/>
      <w:spacing w:val="0"/>
      <w:sz w:val="20"/>
      <w:szCs w:val="20"/>
    </w:rPr>
  </w:style>
  <w:style w:type="character" w:customStyle="1" w:styleId="BodyTextChar1">
    <w:name w:val="Body Text Char1"/>
    <w:basedOn w:val="DefaultParagraphFont"/>
    <w:rsid w:val="00123B6E"/>
    <w:rPr>
      <w:rFonts w:ascii="Arial" w:hAnsi="Arial"/>
      <w:spacing w:val="4"/>
      <w:sz w:val="24"/>
      <w:szCs w:val="24"/>
    </w:rPr>
  </w:style>
  <w:style w:type="character" w:styleId="CommentReference">
    <w:name w:val="annotation reference"/>
    <w:basedOn w:val="DefaultParagraphFont"/>
    <w:rsid w:val="00E355AE"/>
    <w:rPr>
      <w:sz w:val="16"/>
      <w:szCs w:val="16"/>
    </w:rPr>
  </w:style>
  <w:style w:type="paragraph" w:styleId="CommentText">
    <w:name w:val="annotation text"/>
    <w:basedOn w:val="Normal"/>
    <w:link w:val="CommentTextChar"/>
    <w:rsid w:val="00E355AE"/>
    <w:pPr>
      <w:spacing w:line="240" w:lineRule="auto"/>
    </w:pPr>
    <w:rPr>
      <w:sz w:val="20"/>
      <w:szCs w:val="20"/>
    </w:rPr>
  </w:style>
  <w:style w:type="character" w:customStyle="1" w:styleId="CommentTextChar">
    <w:name w:val="Comment Text Char"/>
    <w:basedOn w:val="DefaultParagraphFont"/>
    <w:link w:val="CommentText"/>
    <w:rsid w:val="00E355AE"/>
    <w:rPr>
      <w:rFonts w:ascii="Arial" w:hAnsi="Arial"/>
      <w:spacing w:val="4"/>
    </w:rPr>
  </w:style>
  <w:style w:type="paragraph" w:styleId="CommentSubject">
    <w:name w:val="annotation subject"/>
    <w:basedOn w:val="CommentText"/>
    <w:next w:val="CommentText"/>
    <w:link w:val="CommentSubjectChar"/>
    <w:rsid w:val="00E355AE"/>
    <w:rPr>
      <w:b/>
      <w:bCs/>
    </w:rPr>
  </w:style>
  <w:style w:type="character" w:customStyle="1" w:styleId="CommentSubjectChar">
    <w:name w:val="Comment Subject Char"/>
    <w:basedOn w:val="CommentTextChar"/>
    <w:link w:val="CommentSubject"/>
    <w:rsid w:val="00E355AE"/>
    <w:rPr>
      <w:rFonts w:ascii="Arial" w:hAnsi="Arial"/>
      <w:b/>
      <w:bCs/>
      <w:spacing w:val="4"/>
    </w:rPr>
  </w:style>
  <w:style w:type="character" w:styleId="FollowedHyperlink">
    <w:name w:val="FollowedHyperlink"/>
    <w:basedOn w:val="DefaultParagraphFont"/>
    <w:uiPriority w:val="99"/>
    <w:rsid w:val="0074533D"/>
    <w:rPr>
      <w:color w:val="000000" w:themeColor="followedHyperlink"/>
      <w:u w:val="single"/>
    </w:rPr>
  </w:style>
  <w:style w:type="paragraph" w:styleId="Revision">
    <w:name w:val="Revision"/>
    <w:hidden/>
    <w:uiPriority w:val="99"/>
    <w:semiHidden/>
    <w:rsid w:val="00F57F81"/>
    <w:rPr>
      <w:rFonts w:ascii="Arial" w:hAnsi="Arial"/>
      <w:spacing w:val="4"/>
      <w:sz w:val="24"/>
      <w:szCs w:val="24"/>
    </w:rPr>
  </w:style>
  <w:style w:type="character" w:styleId="BookTitle">
    <w:name w:val="Book Title"/>
    <w:uiPriority w:val="33"/>
    <w:qFormat/>
    <w:rsid w:val="00500B19"/>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111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856772450">
      <w:bodyDiv w:val="1"/>
      <w:marLeft w:val="0"/>
      <w:marRight w:val="0"/>
      <w:marTop w:val="0"/>
      <w:marBottom w:val="0"/>
      <w:divBdr>
        <w:top w:val="none" w:sz="0" w:space="0" w:color="auto"/>
        <w:left w:val="none" w:sz="0" w:space="0" w:color="auto"/>
        <w:bottom w:val="none" w:sz="0" w:space="0" w:color="auto"/>
        <w:right w:val="none" w:sz="0" w:space="0" w:color="auto"/>
      </w:divBdr>
    </w:div>
    <w:div w:id="1921255227">
      <w:bodyDiv w:val="1"/>
      <w:marLeft w:val="0"/>
      <w:marRight w:val="0"/>
      <w:marTop w:val="0"/>
      <w:marBottom w:val="0"/>
      <w:divBdr>
        <w:top w:val="none" w:sz="0" w:space="0" w:color="auto"/>
        <w:left w:val="none" w:sz="0" w:space="0" w:color="auto"/>
        <w:bottom w:val="none" w:sz="0" w:space="0" w:color="auto"/>
        <w:right w:val="none" w:sz="0" w:space="0" w:color="auto"/>
      </w:divBdr>
    </w:div>
    <w:div w:id="2044283411">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ss.gov.au/our-responsibilities/disability-and-carers/programmes-services/disability-employment-servi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1183</Words>
  <Characters>6522</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2017-05-12T01:24:00Z</dcterms:created>
  <dcterms:modified xsi:type="dcterms:W3CDTF">2017-05-12T01:24:00Z</dcterms:modified>
</cp:coreProperties>
</file>