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E" w:rsidRDefault="00CF553B" w:rsidP="00537B50">
      <w:pPr>
        <w:spacing w:before="0" w:after="0"/>
        <w:ind w:left="-850"/>
      </w:pPr>
      <w:bookmarkStart w:id="0" w:name="_GoBack"/>
      <w:bookmarkEnd w:id="0"/>
      <w:r>
        <w:rPr>
          <w:noProof/>
        </w:rPr>
        <w:drawing>
          <wp:inline distT="0" distB="0" distL="0" distR="0" wp14:anchorId="067CA9EC" wp14:editId="778F82DF">
            <wp:extent cx="7541998" cy="1436354"/>
            <wp:effectExtent l="0" t="0" r="1905" b="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192" w:rsidRDefault="00C80192" w:rsidP="00537B50">
      <w:pPr>
        <w:pStyle w:val="Smalltext"/>
        <w:ind w:right="-427"/>
      </w:pPr>
      <w:r>
        <w:t xml:space="preserve">DSS </w:t>
      </w:r>
      <w:r w:rsidR="00AE40E2">
        <w:t>2115.05.07</w:t>
      </w:r>
    </w:p>
    <w:p w:rsidR="00C80192" w:rsidRPr="00D96269" w:rsidRDefault="00D96269" w:rsidP="00C80192">
      <w:pPr>
        <w:pStyle w:val="Title"/>
        <w:rPr>
          <w:sz w:val="56"/>
          <w:szCs w:val="56"/>
        </w:rPr>
      </w:pPr>
      <w:r w:rsidRPr="00D96269">
        <w:rPr>
          <w:sz w:val="56"/>
          <w:szCs w:val="56"/>
        </w:rPr>
        <w:t>Disability Employment Services</w:t>
      </w:r>
    </w:p>
    <w:p w:rsidR="00C80192" w:rsidRPr="00754D44" w:rsidRDefault="00D96269" w:rsidP="00C80192">
      <w:pPr>
        <w:pStyle w:val="Subtitle"/>
      </w:pPr>
      <w:r>
        <w:t xml:space="preserve">Program </w:t>
      </w:r>
      <w:r w:rsidR="00560CA3">
        <w:t>c</w:t>
      </w:r>
      <w:r>
        <w:t xml:space="preserve">hanges from 2018 – Information for </w:t>
      </w:r>
      <w:r w:rsidR="00560CA3">
        <w:t>e</w:t>
      </w:r>
      <w:r>
        <w:t>mployers</w:t>
      </w:r>
    </w:p>
    <w:p w:rsidR="00C80192" w:rsidRDefault="00D96269" w:rsidP="00C80192">
      <w:pPr>
        <w:pStyle w:val="Heading1"/>
      </w:pPr>
      <w:r>
        <w:t xml:space="preserve">Improvements to the Australian Government’s Disability Employment Services program will help more people with disability, injury or </w:t>
      </w:r>
      <w:r w:rsidR="00B822C9">
        <w:t xml:space="preserve">a </w:t>
      </w:r>
      <w:r>
        <w:t xml:space="preserve">health condition </w:t>
      </w:r>
      <w:r w:rsidR="00881A1A">
        <w:t xml:space="preserve">to </w:t>
      </w:r>
      <w:r w:rsidR="008C2F01">
        <w:t xml:space="preserve">find and keep </w:t>
      </w:r>
      <w:r w:rsidR="006F3AC8">
        <w:br/>
      </w:r>
      <w:r>
        <w:t>long-term jobs.</w:t>
      </w:r>
    </w:p>
    <w:p w:rsidR="00560CA3" w:rsidRPr="007042C9" w:rsidRDefault="00560CA3" w:rsidP="00560CA3">
      <w:pPr>
        <w:spacing w:after="240" w:line="240" w:lineRule="auto"/>
        <w:rPr>
          <w:rStyle w:val="Strong"/>
          <w:rFonts w:asciiTheme="majorHAnsi" w:hAnsiTheme="majorHAnsi" w:cs="Arial"/>
          <w:bCs w:val="0"/>
          <w:color w:val="500778"/>
          <w:kern w:val="32"/>
          <w:sz w:val="28"/>
          <w:szCs w:val="28"/>
        </w:rPr>
      </w:pPr>
      <w:bookmarkStart w:id="1" w:name="_Toc391890681"/>
      <w:r w:rsidRPr="007042C9">
        <w:rPr>
          <w:rStyle w:val="Strong"/>
          <w:rFonts w:asciiTheme="majorHAnsi" w:hAnsiTheme="majorHAnsi" w:cs="Arial"/>
          <w:bCs w:val="0"/>
          <w:color w:val="500778"/>
          <w:kern w:val="32"/>
          <w:sz w:val="28"/>
          <w:szCs w:val="28"/>
        </w:rPr>
        <w:t>About the Disability Employment Services program</w:t>
      </w:r>
    </w:p>
    <w:p w:rsidR="00560CA3" w:rsidRPr="006206DA" w:rsidRDefault="00560CA3" w:rsidP="00560CA3">
      <w:pPr>
        <w:spacing w:after="240" w:line="240" w:lineRule="auto"/>
        <w:rPr>
          <w:rFonts w:asciiTheme="minorHAnsi" w:hAnsiTheme="minorHAnsi" w:cstheme="minorHAnsi"/>
          <w:kern w:val="32"/>
        </w:rPr>
      </w:pPr>
      <w:r w:rsidRPr="006206DA">
        <w:rPr>
          <w:rFonts w:asciiTheme="minorHAnsi" w:hAnsiTheme="minorHAnsi" w:cstheme="minorHAnsi"/>
          <w:kern w:val="32"/>
        </w:rPr>
        <w:t xml:space="preserve">The Disability Employment Services (DES) program provides specific, tailored support for people with disability to find and keep a job. </w:t>
      </w:r>
    </w:p>
    <w:p w:rsidR="00560CA3" w:rsidRPr="006206DA" w:rsidRDefault="00560CA3" w:rsidP="00560CA3">
      <w:pPr>
        <w:spacing w:after="240" w:line="240" w:lineRule="auto"/>
        <w:rPr>
          <w:rFonts w:asciiTheme="minorHAnsi" w:hAnsiTheme="minorHAnsi" w:cstheme="minorHAnsi"/>
          <w:kern w:val="32"/>
        </w:rPr>
      </w:pPr>
      <w:r w:rsidRPr="006206DA">
        <w:rPr>
          <w:rFonts w:asciiTheme="minorHAnsi" w:hAnsiTheme="minorHAnsi" w:cstheme="minorHAnsi"/>
          <w:kern w:val="32"/>
        </w:rPr>
        <w:t>Changes are being introduced from 1 July 2018 that</w:t>
      </w:r>
      <w:r w:rsidR="008C2F01" w:rsidRPr="006206DA">
        <w:rPr>
          <w:rFonts w:asciiTheme="minorHAnsi" w:hAnsiTheme="minorHAnsi" w:cstheme="minorHAnsi"/>
          <w:kern w:val="32"/>
        </w:rPr>
        <w:t xml:space="preserve"> will better meet the needs of participants with disability, injury or</w:t>
      </w:r>
      <w:r w:rsidR="00AC5763">
        <w:rPr>
          <w:rFonts w:asciiTheme="minorHAnsi" w:hAnsiTheme="minorHAnsi" w:cstheme="minorHAnsi"/>
          <w:kern w:val="32"/>
        </w:rPr>
        <w:t xml:space="preserve"> </w:t>
      </w:r>
      <w:r w:rsidRPr="006206DA">
        <w:rPr>
          <w:rFonts w:asciiTheme="minorHAnsi" w:hAnsiTheme="minorHAnsi" w:cstheme="minorHAnsi"/>
          <w:kern w:val="32"/>
        </w:rPr>
        <w:t>health condition; and be more rewarding for DES providers who successfully connect people with lasting employment.</w:t>
      </w:r>
    </w:p>
    <w:p w:rsidR="00560CA3" w:rsidRPr="006206DA" w:rsidRDefault="00560CA3" w:rsidP="00560CA3">
      <w:pPr>
        <w:rPr>
          <w:rFonts w:asciiTheme="minorHAnsi" w:hAnsiTheme="minorHAnsi" w:cstheme="minorHAnsi"/>
        </w:rPr>
      </w:pPr>
      <w:r w:rsidRPr="006206DA">
        <w:rPr>
          <w:rFonts w:asciiTheme="minorHAnsi" w:hAnsiTheme="minorHAnsi" w:cstheme="minorHAnsi"/>
        </w:rPr>
        <w:t>The changes are a result of extensive community consultation involving people with disability, disability peak organisations, disability service providers and employers.</w:t>
      </w:r>
    </w:p>
    <w:p w:rsidR="00560CA3" w:rsidRPr="002D02C3" w:rsidRDefault="00560CA3" w:rsidP="00560CA3">
      <w:pPr>
        <w:pStyle w:val="Heading1"/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>DES p</w:t>
      </w:r>
      <w:r w:rsidRPr="002D02C3">
        <w:rPr>
          <w:rStyle w:val="Strong"/>
          <w:rFonts w:asciiTheme="majorHAnsi" w:hAnsiTheme="majorHAnsi"/>
          <w:sz w:val="28"/>
          <w:szCs w:val="28"/>
        </w:rPr>
        <w:t xml:space="preserve">rogram </w:t>
      </w:r>
      <w:r>
        <w:rPr>
          <w:rStyle w:val="Strong"/>
          <w:rFonts w:asciiTheme="majorHAnsi" w:hAnsiTheme="majorHAnsi"/>
          <w:sz w:val="28"/>
          <w:szCs w:val="28"/>
        </w:rPr>
        <w:t>c</w:t>
      </w:r>
      <w:r w:rsidRPr="002D02C3">
        <w:rPr>
          <w:rStyle w:val="Strong"/>
          <w:rFonts w:asciiTheme="majorHAnsi" w:hAnsiTheme="majorHAnsi"/>
          <w:sz w:val="28"/>
          <w:szCs w:val="28"/>
        </w:rPr>
        <w:t>hanges</w:t>
      </w:r>
    </w:p>
    <w:p w:rsidR="00076048" w:rsidRPr="006206DA" w:rsidRDefault="00076048" w:rsidP="00076048">
      <w:pPr>
        <w:pStyle w:val="Heading4"/>
        <w:rPr>
          <w:rFonts w:asciiTheme="minorHAnsi" w:hAnsiTheme="minorHAnsi" w:cstheme="minorHAnsi"/>
          <w:i/>
          <w:iCs/>
          <w:lang w:val="en-AU"/>
        </w:rPr>
      </w:pPr>
      <w:r w:rsidRPr="006206DA">
        <w:rPr>
          <w:rFonts w:asciiTheme="minorHAnsi" w:hAnsiTheme="minorHAnsi" w:cstheme="minorHAnsi"/>
          <w:i/>
          <w:iCs/>
          <w:lang w:val="en-AU"/>
        </w:rPr>
        <w:t>Improving services for employers</w:t>
      </w:r>
    </w:p>
    <w:p w:rsidR="00076048" w:rsidRDefault="00076048" w:rsidP="00076048">
      <w:pPr>
        <w:rPr>
          <w:rFonts w:asciiTheme="minorHAnsi" w:hAnsiTheme="minorHAnsi" w:cstheme="minorHAnsi"/>
        </w:rPr>
      </w:pPr>
      <w:r w:rsidRPr="009851E9">
        <w:rPr>
          <w:rFonts w:asciiTheme="minorHAnsi" w:hAnsiTheme="minorHAnsi" w:cstheme="minorHAnsi"/>
        </w:rPr>
        <w:t xml:space="preserve">The </w:t>
      </w:r>
      <w:r w:rsidR="00121871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overnment</w:t>
      </w:r>
      <w:r w:rsidRPr="009851E9">
        <w:rPr>
          <w:rFonts w:asciiTheme="minorHAnsi" w:hAnsiTheme="minorHAnsi" w:cstheme="minorHAnsi"/>
        </w:rPr>
        <w:t xml:space="preserve"> funds </w:t>
      </w:r>
      <w:r>
        <w:rPr>
          <w:rFonts w:asciiTheme="minorHAnsi" w:hAnsiTheme="minorHAnsi" w:cstheme="minorHAnsi"/>
        </w:rPr>
        <w:t xml:space="preserve">DES </w:t>
      </w:r>
      <w:r w:rsidRPr="009851E9">
        <w:rPr>
          <w:rFonts w:asciiTheme="minorHAnsi" w:hAnsiTheme="minorHAnsi" w:cstheme="minorHAnsi"/>
        </w:rPr>
        <w:t xml:space="preserve">providers to find the right candidate for your business; provide your business with advice and support </w:t>
      </w:r>
      <w:r>
        <w:rPr>
          <w:rFonts w:asciiTheme="minorHAnsi" w:hAnsiTheme="minorHAnsi" w:cstheme="minorHAnsi"/>
        </w:rPr>
        <w:t xml:space="preserve">to assist you </w:t>
      </w:r>
      <w:r w:rsidRPr="009851E9">
        <w:rPr>
          <w:rFonts w:asciiTheme="minorHAnsi" w:hAnsiTheme="minorHAnsi" w:cstheme="minorHAnsi"/>
        </w:rPr>
        <w:t xml:space="preserve">to employ a person with disability; and to support employees to be productive and </w:t>
      </w:r>
      <w:r>
        <w:rPr>
          <w:rFonts w:asciiTheme="minorHAnsi" w:hAnsiTheme="minorHAnsi" w:cstheme="minorHAnsi"/>
        </w:rPr>
        <w:t xml:space="preserve">a </w:t>
      </w:r>
      <w:r w:rsidRPr="009851E9">
        <w:rPr>
          <w:rFonts w:asciiTheme="minorHAnsi" w:hAnsiTheme="minorHAnsi" w:cstheme="minorHAnsi"/>
        </w:rPr>
        <w:t>valuable member of your team</w:t>
      </w:r>
      <w:r>
        <w:rPr>
          <w:rFonts w:asciiTheme="minorHAnsi" w:hAnsiTheme="minorHAnsi" w:cstheme="minorHAnsi"/>
        </w:rPr>
        <w:t>.</w:t>
      </w:r>
    </w:p>
    <w:p w:rsidR="004F5A5B" w:rsidRDefault="004F5A5B" w:rsidP="004F5A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changes being made to the program from July 2018 will increase incentives for providers to match the right person to the job</w:t>
      </w:r>
      <w:r w:rsidR="003B074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and support workers and employers to achieve job placements that work for both and lead to lasting employment.</w:t>
      </w:r>
    </w:p>
    <w:p w:rsidR="00076048" w:rsidRDefault="00076048" w:rsidP="000760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part of the program, the </w:t>
      </w:r>
      <w:r w:rsidR="00121871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overnment will </w:t>
      </w:r>
      <w:r w:rsidR="004F5A5B">
        <w:rPr>
          <w:rFonts w:asciiTheme="minorHAnsi" w:hAnsiTheme="minorHAnsi" w:cstheme="minorHAnsi"/>
        </w:rPr>
        <w:t xml:space="preserve">continue to </w:t>
      </w:r>
      <w:r>
        <w:rPr>
          <w:rFonts w:asciiTheme="minorHAnsi" w:hAnsiTheme="minorHAnsi" w:cstheme="minorHAnsi"/>
        </w:rPr>
        <w:t>fund any necessary and reasonable adjustments that need to be made in your workplace to accommodate a worker with disability</w:t>
      </w:r>
      <w:r w:rsidR="0012187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A</w:t>
      </w:r>
      <w:r w:rsidRPr="009851E9">
        <w:rPr>
          <w:rFonts w:asciiTheme="minorHAnsi" w:hAnsiTheme="minorHAnsi" w:cstheme="minorHAnsi"/>
        </w:rPr>
        <w:t>pprenticeship wage support</w:t>
      </w:r>
      <w:r>
        <w:rPr>
          <w:rFonts w:asciiTheme="minorHAnsi" w:hAnsiTheme="minorHAnsi" w:cstheme="minorHAnsi"/>
        </w:rPr>
        <w:t xml:space="preserve"> is also available for apprentices with disability.</w:t>
      </w:r>
    </w:p>
    <w:p w:rsidR="00C751FB" w:rsidRPr="006206DA" w:rsidRDefault="00C751FB" w:rsidP="00C751FB">
      <w:pPr>
        <w:pStyle w:val="Heading4"/>
        <w:rPr>
          <w:rFonts w:asciiTheme="minorHAnsi" w:hAnsiTheme="minorHAnsi" w:cstheme="minorHAnsi"/>
          <w:i/>
          <w:iCs/>
          <w:lang w:val="en-AU"/>
        </w:rPr>
      </w:pPr>
      <w:r w:rsidRPr="006206DA">
        <w:rPr>
          <w:rFonts w:asciiTheme="minorHAnsi" w:hAnsiTheme="minorHAnsi" w:cstheme="minorHAnsi"/>
          <w:i/>
          <w:iCs/>
          <w:lang w:val="en-AU"/>
        </w:rPr>
        <w:t>Improving choice and control</w:t>
      </w:r>
      <w:r w:rsidR="00560CA3" w:rsidRPr="006206DA">
        <w:rPr>
          <w:rFonts w:asciiTheme="minorHAnsi" w:hAnsiTheme="minorHAnsi" w:cstheme="minorHAnsi"/>
          <w:i/>
          <w:iCs/>
          <w:lang w:val="en-AU"/>
        </w:rPr>
        <w:t xml:space="preserve"> for </w:t>
      </w:r>
      <w:r w:rsidR="008C2F01" w:rsidRPr="006206DA">
        <w:rPr>
          <w:rFonts w:asciiTheme="minorHAnsi" w:hAnsiTheme="minorHAnsi" w:cstheme="minorHAnsi"/>
          <w:i/>
          <w:iCs/>
          <w:lang w:val="en-AU"/>
        </w:rPr>
        <w:t>participants</w:t>
      </w:r>
    </w:p>
    <w:p w:rsidR="00342476" w:rsidRPr="006206DA" w:rsidRDefault="00560CA3" w:rsidP="00342476">
      <w:pPr>
        <w:rPr>
          <w:rFonts w:asciiTheme="minorHAnsi" w:hAnsiTheme="minorHAnsi" w:cstheme="minorHAnsi"/>
        </w:rPr>
      </w:pPr>
      <w:r w:rsidRPr="006206DA">
        <w:rPr>
          <w:rFonts w:asciiTheme="minorHAnsi" w:hAnsiTheme="minorHAnsi" w:cstheme="minorHAnsi"/>
        </w:rPr>
        <w:t>DES p</w:t>
      </w:r>
      <w:r w:rsidR="00870D37" w:rsidRPr="006206DA">
        <w:rPr>
          <w:rFonts w:asciiTheme="minorHAnsi" w:hAnsiTheme="minorHAnsi" w:cstheme="minorHAnsi"/>
        </w:rPr>
        <w:t xml:space="preserve">articipants </w:t>
      </w:r>
      <w:r w:rsidR="0020721E" w:rsidRPr="006206DA">
        <w:rPr>
          <w:rFonts w:asciiTheme="minorHAnsi" w:hAnsiTheme="minorHAnsi" w:cstheme="minorHAnsi"/>
        </w:rPr>
        <w:t xml:space="preserve">will </w:t>
      </w:r>
      <w:r w:rsidRPr="006206DA">
        <w:rPr>
          <w:rFonts w:asciiTheme="minorHAnsi" w:hAnsiTheme="minorHAnsi" w:cstheme="minorHAnsi"/>
        </w:rPr>
        <w:t>be able</w:t>
      </w:r>
      <w:r w:rsidR="0020721E" w:rsidRPr="006206DA">
        <w:rPr>
          <w:rFonts w:asciiTheme="minorHAnsi" w:hAnsiTheme="minorHAnsi" w:cstheme="minorHAnsi"/>
        </w:rPr>
        <w:t xml:space="preserve"> to choose a DES provider based on provider performance and location without any restrictions.</w:t>
      </w:r>
      <w:r w:rsidR="00870D37" w:rsidRPr="006206DA">
        <w:rPr>
          <w:rFonts w:asciiTheme="minorHAnsi" w:hAnsiTheme="minorHAnsi" w:cstheme="minorHAnsi"/>
        </w:rPr>
        <w:t xml:space="preserve"> </w:t>
      </w:r>
      <w:r w:rsidR="009851E9">
        <w:rPr>
          <w:rFonts w:asciiTheme="minorHAnsi" w:hAnsiTheme="minorHAnsi" w:cstheme="minorHAnsi"/>
        </w:rPr>
        <w:t xml:space="preserve">Centrelink will provide information on provider performance </w:t>
      </w:r>
      <w:r w:rsidR="009851E9">
        <w:rPr>
          <w:rFonts w:asciiTheme="minorHAnsi" w:hAnsiTheme="minorHAnsi" w:cstheme="minorHAnsi"/>
        </w:rPr>
        <w:lastRenderedPageBreak/>
        <w:t>to help the participant choose a provider within or beyond their Employment Service Area (ESA).</w:t>
      </w:r>
      <w:r w:rsidR="00B63979">
        <w:rPr>
          <w:rFonts w:asciiTheme="minorHAnsi" w:hAnsiTheme="minorHAnsi" w:cstheme="minorHAnsi"/>
        </w:rPr>
        <w:t xml:space="preserve"> Additional information</w:t>
      </w:r>
      <w:r w:rsidR="00AC5763">
        <w:rPr>
          <w:rFonts w:asciiTheme="minorHAnsi" w:hAnsiTheme="minorHAnsi" w:cstheme="minorHAnsi"/>
        </w:rPr>
        <w:t>,</w:t>
      </w:r>
      <w:r w:rsidR="00B63979">
        <w:rPr>
          <w:rFonts w:asciiTheme="minorHAnsi" w:hAnsiTheme="minorHAnsi" w:cstheme="minorHAnsi"/>
        </w:rPr>
        <w:t xml:space="preserve"> such as the services participants are entitled to receive from a DES provider will also be made available from the Department of Social Services.</w:t>
      </w:r>
    </w:p>
    <w:p w:rsidR="009851E9" w:rsidRDefault="00F3386F" w:rsidP="00E17F5C">
      <w:pPr>
        <w:rPr>
          <w:rFonts w:asciiTheme="minorHAnsi" w:hAnsiTheme="minorHAnsi" w:cstheme="minorHAnsi"/>
        </w:rPr>
      </w:pPr>
      <w:r w:rsidRPr="00F3386F">
        <w:rPr>
          <w:rFonts w:asciiTheme="minorHAnsi" w:hAnsiTheme="minorHAnsi" w:cstheme="minorHAnsi"/>
        </w:rPr>
        <w:t xml:space="preserve">From 1 July 2018, </w:t>
      </w:r>
      <w:r w:rsidR="00F80985">
        <w:rPr>
          <w:rFonts w:asciiTheme="minorHAnsi" w:hAnsiTheme="minorHAnsi" w:cstheme="minorHAnsi"/>
        </w:rPr>
        <w:t xml:space="preserve">the market share arrangements </w:t>
      </w:r>
      <w:r w:rsidR="00E80ACB">
        <w:rPr>
          <w:rFonts w:asciiTheme="minorHAnsi" w:hAnsiTheme="minorHAnsi" w:cstheme="minorHAnsi"/>
        </w:rPr>
        <w:t xml:space="preserve">for </w:t>
      </w:r>
      <w:r w:rsidR="00E80ACB" w:rsidRPr="00F3386F">
        <w:rPr>
          <w:rFonts w:asciiTheme="minorHAnsi" w:hAnsiTheme="minorHAnsi" w:cstheme="minorHAnsi"/>
        </w:rPr>
        <w:t>DES</w:t>
      </w:r>
      <w:r>
        <w:rPr>
          <w:rFonts w:asciiTheme="minorHAnsi" w:hAnsiTheme="minorHAnsi" w:cstheme="minorHAnsi"/>
        </w:rPr>
        <w:t xml:space="preserve"> providers will be removed</w:t>
      </w:r>
      <w:r w:rsidRPr="00F3386F">
        <w:rPr>
          <w:rFonts w:asciiTheme="minorHAnsi" w:hAnsiTheme="minorHAnsi" w:cstheme="minorHAnsi"/>
        </w:rPr>
        <w:t xml:space="preserve"> opening up t</w:t>
      </w:r>
      <w:r>
        <w:rPr>
          <w:rFonts w:asciiTheme="minorHAnsi" w:hAnsiTheme="minorHAnsi" w:cstheme="minorHAnsi"/>
        </w:rPr>
        <w:t xml:space="preserve">he market to more DES providers. This will not only </w:t>
      </w:r>
      <w:r w:rsidRPr="00F3386F">
        <w:rPr>
          <w:rFonts w:asciiTheme="minorHAnsi" w:hAnsiTheme="minorHAnsi" w:cstheme="minorHAnsi"/>
        </w:rPr>
        <w:t>increase competition and drive improvements to prepare people with disabilit</w:t>
      </w:r>
      <w:r>
        <w:rPr>
          <w:rFonts w:asciiTheme="minorHAnsi" w:hAnsiTheme="minorHAnsi" w:cstheme="minorHAnsi"/>
        </w:rPr>
        <w:t xml:space="preserve">y for work, but will also offer </w:t>
      </w:r>
      <w:r w:rsidRPr="00F3386F">
        <w:rPr>
          <w:rFonts w:asciiTheme="minorHAnsi" w:hAnsiTheme="minorHAnsi" w:cstheme="minorHAnsi"/>
        </w:rPr>
        <w:t xml:space="preserve">employers greater choice </w:t>
      </w:r>
      <w:r w:rsidR="00076048">
        <w:rPr>
          <w:rFonts w:asciiTheme="minorHAnsi" w:hAnsiTheme="minorHAnsi" w:cstheme="minorHAnsi"/>
        </w:rPr>
        <w:t xml:space="preserve">of </w:t>
      </w:r>
      <w:r w:rsidRPr="00F3386F">
        <w:rPr>
          <w:rFonts w:asciiTheme="minorHAnsi" w:hAnsiTheme="minorHAnsi" w:cstheme="minorHAnsi"/>
        </w:rPr>
        <w:t>the DES provider or providers they want to work with.</w:t>
      </w:r>
    </w:p>
    <w:p w:rsidR="00A02B47" w:rsidRPr="006206DA" w:rsidRDefault="00A02B47" w:rsidP="00E17F5C">
      <w:pPr>
        <w:rPr>
          <w:rFonts w:asciiTheme="minorHAnsi" w:hAnsiTheme="minorHAnsi" w:cstheme="minorHAnsi"/>
        </w:rPr>
      </w:pPr>
      <w:r w:rsidRPr="006206DA">
        <w:rPr>
          <w:rFonts w:asciiTheme="minorHAnsi" w:hAnsiTheme="minorHAnsi" w:cstheme="minorHAnsi"/>
        </w:rPr>
        <w:t>A more flexible DES market will make it easier for providers to operate in areas where they have strong relationships with employers.</w:t>
      </w:r>
    </w:p>
    <w:p w:rsidR="00A02B47" w:rsidRPr="008C2F01" w:rsidRDefault="00560CA3" w:rsidP="00E17F5C">
      <w:pPr>
        <w:rPr>
          <w:rFonts w:asciiTheme="majorHAnsi" w:hAnsiTheme="majorHAnsi"/>
        </w:rPr>
      </w:pPr>
      <w:r w:rsidRPr="006206DA">
        <w:rPr>
          <w:rFonts w:asciiTheme="minorHAnsi" w:hAnsiTheme="minorHAnsi" w:cstheme="minorHAnsi"/>
        </w:rPr>
        <w:t>From 1 July 2018</w:t>
      </w:r>
      <w:r w:rsidR="00E17F5C" w:rsidRPr="006206DA">
        <w:rPr>
          <w:rFonts w:asciiTheme="minorHAnsi" w:hAnsiTheme="minorHAnsi" w:cstheme="minorHAnsi"/>
        </w:rPr>
        <w:t xml:space="preserve">, </w:t>
      </w:r>
      <w:r w:rsidR="00A02B47" w:rsidRPr="006206DA">
        <w:rPr>
          <w:rFonts w:asciiTheme="minorHAnsi" w:hAnsiTheme="minorHAnsi" w:cstheme="minorHAnsi"/>
        </w:rPr>
        <w:t xml:space="preserve">it will be easier for new providers to enter the DES market and </w:t>
      </w:r>
      <w:r w:rsidRPr="006206DA">
        <w:rPr>
          <w:rFonts w:asciiTheme="minorHAnsi" w:hAnsiTheme="minorHAnsi" w:cstheme="minorHAnsi"/>
        </w:rPr>
        <w:t xml:space="preserve">for </w:t>
      </w:r>
      <w:r w:rsidR="007928E4" w:rsidRPr="006206DA">
        <w:rPr>
          <w:rFonts w:asciiTheme="minorHAnsi" w:hAnsiTheme="minorHAnsi" w:cstheme="minorHAnsi"/>
        </w:rPr>
        <w:t xml:space="preserve">high performing </w:t>
      </w:r>
      <w:r w:rsidR="00A02B47" w:rsidRPr="006206DA">
        <w:rPr>
          <w:rFonts w:asciiTheme="minorHAnsi" w:hAnsiTheme="minorHAnsi" w:cstheme="minorHAnsi"/>
        </w:rPr>
        <w:t>providers to expand into new areas, so providers can match the footprint of the employers they work with closely</w:t>
      </w:r>
      <w:r w:rsidR="00A02B47" w:rsidRPr="008C2F01">
        <w:rPr>
          <w:rFonts w:asciiTheme="majorHAnsi" w:hAnsiTheme="majorHAnsi"/>
        </w:rPr>
        <w:t>.</w:t>
      </w:r>
    </w:p>
    <w:p w:rsidR="00A02B47" w:rsidRPr="006206DA" w:rsidRDefault="00A02B47" w:rsidP="00E17F5C">
      <w:pPr>
        <w:rPr>
          <w:rFonts w:asciiTheme="minorHAnsi" w:hAnsiTheme="minorHAnsi" w:cstheme="minorHAnsi"/>
        </w:rPr>
      </w:pPr>
      <w:r w:rsidRPr="006206DA">
        <w:rPr>
          <w:rFonts w:asciiTheme="minorHAnsi" w:hAnsiTheme="minorHAnsi" w:cstheme="minorHAnsi"/>
        </w:rPr>
        <w:t>New four</w:t>
      </w:r>
      <w:r w:rsidR="00560CA3" w:rsidRPr="006206DA">
        <w:rPr>
          <w:rFonts w:asciiTheme="minorHAnsi" w:hAnsiTheme="minorHAnsi" w:cstheme="minorHAnsi"/>
        </w:rPr>
        <w:t>-</w:t>
      </w:r>
      <w:r w:rsidR="008C2F01" w:rsidRPr="006206DA">
        <w:rPr>
          <w:rFonts w:asciiTheme="minorHAnsi" w:hAnsiTheme="minorHAnsi" w:cstheme="minorHAnsi"/>
        </w:rPr>
        <w:t xml:space="preserve">week </w:t>
      </w:r>
      <w:r w:rsidRPr="006206DA">
        <w:rPr>
          <w:rFonts w:asciiTheme="minorHAnsi" w:hAnsiTheme="minorHAnsi" w:cstheme="minorHAnsi"/>
        </w:rPr>
        <w:t xml:space="preserve">and </w:t>
      </w:r>
      <w:r w:rsidR="00560CA3" w:rsidRPr="006206DA">
        <w:rPr>
          <w:rFonts w:asciiTheme="minorHAnsi" w:hAnsiTheme="minorHAnsi" w:cstheme="minorHAnsi"/>
        </w:rPr>
        <w:t>52-</w:t>
      </w:r>
      <w:r w:rsidR="008C2F01" w:rsidRPr="006206DA">
        <w:rPr>
          <w:rFonts w:asciiTheme="minorHAnsi" w:hAnsiTheme="minorHAnsi" w:cstheme="minorHAnsi"/>
        </w:rPr>
        <w:t>week outcome</w:t>
      </w:r>
      <w:r w:rsidRPr="006206DA">
        <w:rPr>
          <w:rFonts w:asciiTheme="minorHAnsi" w:hAnsiTheme="minorHAnsi" w:cstheme="minorHAnsi"/>
        </w:rPr>
        <w:t xml:space="preserve"> payments </w:t>
      </w:r>
      <w:r w:rsidR="00817B60" w:rsidRPr="006206DA">
        <w:rPr>
          <w:rFonts w:asciiTheme="minorHAnsi" w:hAnsiTheme="minorHAnsi" w:cstheme="minorHAnsi"/>
        </w:rPr>
        <w:t>will improve job matching between participant</w:t>
      </w:r>
      <w:r w:rsidR="00560CA3" w:rsidRPr="006206DA">
        <w:rPr>
          <w:rFonts w:asciiTheme="minorHAnsi" w:hAnsiTheme="minorHAnsi" w:cstheme="minorHAnsi"/>
        </w:rPr>
        <w:t>s</w:t>
      </w:r>
      <w:r w:rsidR="00817B60" w:rsidRPr="006206DA">
        <w:rPr>
          <w:rFonts w:asciiTheme="minorHAnsi" w:hAnsiTheme="minorHAnsi" w:cstheme="minorHAnsi"/>
        </w:rPr>
        <w:t xml:space="preserve"> and employer</w:t>
      </w:r>
      <w:r w:rsidR="00560CA3" w:rsidRPr="006206DA">
        <w:rPr>
          <w:rFonts w:asciiTheme="minorHAnsi" w:hAnsiTheme="minorHAnsi" w:cstheme="minorHAnsi"/>
        </w:rPr>
        <w:t>s. These payments</w:t>
      </w:r>
      <w:r w:rsidR="00817B60" w:rsidRPr="006206DA">
        <w:rPr>
          <w:rFonts w:asciiTheme="minorHAnsi" w:hAnsiTheme="minorHAnsi" w:cstheme="minorHAnsi"/>
        </w:rPr>
        <w:t xml:space="preserve"> </w:t>
      </w:r>
      <w:r w:rsidR="00560CA3" w:rsidRPr="006206DA">
        <w:rPr>
          <w:rFonts w:asciiTheme="minorHAnsi" w:hAnsiTheme="minorHAnsi" w:cstheme="minorHAnsi"/>
        </w:rPr>
        <w:t xml:space="preserve">will </w:t>
      </w:r>
      <w:r w:rsidR="00817B60" w:rsidRPr="006206DA">
        <w:rPr>
          <w:rFonts w:asciiTheme="minorHAnsi" w:hAnsiTheme="minorHAnsi" w:cstheme="minorHAnsi"/>
        </w:rPr>
        <w:t xml:space="preserve">strengthen the requirements for the initial job placement, </w:t>
      </w:r>
      <w:r w:rsidR="00560CA3" w:rsidRPr="006206DA">
        <w:rPr>
          <w:rFonts w:asciiTheme="minorHAnsi" w:hAnsiTheme="minorHAnsi" w:cstheme="minorHAnsi"/>
        </w:rPr>
        <w:t>and provide</w:t>
      </w:r>
      <w:r w:rsidR="00817B60" w:rsidRPr="006206DA">
        <w:rPr>
          <w:rFonts w:asciiTheme="minorHAnsi" w:hAnsiTheme="minorHAnsi" w:cstheme="minorHAnsi"/>
        </w:rPr>
        <w:t xml:space="preserve"> a financial incentive to achieve long term employment outcomes.</w:t>
      </w:r>
    </w:p>
    <w:p w:rsidR="00E17F5C" w:rsidRPr="006206DA" w:rsidRDefault="00817B60" w:rsidP="00E17F5C">
      <w:pPr>
        <w:rPr>
          <w:rFonts w:asciiTheme="minorHAnsi" w:hAnsiTheme="minorHAnsi" w:cstheme="minorHAnsi"/>
        </w:rPr>
      </w:pPr>
      <w:r w:rsidRPr="006206DA">
        <w:rPr>
          <w:rFonts w:asciiTheme="minorHAnsi" w:hAnsiTheme="minorHAnsi" w:cstheme="minorHAnsi"/>
        </w:rPr>
        <w:t>Increasing</w:t>
      </w:r>
      <w:r w:rsidR="00E17F5C" w:rsidRPr="006206DA">
        <w:rPr>
          <w:rFonts w:asciiTheme="minorHAnsi" w:hAnsiTheme="minorHAnsi" w:cstheme="minorHAnsi"/>
        </w:rPr>
        <w:t xml:space="preserve"> incentives to successfully place participants into </w:t>
      </w:r>
      <w:r w:rsidR="00445D45">
        <w:rPr>
          <w:rFonts w:asciiTheme="minorHAnsi" w:hAnsiTheme="minorHAnsi" w:cstheme="minorHAnsi"/>
        </w:rPr>
        <w:t>sustainable</w:t>
      </w:r>
      <w:r w:rsidR="00445D45" w:rsidRPr="006206DA">
        <w:rPr>
          <w:rFonts w:asciiTheme="minorHAnsi" w:hAnsiTheme="minorHAnsi" w:cstheme="minorHAnsi"/>
        </w:rPr>
        <w:t xml:space="preserve"> </w:t>
      </w:r>
      <w:r w:rsidR="00E17F5C" w:rsidRPr="006206DA">
        <w:rPr>
          <w:rFonts w:asciiTheme="minorHAnsi" w:hAnsiTheme="minorHAnsi" w:cstheme="minorHAnsi"/>
        </w:rPr>
        <w:t>employment will reward those providers who work best with employers to achieve those outcomes.</w:t>
      </w:r>
    </w:p>
    <w:p w:rsidR="00B63979" w:rsidRPr="0083196D" w:rsidRDefault="00C751FB" w:rsidP="00C751FB">
      <w:pPr>
        <w:pStyle w:val="Heading4"/>
        <w:rPr>
          <w:rFonts w:asciiTheme="minorHAnsi" w:hAnsiTheme="minorHAnsi" w:cstheme="minorHAnsi"/>
          <w:b w:val="0"/>
          <w:i/>
          <w:iCs/>
          <w:lang w:val="en-AU"/>
        </w:rPr>
      </w:pPr>
      <w:r w:rsidRPr="006206DA">
        <w:rPr>
          <w:rFonts w:asciiTheme="minorHAnsi" w:hAnsiTheme="minorHAnsi" w:cstheme="minorHAnsi"/>
          <w:i/>
          <w:iCs/>
          <w:lang w:val="en-AU"/>
        </w:rPr>
        <w:t>Supporting people with disability in the workplace</w:t>
      </w:r>
    </w:p>
    <w:p w:rsidR="000B28D5" w:rsidRDefault="000B28D5" w:rsidP="000B28D5">
      <w:r>
        <w:t xml:space="preserve">People with disability who are already employed but may be </w:t>
      </w:r>
      <w:r w:rsidR="00E80ACB">
        <w:t xml:space="preserve">finding work more difficult </w:t>
      </w:r>
      <w:r>
        <w:t xml:space="preserve">due to their disability, health condition or injury can access ‘Work Assist’ (previously called Job-in-Jeopardy). </w:t>
      </w:r>
      <w:r w:rsidR="00076048">
        <w:t xml:space="preserve">Under Work Assist, </w:t>
      </w:r>
      <w:r>
        <w:t xml:space="preserve">DES providers will work with employers and participants to provide individual, flexible support to help participants </w:t>
      </w:r>
      <w:r w:rsidR="00076048">
        <w:t xml:space="preserve">to continue to perform well in </w:t>
      </w:r>
      <w:r>
        <w:t>their job.</w:t>
      </w:r>
    </w:p>
    <w:p w:rsidR="00445D45" w:rsidRPr="006206DA" w:rsidRDefault="000B28D5" w:rsidP="00817B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 will continue to offer services to support employers to keep people with disability in the workplace. These include t</w:t>
      </w:r>
      <w:r w:rsidR="00442C2A">
        <w:rPr>
          <w:rFonts w:asciiTheme="minorHAnsi" w:hAnsiTheme="minorHAnsi" w:cstheme="minorHAnsi"/>
        </w:rPr>
        <w:t xml:space="preserve">he JobAccess </w:t>
      </w:r>
      <w:r w:rsidR="00445D45">
        <w:rPr>
          <w:rFonts w:asciiTheme="minorHAnsi" w:hAnsiTheme="minorHAnsi" w:cstheme="minorHAnsi"/>
        </w:rPr>
        <w:t xml:space="preserve">Service </w:t>
      </w:r>
      <w:r w:rsidR="00442C2A">
        <w:rPr>
          <w:rFonts w:asciiTheme="minorHAnsi" w:hAnsiTheme="minorHAnsi" w:cstheme="minorHAnsi"/>
        </w:rPr>
        <w:t>and funding for workplace modifications available through the Employment Assistance Fund (EAF)</w:t>
      </w:r>
      <w:r w:rsidR="002F76F9">
        <w:rPr>
          <w:rFonts w:asciiTheme="minorHAnsi" w:hAnsiTheme="minorHAnsi" w:cstheme="minorHAnsi"/>
        </w:rPr>
        <w:t xml:space="preserve">. </w:t>
      </w:r>
    </w:p>
    <w:p w:rsidR="00560CA3" w:rsidRPr="006206DA" w:rsidRDefault="00560CA3" w:rsidP="00560CA3">
      <w:pPr>
        <w:pStyle w:val="Heading1"/>
        <w:rPr>
          <w:rStyle w:val="Strong"/>
          <w:rFonts w:asciiTheme="minorHAnsi" w:hAnsiTheme="minorHAnsi" w:cstheme="minorHAnsi"/>
          <w:i/>
          <w:color w:val="auto"/>
          <w:sz w:val="24"/>
          <w:szCs w:val="24"/>
        </w:rPr>
      </w:pPr>
      <w:r w:rsidRPr="006206DA">
        <w:rPr>
          <w:rStyle w:val="Strong"/>
          <w:rFonts w:asciiTheme="minorHAnsi" w:hAnsiTheme="minorHAnsi" w:cstheme="minorHAnsi"/>
          <w:i/>
          <w:color w:val="auto"/>
          <w:sz w:val="24"/>
          <w:szCs w:val="24"/>
        </w:rPr>
        <w:t>More information</w:t>
      </w:r>
    </w:p>
    <w:p w:rsidR="00560CA3" w:rsidRDefault="00560CA3" w:rsidP="00560CA3">
      <w:pPr>
        <w:spacing w:after="240" w:line="240" w:lineRule="auto"/>
        <w:rPr>
          <w:rFonts w:asciiTheme="minorHAnsi" w:hAnsiTheme="minorHAnsi" w:cstheme="minorHAnsi"/>
          <w:b/>
        </w:rPr>
      </w:pPr>
      <w:r w:rsidRPr="006206DA">
        <w:rPr>
          <w:rFonts w:asciiTheme="minorHAnsi" w:hAnsiTheme="minorHAnsi" w:cstheme="minorHAnsi"/>
        </w:rPr>
        <w:t>For more information about DES, including the changes, visit</w:t>
      </w:r>
      <w:r w:rsidR="008C2F01" w:rsidRPr="006206DA">
        <w:rPr>
          <w:rFonts w:asciiTheme="minorHAnsi" w:hAnsiTheme="minorHAnsi" w:cstheme="minorHAnsi"/>
        </w:rPr>
        <w:t xml:space="preserve"> </w:t>
      </w:r>
      <w:r w:rsidR="006206DA" w:rsidRPr="006206DA">
        <w:rPr>
          <w:rFonts w:asciiTheme="minorHAnsi" w:hAnsiTheme="minorHAnsi" w:cstheme="minorHAnsi"/>
        </w:rPr>
        <w:t xml:space="preserve">the </w:t>
      </w:r>
      <w:hyperlink r:id="rId9" w:history="1">
        <w:r w:rsidR="008C2F01" w:rsidRPr="006206DA">
          <w:rPr>
            <w:rStyle w:val="Hyperlink"/>
            <w:rFonts w:asciiTheme="minorHAnsi" w:hAnsiTheme="minorHAnsi" w:cstheme="minorHAnsi"/>
          </w:rPr>
          <w:t>Department of Social Services</w:t>
        </w:r>
      </w:hyperlink>
      <w:r w:rsidR="008C2F01" w:rsidRPr="006206DA">
        <w:rPr>
          <w:rFonts w:asciiTheme="minorHAnsi" w:hAnsiTheme="minorHAnsi" w:cstheme="minorHAnsi"/>
        </w:rPr>
        <w:t xml:space="preserve"> </w:t>
      </w:r>
      <w:r w:rsidRPr="006206DA">
        <w:rPr>
          <w:rFonts w:asciiTheme="minorHAnsi" w:hAnsiTheme="minorHAnsi" w:cstheme="minorHAnsi"/>
        </w:rPr>
        <w:t xml:space="preserve">or </w:t>
      </w:r>
      <w:hyperlink r:id="rId10" w:history="1">
        <w:r w:rsidR="008C2F01" w:rsidRPr="006206DA">
          <w:rPr>
            <w:rStyle w:val="Hyperlink"/>
            <w:rFonts w:asciiTheme="minorHAnsi" w:hAnsiTheme="minorHAnsi" w:cstheme="minorHAnsi"/>
          </w:rPr>
          <w:t>JobAccess</w:t>
        </w:r>
      </w:hyperlink>
      <w:r w:rsidR="008C2F01" w:rsidRPr="006206DA">
        <w:rPr>
          <w:rFonts w:asciiTheme="minorHAnsi" w:hAnsiTheme="minorHAnsi" w:cstheme="minorHAnsi"/>
        </w:rPr>
        <w:t xml:space="preserve"> websites or call JobAccess on</w:t>
      </w:r>
      <w:r w:rsidRPr="006206DA">
        <w:rPr>
          <w:rFonts w:asciiTheme="minorHAnsi" w:hAnsiTheme="minorHAnsi" w:cstheme="minorHAnsi"/>
        </w:rPr>
        <w:t xml:space="preserve"> </w:t>
      </w:r>
      <w:r w:rsidR="008C2F01" w:rsidRPr="006206DA">
        <w:rPr>
          <w:rFonts w:asciiTheme="minorHAnsi" w:hAnsiTheme="minorHAnsi" w:cstheme="minorHAnsi"/>
          <w:b/>
        </w:rPr>
        <w:t>1800 464 800.</w:t>
      </w:r>
    </w:p>
    <w:p w:rsidR="007042C9" w:rsidRPr="006206DA" w:rsidRDefault="007042C9" w:rsidP="00560CA3">
      <w:pPr>
        <w:spacing w:after="240" w:line="240" w:lineRule="auto"/>
        <w:rPr>
          <w:rFonts w:asciiTheme="minorHAnsi" w:hAnsiTheme="minorHAnsi" w:cstheme="minorHAnsi"/>
        </w:rPr>
      </w:pPr>
    </w:p>
    <w:bookmarkEnd w:id="1"/>
    <w:p w:rsidR="00CB05BE" w:rsidRPr="006206DA" w:rsidRDefault="00CB05BE" w:rsidP="008D4E4B">
      <w:pPr>
        <w:rPr>
          <w:rFonts w:asciiTheme="minorHAnsi" w:hAnsiTheme="minorHAnsi" w:cstheme="minorHAnsi"/>
        </w:rPr>
      </w:pPr>
    </w:p>
    <w:sectPr w:rsidR="00CB05BE" w:rsidRPr="006206DA" w:rsidSect="00D87F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D6" w:rsidRDefault="005132D6">
      <w:r>
        <w:separator/>
      </w:r>
    </w:p>
  </w:endnote>
  <w:endnote w:type="continuationSeparator" w:id="0">
    <w:p w:rsidR="005132D6" w:rsidRDefault="0051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D7" w:rsidRDefault="00435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D7" w:rsidRDefault="00435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D7" w:rsidRDefault="00435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D6" w:rsidRDefault="005132D6">
      <w:r>
        <w:separator/>
      </w:r>
    </w:p>
  </w:footnote>
  <w:footnote w:type="continuationSeparator" w:id="0">
    <w:p w:rsidR="005132D6" w:rsidRDefault="00513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D7" w:rsidRDefault="00435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D7" w:rsidRDefault="00435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D7" w:rsidRDefault="00435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7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3"/>
  </w:num>
  <w:num w:numId="26">
    <w:abstractNumId w:val="38"/>
  </w:num>
  <w:num w:numId="27">
    <w:abstractNumId w:val="19"/>
  </w:num>
  <w:num w:numId="28">
    <w:abstractNumId w:val="58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1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proofState w:spelling="clean" w:grammar="clean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69"/>
    <w:rsid w:val="00002C18"/>
    <w:rsid w:val="00010549"/>
    <w:rsid w:val="00012F84"/>
    <w:rsid w:val="00013F99"/>
    <w:rsid w:val="000236FC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67CD0"/>
    <w:rsid w:val="00076048"/>
    <w:rsid w:val="00080F2E"/>
    <w:rsid w:val="00081CEB"/>
    <w:rsid w:val="00083791"/>
    <w:rsid w:val="00086E3C"/>
    <w:rsid w:val="00087B2C"/>
    <w:rsid w:val="00087DBD"/>
    <w:rsid w:val="00090570"/>
    <w:rsid w:val="00090753"/>
    <w:rsid w:val="00096F54"/>
    <w:rsid w:val="00097BFF"/>
    <w:rsid w:val="000A669D"/>
    <w:rsid w:val="000A66A8"/>
    <w:rsid w:val="000B28D5"/>
    <w:rsid w:val="000C014D"/>
    <w:rsid w:val="000D0178"/>
    <w:rsid w:val="000D4703"/>
    <w:rsid w:val="000D693C"/>
    <w:rsid w:val="000E12D4"/>
    <w:rsid w:val="00104669"/>
    <w:rsid w:val="00110028"/>
    <w:rsid w:val="0011449B"/>
    <w:rsid w:val="00116EDF"/>
    <w:rsid w:val="001213D9"/>
    <w:rsid w:val="00121871"/>
    <w:rsid w:val="00123C1D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CF4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D4585"/>
    <w:rsid w:val="001D5D54"/>
    <w:rsid w:val="001E41C8"/>
    <w:rsid w:val="001F3AD7"/>
    <w:rsid w:val="001F45EB"/>
    <w:rsid w:val="0020721E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5272A"/>
    <w:rsid w:val="00271922"/>
    <w:rsid w:val="0027204E"/>
    <w:rsid w:val="00273412"/>
    <w:rsid w:val="00274ACF"/>
    <w:rsid w:val="00285F1B"/>
    <w:rsid w:val="00295831"/>
    <w:rsid w:val="00296F1B"/>
    <w:rsid w:val="002A6DF5"/>
    <w:rsid w:val="002D00B0"/>
    <w:rsid w:val="002D2E16"/>
    <w:rsid w:val="002F19EF"/>
    <w:rsid w:val="002F76F9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311D7"/>
    <w:rsid w:val="00332B8B"/>
    <w:rsid w:val="00342476"/>
    <w:rsid w:val="00347104"/>
    <w:rsid w:val="003516A5"/>
    <w:rsid w:val="0035213F"/>
    <w:rsid w:val="003555D2"/>
    <w:rsid w:val="00363DF3"/>
    <w:rsid w:val="003656B1"/>
    <w:rsid w:val="0037056B"/>
    <w:rsid w:val="00377173"/>
    <w:rsid w:val="003774DA"/>
    <w:rsid w:val="00392557"/>
    <w:rsid w:val="003945C0"/>
    <w:rsid w:val="003A06C2"/>
    <w:rsid w:val="003B0746"/>
    <w:rsid w:val="003B6D2E"/>
    <w:rsid w:val="003C430D"/>
    <w:rsid w:val="003C7404"/>
    <w:rsid w:val="003D3C5A"/>
    <w:rsid w:val="003D404A"/>
    <w:rsid w:val="003E6FDA"/>
    <w:rsid w:val="003F3072"/>
    <w:rsid w:val="00401A2A"/>
    <w:rsid w:val="004103D7"/>
    <w:rsid w:val="0041307C"/>
    <w:rsid w:val="004167B4"/>
    <w:rsid w:val="00430D7E"/>
    <w:rsid w:val="00433B04"/>
    <w:rsid w:val="004358D7"/>
    <w:rsid w:val="00440BD3"/>
    <w:rsid w:val="00442C2A"/>
    <w:rsid w:val="00445D45"/>
    <w:rsid w:val="00446F93"/>
    <w:rsid w:val="0044734B"/>
    <w:rsid w:val="004649E2"/>
    <w:rsid w:val="00464E8C"/>
    <w:rsid w:val="00466D36"/>
    <w:rsid w:val="00467185"/>
    <w:rsid w:val="0047050C"/>
    <w:rsid w:val="00475504"/>
    <w:rsid w:val="00480F21"/>
    <w:rsid w:val="00484FED"/>
    <w:rsid w:val="00491262"/>
    <w:rsid w:val="00495AF1"/>
    <w:rsid w:val="004D44E8"/>
    <w:rsid w:val="004F5A5B"/>
    <w:rsid w:val="004F775C"/>
    <w:rsid w:val="004F77BF"/>
    <w:rsid w:val="005015E4"/>
    <w:rsid w:val="0050291D"/>
    <w:rsid w:val="0050697E"/>
    <w:rsid w:val="005132D6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519C9"/>
    <w:rsid w:val="005523D1"/>
    <w:rsid w:val="00554A9C"/>
    <w:rsid w:val="00557624"/>
    <w:rsid w:val="0056023E"/>
    <w:rsid w:val="00560CA3"/>
    <w:rsid w:val="005658EF"/>
    <w:rsid w:val="005822A3"/>
    <w:rsid w:val="0059070B"/>
    <w:rsid w:val="00594445"/>
    <w:rsid w:val="005B1225"/>
    <w:rsid w:val="005C05A2"/>
    <w:rsid w:val="005C09F4"/>
    <w:rsid w:val="005C561A"/>
    <w:rsid w:val="005C5B93"/>
    <w:rsid w:val="005C66FF"/>
    <w:rsid w:val="005C785A"/>
    <w:rsid w:val="005D03CA"/>
    <w:rsid w:val="005D45AB"/>
    <w:rsid w:val="005E4662"/>
    <w:rsid w:val="005F093F"/>
    <w:rsid w:val="005F214A"/>
    <w:rsid w:val="005F4329"/>
    <w:rsid w:val="005F6BD6"/>
    <w:rsid w:val="00601C99"/>
    <w:rsid w:val="00601CFD"/>
    <w:rsid w:val="00607597"/>
    <w:rsid w:val="006206DA"/>
    <w:rsid w:val="006255E4"/>
    <w:rsid w:val="006325E2"/>
    <w:rsid w:val="00641020"/>
    <w:rsid w:val="006410C1"/>
    <w:rsid w:val="00647F05"/>
    <w:rsid w:val="006530EF"/>
    <w:rsid w:val="00654D06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42A0"/>
    <w:rsid w:val="006B4E59"/>
    <w:rsid w:val="006C3402"/>
    <w:rsid w:val="006C3622"/>
    <w:rsid w:val="006C395C"/>
    <w:rsid w:val="006C45D4"/>
    <w:rsid w:val="006E1F3C"/>
    <w:rsid w:val="006E6073"/>
    <w:rsid w:val="006F0C88"/>
    <w:rsid w:val="006F3AC8"/>
    <w:rsid w:val="006F7300"/>
    <w:rsid w:val="00703C09"/>
    <w:rsid w:val="007042C9"/>
    <w:rsid w:val="00712300"/>
    <w:rsid w:val="00720739"/>
    <w:rsid w:val="007207B2"/>
    <w:rsid w:val="00721695"/>
    <w:rsid w:val="007242B4"/>
    <w:rsid w:val="00725FB2"/>
    <w:rsid w:val="00730C64"/>
    <w:rsid w:val="007322AF"/>
    <w:rsid w:val="00735477"/>
    <w:rsid w:val="00736DCA"/>
    <w:rsid w:val="00742399"/>
    <w:rsid w:val="007457E8"/>
    <w:rsid w:val="0074640C"/>
    <w:rsid w:val="0075003D"/>
    <w:rsid w:val="00751B37"/>
    <w:rsid w:val="00754D44"/>
    <w:rsid w:val="00767B7E"/>
    <w:rsid w:val="0077076B"/>
    <w:rsid w:val="007746A9"/>
    <w:rsid w:val="00785465"/>
    <w:rsid w:val="00787247"/>
    <w:rsid w:val="00787656"/>
    <w:rsid w:val="007928E4"/>
    <w:rsid w:val="007A67EA"/>
    <w:rsid w:val="007B15AF"/>
    <w:rsid w:val="007B7E83"/>
    <w:rsid w:val="007C1631"/>
    <w:rsid w:val="007C636F"/>
    <w:rsid w:val="007D0EF8"/>
    <w:rsid w:val="007D2422"/>
    <w:rsid w:val="007D39EB"/>
    <w:rsid w:val="00800A4D"/>
    <w:rsid w:val="008131E7"/>
    <w:rsid w:val="00813711"/>
    <w:rsid w:val="00814279"/>
    <w:rsid w:val="00817B60"/>
    <w:rsid w:val="008263C2"/>
    <w:rsid w:val="0083196D"/>
    <w:rsid w:val="00842959"/>
    <w:rsid w:val="008451FE"/>
    <w:rsid w:val="008466A1"/>
    <w:rsid w:val="00846C1D"/>
    <w:rsid w:val="00851758"/>
    <w:rsid w:val="00856D5A"/>
    <w:rsid w:val="008609EB"/>
    <w:rsid w:val="00862D6D"/>
    <w:rsid w:val="008653E0"/>
    <w:rsid w:val="008657FB"/>
    <w:rsid w:val="00865EA9"/>
    <w:rsid w:val="00870D37"/>
    <w:rsid w:val="00871D4F"/>
    <w:rsid w:val="00874FB3"/>
    <w:rsid w:val="00880BE3"/>
    <w:rsid w:val="00881A1A"/>
    <w:rsid w:val="00882588"/>
    <w:rsid w:val="00895792"/>
    <w:rsid w:val="008A3738"/>
    <w:rsid w:val="008A384C"/>
    <w:rsid w:val="008A6981"/>
    <w:rsid w:val="008B645B"/>
    <w:rsid w:val="008B67B8"/>
    <w:rsid w:val="008B774D"/>
    <w:rsid w:val="008C123E"/>
    <w:rsid w:val="008C2F01"/>
    <w:rsid w:val="008C3ED0"/>
    <w:rsid w:val="008C5585"/>
    <w:rsid w:val="008C5E94"/>
    <w:rsid w:val="008D4E4B"/>
    <w:rsid w:val="008E6E9D"/>
    <w:rsid w:val="008F1897"/>
    <w:rsid w:val="008F4774"/>
    <w:rsid w:val="008F68F7"/>
    <w:rsid w:val="008F7480"/>
    <w:rsid w:val="009037B6"/>
    <w:rsid w:val="00906CBE"/>
    <w:rsid w:val="00906FFA"/>
    <w:rsid w:val="00910384"/>
    <w:rsid w:val="00911B61"/>
    <w:rsid w:val="009139C0"/>
    <w:rsid w:val="009161C8"/>
    <w:rsid w:val="009164AD"/>
    <w:rsid w:val="00922289"/>
    <w:rsid w:val="00933186"/>
    <w:rsid w:val="00936F46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485D"/>
    <w:rsid w:val="009851E9"/>
    <w:rsid w:val="009900F0"/>
    <w:rsid w:val="00991769"/>
    <w:rsid w:val="00994E9F"/>
    <w:rsid w:val="00996931"/>
    <w:rsid w:val="009A0F18"/>
    <w:rsid w:val="009A4CD8"/>
    <w:rsid w:val="009A6AFA"/>
    <w:rsid w:val="009B3ED1"/>
    <w:rsid w:val="009C07EC"/>
    <w:rsid w:val="009C206F"/>
    <w:rsid w:val="009C433C"/>
    <w:rsid w:val="009D28B7"/>
    <w:rsid w:val="009D7E1A"/>
    <w:rsid w:val="009E2162"/>
    <w:rsid w:val="009F2F95"/>
    <w:rsid w:val="00A006EB"/>
    <w:rsid w:val="00A02B47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2ADE"/>
    <w:rsid w:val="00A60693"/>
    <w:rsid w:val="00A63788"/>
    <w:rsid w:val="00A67728"/>
    <w:rsid w:val="00A81A4F"/>
    <w:rsid w:val="00A82E14"/>
    <w:rsid w:val="00A901E9"/>
    <w:rsid w:val="00A9456B"/>
    <w:rsid w:val="00A9762C"/>
    <w:rsid w:val="00AA4067"/>
    <w:rsid w:val="00AA587F"/>
    <w:rsid w:val="00AB1A5B"/>
    <w:rsid w:val="00AC0A54"/>
    <w:rsid w:val="00AC125E"/>
    <w:rsid w:val="00AC45DF"/>
    <w:rsid w:val="00AC474D"/>
    <w:rsid w:val="00AC4DFD"/>
    <w:rsid w:val="00AC5763"/>
    <w:rsid w:val="00AC58FD"/>
    <w:rsid w:val="00AC60CD"/>
    <w:rsid w:val="00AD60E6"/>
    <w:rsid w:val="00AD793A"/>
    <w:rsid w:val="00AE40E2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63979"/>
    <w:rsid w:val="00B72D62"/>
    <w:rsid w:val="00B76920"/>
    <w:rsid w:val="00B822C9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6E26"/>
    <w:rsid w:val="00BD7ADD"/>
    <w:rsid w:val="00BE41C3"/>
    <w:rsid w:val="00BE6767"/>
    <w:rsid w:val="00BE68D7"/>
    <w:rsid w:val="00BF0784"/>
    <w:rsid w:val="00BF7763"/>
    <w:rsid w:val="00C02ED3"/>
    <w:rsid w:val="00C04D5E"/>
    <w:rsid w:val="00C24EA2"/>
    <w:rsid w:val="00C24F70"/>
    <w:rsid w:val="00C25D5B"/>
    <w:rsid w:val="00C325C4"/>
    <w:rsid w:val="00C33479"/>
    <w:rsid w:val="00C47BA2"/>
    <w:rsid w:val="00C612DC"/>
    <w:rsid w:val="00C622CB"/>
    <w:rsid w:val="00C64D15"/>
    <w:rsid w:val="00C74F74"/>
    <w:rsid w:val="00C751FB"/>
    <w:rsid w:val="00C7554B"/>
    <w:rsid w:val="00C80192"/>
    <w:rsid w:val="00C83E31"/>
    <w:rsid w:val="00C916A4"/>
    <w:rsid w:val="00CA2A52"/>
    <w:rsid w:val="00CA2B15"/>
    <w:rsid w:val="00CA6490"/>
    <w:rsid w:val="00CB05BE"/>
    <w:rsid w:val="00CB5744"/>
    <w:rsid w:val="00CB7022"/>
    <w:rsid w:val="00CC41EC"/>
    <w:rsid w:val="00CD1937"/>
    <w:rsid w:val="00CE214C"/>
    <w:rsid w:val="00CE64AB"/>
    <w:rsid w:val="00CE6858"/>
    <w:rsid w:val="00CF50BE"/>
    <w:rsid w:val="00CF553B"/>
    <w:rsid w:val="00CF6A52"/>
    <w:rsid w:val="00D02F09"/>
    <w:rsid w:val="00D03583"/>
    <w:rsid w:val="00D117B4"/>
    <w:rsid w:val="00D169F7"/>
    <w:rsid w:val="00D21382"/>
    <w:rsid w:val="00D26D01"/>
    <w:rsid w:val="00D33DA3"/>
    <w:rsid w:val="00D45D9D"/>
    <w:rsid w:val="00D4723B"/>
    <w:rsid w:val="00D55EE8"/>
    <w:rsid w:val="00D5785A"/>
    <w:rsid w:val="00D60801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6269"/>
    <w:rsid w:val="00D97047"/>
    <w:rsid w:val="00D97108"/>
    <w:rsid w:val="00DC5665"/>
    <w:rsid w:val="00DD46FC"/>
    <w:rsid w:val="00DD4F44"/>
    <w:rsid w:val="00DD5D8B"/>
    <w:rsid w:val="00DE0F9E"/>
    <w:rsid w:val="00DE5D76"/>
    <w:rsid w:val="00E04C8D"/>
    <w:rsid w:val="00E128D8"/>
    <w:rsid w:val="00E17F5C"/>
    <w:rsid w:val="00E30D45"/>
    <w:rsid w:val="00E42FE4"/>
    <w:rsid w:val="00E46FAA"/>
    <w:rsid w:val="00E50FB5"/>
    <w:rsid w:val="00E5750B"/>
    <w:rsid w:val="00E60E2E"/>
    <w:rsid w:val="00E63A24"/>
    <w:rsid w:val="00E67913"/>
    <w:rsid w:val="00E71A2D"/>
    <w:rsid w:val="00E80ACB"/>
    <w:rsid w:val="00E8698A"/>
    <w:rsid w:val="00E923F2"/>
    <w:rsid w:val="00EA31CC"/>
    <w:rsid w:val="00EB14DF"/>
    <w:rsid w:val="00EB2B64"/>
    <w:rsid w:val="00EB3A07"/>
    <w:rsid w:val="00EB4143"/>
    <w:rsid w:val="00EB4728"/>
    <w:rsid w:val="00EB7795"/>
    <w:rsid w:val="00EC207A"/>
    <w:rsid w:val="00EC3F31"/>
    <w:rsid w:val="00ED3C91"/>
    <w:rsid w:val="00ED4112"/>
    <w:rsid w:val="00EE385D"/>
    <w:rsid w:val="00EF1347"/>
    <w:rsid w:val="00EF2BEB"/>
    <w:rsid w:val="00F01129"/>
    <w:rsid w:val="00F03D93"/>
    <w:rsid w:val="00F03D9E"/>
    <w:rsid w:val="00F227BF"/>
    <w:rsid w:val="00F3386F"/>
    <w:rsid w:val="00F374B2"/>
    <w:rsid w:val="00F40AFC"/>
    <w:rsid w:val="00F4560C"/>
    <w:rsid w:val="00F4730E"/>
    <w:rsid w:val="00F50A92"/>
    <w:rsid w:val="00F53F24"/>
    <w:rsid w:val="00F63341"/>
    <w:rsid w:val="00F7536E"/>
    <w:rsid w:val="00F80985"/>
    <w:rsid w:val="00F81F93"/>
    <w:rsid w:val="00F839A8"/>
    <w:rsid w:val="00F86F1B"/>
    <w:rsid w:val="00F92A21"/>
    <w:rsid w:val="00F92E9B"/>
    <w:rsid w:val="00F95814"/>
    <w:rsid w:val="00FA01D9"/>
    <w:rsid w:val="00FA031C"/>
    <w:rsid w:val="00FB13C1"/>
    <w:rsid w:val="00FB420B"/>
    <w:rsid w:val="00FC1C5F"/>
    <w:rsid w:val="00FC5A4D"/>
    <w:rsid w:val="00FC5C0C"/>
    <w:rsid w:val="00FC64EF"/>
    <w:rsid w:val="00FD2673"/>
    <w:rsid w:val="00FE22FA"/>
    <w:rsid w:val="00FE26C9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List Bullet" w:uiPriority="1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4329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29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50077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4329"/>
    <w:rPr>
      <w:rFonts w:ascii="Georgia" w:hAnsi="Georgia" w:cs="Arial"/>
      <w:bCs/>
      <w:iCs/>
      <w:color w:val="50077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hAnsi="Georgia" w:cs="Arial"/>
      <w:bCs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F4329"/>
    <w:rPr>
      <w:rFonts w:ascii="Georgia" w:hAnsi="Georgia" w:cs="Arial"/>
      <w:bCs/>
      <w:color w:val="50077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BookTitle">
    <w:name w:val="Book Title"/>
    <w:uiPriority w:val="33"/>
    <w:qFormat/>
    <w:rsid w:val="00EB7795"/>
    <w:rPr>
      <w:i/>
      <w:iCs/>
      <w:smallCaps/>
      <w:spacing w:val="5"/>
    </w:rPr>
  </w:style>
  <w:style w:type="character" w:styleId="CommentReference">
    <w:name w:val="annotation reference"/>
    <w:basedOn w:val="DefaultParagraphFont"/>
    <w:rsid w:val="00A02B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2B47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rsid w:val="00A02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B47"/>
    <w:rPr>
      <w:rFonts w:ascii="Arial" w:hAnsi="Arial"/>
      <w:b/>
      <w:bCs/>
      <w:spacing w:val="4"/>
    </w:rPr>
  </w:style>
  <w:style w:type="paragraph" w:styleId="Revision">
    <w:name w:val="Revision"/>
    <w:hidden/>
    <w:uiPriority w:val="99"/>
    <w:semiHidden/>
    <w:rsid w:val="0083196D"/>
    <w:rPr>
      <w:rFonts w:ascii="Arial" w:hAnsi="Arial"/>
      <w:spacing w:val="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List Bullet" w:uiPriority="1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4329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29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50077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4329"/>
    <w:rPr>
      <w:rFonts w:ascii="Georgia" w:hAnsi="Georgia" w:cs="Arial"/>
      <w:bCs/>
      <w:iCs/>
      <w:color w:val="50077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hAnsi="Georgia" w:cs="Arial"/>
      <w:bCs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F4329"/>
    <w:rPr>
      <w:rFonts w:ascii="Georgia" w:hAnsi="Georgia" w:cs="Arial"/>
      <w:bCs/>
      <w:color w:val="50077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BookTitle">
    <w:name w:val="Book Title"/>
    <w:uiPriority w:val="33"/>
    <w:qFormat/>
    <w:rsid w:val="00EB7795"/>
    <w:rPr>
      <w:i/>
      <w:iCs/>
      <w:smallCaps/>
      <w:spacing w:val="5"/>
    </w:rPr>
  </w:style>
  <w:style w:type="character" w:styleId="CommentReference">
    <w:name w:val="annotation reference"/>
    <w:basedOn w:val="DefaultParagraphFont"/>
    <w:rsid w:val="00A02B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2B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2B47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rsid w:val="00A02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2B47"/>
    <w:rPr>
      <w:rFonts w:ascii="Arial" w:hAnsi="Arial"/>
      <w:b/>
      <w:bCs/>
      <w:spacing w:val="4"/>
    </w:rPr>
  </w:style>
  <w:style w:type="paragraph" w:styleId="Revision">
    <w:name w:val="Revision"/>
    <w:hidden/>
    <w:uiPriority w:val="99"/>
    <w:semiHidden/>
    <w:rsid w:val="0083196D"/>
    <w:rPr>
      <w:rFonts w:ascii="Arial" w:hAnsi="Arial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jobaccess.gov.au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s.gov.au/our-responsibilities/disability-and-carers/programmes-services/disability-employment-servic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2017-05-12T01:23:00Z</dcterms:created>
  <dcterms:modified xsi:type="dcterms:W3CDTF">2017-05-12T01:23:00Z</dcterms:modified>
</cp:coreProperties>
</file>