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3B" w:rsidRPr="00901FB7" w:rsidRDefault="006630C5" w:rsidP="00C33A3B">
      <w:pPr>
        <w:pStyle w:val="Header"/>
        <w:tabs>
          <w:tab w:val="clear" w:pos="4153"/>
          <w:tab w:val="clear" w:pos="8306"/>
          <w:tab w:val="right" w:pos="9639"/>
        </w:tabs>
        <w:spacing w:after="0"/>
        <w:contextualSpacing w:val="0"/>
        <w:jc w:val="right"/>
        <w:rPr>
          <w:rFonts w:ascii="Arial" w:hAnsi="Arial"/>
          <w:noProof/>
          <w:color w:val="auto"/>
        </w:rPr>
      </w:pPr>
      <w:r>
        <w:rPr>
          <w:rFonts w:ascii="Arial" w:hAnsi="Arial"/>
          <w:noProof/>
          <w:color w:val="auto"/>
        </w:rPr>
        <w:t>Research summary</w:t>
      </w:r>
      <w:r w:rsidR="00C33A3B">
        <w:rPr>
          <w:rFonts w:ascii="Arial" w:hAnsi="Arial"/>
          <w:noProof/>
          <w:color w:val="auto"/>
        </w:rPr>
        <w:t xml:space="preserve">: </w:t>
      </w:r>
      <w:r w:rsidR="001B57AC">
        <w:rPr>
          <w:rFonts w:ascii="Arial" w:hAnsi="Arial"/>
          <w:noProof/>
          <w:color w:val="auto"/>
        </w:rPr>
        <w:t>No.</w:t>
      </w:r>
      <w:r w:rsidR="00407B87">
        <w:rPr>
          <w:rFonts w:ascii="Arial" w:hAnsi="Arial"/>
          <w:noProof/>
          <w:color w:val="auto"/>
        </w:rPr>
        <w:t>1/2014</w:t>
      </w:r>
    </w:p>
    <w:p w:rsidR="00845F7C" w:rsidRPr="00901FB7" w:rsidRDefault="00407B87" w:rsidP="00B42948">
      <w:pPr>
        <w:pStyle w:val="Title"/>
        <w:spacing w:before="120" w:after="0" w:line="276" w:lineRule="auto"/>
        <w:contextualSpacing w:val="0"/>
        <w:jc w:val="both"/>
        <w:rPr>
          <w:b/>
          <w:color w:val="500778"/>
          <w:sz w:val="32"/>
        </w:rPr>
      </w:pPr>
      <w:r>
        <w:rPr>
          <w:b/>
          <w:color w:val="500778"/>
          <w:sz w:val="32"/>
        </w:rPr>
        <w:t>Multiple Disadvantage</w:t>
      </w:r>
    </w:p>
    <w:p w:rsidR="008375EE" w:rsidRPr="008A5493" w:rsidRDefault="00407B87" w:rsidP="00B42948">
      <w:pPr>
        <w:spacing w:before="0" w:after="0" w:line="276" w:lineRule="auto"/>
        <w:jc w:val="both"/>
        <w:rPr>
          <w:color w:val="500778"/>
        </w:rPr>
      </w:pPr>
      <w:r>
        <w:rPr>
          <w:color w:val="500778"/>
        </w:rPr>
        <w:t xml:space="preserve">Deborah </w:t>
      </w:r>
      <w:proofErr w:type="spellStart"/>
      <w:r>
        <w:rPr>
          <w:color w:val="500778"/>
        </w:rPr>
        <w:t>Kikkawa</w:t>
      </w:r>
      <w:proofErr w:type="spellEnd"/>
    </w:p>
    <w:p w:rsidR="00407B87" w:rsidRDefault="00407B87" w:rsidP="001F2DE9">
      <w:pPr>
        <w:spacing w:after="0" w:line="276" w:lineRule="auto"/>
        <w:jc w:val="both"/>
      </w:pPr>
      <w:r w:rsidRPr="007F2CC9">
        <w:t xml:space="preserve">This research examines the extent to which </w:t>
      </w:r>
      <w:r>
        <w:t xml:space="preserve">multiple </w:t>
      </w:r>
      <w:proofErr w:type="gramStart"/>
      <w:r w:rsidRPr="007F2CC9">
        <w:t>disadvantage</w:t>
      </w:r>
      <w:proofErr w:type="gramEnd"/>
      <w:r w:rsidRPr="007F2CC9">
        <w:t xml:space="preserve"> affects social and emotional outcomes for</w:t>
      </w:r>
      <w:r>
        <w:t xml:space="preserve"> 6 and 7 year old </w:t>
      </w:r>
      <w:r w:rsidRPr="007F2CC9">
        <w:t>Indigenous and non-Indigenous Australian children</w:t>
      </w:r>
      <w:r>
        <w:t xml:space="preserve"> using data from </w:t>
      </w:r>
      <w:r>
        <w:rPr>
          <w:i/>
        </w:rPr>
        <w:t xml:space="preserve">Growing up in Australia: </w:t>
      </w:r>
      <w:r>
        <w:t xml:space="preserve">the Longitudinal Study of Australian Children (LSAC) and </w:t>
      </w:r>
      <w:r w:rsidRPr="00EA6E6E">
        <w:rPr>
          <w:i/>
        </w:rPr>
        <w:t>Footprints in Time</w:t>
      </w:r>
      <w:r>
        <w:rPr>
          <w:i/>
        </w:rPr>
        <w:t>:</w:t>
      </w:r>
      <w:r>
        <w:t xml:space="preserve"> the Longitudinal Study of Indigenous Children (LSIC).</w:t>
      </w:r>
    </w:p>
    <w:p w:rsidR="00407B87" w:rsidRDefault="00407B87" w:rsidP="001F2DE9">
      <w:pPr>
        <w:spacing w:after="0" w:line="276" w:lineRule="auto"/>
        <w:jc w:val="both"/>
      </w:pPr>
      <w:r>
        <w:t>While there is no agreed set of measures of disadvantage, disadvantage is generally measured in terms of economic situation (e.g. income), social support (e.g. social networks) and personal characteristics (e.g. health and educational attainment).</w:t>
      </w:r>
      <w:r>
        <w:rPr>
          <w:rStyle w:val="EndnoteReference"/>
        </w:rPr>
        <w:endnoteReference w:id="1"/>
      </w:r>
      <w:r>
        <w:t xml:space="preserve"> However, research has shown that the absence or presence of these measures of disadvantage is not always predictive of outcomes. For example, aged pensioners often do not experience financial stress despite being on a low income.</w:t>
      </w:r>
      <w:r>
        <w:rPr>
          <w:rStyle w:val="EndnoteReference"/>
        </w:rPr>
        <w:endnoteReference w:id="2"/>
      </w:r>
      <w:r>
        <w:t xml:space="preserve"> Similarly, higher education does not always guarantee a job (and</w:t>
      </w:r>
      <w:r w:rsidR="00757980">
        <w:t xml:space="preserve"> therefore economic advantage).</w:t>
      </w:r>
    </w:p>
    <w:p w:rsidR="00407B87" w:rsidRDefault="00407B87" w:rsidP="001F2DE9">
      <w:pPr>
        <w:spacing w:after="0" w:line="276" w:lineRule="auto"/>
        <w:jc w:val="both"/>
      </w:pPr>
      <w:r>
        <w:t>Comparing multiple areas of disadvantage in LSAC and LSIC, it is clear from Table 1 that children in LSIC, all of whom are Indigenous, are living in families with much higher levels of disadvantage than children in LSAC which is representative of the Australian population as a whole (except for remote areas). On average children in LSIC also live in households with more children and with younger primary carers.</w:t>
      </w:r>
    </w:p>
    <w:p w:rsidR="00407B87" w:rsidRDefault="00407B87" w:rsidP="00407B87">
      <w:pPr>
        <w:spacing w:before="240" w:after="0" w:line="276" w:lineRule="auto"/>
        <w:jc w:val="both"/>
        <w:rPr>
          <w:b/>
          <w:szCs w:val="20"/>
        </w:rPr>
      </w:pPr>
      <w:r w:rsidRPr="00407B87">
        <w:rPr>
          <w:b/>
          <w:szCs w:val="20"/>
        </w:rPr>
        <w:t>Table 1: Percentage of children experiencing different types of disadvantage</w:t>
      </w:r>
    </w:p>
    <w:tbl>
      <w:tblPr>
        <w:tblStyle w:val="MediumShading2-Accent6"/>
        <w:tblW w:w="10031" w:type="dxa"/>
        <w:tblLayout w:type="fixed"/>
        <w:tblLook w:val="04A0" w:firstRow="1" w:lastRow="0" w:firstColumn="1" w:lastColumn="0" w:noHBand="0" w:noVBand="1"/>
        <w:tblCaption w:val="Percentage of children experiencing different types of disadvantage"/>
        <w:tblDescription w:val="This table compares the percentage of LSAC and LSIC children who have experienced one or more of the 7 measures of disadvantage."/>
      </w:tblPr>
      <w:tblGrid>
        <w:gridCol w:w="6487"/>
        <w:gridCol w:w="1843"/>
        <w:gridCol w:w="1701"/>
      </w:tblGrid>
      <w:tr w:rsidR="001B57AC" w:rsidRPr="000E5423" w:rsidTr="0075798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6487" w:type="dxa"/>
          </w:tcPr>
          <w:p w:rsidR="001B57AC" w:rsidRPr="00B7685D" w:rsidRDefault="001B57AC" w:rsidP="004E130E">
            <w:pPr>
              <w:jc w:val="both"/>
              <w:rPr>
                <w:sz w:val="18"/>
                <w:szCs w:val="18"/>
              </w:rPr>
            </w:pPr>
            <w:r w:rsidRPr="00B7685D">
              <w:rPr>
                <w:sz w:val="18"/>
                <w:szCs w:val="18"/>
              </w:rPr>
              <w:t>Measure of Disadvantage</w:t>
            </w:r>
          </w:p>
        </w:tc>
        <w:tc>
          <w:tcPr>
            <w:tcW w:w="1843" w:type="dxa"/>
          </w:tcPr>
          <w:p w:rsidR="001B57AC" w:rsidRPr="00B7685D" w:rsidRDefault="001B57AC" w:rsidP="004E130E">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685D">
              <w:rPr>
                <w:sz w:val="18"/>
                <w:szCs w:val="18"/>
              </w:rPr>
              <w:t>LSAC</w:t>
            </w:r>
          </w:p>
        </w:tc>
        <w:tc>
          <w:tcPr>
            <w:tcW w:w="1701" w:type="dxa"/>
          </w:tcPr>
          <w:p w:rsidR="001B57AC" w:rsidRPr="00B7685D" w:rsidRDefault="001B57AC" w:rsidP="004E130E">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685D">
              <w:rPr>
                <w:sz w:val="18"/>
                <w:szCs w:val="18"/>
              </w:rPr>
              <w:t>LSIC</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 xml:space="preserve">Socio-Economic Index for Australia (SEIFA) - advantage &amp; disadvantage index (bottom 5 </w:t>
            </w:r>
            <w:proofErr w:type="spellStart"/>
            <w:r w:rsidRPr="00B7685D">
              <w:rPr>
                <w:b w:val="0"/>
                <w:sz w:val="18"/>
                <w:szCs w:val="18"/>
              </w:rPr>
              <w:t>deciles</w:t>
            </w:r>
            <w:proofErr w:type="spellEnd"/>
            <w:r w:rsidRPr="00B7685D">
              <w:rPr>
                <w:b w:val="0"/>
                <w:sz w:val="18"/>
                <w:szCs w:val="18"/>
              </w:rPr>
              <w:t xml:space="preserve">) </w:t>
            </w:r>
          </w:p>
        </w:tc>
        <w:tc>
          <w:tcPr>
            <w:tcW w:w="1843"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5</w:t>
            </w:r>
            <w:r w:rsidRPr="00B16942">
              <w:rPr>
                <w:iCs/>
                <w:sz w:val="18"/>
                <w:szCs w:val="18"/>
              </w:rPr>
              <w:t>0</w:t>
            </w:r>
          </w:p>
        </w:tc>
        <w:tc>
          <w:tcPr>
            <w:tcW w:w="1701"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80</w:t>
            </w:r>
          </w:p>
        </w:tc>
      </w:tr>
      <w:tr w:rsidR="001B57AC" w:rsidRPr="000E5423" w:rsidTr="00E15BAE">
        <w:trPr>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Jobless household</w:t>
            </w:r>
          </w:p>
        </w:tc>
        <w:tc>
          <w:tcPr>
            <w:tcW w:w="1843"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w:t>
            </w:r>
            <w:r w:rsidRPr="00B16942">
              <w:rPr>
                <w:iCs/>
                <w:sz w:val="18"/>
                <w:szCs w:val="18"/>
              </w:rPr>
              <w:t>0</w:t>
            </w:r>
          </w:p>
        </w:tc>
        <w:tc>
          <w:tcPr>
            <w:tcW w:w="1701"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39</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 xml:space="preserve">Financial stress </w:t>
            </w:r>
          </w:p>
        </w:tc>
        <w:tc>
          <w:tcPr>
            <w:tcW w:w="1843"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21</w:t>
            </w:r>
          </w:p>
        </w:tc>
        <w:tc>
          <w:tcPr>
            <w:tcW w:w="1701"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45</w:t>
            </w:r>
          </w:p>
        </w:tc>
      </w:tr>
      <w:tr w:rsidR="001B57AC" w:rsidRPr="000E5423" w:rsidTr="00E15BAE">
        <w:trPr>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Single parent household</w:t>
            </w:r>
          </w:p>
        </w:tc>
        <w:tc>
          <w:tcPr>
            <w:tcW w:w="1843"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w:t>
            </w:r>
            <w:r w:rsidRPr="00B16942">
              <w:rPr>
                <w:iCs/>
                <w:sz w:val="18"/>
                <w:szCs w:val="18"/>
              </w:rPr>
              <w:t>5</w:t>
            </w:r>
          </w:p>
        </w:tc>
        <w:tc>
          <w:tcPr>
            <w:tcW w:w="1701"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39</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Low educational attainment of primary carer</w:t>
            </w:r>
          </w:p>
        </w:tc>
        <w:tc>
          <w:tcPr>
            <w:tcW w:w="1843"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4</w:t>
            </w:r>
            <w:r w:rsidRPr="00B16942">
              <w:rPr>
                <w:iCs/>
                <w:sz w:val="18"/>
                <w:szCs w:val="18"/>
              </w:rPr>
              <w:t>1</w:t>
            </w:r>
          </w:p>
        </w:tc>
        <w:tc>
          <w:tcPr>
            <w:tcW w:w="1701"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56</w:t>
            </w:r>
          </w:p>
        </w:tc>
      </w:tr>
      <w:tr w:rsidR="001B57AC" w:rsidRPr="000E5423" w:rsidTr="00E15BAE">
        <w:trPr>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Poor health</w:t>
            </w:r>
          </w:p>
        </w:tc>
        <w:tc>
          <w:tcPr>
            <w:tcW w:w="1843"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8</w:t>
            </w:r>
          </w:p>
        </w:tc>
        <w:tc>
          <w:tcPr>
            <w:tcW w:w="1701" w:type="dxa"/>
          </w:tcPr>
          <w:p w:rsidR="001B57AC" w:rsidRPr="00B16942" w:rsidRDefault="001B57AC" w:rsidP="00252F4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13</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87" w:type="dxa"/>
          </w:tcPr>
          <w:p w:rsidR="001B57AC" w:rsidRPr="00B7685D" w:rsidRDefault="001B57AC" w:rsidP="00605CB7">
            <w:pPr>
              <w:spacing w:before="0" w:after="0" w:line="360" w:lineRule="auto"/>
              <w:rPr>
                <w:b w:val="0"/>
                <w:sz w:val="18"/>
                <w:szCs w:val="18"/>
              </w:rPr>
            </w:pPr>
            <w:r w:rsidRPr="00B7685D">
              <w:rPr>
                <w:b w:val="0"/>
                <w:sz w:val="18"/>
                <w:szCs w:val="18"/>
              </w:rPr>
              <w:t>Low household income (&lt;$600 pw)</w:t>
            </w:r>
          </w:p>
        </w:tc>
        <w:tc>
          <w:tcPr>
            <w:tcW w:w="1843"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1</w:t>
            </w:r>
            <w:r w:rsidRPr="00B16942">
              <w:rPr>
                <w:iCs/>
                <w:sz w:val="18"/>
                <w:szCs w:val="18"/>
              </w:rPr>
              <w:t>3</w:t>
            </w:r>
          </w:p>
        </w:tc>
        <w:tc>
          <w:tcPr>
            <w:tcW w:w="1701" w:type="dxa"/>
          </w:tcPr>
          <w:p w:rsidR="001B57AC" w:rsidRPr="00B16942" w:rsidRDefault="001B57AC" w:rsidP="00252F4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42</w:t>
            </w:r>
          </w:p>
        </w:tc>
      </w:tr>
    </w:tbl>
    <w:p w:rsidR="001B57AC" w:rsidRDefault="001B57AC" w:rsidP="0091230A">
      <w:pPr>
        <w:spacing w:after="0" w:line="276" w:lineRule="auto"/>
        <w:jc w:val="both"/>
      </w:pPr>
      <w:r>
        <w:t>The outcome measure used in this analysis is social and emotional problems measured by the social and emotional difficulties score from Goodman’s Strengths and Difficulties Questionnaire. The mean score for children in LSAC is 8.1 (with a possible maximum of 40)</w:t>
      </w:r>
      <w:r w:rsidR="00757980">
        <w:t xml:space="preserve"> and for children in LSIC 12.2.</w:t>
      </w:r>
    </w:p>
    <w:p w:rsidR="001B57AC" w:rsidRDefault="001B57AC" w:rsidP="001F2DE9">
      <w:pPr>
        <w:spacing w:after="0" w:line="276" w:lineRule="auto"/>
        <w:jc w:val="both"/>
      </w:pPr>
      <w:r>
        <w:t xml:space="preserve">There is a significant association with social and emotional difficulties scores for all of the measures in LSAC (using bivariate OLS regression models). In contrast, LSIC scores demonstrate a statistical significance only for low socio-economic status, living in a jobless household, experiencing financial stress, poor primary carer health and low income. Having a primary carer who is a lone parent or has a low level of education is not significantly related to LSIC children’s social and emotional difficulties scores. </w:t>
      </w:r>
    </w:p>
    <w:p w:rsidR="001B57AC" w:rsidRDefault="001B57AC" w:rsidP="001F2DE9">
      <w:pPr>
        <w:spacing w:after="0" w:line="276" w:lineRule="auto"/>
        <w:jc w:val="both"/>
      </w:pPr>
      <w:r>
        <w:t>Table 2 shows the results for a model which includes all the measures of disadvantage but w</w:t>
      </w:r>
      <w:r w:rsidR="00757980">
        <w:t>ith no other control variables.</w:t>
      </w:r>
    </w:p>
    <w:p w:rsidR="001B57AC" w:rsidRDefault="001B57AC">
      <w:pPr>
        <w:spacing w:before="0" w:after="0" w:line="240" w:lineRule="auto"/>
      </w:pPr>
      <w:r>
        <w:br w:type="page"/>
      </w:r>
    </w:p>
    <w:p w:rsidR="001B57AC" w:rsidRPr="006C44BD" w:rsidRDefault="001B57AC" w:rsidP="001B57AC">
      <w:pPr>
        <w:spacing w:before="0" w:after="0" w:line="276" w:lineRule="auto"/>
        <w:jc w:val="both"/>
      </w:pPr>
      <w:r w:rsidRPr="006C44BD">
        <w:rPr>
          <w:b/>
        </w:rPr>
        <w:lastRenderedPageBreak/>
        <w:t>Table 2: Multivariate regression model of the effect of disadvantage on children’s social and emotional difficulties scores</w:t>
      </w:r>
    </w:p>
    <w:tbl>
      <w:tblPr>
        <w:tblStyle w:val="MediumShading2-Accent6"/>
        <w:tblW w:w="9889" w:type="dxa"/>
        <w:tblLayout w:type="fixed"/>
        <w:tblLook w:val="04A0" w:firstRow="1" w:lastRow="0" w:firstColumn="1" w:lastColumn="0" w:noHBand="0" w:noVBand="1"/>
        <w:tblCaption w:val=": Multivariate regression model of the effect of disadvantage on children’s social and emotional difficulties scores"/>
        <w:tblDescription w:val="This table enables the comparison of social and emotional difficulties scores of LSAC and LSIC children on 7 measures of disadvantage."/>
      </w:tblPr>
      <w:tblGrid>
        <w:gridCol w:w="6345"/>
        <w:gridCol w:w="1985"/>
        <w:gridCol w:w="1559"/>
      </w:tblGrid>
      <w:tr w:rsidR="001B57AC" w:rsidRPr="000E5423" w:rsidTr="00757980">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100" w:firstRow="0" w:lastRow="0" w:firstColumn="1" w:lastColumn="0" w:oddVBand="0" w:evenVBand="0" w:oddHBand="0" w:evenHBand="0" w:firstRowFirstColumn="1" w:firstRowLastColumn="0" w:lastRowFirstColumn="0" w:lastRowLastColumn="0"/>
            <w:tcW w:w="6345" w:type="dxa"/>
          </w:tcPr>
          <w:p w:rsidR="001B57AC" w:rsidRPr="00B7685D" w:rsidRDefault="001B57AC" w:rsidP="004E130E">
            <w:pPr>
              <w:jc w:val="both"/>
              <w:rPr>
                <w:sz w:val="18"/>
                <w:szCs w:val="18"/>
              </w:rPr>
            </w:pPr>
            <w:r w:rsidRPr="00B7685D">
              <w:rPr>
                <w:sz w:val="18"/>
                <w:szCs w:val="18"/>
              </w:rPr>
              <w:t>Measure of Disadvantage</w:t>
            </w:r>
          </w:p>
        </w:tc>
        <w:tc>
          <w:tcPr>
            <w:tcW w:w="1985" w:type="dxa"/>
          </w:tcPr>
          <w:p w:rsidR="001B57AC" w:rsidRPr="00B7685D" w:rsidRDefault="001B57AC" w:rsidP="004E130E">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685D">
              <w:rPr>
                <w:sz w:val="18"/>
                <w:szCs w:val="18"/>
              </w:rPr>
              <w:t>LSAC</w:t>
            </w:r>
          </w:p>
        </w:tc>
        <w:tc>
          <w:tcPr>
            <w:tcW w:w="1559" w:type="dxa"/>
          </w:tcPr>
          <w:p w:rsidR="001B57AC" w:rsidRPr="00B7685D" w:rsidRDefault="001B57AC" w:rsidP="004E130E">
            <w:pPr>
              <w:jc w:val="center"/>
              <w:cnfStyle w:val="100000000000" w:firstRow="1" w:lastRow="0" w:firstColumn="0" w:lastColumn="0" w:oddVBand="0" w:evenVBand="0" w:oddHBand="0" w:evenHBand="0" w:firstRowFirstColumn="0" w:firstRowLastColumn="0" w:lastRowFirstColumn="0" w:lastRowLastColumn="0"/>
              <w:rPr>
                <w:sz w:val="18"/>
                <w:szCs w:val="18"/>
              </w:rPr>
            </w:pPr>
            <w:r w:rsidRPr="00B7685D">
              <w:rPr>
                <w:sz w:val="18"/>
                <w:szCs w:val="18"/>
              </w:rPr>
              <w:t>LSIC</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 xml:space="preserve">SEIFA advantage &amp; disadvantage (bottom 5 </w:t>
            </w:r>
            <w:proofErr w:type="spellStart"/>
            <w:r w:rsidRPr="00B7685D">
              <w:rPr>
                <w:b w:val="0"/>
                <w:sz w:val="18"/>
                <w:szCs w:val="18"/>
              </w:rPr>
              <w:t>deciles</w:t>
            </w:r>
            <w:proofErr w:type="spellEnd"/>
            <w:r w:rsidRPr="00B7685D">
              <w:rPr>
                <w:b w:val="0"/>
                <w:sz w:val="18"/>
                <w:szCs w:val="18"/>
              </w:rPr>
              <w:t xml:space="preserve">) </w:t>
            </w:r>
          </w:p>
        </w:tc>
        <w:tc>
          <w:tcPr>
            <w:tcW w:w="1985" w:type="dxa"/>
          </w:tcPr>
          <w:p w:rsidR="001B57AC" w:rsidRPr="00B16942" w:rsidRDefault="001B57AC" w:rsidP="004E130E">
            <w:pPr>
              <w:tabs>
                <w:tab w:val="decimal" w:pos="735"/>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0.80***</w:t>
            </w:r>
          </w:p>
        </w:tc>
        <w:tc>
          <w:tcPr>
            <w:tcW w:w="1559" w:type="dxa"/>
          </w:tcPr>
          <w:p w:rsidR="001B57AC" w:rsidRPr="00B16942" w:rsidRDefault="001B57AC" w:rsidP="004E130E">
            <w:pPr>
              <w:tabs>
                <w:tab w:val="decimal" w:pos="459"/>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1.17</w:t>
            </w:r>
          </w:p>
        </w:tc>
      </w:tr>
      <w:tr w:rsidR="001B57AC" w:rsidRPr="000E5423" w:rsidTr="00E15BAE">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Jobless household</w:t>
            </w:r>
          </w:p>
        </w:tc>
        <w:tc>
          <w:tcPr>
            <w:tcW w:w="1985" w:type="dxa"/>
          </w:tcPr>
          <w:p w:rsidR="001B57AC" w:rsidRPr="00B16942" w:rsidRDefault="001B57AC" w:rsidP="004E130E">
            <w:pPr>
              <w:tabs>
                <w:tab w:val="decimal" w:pos="735"/>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1.34***</w:t>
            </w:r>
          </w:p>
        </w:tc>
        <w:tc>
          <w:tcPr>
            <w:tcW w:w="1559" w:type="dxa"/>
          </w:tcPr>
          <w:p w:rsidR="001B57AC" w:rsidRPr="00B16942" w:rsidRDefault="001B57AC" w:rsidP="004E130E">
            <w:pPr>
              <w:tabs>
                <w:tab w:val="decimal" w:pos="459"/>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0.26</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 xml:space="preserve">Financial stress </w:t>
            </w:r>
          </w:p>
        </w:tc>
        <w:tc>
          <w:tcPr>
            <w:tcW w:w="1985" w:type="dxa"/>
          </w:tcPr>
          <w:p w:rsidR="001B57AC" w:rsidRPr="00B16942" w:rsidRDefault="001B57AC" w:rsidP="004E130E">
            <w:pPr>
              <w:tabs>
                <w:tab w:val="decimal" w:pos="735"/>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1.52***</w:t>
            </w:r>
          </w:p>
        </w:tc>
        <w:tc>
          <w:tcPr>
            <w:tcW w:w="1559" w:type="dxa"/>
          </w:tcPr>
          <w:p w:rsidR="001B57AC" w:rsidRPr="00B16942" w:rsidRDefault="001B57AC" w:rsidP="004E130E">
            <w:pPr>
              <w:tabs>
                <w:tab w:val="decimal" w:pos="459"/>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1.74***</w:t>
            </w:r>
          </w:p>
        </w:tc>
      </w:tr>
      <w:tr w:rsidR="001B57AC" w:rsidRPr="000E5423" w:rsidTr="00E15BAE">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Single parent primary carer</w:t>
            </w:r>
          </w:p>
        </w:tc>
        <w:tc>
          <w:tcPr>
            <w:tcW w:w="1985" w:type="dxa"/>
          </w:tcPr>
          <w:p w:rsidR="001B57AC" w:rsidRPr="00B16942" w:rsidRDefault="001B57AC" w:rsidP="004E130E">
            <w:pPr>
              <w:tabs>
                <w:tab w:val="decimal" w:pos="735"/>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1.26***</w:t>
            </w:r>
          </w:p>
        </w:tc>
        <w:tc>
          <w:tcPr>
            <w:tcW w:w="1559" w:type="dxa"/>
          </w:tcPr>
          <w:p w:rsidR="001B57AC" w:rsidRPr="00B16942" w:rsidRDefault="001B57AC" w:rsidP="004E130E">
            <w:pPr>
              <w:tabs>
                <w:tab w:val="decimal" w:pos="459"/>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-0.26</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Low educational attainment primary carer</w:t>
            </w:r>
          </w:p>
        </w:tc>
        <w:tc>
          <w:tcPr>
            <w:tcW w:w="1985" w:type="dxa"/>
          </w:tcPr>
          <w:p w:rsidR="001B57AC" w:rsidRPr="00B16942" w:rsidRDefault="001B57AC" w:rsidP="004E130E">
            <w:pPr>
              <w:tabs>
                <w:tab w:val="decimal" w:pos="735"/>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0.94***</w:t>
            </w:r>
          </w:p>
        </w:tc>
        <w:tc>
          <w:tcPr>
            <w:tcW w:w="1559" w:type="dxa"/>
          </w:tcPr>
          <w:p w:rsidR="001B57AC" w:rsidRPr="00B16942" w:rsidRDefault="001B57AC" w:rsidP="004E130E">
            <w:pPr>
              <w:tabs>
                <w:tab w:val="decimal" w:pos="459"/>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0.43</w:t>
            </w:r>
          </w:p>
        </w:tc>
      </w:tr>
      <w:tr w:rsidR="001B57AC" w:rsidRPr="000E5423" w:rsidTr="00E15BAE">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Poor health of primary carer</w:t>
            </w:r>
          </w:p>
        </w:tc>
        <w:tc>
          <w:tcPr>
            <w:tcW w:w="1985" w:type="dxa"/>
          </w:tcPr>
          <w:p w:rsidR="001B57AC" w:rsidRPr="00B16942" w:rsidRDefault="001B57AC" w:rsidP="004E130E">
            <w:pPr>
              <w:tabs>
                <w:tab w:val="decimal" w:pos="735"/>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1.68***</w:t>
            </w:r>
          </w:p>
        </w:tc>
        <w:tc>
          <w:tcPr>
            <w:tcW w:w="1559" w:type="dxa"/>
          </w:tcPr>
          <w:p w:rsidR="001B57AC" w:rsidRPr="00B16942" w:rsidRDefault="001B57AC" w:rsidP="004E130E">
            <w:pPr>
              <w:tabs>
                <w:tab w:val="decimal" w:pos="459"/>
              </w:tabs>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2.55***</w:t>
            </w:r>
          </w:p>
        </w:tc>
      </w:tr>
      <w:tr w:rsidR="001B57AC" w:rsidRPr="000E5423" w:rsidTr="00E1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Low income (&lt;$600 pw)</w:t>
            </w:r>
          </w:p>
        </w:tc>
        <w:tc>
          <w:tcPr>
            <w:tcW w:w="1985" w:type="dxa"/>
          </w:tcPr>
          <w:p w:rsidR="001B57AC" w:rsidRPr="00B16942" w:rsidRDefault="001B57AC" w:rsidP="004E130E">
            <w:pPr>
              <w:tabs>
                <w:tab w:val="decimal" w:pos="735"/>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-0.17</w:t>
            </w:r>
          </w:p>
        </w:tc>
        <w:tc>
          <w:tcPr>
            <w:tcW w:w="1559" w:type="dxa"/>
          </w:tcPr>
          <w:p w:rsidR="001B57AC" w:rsidRPr="00B16942" w:rsidRDefault="001B57AC" w:rsidP="004E130E">
            <w:pPr>
              <w:tabs>
                <w:tab w:val="decimal" w:pos="459"/>
              </w:tabs>
              <w:spacing w:before="0" w:after="0"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0.48</w:t>
            </w:r>
          </w:p>
        </w:tc>
      </w:tr>
      <w:tr w:rsidR="001B57AC" w:rsidRPr="0001099C" w:rsidTr="00E15BAE">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 xml:space="preserve">Number </w:t>
            </w:r>
          </w:p>
        </w:tc>
        <w:tc>
          <w:tcPr>
            <w:tcW w:w="1985" w:type="dxa"/>
          </w:tcPr>
          <w:p w:rsidR="001B57AC" w:rsidRPr="00B16942" w:rsidRDefault="001B57AC" w:rsidP="004E130E">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3799</w:t>
            </w:r>
          </w:p>
        </w:tc>
        <w:tc>
          <w:tcPr>
            <w:tcW w:w="1559" w:type="dxa"/>
          </w:tcPr>
          <w:p w:rsidR="001B57AC" w:rsidRPr="00B16942" w:rsidRDefault="001B57AC" w:rsidP="004E130E">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16942">
              <w:rPr>
                <w:sz w:val="18"/>
                <w:szCs w:val="18"/>
              </w:rPr>
              <w:t>437</w:t>
            </w:r>
            <w:r w:rsidRPr="00B16942">
              <w:rPr>
                <w:rStyle w:val="EndnoteReference"/>
                <w:sz w:val="18"/>
                <w:szCs w:val="18"/>
              </w:rPr>
              <w:endnoteReference w:id="3"/>
            </w:r>
          </w:p>
        </w:tc>
      </w:tr>
      <w:tr w:rsidR="001B57AC" w:rsidRPr="0001099C" w:rsidTr="00E1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1B57AC" w:rsidRPr="00B7685D" w:rsidRDefault="001B57AC" w:rsidP="004E130E">
            <w:pPr>
              <w:spacing w:before="0" w:after="0" w:line="360" w:lineRule="auto"/>
              <w:jc w:val="both"/>
              <w:rPr>
                <w:b w:val="0"/>
                <w:sz w:val="18"/>
                <w:szCs w:val="18"/>
              </w:rPr>
            </w:pPr>
            <w:r w:rsidRPr="00B7685D">
              <w:rPr>
                <w:b w:val="0"/>
                <w:sz w:val="18"/>
                <w:szCs w:val="18"/>
              </w:rPr>
              <w:t>Adjusted R2</w:t>
            </w:r>
          </w:p>
        </w:tc>
        <w:tc>
          <w:tcPr>
            <w:tcW w:w="1985" w:type="dxa"/>
          </w:tcPr>
          <w:p w:rsidR="001B57AC" w:rsidRPr="00B16942" w:rsidRDefault="001B57AC" w:rsidP="004E130E">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0.0829</w:t>
            </w:r>
          </w:p>
        </w:tc>
        <w:tc>
          <w:tcPr>
            <w:tcW w:w="1559" w:type="dxa"/>
          </w:tcPr>
          <w:p w:rsidR="001B57AC" w:rsidRPr="00B16942" w:rsidRDefault="001B57AC" w:rsidP="004E130E">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16942">
              <w:rPr>
                <w:sz w:val="18"/>
                <w:szCs w:val="18"/>
              </w:rPr>
              <w:t>0.0471</w:t>
            </w:r>
          </w:p>
        </w:tc>
      </w:tr>
    </w:tbl>
    <w:p w:rsidR="001B57AC" w:rsidRPr="00B16942" w:rsidRDefault="001B57AC" w:rsidP="00E275F9">
      <w:pPr>
        <w:spacing w:after="0" w:line="276" w:lineRule="auto"/>
        <w:jc w:val="both"/>
        <w:rPr>
          <w:sz w:val="16"/>
          <w:szCs w:val="16"/>
        </w:rPr>
      </w:pPr>
      <w:r w:rsidRPr="00B16942">
        <w:rPr>
          <w:sz w:val="16"/>
          <w:szCs w:val="16"/>
        </w:rPr>
        <w:t xml:space="preserve">*** p&lt;0.001 ** p&lt;0.01 *p&lt;0.05 </w:t>
      </w:r>
    </w:p>
    <w:p w:rsidR="001B57AC" w:rsidRPr="00533EE6" w:rsidRDefault="001B57AC" w:rsidP="0091230A">
      <w:pPr>
        <w:spacing w:after="0" w:line="276" w:lineRule="auto"/>
        <w:jc w:val="both"/>
        <w:rPr>
          <w:sz w:val="16"/>
          <w:szCs w:val="16"/>
        </w:rPr>
      </w:pPr>
      <w:r w:rsidRPr="00533EE6">
        <w:rPr>
          <w:sz w:val="16"/>
          <w:szCs w:val="16"/>
        </w:rPr>
        <w:t xml:space="preserve">Note: the numbers indicate the effect on SDQ difficulties scores if the measure of disadvantage is present. The stars show the level of significance. </w:t>
      </w:r>
    </w:p>
    <w:p w:rsidR="001B57AC" w:rsidRPr="001B57AC" w:rsidRDefault="001B57AC" w:rsidP="0091230A">
      <w:pPr>
        <w:spacing w:after="0" w:line="276" w:lineRule="auto"/>
        <w:jc w:val="both"/>
      </w:pPr>
      <w:r w:rsidRPr="001B57AC">
        <w:t>While all measures except low income have a significant association with social and emotional difficulties scores for children in LSAC, only financial stress and poor primary carer health have a significant association with these scores for children in LSIC. The effect size for these two measures is also greater for LSIC children than it is for LSAC children, meaning the presence of this indicator is associated with a greater average increase in social and emotional difficulties scores for LSIC children. The effect of low income for children in LSAC is likely to have been moderated by the inclusion of other variables such as joblessness, financial stress and SEIFA.</w:t>
      </w:r>
    </w:p>
    <w:p w:rsidR="001B57AC" w:rsidRPr="001B57AC" w:rsidRDefault="001B57AC" w:rsidP="0091230A">
      <w:pPr>
        <w:spacing w:after="0" w:line="276" w:lineRule="auto"/>
        <w:jc w:val="both"/>
      </w:pPr>
      <w:r w:rsidRPr="001B57AC">
        <w:t>These results suggest either that these measures of disadvantage do not have the same effect on social and emotional difficulties scores for non-Indigenous and Indigenous children or that the circumstances commonly used to measure disadvantage do not capture the effect. It may rather be due to experiencing one or more of the events the circumstances may trigger. For example, low income may have a negative impact only if it leads to financial stress.</w:t>
      </w:r>
    </w:p>
    <w:p w:rsidR="001B57AC" w:rsidRPr="008529C4" w:rsidRDefault="0091230A" w:rsidP="00757980">
      <w:pPr>
        <w:pStyle w:val="Heading1"/>
      </w:pPr>
      <w:r w:rsidRPr="008529C4">
        <w:t xml:space="preserve">Major </w:t>
      </w:r>
      <w:r w:rsidRPr="00757980">
        <w:t>Life</w:t>
      </w:r>
      <w:r w:rsidRPr="008529C4">
        <w:t xml:space="preserve"> Events</w:t>
      </w:r>
    </w:p>
    <w:p w:rsidR="001B57AC" w:rsidRPr="001B57AC" w:rsidRDefault="001B57AC" w:rsidP="001B57AC">
      <w:pPr>
        <w:spacing w:before="0" w:after="0" w:line="276" w:lineRule="auto"/>
        <w:jc w:val="both"/>
      </w:pPr>
      <w:r w:rsidRPr="001B57AC">
        <w:t>A major life event is any event in life that can have a substantial impact on a person’s wellbeing (Wilkins and Warren 2012).</w:t>
      </w:r>
      <w:r w:rsidRPr="001B57AC">
        <w:rPr>
          <w:vertAlign w:val="superscript"/>
        </w:rPr>
        <w:endnoteReference w:id="4"/>
      </w:r>
      <w:r w:rsidRPr="001B57AC">
        <w:t xml:space="preserve"> Such events are not necessarily negative, unwelcome or unexpected but are generally accepted to have an impact. They also may be perceived differently by different individuals—even different individuals within the same household. Some major life events are related to the normal human life cycle—births, deaths and marriages—while others are related to environmental stressors such as the loss of a job, leading to possible financial hardship or social isolation. </w:t>
      </w:r>
    </w:p>
    <w:p w:rsidR="001B57AC" w:rsidRPr="001B57AC" w:rsidRDefault="001B57AC" w:rsidP="005B23E8">
      <w:pPr>
        <w:spacing w:after="0" w:line="276" w:lineRule="auto"/>
        <w:jc w:val="both"/>
      </w:pPr>
      <w:proofErr w:type="spellStart"/>
      <w:r w:rsidRPr="001B57AC">
        <w:t>Zubrick</w:t>
      </w:r>
      <w:proofErr w:type="spellEnd"/>
      <w:r w:rsidRPr="001B57AC">
        <w:t xml:space="preserve"> et al (2005)</w:t>
      </w:r>
      <w:r w:rsidRPr="001B57AC">
        <w:rPr>
          <w:vertAlign w:val="superscript"/>
        </w:rPr>
        <w:endnoteReference w:id="5"/>
      </w:r>
      <w:r w:rsidRPr="001B57AC">
        <w:t xml:space="preserve"> found that children in the Western Australian Aboriginal Child Health Survey who had experienced up to two major life events in the previous twelve months had a 15 per cent chance of developing clinically significant social and emotional difficulties. This rose to 25 per cent for children who had experienced three to six major life events and to 42 per cent for children who had experienced seven or more. </w:t>
      </w:r>
    </w:p>
    <w:p w:rsidR="005B23E8" w:rsidRDefault="001B57AC" w:rsidP="005B23E8">
      <w:pPr>
        <w:spacing w:after="0" w:line="276" w:lineRule="auto"/>
        <w:jc w:val="both"/>
      </w:pPr>
      <w:r w:rsidRPr="001B57AC">
        <w:t>The prevalence of major life events is markedly different for the children in the two studies with LSIC children experiencing much higher levels. To compare the impact of major life events on children from the two studies, a group of 12 events asked about in each study was used to assess average rates of experience over the first four waves of each study (Figure 1).</w:t>
      </w:r>
      <w:r w:rsidRPr="001B57AC">
        <w:rPr>
          <w:vertAlign w:val="superscript"/>
        </w:rPr>
        <w:endnoteReference w:id="6"/>
      </w:r>
    </w:p>
    <w:p w:rsidR="005B23E8" w:rsidRDefault="005B23E8">
      <w:pPr>
        <w:spacing w:before="0" w:after="0" w:line="240" w:lineRule="auto"/>
      </w:pPr>
      <w:r>
        <w:br w:type="page"/>
      </w:r>
    </w:p>
    <w:p w:rsidR="001B57AC" w:rsidRPr="00E5456B" w:rsidRDefault="001B57AC" w:rsidP="001B57AC">
      <w:pPr>
        <w:spacing w:before="0" w:after="0" w:line="240" w:lineRule="auto"/>
      </w:pPr>
      <w:r w:rsidRPr="006C44BD">
        <w:rPr>
          <w:b/>
        </w:rPr>
        <w:lastRenderedPageBreak/>
        <w:t xml:space="preserve">Figure 1: </w:t>
      </w:r>
      <w:r w:rsidRPr="006C44BD">
        <w:rPr>
          <w:rFonts w:eastAsiaTheme="majorEastAsia"/>
          <w:b/>
        </w:rPr>
        <w:t>Average prevalence of major life events in LSIC and LSAC, per cent</w:t>
      </w:r>
      <w:r w:rsidRPr="006C44BD">
        <w:rPr>
          <w:b/>
        </w:rPr>
        <w:t xml:space="preserve"> </w:t>
      </w:r>
    </w:p>
    <w:p w:rsidR="001B57AC" w:rsidRDefault="00E30AA0" w:rsidP="00F15786">
      <w:pPr>
        <w:spacing w:before="0" w:after="0" w:line="276" w:lineRule="auto"/>
        <w:jc w:val="both"/>
        <w:rPr>
          <w:color w:val="000000" w:themeColor="text1"/>
        </w:rPr>
      </w:pPr>
      <w:r>
        <w:rPr>
          <w:noProof/>
        </w:rPr>
        <w:drawing>
          <wp:inline distT="0" distB="0" distL="0" distR="0" wp14:anchorId="450895A8" wp14:editId="0FB07CDF">
            <wp:extent cx="5943600" cy="2643505"/>
            <wp:effectExtent l="0" t="0" r="0" b="4445"/>
            <wp:docPr id="1" name="Picture 1" descr="This graph lists the major life events that LSAC and LSIC children may have experienced. The bar graph enables comparison of the precentage of children in each study that have experinced the major life events. A full text description of this graph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43505"/>
                    </a:xfrm>
                    <a:prstGeom prst="rect">
                      <a:avLst/>
                    </a:prstGeom>
                  </pic:spPr>
                </pic:pic>
              </a:graphicData>
            </a:graphic>
          </wp:inline>
        </w:drawing>
      </w:r>
    </w:p>
    <w:p w:rsidR="006807BE" w:rsidRDefault="006807BE" w:rsidP="006807BE">
      <w:pPr>
        <w:spacing w:before="0" w:after="0" w:line="240" w:lineRule="auto"/>
        <w:rPr>
          <w:b/>
        </w:rPr>
      </w:pPr>
    </w:p>
    <w:tbl>
      <w:tblPr>
        <w:tblStyle w:val="MediumShading2-Accent6"/>
        <w:tblW w:w="8080" w:type="dxa"/>
        <w:tblInd w:w="250" w:type="dxa"/>
        <w:tblLayout w:type="fixed"/>
        <w:tblLook w:val="04A0" w:firstRow="1" w:lastRow="0" w:firstColumn="1" w:lastColumn="0" w:noHBand="0" w:noVBand="1"/>
        <w:tblCaption w:val="Prevalence of major life events by wave, percent"/>
        <w:tblDescription w:val="This table compares LSAC and LSIC childrens' high and low percentage scores of prevalence of life events from Wave 1 to 4."/>
      </w:tblPr>
      <w:tblGrid>
        <w:gridCol w:w="4111"/>
        <w:gridCol w:w="1984"/>
        <w:gridCol w:w="1985"/>
      </w:tblGrid>
      <w:tr w:rsidR="00ED67E2" w:rsidRPr="00B16942" w:rsidTr="00757980">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111" w:type="dxa"/>
            <w:noWrap/>
            <w:hideMark/>
          </w:tcPr>
          <w:p w:rsidR="00ED67E2" w:rsidRPr="004436F4" w:rsidRDefault="006807BE" w:rsidP="00832036">
            <w:pPr>
              <w:spacing w:before="0" w:after="0" w:line="360" w:lineRule="auto"/>
              <w:jc w:val="both"/>
              <w:rPr>
                <w:rFonts w:asciiTheme="minorHAnsi" w:eastAsia="Times New Roman" w:hAnsiTheme="minorHAnsi" w:cstheme="minorHAnsi"/>
                <w:sz w:val="18"/>
                <w:szCs w:val="18"/>
                <w:lang w:eastAsia="en-AU"/>
              </w:rPr>
            </w:pPr>
            <w:r w:rsidRPr="006C44BD">
              <w:t xml:space="preserve">Figure 1: </w:t>
            </w:r>
            <w:r w:rsidRPr="006C44BD">
              <w:rPr>
                <w:rFonts w:eastAsiaTheme="majorEastAsia"/>
              </w:rPr>
              <w:t>Average prevalence of major life events in LSIC and LSAC, per cent</w:t>
            </w:r>
            <w:r w:rsidRPr="006C44BD">
              <w:t xml:space="preserve"> </w:t>
            </w:r>
            <w:r w:rsidRPr="00757980">
              <w:rPr>
                <w:rFonts w:eastAsiaTheme="majorEastAsia"/>
              </w:rPr>
              <w:t>Major life events</w:t>
            </w:r>
          </w:p>
        </w:tc>
        <w:tc>
          <w:tcPr>
            <w:tcW w:w="1984" w:type="dxa"/>
            <w:noWrap/>
            <w:hideMark/>
          </w:tcPr>
          <w:p w:rsidR="00ED67E2" w:rsidRPr="004436F4" w:rsidRDefault="00ED67E2" w:rsidP="00ED67E2">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Theme="minorHAnsi" w:eastAsia="Times New Roman" w:hAnsiTheme="minorHAnsi" w:cstheme="minorHAnsi"/>
                <w:sz w:val="18"/>
                <w:szCs w:val="18"/>
                <w:lang w:eastAsia="en-AU"/>
              </w:rPr>
              <w:t>LSI</w:t>
            </w:r>
            <w:r w:rsidRPr="004436F4">
              <w:rPr>
                <w:rFonts w:asciiTheme="minorHAnsi" w:eastAsia="Times New Roman" w:hAnsiTheme="minorHAnsi" w:cstheme="minorHAnsi"/>
                <w:sz w:val="18"/>
                <w:szCs w:val="18"/>
                <w:lang w:eastAsia="en-AU"/>
              </w:rPr>
              <w:t>C</w:t>
            </w:r>
          </w:p>
        </w:tc>
        <w:tc>
          <w:tcPr>
            <w:tcW w:w="1985" w:type="dxa"/>
          </w:tcPr>
          <w:p w:rsidR="00ED67E2" w:rsidRPr="004436F4" w:rsidRDefault="00ED67E2" w:rsidP="00ED67E2">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LSAC</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eastAsia="Times New Roman" w:hAnsiTheme="minorHAnsi" w:cstheme="minorHAnsi"/>
                <w:sz w:val="18"/>
                <w:szCs w:val="18"/>
                <w:lang w:eastAsia="en-AU"/>
              </w:rPr>
            </w:pPr>
            <w:r w:rsidRPr="00757980">
              <w:rPr>
                <w:rFonts w:ascii="Calibri" w:hAnsi="Calibri"/>
                <w:szCs w:val="22"/>
              </w:rPr>
              <w:t>Primary carer separation</w:t>
            </w:r>
          </w:p>
        </w:tc>
        <w:tc>
          <w:tcPr>
            <w:tcW w:w="1984" w:type="dxa"/>
            <w:noWrap/>
            <w:vAlign w:val="bottom"/>
            <w:hideMark/>
          </w:tcPr>
          <w:p w:rsidR="00ED67E2" w:rsidRPr="004436F4" w:rsidRDefault="00ED67E2" w:rsidP="00ED67E2">
            <w:pPr>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7.7</w:t>
            </w:r>
          </w:p>
        </w:tc>
        <w:tc>
          <w:tcPr>
            <w:tcW w:w="1985" w:type="dxa"/>
            <w:noWrap/>
            <w:vAlign w:val="bottom"/>
            <w:hideMark/>
          </w:tcPr>
          <w:p w:rsidR="00ED67E2" w:rsidRPr="004436F4" w:rsidRDefault="00ED67E2" w:rsidP="00ED67E2">
            <w:pPr>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3.5</w:t>
            </w:r>
          </w:p>
        </w:tc>
      </w:tr>
      <w:tr w:rsidR="00ED67E2" w:rsidRPr="00B16942" w:rsidTr="00ED67E2">
        <w:trPr>
          <w:trHeight w:val="310"/>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eastAsia="Times New Roman" w:hAnsiTheme="minorHAnsi" w:cstheme="minorHAnsi"/>
                <w:sz w:val="18"/>
                <w:szCs w:val="18"/>
                <w:lang w:eastAsia="en-AU"/>
              </w:rPr>
            </w:pPr>
            <w:r w:rsidRPr="00757980">
              <w:rPr>
                <w:rFonts w:ascii="Calibri" w:hAnsi="Calibri"/>
                <w:szCs w:val="22"/>
              </w:rPr>
              <w:t>Legal problems</w:t>
            </w:r>
          </w:p>
        </w:tc>
        <w:tc>
          <w:tcPr>
            <w:tcW w:w="1984" w:type="dxa"/>
            <w:noWrap/>
            <w:vAlign w:val="bottom"/>
            <w:hideMark/>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5.4</w:t>
            </w:r>
          </w:p>
        </w:tc>
        <w:tc>
          <w:tcPr>
            <w:tcW w:w="1985" w:type="dxa"/>
            <w:noWrap/>
            <w:vAlign w:val="bottom"/>
            <w:hideMark/>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2.3</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eastAsia="Times New Roman" w:hAnsiTheme="minorHAnsi" w:cstheme="minorHAnsi"/>
                <w:sz w:val="18"/>
                <w:szCs w:val="18"/>
                <w:lang w:eastAsia="en-AU"/>
              </w:rPr>
            </w:pPr>
            <w:r w:rsidRPr="00757980">
              <w:rPr>
                <w:rFonts w:ascii="Calibri" w:hAnsi="Calibri"/>
                <w:szCs w:val="22"/>
              </w:rPr>
              <w:t>Victim of crime</w:t>
            </w:r>
          </w:p>
        </w:tc>
        <w:tc>
          <w:tcPr>
            <w:tcW w:w="1984" w:type="dxa"/>
            <w:noWrap/>
            <w:vAlign w:val="bottom"/>
            <w:hideMark/>
          </w:tcPr>
          <w:p w:rsidR="00ED67E2" w:rsidRPr="004436F4" w:rsidRDefault="00ED67E2" w:rsidP="00ED67E2">
            <w:pPr>
              <w:tabs>
                <w:tab w:val="decimal" w:pos="584"/>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6.3</w:t>
            </w:r>
          </w:p>
        </w:tc>
        <w:tc>
          <w:tcPr>
            <w:tcW w:w="1985" w:type="dxa"/>
            <w:noWrap/>
            <w:vAlign w:val="bottom"/>
            <w:hideMark/>
          </w:tcPr>
          <w:p w:rsidR="00ED67E2" w:rsidRPr="004436F4" w:rsidRDefault="00ED67E2" w:rsidP="00ED67E2">
            <w:pPr>
              <w:tabs>
                <w:tab w:val="decimal" w:pos="176"/>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5.7</w:t>
            </w:r>
          </w:p>
        </w:tc>
      </w:tr>
      <w:tr w:rsidR="00ED67E2" w:rsidRPr="00B16942" w:rsidTr="00ED67E2">
        <w:trPr>
          <w:trHeight w:val="310"/>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eastAsia="Times New Roman" w:hAnsiTheme="minorHAnsi" w:cstheme="minorHAnsi"/>
                <w:sz w:val="18"/>
                <w:szCs w:val="18"/>
                <w:lang w:eastAsia="en-AU"/>
              </w:rPr>
            </w:pPr>
            <w:r w:rsidRPr="00757980">
              <w:rPr>
                <w:rFonts w:ascii="Calibri" w:hAnsi="Calibri"/>
                <w:szCs w:val="22"/>
              </w:rPr>
              <w:t>Household drug or alcohol problem</w:t>
            </w:r>
          </w:p>
        </w:tc>
        <w:tc>
          <w:tcPr>
            <w:tcW w:w="1984" w:type="dxa"/>
            <w:noWrap/>
            <w:vAlign w:val="bottom"/>
            <w:hideMark/>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8</w:t>
            </w:r>
          </w:p>
        </w:tc>
        <w:tc>
          <w:tcPr>
            <w:tcW w:w="1985" w:type="dxa"/>
            <w:noWrap/>
            <w:vAlign w:val="bottom"/>
            <w:hideMark/>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3</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eastAsia="Times New Roman" w:hAnsiTheme="minorHAnsi" w:cstheme="minorHAnsi"/>
                <w:sz w:val="18"/>
                <w:szCs w:val="18"/>
                <w:lang w:eastAsia="en-AU"/>
              </w:rPr>
            </w:pPr>
            <w:r w:rsidRPr="00757980">
              <w:rPr>
                <w:rFonts w:ascii="Calibri" w:hAnsi="Calibri"/>
                <w:szCs w:val="22"/>
              </w:rPr>
              <w:t>Moved house</w:t>
            </w:r>
          </w:p>
        </w:tc>
        <w:tc>
          <w:tcPr>
            <w:tcW w:w="1984" w:type="dxa"/>
            <w:noWrap/>
            <w:vAlign w:val="bottom"/>
            <w:hideMark/>
          </w:tcPr>
          <w:p w:rsidR="00ED67E2" w:rsidRPr="004436F4" w:rsidRDefault="00ED67E2" w:rsidP="00ED67E2">
            <w:pPr>
              <w:tabs>
                <w:tab w:val="decimal" w:pos="584"/>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20.4</w:t>
            </w:r>
          </w:p>
        </w:tc>
        <w:tc>
          <w:tcPr>
            <w:tcW w:w="1985" w:type="dxa"/>
            <w:noWrap/>
            <w:vAlign w:val="bottom"/>
            <w:hideMark/>
          </w:tcPr>
          <w:p w:rsidR="00ED67E2" w:rsidRPr="004436F4" w:rsidRDefault="00ED67E2" w:rsidP="00ED67E2">
            <w:pPr>
              <w:tabs>
                <w:tab w:val="decimal" w:pos="176"/>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Pr>
                <w:rFonts w:ascii="Calibri" w:hAnsi="Calibri"/>
                <w:color w:val="000000"/>
                <w:szCs w:val="22"/>
              </w:rPr>
              <w:t>28.5</w:t>
            </w:r>
          </w:p>
        </w:tc>
      </w:tr>
      <w:tr w:rsidR="00ED67E2" w:rsidRPr="00B16942" w:rsidTr="00ED67E2">
        <w:trPr>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One or more financial stressor</w:t>
            </w:r>
          </w:p>
        </w:tc>
        <w:tc>
          <w:tcPr>
            <w:tcW w:w="1984" w:type="dxa"/>
            <w:noWrap/>
            <w:vAlign w:val="bottom"/>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45.6</w:t>
            </w:r>
          </w:p>
        </w:tc>
        <w:tc>
          <w:tcPr>
            <w:tcW w:w="1985" w:type="dxa"/>
            <w:noWrap/>
            <w:vAlign w:val="bottom"/>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24.6</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Carer of child lost job</w:t>
            </w:r>
          </w:p>
        </w:tc>
        <w:tc>
          <w:tcPr>
            <w:tcW w:w="1984" w:type="dxa"/>
            <w:noWrap/>
            <w:vAlign w:val="bottom"/>
          </w:tcPr>
          <w:p w:rsidR="00ED67E2" w:rsidRPr="004436F4" w:rsidRDefault="00ED67E2" w:rsidP="00ED67E2">
            <w:pPr>
              <w:tabs>
                <w:tab w:val="decimal" w:pos="584"/>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6.7</w:t>
            </w:r>
          </w:p>
        </w:tc>
        <w:tc>
          <w:tcPr>
            <w:tcW w:w="1985" w:type="dxa"/>
            <w:noWrap/>
            <w:vAlign w:val="bottom"/>
          </w:tcPr>
          <w:p w:rsidR="00ED67E2" w:rsidRPr="004436F4" w:rsidRDefault="00ED67E2" w:rsidP="00ED67E2">
            <w:pPr>
              <w:tabs>
                <w:tab w:val="decimal" w:pos="176"/>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6.4</w:t>
            </w:r>
          </w:p>
        </w:tc>
      </w:tr>
      <w:tr w:rsidR="00ED67E2" w:rsidRPr="00B16942" w:rsidTr="00ED67E2">
        <w:trPr>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Death outside household</w:t>
            </w:r>
          </w:p>
        </w:tc>
        <w:tc>
          <w:tcPr>
            <w:tcW w:w="1984" w:type="dxa"/>
            <w:noWrap/>
            <w:vAlign w:val="bottom"/>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49.4</w:t>
            </w:r>
          </w:p>
        </w:tc>
        <w:tc>
          <w:tcPr>
            <w:tcW w:w="1985" w:type="dxa"/>
            <w:noWrap/>
            <w:vAlign w:val="bottom"/>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22.5</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Death in household</w:t>
            </w:r>
          </w:p>
        </w:tc>
        <w:tc>
          <w:tcPr>
            <w:tcW w:w="1984" w:type="dxa"/>
            <w:noWrap/>
            <w:vAlign w:val="bottom"/>
          </w:tcPr>
          <w:p w:rsidR="00ED67E2" w:rsidRPr="004436F4" w:rsidRDefault="00ED67E2" w:rsidP="00ED67E2">
            <w:pPr>
              <w:tabs>
                <w:tab w:val="decimal" w:pos="584"/>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3.8</w:t>
            </w:r>
          </w:p>
        </w:tc>
        <w:tc>
          <w:tcPr>
            <w:tcW w:w="1985" w:type="dxa"/>
            <w:noWrap/>
            <w:vAlign w:val="bottom"/>
          </w:tcPr>
          <w:p w:rsidR="00ED67E2" w:rsidRPr="004436F4" w:rsidRDefault="00ED67E2" w:rsidP="00ED67E2">
            <w:pPr>
              <w:tabs>
                <w:tab w:val="decimal" w:pos="176"/>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3.8</w:t>
            </w:r>
          </w:p>
        </w:tc>
      </w:tr>
      <w:tr w:rsidR="00ED67E2" w:rsidRPr="00B16942" w:rsidTr="00ED67E2">
        <w:trPr>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Other relatives sick or hurt</w:t>
            </w:r>
          </w:p>
        </w:tc>
        <w:tc>
          <w:tcPr>
            <w:tcW w:w="1984" w:type="dxa"/>
            <w:noWrap/>
            <w:vAlign w:val="bottom"/>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29.9</w:t>
            </w:r>
          </w:p>
        </w:tc>
        <w:tc>
          <w:tcPr>
            <w:tcW w:w="1985" w:type="dxa"/>
            <w:noWrap/>
            <w:vAlign w:val="bottom"/>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15</w:t>
            </w:r>
          </w:p>
        </w:tc>
      </w:tr>
      <w:tr w:rsidR="00ED67E2" w:rsidRPr="00B16942" w:rsidTr="00ED67E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Primary carer or partner sick or hurt</w:t>
            </w:r>
          </w:p>
        </w:tc>
        <w:tc>
          <w:tcPr>
            <w:tcW w:w="1984" w:type="dxa"/>
            <w:noWrap/>
            <w:vAlign w:val="bottom"/>
          </w:tcPr>
          <w:p w:rsidR="00ED67E2" w:rsidRPr="004436F4" w:rsidRDefault="00ED67E2" w:rsidP="00ED67E2">
            <w:pPr>
              <w:tabs>
                <w:tab w:val="decimal" w:pos="584"/>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7.5</w:t>
            </w:r>
          </w:p>
        </w:tc>
        <w:tc>
          <w:tcPr>
            <w:tcW w:w="1985" w:type="dxa"/>
            <w:noWrap/>
            <w:vAlign w:val="bottom"/>
          </w:tcPr>
          <w:p w:rsidR="00ED67E2" w:rsidRPr="004436F4" w:rsidRDefault="00ED67E2" w:rsidP="00ED67E2">
            <w:pPr>
              <w:tabs>
                <w:tab w:val="decimal" w:pos="176"/>
              </w:tabs>
              <w:spacing w:before="0"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7.7</w:t>
            </w:r>
          </w:p>
        </w:tc>
      </w:tr>
      <w:tr w:rsidR="00ED67E2" w:rsidRPr="00B16942" w:rsidTr="00ED67E2">
        <w:trPr>
          <w:trHeight w:val="311"/>
        </w:trPr>
        <w:tc>
          <w:tcPr>
            <w:cnfStyle w:val="001000000000" w:firstRow="0" w:lastRow="0" w:firstColumn="1" w:lastColumn="0" w:oddVBand="0" w:evenVBand="0" w:oddHBand="0" w:evenHBand="0" w:firstRowFirstColumn="0" w:firstRowLastColumn="0" w:lastRowFirstColumn="0" w:lastRowLastColumn="0"/>
            <w:tcW w:w="4111" w:type="dxa"/>
            <w:noWrap/>
            <w:vAlign w:val="bottom"/>
          </w:tcPr>
          <w:p w:rsidR="00ED67E2" w:rsidRPr="00757980" w:rsidRDefault="00ED67E2" w:rsidP="00832036">
            <w:pPr>
              <w:spacing w:before="0" w:after="0" w:line="360" w:lineRule="auto"/>
              <w:jc w:val="both"/>
              <w:rPr>
                <w:rFonts w:asciiTheme="minorHAnsi" w:hAnsiTheme="minorHAnsi" w:cstheme="minorHAnsi"/>
                <w:sz w:val="18"/>
                <w:szCs w:val="18"/>
              </w:rPr>
            </w:pPr>
            <w:r w:rsidRPr="00757980">
              <w:rPr>
                <w:rFonts w:ascii="Calibri" w:hAnsi="Calibri"/>
                <w:szCs w:val="22"/>
              </w:rPr>
              <w:t>Pregnancy/new baby</w:t>
            </w:r>
          </w:p>
        </w:tc>
        <w:tc>
          <w:tcPr>
            <w:tcW w:w="1984" w:type="dxa"/>
            <w:noWrap/>
            <w:vAlign w:val="bottom"/>
          </w:tcPr>
          <w:p w:rsidR="00ED67E2" w:rsidRPr="004436F4" w:rsidRDefault="00ED67E2" w:rsidP="00ED67E2">
            <w:pPr>
              <w:tabs>
                <w:tab w:val="decimal" w:pos="584"/>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22.5</w:t>
            </w:r>
          </w:p>
        </w:tc>
        <w:tc>
          <w:tcPr>
            <w:tcW w:w="1985" w:type="dxa"/>
            <w:noWrap/>
            <w:vAlign w:val="bottom"/>
          </w:tcPr>
          <w:p w:rsidR="00ED67E2" w:rsidRPr="004436F4" w:rsidRDefault="00ED67E2" w:rsidP="00ED67E2">
            <w:pPr>
              <w:tabs>
                <w:tab w:val="decimal" w:pos="176"/>
              </w:tabs>
              <w:spacing w:before="0" w:after="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Calibri" w:hAnsi="Calibri"/>
                <w:color w:val="000000"/>
                <w:szCs w:val="22"/>
              </w:rPr>
              <w:t>19</w:t>
            </w:r>
          </w:p>
        </w:tc>
      </w:tr>
    </w:tbl>
    <w:p w:rsidR="00ED67E2" w:rsidRDefault="00ED67E2" w:rsidP="00ED67E2">
      <w:pPr>
        <w:spacing w:after="0" w:line="276" w:lineRule="auto"/>
        <w:jc w:val="both"/>
        <w:rPr>
          <w:color w:val="000000" w:themeColor="text1"/>
        </w:rPr>
      </w:pPr>
    </w:p>
    <w:p w:rsidR="00ED67E2" w:rsidRPr="001B57AC" w:rsidRDefault="00ED67E2" w:rsidP="00ED67E2">
      <w:pPr>
        <w:spacing w:after="0" w:line="276" w:lineRule="auto"/>
        <w:jc w:val="both"/>
        <w:rPr>
          <w:color w:val="000000" w:themeColor="text1"/>
        </w:rPr>
      </w:pPr>
      <w:r w:rsidRPr="001B57AC">
        <w:rPr>
          <w:color w:val="000000" w:themeColor="text1"/>
        </w:rPr>
        <w:t xml:space="preserve">Table 3 shows that children in LSIC are much more likely to have experienced three or more of the 12 events in each of the four waves. </w:t>
      </w:r>
    </w:p>
    <w:p w:rsidR="00ED67E2" w:rsidRPr="001B57AC" w:rsidRDefault="00ED67E2" w:rsidP="00ED67E2">
      <w:pPr>
        <w:spacing w:before="240" w:after="0" w:line="276" w:lineRule="auto"/>
        <w:jc w:val="both"/>
        <w:rPr>
          <w:b/>
          <w:color w:val="000000" w:themeColor="text1"/>
        </w:rPr>
      </w:pPr>
      <w:r w:rsidRPr="001B57AC">
        <w:rPr>
          <w:b/>
          <w:color w:val="000000" w:themeColor="text1"/>
        </w:rPr>
        <w:t>Table 3: Prevalence of major life events by wave, per cent</w:t>
      </w:r>
    </w:p>
    <w:tbl>
      <w:tblPr>
        <w:tblStyle w:val="MediumShading2-Accent6"/>
        <w:tblW w:w="9781" w:type="dxa"/>
        <w:tblLayout w:type="fixed"/>
        <w:tblLook w:val="04A0" w:firstRow="1" w:lastRow="0" w:firstColumn="1" w:lastColumn="0" w:noHBand="0" w:noVBand="1"/>
        <w:tblCaption w:val="Prevalence of major life events by wave, percent"/>
        <w:tblDescription w:val="This table compares LSAC and LSIC childrens' high and low percentage scores of prevalence of life events from Wave 1 to 4."/>
      </w:tblPr>
      <w:tblGrid>
        <w:gridCol w:w="852"/>
        <w:gridCol w:w="2232"/>
        <w:gridCol w:w="2232"/>
        <w:gridCol w:w="2232"/>
        <w:gridCol w:w="2233"/>
      </w:tblGrid>
      <w:tr w:rsidR="00ED67E2" w:rsidRPr="00B16942" w:rsidTr="00757980">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p>
        </w:tc>
        <w:tc>
          <w:tcPr>
            <w:tcW w:w="2232" w:type="dxa"/>
            <w:noWrap/>
            <w:hideMark/>
          </w:tcPr>
          <w:p w:rsidR="00ED67E2" w:rsidRPr="004436F4" w:rsidRDefault="00ED67E2" w:rsidP="00832036">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436F4">
              <w:rPr>
                <w:rFonts w:asciiTheme="minorHAnsi" w:eastAsia="Times New Roman" w:hAnsiTheme="minorHAnsi" w:cstheme="minorHAnsi"/>
                <w:sz w:val="18"/>
                <w:szCs w:val="18"/>
                <w:lang w:eastAsia="en-AU"/>
              </w:rPr>
              <w:t>LSAC</w:t>
            </w:r>
          </w:p>
        </w:tc>
        <w:tc>
          <w:tcPr>
            <w:tcW w:w="2232" w:type="dxa"/>
          </w:tcPr>
          <w:p w:rsidR="00ED67E2" w:rsidRPr="004436F4" w:rsidRDefault="00ED67E2" w:rsidP="00832036">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LSAC</w:t>
            </w:r>
          </w:p>
        </w:tc>
        <w:tc>
          <w:tcPr>
            <w:tcW w:w="2232" w:type="dxa"/>
            <w:noWrap/>
            <w:hideMark/>
          </w:tcPr>
          <w:p w:rsidR="00ED67E2" w:rsidRPr="004436F4" w:rsidRDefault="00ED67E2" w:rsidP="00832036">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436F4">
              <w:rPr>
                <w:rFonts w:asciiTheme="minorHAnsi" w:eastAsia="Times New Roman" w:hAnsiTheme="minorHAnsi" w:cstheme="minorHAnsi"/>
                <w:sz w:val="18"/>
                <w:szCs w:val="18"/>
                <w:lang w:eastAsia="en-AU"/>
              </w:rPr>
              <w:t>LSIC</w:t>
            </w:r>
          </w:p>
        </w:tc>
        <w:tc>
          <w:tcPr>
            <w:tcW w:w="2233" w:type="dxa"/>
          </w:tcPr>
          <w:p w:rsidR="00ED67E2" w:rsidRPr="004436F4" w:rsidRDefault="00ED67E2" w:rsidP="00832036">
            <w:pPr>
              <w:spacing w:before="0" w:after="0" w:line="36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LSIC</w:t>
            </w:r>
          </w:p>
        </w:tc>
      </w:tr>
      <w:tr w:rsidR="00ED67E2" w:rsidRPr="00B16942" w:rsidTr="0083203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Wave</w:t>
            </w:r>
          </w:p>
        </w:tc>
        <w:tc>
          <w:tcPr>
            <w:tcW w:w="2232"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Low (0/2)</w:t>
            </w:r>
          </w:p>
        </w:tc>
        <w:tc>
          <w:tcPr>
            <w:tcW w:w="2232"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High (3+)</w:t>
            </w:r>
          </w:p>
        </w:tc>
        <w:tc>
          <w:tcPr>
            <w:tcW w:w="2232"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Low (0/2)</w:t>
            </w:r>
          </w:p>
        </w:tc>
        <w:tc>
          <w:tcPr>
            <w:tcW w:w="2233"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High (3+)</w:t>
            </w:r>
          </w:p>
        </w:tc>
      </w:tr>
      <w:tr w:rsidR="00ED67E2" w:rsidRPr="00B16942" w:rsidTr="00832036">
        <w:trPr>
          <w:trHeight w:val="310"/>
        </w:trPr>
        <w:tc>
          <w:tcPr>
            <w:cnfStyle w:val="001000000000" w:firstRow="0" w:lastRow="0" w:firstColumn="1" w:lastColumn="0" w:oddVBand="0" w:evenVBand="0" w:oddHBand="0" w:evenHBand="0" w:firstRowFirstColumn="0"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1</w:t>
            </w:r>
          </w:p>
        </w:tc>
        <w:tc>
          <w:tcPr>
            <w:tcW w:w="2232" w:type="dxa"/>
            <w:noWrap/>
            <w:hideMark/>
          </w:tcPr>
          <w:p w:rsidR="00ED67E2" w:rsidRPr="004436F4" w:rsidRDefault="00ED67E2" w:rsidP="00832036">
            <w:pPr>
              <w:tabs>
                <w:tab w:val="decimal" w:pos="584"/>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92.8</w:t>
            </w:r>
          </w:p>
        </w:tc>
        <w:tc>
          <w:tcPr>
            <w:tcW w:w="2232" w:type="dxa"/>
            <w:noWrap/>
            <w:hideMark/>
          </w:tcPr>
          <w:p w:rsidR="00ED67E2" w:rsidRPr="004436F4" w:rsidRDefault="00ED67E2" w:rsidP="00832036">
            <w:pPr>
              <w:tabs>
                <w:tab w:val="decimal" w:pos="176"/>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7.2</w:t>
            </w:r>
          </w:p>
        </w:tc>
        <w:tc>
          <w:tcPr>
            <w:tcW w:w="2232" w:type="dxa"/>
            <w:noWrap/>
            <w:hideMark/>
          </w:tcPr>
          <w:p w:rsidR="00ED67E2" w:rsidRPr="004436F4" w:rsidRDefault="00ED67E2" w:rsidP="00832036">
            <w:pPr>
              <w:tabs>
                <w:tab w:val="decimal" w:pos="584"/>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73.8</w:t>
            </w:r>
          </w:p>
        </w:tc>
        <w:tc>
          <w:tcPr>
            <w:tcW w:w="2233" w:type="dxa"/>
            <w:noWrap/>
            <w:hideMark/>
          </w:tcPr>
          <w:p w:rsidR="00ED67E2" w:rsidRPr="004436F4" w:rsidRDefault="00ED67E2" w:rsidP="0083203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26.2</w:t>
            </w:r>
          </w:p>
        </w:tc>
      </w:tr>
      <w:tr w:rsidR="00ED67E2" w:rsidRPr="00B16942" w:rsidTr="0083203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2</w:t>
            </w:r>
          </w:p>
        </w:tc>
        <w:tc>
          <w:tcPr>
            <w:tcW w:w="2232" w:type="dxa"/>
            <w:noWrap/>
            <w:hideMark/>
          </w:tcPr>
          <w:p w:rsidR="00ED67E2" w:rsidRPr="004436F4" w:rsidRDefault="00ED67E2" w:rsidP="00832036">
            <w:pPr>
              <w:tabs>
                <w:tab w:val="decimal" w:pos="584"/>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90.7</w:t>
            </w:r>
          </w:p>
        </w:tc>
        <w:tc>
          <w:tcPr>
            <w:tcW w:w="2232" w:type="dxa"/>
            <w:noWrap/>
            <w:hideMark/>
          </w:tcPr>
          <w:p w:rsidR="00ED67E2" w:rsidRPr="004436F4" w:rsidRDefault="00ED67E2" w:rsidP="00832036">
            <w:pPr>
              <w:tabs>
                <w:tab w:val="decimal" w:pos="176"/>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9.3</w:t>
            </w:r>
          </w:p>
        </w:tc>
        <w:tc>
          <w:tcPr>
            <w:tcW w:w="2232" w:type="dxa"/>
            <w:noWrap/>
            <w:hideMark/>
          </w:tcPr>
          <w:p w:rsidR="00ED67E2" w:rsidRPr="004436F4" w:rsidRDefault="00ED67E2" w:rsidP="00832036">
            <w:pPr>
              <w:tabs>
                <w:tab w:val="decimal" w:pos="584"/>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74.2</w:t>
            </w:r>
          </w:p>
        </w:tc>
        <w:tc>
          <w:tcPr>
            <w:tcW w:w="2233"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25.8</w:t>
            </w:r>
          </w:p>
        </w:tc>
      </w:tr>
      <w:tr w:rsidR="00ED67E2" w:rsidRPr="00B16942" w:rsidTr="00832036">
        <w:trPr>
          <w:trHeight w:val="310"/>
        </w:trPr>
        <w:tc>
          <w:tcPr>
            <w:cnfStyle w:val="001000000000" w:firstRow="0" w:lastRow="0" w:firstColumn="1" w:lastColumn="0" w:oddVBand="0" w:evenVBand="0" w:oddHBand="0" w:evenHBand="0" w:firstRowFirstColumn="0"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3</w:t>
            </w:r>
          </w:p>
        </w:tc>
        <w:tc>
          <w:tcPr>
            <w:tcW w:w="2232" w:type="dxa"/>
            <w:noWrap/>
            <w:hideMark/>
          </w:tcPr>
          <w:p w:rsidR="00ED67E2" w:rsidRPr="004436F4" w:rsidRDefault="00ED67E2" w:rsidP="00832036">
            <w:pPr>
              <w:tabs>
                <w:tab w:val="decimal" w:pos="584"/>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93.5</w:t>
            </w:r>
          </w:p>
        </w:tc>
        <w:tc>
          <w:tcPr>
            <w:tcW w:w="2232" w:type="dxa"/>
            <w:noWrap/>
            <w:hideMark/>
          </w:tcPr>
          <w:p w:rsidR="00ED67E2" w:rsidRPr="004436F4" w:rsidRDefault="00ED67E2" w:rsidP="00832036">
            <w:pPr>
              <w:tabs>
                <w:tab w:val="decimal" w:pos="176"/>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6.5</w:t>
            </w:r>
          </w:p>
        </w:tc>
        <w:tc>
          <w:tcPr>
            <w:tcW w:w="2232" w:type="dxa"/>
            <w:noWrap/>
            <w:hideMark/>
          </w:tcPr>
          <w:p w:rsidR="00ED67E2" w:rsidRPr="004436F4" w:rsidRDefault="00ED67E2" w:rsidP="00832036">
            <w:pPr>
              <w:tabs>
                <w:tab w:val="decimal" w:pos="584"/>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70.8</w:t>
            </w:r>
          </w:p>
        </w:tc>
        <w:tc>
          <w:tcPr>
            <w:tcW w:w="2233" w:type="dxa"/>
            <w:noWrap/>
            <w:hideMark/>
          </w:tcPr>
          <w:p w:rsidR="00ED67E2" w:rsidRPr="004436F4" w:rsidRDefault="00ED67E2" w:rsidP="00832036">
            <w:pPr>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29.2</w:t>
            </w:r>
          </w:p>
        </w:tc>
      </w:tr>
      <w:tr w:rsidR="00ED67E2" w:rsidRPr="00B16942" w:rsidTr="0083203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52" w:type="dxa"/>
            <w:noWrap/>
            <w:hideMark/>
          </w:tcPr>
          <w:p w:rsidR="00ED67E2" w:rsidRPr="004436F4" w:rsidRDefault="00ED67E2" w:rsidP="00832036">
            <w:pPr>
              <w:spacing w:before="0" w:after="0" w:line="360" w:lineRule="auto"/>
              <w:jc w:val="both"/>
              <w:rPr>
                <w:rFonts w:asciiTheme="minorHAnsi" w:eastAsia="Times New Roman" w:hAnsiTheme="minorHAnsi" w:cstheme="minorHAnsi"/>
                <w:sz w:val="18"/>
                <w:szCs w:val="18"/>
                <w:lang w:eastAsia="en-AU"/>
              </w:rPr>
            </w:pPr>
            <w:r w:rsidRPr="004436F4">
              <w:rPr>
                <w:rFonts w:asciiTheme="minorHAnsi" w:eastAsia="Times New Roman" w:hAnsiTheme="minorHAnsi" w:cstheme="minorHAnsi"/>
                <w:sz w:val="18"/>
                <w:szCs w:val="18"/>
                <w:lang w:eastAsia="en-AU"/>
              </w:rPr>
              <w:t>4</w:t>
            </w:r>
          </w:p>
        </w:tc>
        <w:tc>
          <w:tcPr>
            <w:tcW w:w="2232" w:type="dxa"/>
            <w:noWrap/>
            <w:hideMark/>
          </w:tcPr>
          <w:p w:rsidR="00ED67E2" w:rsidRPr="004436F4" w:rsidRDefault="00ED67E2" w:rsidP="00832036">
            <w:pPr>
              <w:tabs>
                <w:tab w:val="decimal" w:pos="584"/>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86.8</w:t>
            </w:r>
          </w:p>
        </w:tc>
        <w:tc>
          <w:tcPr>
            <w:tcW w:w="2232" w:type="dxa"/>
            <w:noWrap/>
            <w:hideMark/>
          </w:tcPr>
          <w:p w:rsidR="00ED67E2" w:rsidRPr="004436F4" w:rsidRDefault="00ED67E2" w:rsidP="00832036">
            <w:pPr>
              <w:tabs>
                <w:tab w:val="decimal" w:pos="176"/>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13.2</w:t>
            </w:r>
          </w:p>
        </w:tc>
        <w:tc>
          <w:tcPr>
            <w:tcW w:w="2232" w:type="dxa"/>
            <w:noWrap/>
            <w:hideMark/>
          </w:tcPr>
          <w:p w:rsidR="00ED67E2" w:rsidRPr="004436F4" w:rsidRDefault="00ED67E2" w:rsidP="00832036">
            <w:pPr>
              <w:tabs>
                <w:tab w:val="decimal" w:pos="584"/>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70.4</w:t>
            </w:r>
          </w:p>
        </w:tc>
        <w:tc>
          <w:tcPr>
            <w:tcW w:w="2233" w:type="dxa"/>
            <w:noWrap/>
            <w:hideMark/>
          </w:tcPr>
          <w:p w:rsidR="00ED67E2" w:rsidRPr="004436F4" w:rsidRDefault="00ED67E2" w:rsidP="00832036">
            <w:pPr>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n-AU"/>
              </w:rPr>
            </w:pPr>
            <w:r w:rsidRPr="004436F4">
              <w:rPr>
                <w:rFonts w:asciiTheme="minorHAnsi" w:eastAsia="Times New Roman" w:hAnsiTheme="minorHAnsi" w:cstheme="minorHAnsi"/>
                <w:color w:val="000000"/>
                <w:sz w:val="18"/>
                <w:szCs w:val="18"/>
                <w:lang w:eastAsia="en-AU"/>
              </w:rPr>
              <w:t>29.6</w:t>
            </w:r>
          </w:p>
        </w:tc>
      </w:tr>
    </w:tbl>
    <w:p w:rsidR="00BC15D1" w:rsidRDefault="00BC15D1" w:rsidP="00BC15D1">
      <w:pPr>
        <w:spacing w:after="0" w:line="276" w:lineRule="auto"/>
        <w:jc w:val="both"/>
      </w:pPr>
      <w:r>
        <w:lastRenderedPageBreak/>
        <w:t xml:space="preserve">Longitudinal data can be used to examine the experience of major life events over time. As well as experiencing more major life events in each year, higher proportions of children in </w:t>
      </w:r>
      <w:r w:rsidRPr="006C5EC1">
        <w:t xml:space="preserve">LSIC </w:t>
      </w:r>
      <w:r>
        <w:t>are experiencing high numbers of events on an ongoing basis. Nearly three quarters</w:t>
      </w:r>
      <w:r w:rsidRPr="00A53BE6">
        <w:t xml:space="preserve"> of the LSAC children experienced </w:t>
      </w:r>
      <w:r>
        <w:t xml:space="preserve">no </w:t>
      </w:r>
      <w:r w:rsidRPr="00A53BE6">
        <w:t>more than two events in any of the four years and only 0.</w:t>
      </w:r>
      <w:r>
        <w:t>3 per cent</w:t>
      </w:r>
      <w:r w:rsidRPr="00A53BE6">
        <w:t xml:space="preserve"> experienced </w:t>
      </w:r>
      <w:r>
        <w:t>three</w:t>
      </w:r>
      <w:r w:rsidRPr="00A53BE6">
        <w:t xml:space="preserve"> or more events in each year. In contrast</w:t>
      </w:r>
      <w:r>
        <w:t>,</w:t>
      </w:r>
      <w:r w:rsidRPr="00A53BE6">
        <w:t xml:space="preserve"> just over a </w:t>
      </w:r>
      <w:r>
        <w:t>third</w:t>
      </w:r>
      <w:r w:rsidRPr="00A53BE6">
        <w:t xml:space="preserve"> of </w:t>
      </w:r>
      <w:r>
        <w:t xml:space="preserve">the LSIC </w:t>
      </w:r>
      <w:r w:rsidRPr="00A53BE6">
        <w:t xml:space="preserve">children </w:t>
      </w:r>
      <w:r>
        <w:t>experienced no more than two events</w:t>
      </w:r>
      <w:r w:rsidRPr="00A53BE6">
        <w:t xml:space="preserve"> in each year and </w:t>
      </w:r>
      <w:r>
        <w:t>2.3 per cent</w:t>
      </w:r>
      <w:r w:rsidRPr="00A53BE6">
        <w:t xml:space="preserve"> experienced </w:t>
      </w:r>
      <w:r>
        <w:t>three</w:t>
      </w:r>
      <w:r w:rsidRPr="00A53BE6">
        <w:t xml:space="preserve"> or more </w:t>
      </w:r>
      <w:r>
        <w:t xml:space="preserve">events </w:t>
      </w:r>
      <w:r w:rsidRPr="00A53BE6">
        <w:t xml:space="preserve">in each year. </w:t>
      </w:r>
    </w:p>
    <w:p w:rsidR="00BC15D1" w:rsidRDefault="00BC15D1" w:rsidP="00BC15D1">
      <w:pPr>
        <w:spacing w:after="0" w:line="276" w:lineRule="auto"/>
        <w:jc w:val="both"/>
      </w:pPr>
      <w:r>
        <w:t>A bivariate regression model using social and emotional difficulties scores and the number of waves which children experience three or more events show that:</w:t>
      </w:r>
    </w:p>
    <w:p w:rsidR="00BC15D1" w:rsidRDefault="00BC15D1" w:rsidP="00BC15D1">
      <w:pPr>
        <w:pStyle w:val="ListParagraph"/>
        <w:numPr>
          <w:ilvl w:val="0"/>
          <w:numId w:val="61"/>
        </w:numPr>
        <w:spacing w:before="240"/>
        <w:jc w:val="both"/>
        <w:rPr>
          <w:sz w:val="20"/>
          <w:szCs w:val="20"/>
        </w:rPr>
      </w:pPr>
      <w:r w:rsidRPr="00453A80">
        <w:rPr>
          <w:sz w:val="20"/>
          <w:szCs w:val="20"/>
        </w:rPr>
        <w:t xml:space="preserve">LSAC children who experienced three or more events in one wave had average </w:t>
      </w:r>
      <w:r>
        <w:rPr>
          <w:sz w:val="20"/>
          <w:szCs w:val="20"/>
        </w:rPr>
        <w:t xml:space="preserve">social and emotional </w:t>
      </w:r>
      <w:r w:rsidRPr="00453A80">
        <w:rPr>
          <w:sz w:val="20"/>
          <w:szCs w:val="20"/>
        </w:rPr>
        <w:t xml:space="preserve">difficulties scores 1.2 points higher and those who experienced it in two or more waves had average scores 2.6 points higher than those who had experienced fewer than three major life events in all waves. </w:t>
      </w:r>
    </w:p>
    <w:p w:rsidR="00BC15D1" w:rsidRPr="001C731C" w:rsidRDefault="00BC15D1" w:rsidP="00BC15D1">
      <w:pPr>
        <w:pStyle w:val="ListParagraph"/>
        <w:numPr>
          <w:ilvl w:val="0"/>
          <w:numId w:val="61"/>
        </w:numPr>
        <w:spacing w:after="0"/>
        <w:jc w:val="both"/>
        <w:rPr>
          <w:sz w:val="20"/>
          <w:szCs w:val="20"/>
        </w:rPr>
      </w:pPr>
      <w:r w:rsidRPr="002E3D0E">
        <w:rPr>
          <w:sz w:val="20"/>
          <w:szCs w:val="20"/>
        </w:rPr>
        <w:t>LSIC children who experienced three or more major life events in any number of waves (i.e. one or more) had average social and emotional difficulties scores 2.1 points higher than if they had never experienced it.</w:t>
      </w:r>
    </w:p>
    <w:p w:rsidR="00BC15D1" w:rsidRDefault="00BC15D1" w:rsidP="00BC15D1">
      <w:pPr>
        <w:spacing w:before="0" w:after="0" w:line="240" w:lineRule="auto"/>
        <w:jc w:val="both"/>
      </w:pPr>
    </w:p>
    <w:p w:rsidR="00BC15D1" w:rsidRDefault="00BC15D1" w:rsidP="00BC15D1">
      <w:pPr>
        <w:spacing w:before="240" w:after="0" w:line="276" w:lineRule="auto"/>
        <w:jc w:val="both"/>
        <w:rPr>
          <w:color w:val="000000" w:themeColor="text1"/>
        </w:rPr>
      </w:pPr>
      <w:r>
        <w:t>Figure 2 shows the average number of events experienced across the four waves by the likelihood of developing social and emotional difficulties as reflected by the total difficulties risk categories.</w:t>
      </w:r>
      <w:r>
        <w:rPr>
          <w:rStyle w:val="FootnoteReference"/>
        </w:rPr>
        <w:footnoteReference w:id="1"/>
      </w:r>
      <w:r>
        <w:t xml:space="preserve"> In all three risk categories, the average number of events experienced by </w:t>
      </w:r>
      <w:r w:rsidRPr="00681FE0">
        <w:t>LSIC</w:t>
      </w:r>
      <w:r>
        <w:t xml:space="preserve"> children is higher than for LSAC children.</w:t>
      </w:r>
    </w:p>
    <w:p w:rsidR="00BC15D1" w:rsidRDefault="00BC15D1" w:rsidP="00BC15D1">
      <w:pPr>
        <w:spacing w:before="0" w:after="0" w:line="276" w:lineRule="auto"/>
        <w:jc w:val="both"/>
      </w:pPr>
    </w:p>
    <w:p w:rsidR="00BC15D1" w:rsidRDefault="00BC15D1" w:rsidP="00BC15D1">
      <w:pPr>
        <w:spacing w:before="0" w:after="0" w:line="276" w:lineRule="auto"/>
        <w:jc w:val="both"/>
      </w:pPr>
      <w:r>
        <w:t>However, regardless of the starting point, an increase in major life events is associated with increases in average social and emotional difficulties score</w:t>
      </w:r>
      <w:r w:rsidR="00F645A3">
        <w:t>s for children in both studies.</w:t>
      </w:r>
    </w:p>
    <w:p w:rsidR="00BC15D1" w:rsidRDefault="00BC15D1" w:rsidP="00BC15D1">
      <w:pPr>
        <w:spacing w:before="0" w:after="0" w:line="276" w:lineRule="auto"/>
        <w:jc w:val="both"/>
      </w:pPr>
    </w:p>
    <w:p w:rsidR="00BC15D1" w:rsidRDefault="00BC15D1" w:rsidP="00BC15D1">
      <w:pPr>
        <w:spacing w:before="0" w:after="0" w:line="276" w:lineRule="auto"/>
        <w:jc w:val="both"/>
      </w:pPr>
      <w:r>
        <w:t xml:space="preserve">When events experienced were converted into a proportion of events that could have been experienced, the results showed that a 1 per cent increase in experience of major life events over the four waves was associated with a 0.169 point (p&lt;0.01) and 0.167 point (p&lt;0.01) increase in social and emotional difficulties scores for children in LSAC and LSIC respectively, suggesting an increase in major life events is associated with similar magnitude of increase in problems for both groups. </w:t>
      </w:r>
    </w:p>
    <w:p w:rsidR="00BC15D1" w:rsidRPr="006C44BD" w:rsidRDefault="00BC15D1" w:rsidP="00BC15D1">
      <w:pPr>
        <w:spacing w:after="0"/>
        <w:jc w:val="both"/>
        <w:rPr>
          <w:b/>
        </w:rPr>
      </w:pPr>
      <w:r w:rsidRPr="006C44BD">
        <w:rPr>
          <w:b/>
        </w:rPr>
        <w:t>Figure 2: Average number of major life events over four years by SDQ risk categories</w:t>
      </w:r>
    </w:p>
    <w:p w:rsidR="00BC15D1" w:rsidRDefault="00F645A3" w:rsidP="00BC15D1">
      <w:pPr>
        <w:spacing w:before="0" w:after="0" w:line="276" w:lineRule="auto"/>
        <w:jc w:val="both"/>
        <w:rPr>
          <w:sz w:val="16"/>
          <w:szCs w:val="16"/>
        </w:rPr>
      </w:pPr>
      <w:r>
        <w:rPr>
          <w:noProof/>
        </w:rPr>
        <w:drawing>
          <wp:inline distT="0" distB="0" distL="0" distR="0" wp14:anchorId="29C040C7" wp14:editId="5729FD65">
            <wp:extent cx="5943600" cy="2279015"/>
            <wp:effectExtent l="0" t="0" r="0" b="6985"/>
            <wp:docPr id="2" name="Picture 2" descr="This table compares LSAC and LSIC childrens' average number of life events (vertical axis) against the SDQ Risk Category (horizontal axis). The SDQ Risk Category is divided into three categories of Normal, Raised and High. A ful text description of this image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79015"/>
                    </a:xfrm>
                    <a:prstGeom prst="rect">
                      <a:avLst/>
                    </a:prstGeom>
                  </pic:spPr>
                </pic:pic>
              </a:graphicData>
            </a:graphic>
          </wp:inline>
        </w:drawing>
      </w:r>
    </w:p>
    <w:p w:rsidR="00BC15D1" w:rsidRPr="002F384D" w:rsidRDefault="00BC15D1" w:rsidP="00BC15D1">
      <w:pPr>
        <w:spacing w:before="0" w:after="0" w:line="276" w:lineRule="auto"/>
        <w:jc w:val="both"/>
        <w:rPr>
          <w:color w:val="000000" w:themeColor="text1"/>
          <w:sz w:val="18"/>
          <w:szCs w:val="18"/>
        </w:rPr>
      </w:pPr>
      <w:r w:rsidRPr="002F384D">
        <w:rPr>
          <w:sz w:val="18"/>
          <w:szCs w:val="18"/>
        </w:rPr>
        <w:t>Note: For LSAC, all three risk categories are statistically different. There is no statistical difference in LSIC between the raised and high risk categories but those two combined are statistically different from the normal category (p=0.000).</w:t>
      </w:r>
    </w:p>
    <w:p w:rsidR="00D60406" w:rsidRDefault="00D60406">
      <w:pPr>
        <w:spacing w:before="0" w:after="0" w:line="240" w:lineRule="auto"/>
        <w:rPr>
          <w:b/>
        </w:rPr>
      </w:pPr>
      <w:r>
        <w:rPr>
          <w:b/>
        </w:rPr>
        <w:br w:type="page"/>
      </w:r>
    </w:p>
    <w:p w:rsidR="00BC15D1" w:rsidRPr="006C44BD" w:rsidRDefault="00BC15D1" w:rsidP="00BC15D1">
      <w:pPr>
        <w:spacing w:after="0"/>
        <w:jc w:val="both"/>
        <w:rPr>
          <w:b/>
        </w:rPr>
      </w:pPr>
      <w:r w:rsidRPr="006C44BD">
        <w:rPr>
          <w:b/>
        </w:rPr>
        <w:t>Figure 2: Average number of major life events over four years by SDQ risk categories</w:t>
      </w:r>
    </w:p>
    <w:tbl>
      <w:tblPr>
        <w:tblStyle w:val="MediumShading2-Accent6"/>
        <w:tblW w:w="8647" w:type="dxa"/>
        <w:tblInd w:w="250" w:type="dxa"/>
        <w:tblLayout w:type="fixed"/>
        <w:tblLook w:val="04A0" w:firstRow="1" w:lastRow="0" w:firstColumn="1" w:lastColumn="0" w:noHBand="0" w:noVBand="1"/>
        <w:tblDescription w:val="Figure 2: Average number of major life events over four years by SDQ risk categories"/>
      </w:tblPr>
      <w:tblGrid>
        <w:gridCol w:w="4111"/>
        <w:gridCol w:w="2268"/>
        <w:gridCol w:w="2268"/>
      </w:tblGrid>
      <w:tr w:rsidR="00F645A3" w:rsidRPr="00F645A3" w:rsidTr="00F645A3">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111" w:type="dxa"/>
            <w:noWrap/>
            <w:hideMark/>
          </w:tcPr>
          <w:p w:rsidR="00BC15D1" w:rsidRPr="00F645A3" w:rsidRDefault="00F645A3" w:rsidP="006807BE">
            <w:pPr>
              <w:spacing w:before="0" w:after="0" w:line="360" w:lineRule="auto"/>
              <w:jc w:val="both"/>
              <w:rPr>
                <w:rFonts w:asciiTheme="minorHAnsi" w:eastAsia="Times New Roman" w:hAnsiTheme="minorHAnsi" w:cstheme="minorHAnsi"/>
                <w:sz w:val="18"/>
                <w:szCs w:val="18"/>
                <w:lang w:eastAsia="en-AU"/>
              </w:rPr>
            </w:pPr>
            <w:r>
              <w:lastRenderedPageBreak/>
              <w:t xml:space="preserve">SDQ </w:t>
            </w:r>
            <w:r w:rsidR="006807BE" w:rsidRPr="00F645A3">
              <w:t xml:space="preserve">risk categories </w:t>
            </w:r>
          </w:p>
        </w:tc>
        <w:tc>
          <w:tcPr>
            <w:tcW w:w="2268" w:type="dxa"/>
            <w:noWrap/>
            <w:hideMark/>
          </w:tcPr>
          <w:p w:rsidR="00F645A3" w:rsidRPr="00F645A3" w:rsidRDefault="00BC15D1" w:rsidP="00F645A3">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n-AU"/>
              </w:rPr>
            </w:pPr>
            <w:r w:rsidRPr="00F645A3">
              <w:rPr>
                <w:rFonts w:asciiTheme="minorHAnsi" w:eastAsia="Times New Roman" w:hAnsiTheme="minorHAnsi" w:cstheme="minorHAnsi"/>
                <w:sz w:val="18"/>
                <w:szCs w:val="18"/>
                <w:lang w:eastAsia="en-AU"/>
              </w:rPr>
              <w:t>LSAC</w:t>
            </w:r>
            <w:r w:rsidR="00F645A3">
              <w:rPr>
                <w:rFonts w:asciiTheme="minorHAnsi" w:eastAsia="Times New Roman" w:hAnsiTheme="minorHAnsi" w:cstheme="minorHAnsi"/>
                <w:sz w:val="18"/>
                <w:szCs w:val="18"/>
                <w:lang w:eastAsia="en-AU"/>
              </w:rPr>
              <w:t xml:space="preserve"> - Average number of life events</w:t>
            </w:r>
          </w:p>
        </w:tc>
        <w:tc>
          <w:tcPr>
            <w:tcW w:w="2268" w:type="dxa"/>
          </w:tcPr>
          <w:p w:rsidR="00BC15D1" w:rsidRPr="00F645A3" w:rsidRDefault="00BC15D1" w:rsidP="00832036">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n-AU"/>
              </w:rPr>
            </w:pPr>
            <w:r w:rsidRPr="00F645A3">
              <w:rPr>
                <w:rFonts w:asciiTheme="minorHAnsi" w:eastAsia="Times New Roman" w:hAnsiTheme="minorHAnsi" w:cstheme="minorHAnsi"/>
                <w:sz w:val="18"/>
                <w:szCs w:val="18"/>
                <w:lang w:eastAsia="en-AU"/>
              </w:rPr>
              <w:t>LSIC</w:t>
            </w:r>
            <w:r w:rsidR="00F645A3">
              <w:rPr>
                <w:rFonts w:asciiTheme="minorHAnsi" w:eastAsia="Times New Roman" w:hAnsiTheme="minorHAnsi" w:cstheme="minorHAnsi"/>
                <w:sz w:val="18"/>
                <w:szCs w:val="18"/>
                <w:lang w:eastAsia="en-AU"/>
              </w:rPr>
              <w:t xml:space="preserve"> - Average number of life events</w:t>
            </w:r>
          </w:p>
        </w:tc>
      </w:tr>
      <w:tr w:rsidR="00BC15D1" w:rsidRPr="004436F4" w:rsidTr="00F645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noWrap/>
            <w:vAlign w:val="bottom"/>
          </w:tcPr>
          <w:p w:rsidR="00BC15D1" w:rsidRDefault="00BC15D1">
            <w:pPr>
              <w:rPr>
                <w:rFonts w:ascii="Calibri" w:hAnsi="Calibri"/>
                <w:color w:val="000000"/>
                <w:szCs w:val="22"/>
              </w:rPr>
            </w:pPr>
            <w:r>
              <w:rPr>
                <w:rFonts w:ascii="Calibri" w:hAnsi="Calibri"/>
                <w:color w:val="000000"/>
                <w:szCs w:val="22"/>
              </w:rPr>
              <w:t>Normal</w:t>
            </w:r>
          </w:p>
        </w:tc>
        <w:tc>
          <w:tcPr>
            <w:tcW w:w="2268" w:type="dxa"/>
            <w:shd w:val="clear" w:color="auto" w:fill="auto"/>
            <w:noWrap/>
            <w:vAlign w:val="bottom"/>
            <w:hideMark/>
          </w:tcPr>
          <w:p w:rsidR="00BC15D1" w:rsidRDefault="00BC15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3.8</w:t>
            </w:r>
          </w:p>
        </w:tc>
        <w:tc>
          <w:tcPr>
            <w:tcW w:w="2268" w:type="dxa"/>
            <w:shd w:val="clear" w:color="auto" w:fill="auto"/>
            <w:noWrap/>
            <w:vAlign w:val="bottom"/>
            <w:hideMark/>
          </w:tcPr>
          <w:p w:rsidR="00BC15D1" w:rsidRDefault="00BC15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8.8</w:t>
            </w:r>
          </w:p>
        </w:tc>
      </w:tr>
      <w:tr w:rsidR="00BC15D1" w:rsidRPr="004436F4" w:rsidTr="00F645A3">
        <w:trPr>
          <w:trHeight w:val="31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noWrap/>
            <w:vAlign w:val="bottom"/>
          </w:tcPr>
          <w:p w:rsidR="00BC15D1" w:rsidRDefault="00BC15D1">
            <w:pPr>
              <w:rPr>
                <w:rFonts w:ascii="Calibri" w:hAnsi="Calibri"/>
                <w:color w:val="000000"/>
                <w:szCs w:val="22"/>
              </w:rPr>
            </w:pPr>
            <w:r>
              <w:rPr>
                <w:rFonts w:ascii="Calibri" w:hAnsi="Calibri"/>
                <w:color w:val="000000"/>
                <w:szCs w:val="22"/>
              </w:rPr>
              <w:t>Raised</w:t>
            </w:r>
          </w:p>
        </w:tc>
        <w:tc>
          <w:tcPr>
            <w:tcW w:w="2268" w:type="dxa"/>
            <w:shd w:val="clear" w:color="auto" w:fill="auto"/>
            <w:noWrap/>
            <w:vAlign w:val="bottom"/>
            <w:hideMark/>
          </w:tcPr>
          <w:p w:rsidR="00BC15D1" w:rsidRDefault="00BC15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4.3</w:t>
            </w:r>
          </w:p>
        </w:tc>
        <w:tc>
          <w:tcPr>
            <w:tcW w:w="2268" w:type="dxa"/>
            <w:shd w:val="clear" w:color="auto" w:fill="auto"/>
            <w:noWrap/>
            <w:vAlign w:val="bottom"/>
            <w:hideMark/>
          </w:tcPr>
          <w:p w:rsidR="00BC15D1" w:rsidRDefault="00BC15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9.9</w:t>
            </w:r>
          </w:p>
        </w:tc>
      </w:tr>
      <w:tr w:rsidR="00BC15D1" w:rsidRPr="004436F4" w:rsidTr="00F645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noWrap/>
            <w:vAlign w:val="bottom"/>
          </w:tcPr>
          <w:p w:rsidR="00BC15D1" w:rsidRDefault="00BC15D1">
            <w:pPr>
              <w:rPr>
                <w:rFonts w:ascii="Calibri" w:hAnsi="Calibri"/>
                <w:color w:val="000000"/>
                <w:szCs w:val="22"/>
              </w:rPr>
            </w:pPr>
            <w:r>
              <w:rPr>
                <w:rFonts w:ascii="Calibri" w:hAnsi="Calibri"/>
                <w:color w:val="000000"/>
                <w:szCs w:val="22"/>
              </w:rPr>
              <w:t>High</w:t>
            </w:r>
          </w:p>
        </w:tc>
        <w:tc>
          <w:tcPr>
            <w:tcW w:w="2268" w:type="dxa"/>
            <w:shd w:val="clear" w:color="auto" w:fill="auto"/>
            <w:noWrap/>
            <w:vAlign w:val="bottom"/>
            <w:hideMark/>
          </w:tcPr>
          <w:p w:rsidR="00BC15D1" w:rsidRDefault="00BC15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5.2</w:t>
            </w:r>
          </w:p>
        </w:tc>
        <w:tc>
          <w:tcPr>
            <w:tcW w:w="2268" w:type="dxa"/>
            <w:shd w:val="clear" w:color="auto" w:fill="auto"/>
            <w:noWrap/>
            <w:vAlign w:val="bottom"/>
            <w:hideMark/>
          </w:tcPr>
          <w:p w:rsidR="00BC15D1" w:rsidRDefault="00BC15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Pr>
                <w:rFonts w:ascii="Calibri" w:hAnsi="Calibri"/>
                <w:color w:val="000000"/>
                <w:szCs w:val="22"/>
              </w:rPr>
              <w:t>10.7</w:t>
            </w:r>
          </w:p>
        </w:tc>
      </w:tr>
    </w:tbl>
    <w:p w:rsidR="001F2DE9" w:rsidRPr="00E275F9" w:rsidRDefault="001F2DE9" w:rsidP="00757980">
      <w:pPr>
        <w:pStyle w:val="Heading1"/>
      </w:pPr>
      <w:bookmarkStart w:id="0" w:name="_GoBack"/>
      <w:bookmarkEnd w:id="0"/>
      <w:r w:rsidRPr="00E275F9">
        <w:t xml:space="preserve">Conclusion </w:t>
      </w:r>
    </w:p>
    <w:p w:rsidR="001F2DE9" w:rsidRDefault="001F2DE9" w:rsidP="003A51C7">
      <w:pPr>
        <w:spacing w:before="0" w:after="0" w:line="276" w:lineRule="auto"/>
        <w:jc w:val="both"/>
      </w:pPr>
      <w:r>
        <w:t xml:space="preserve">While circumstances of disadvantage are significantly associated with poorer social and emotional outcomes for non-Indigenous children, the same is not true for Indigenous children from LSIC. However, when those circumstances are translated into major life events, the negative association with social and emotional outcomes is seen for both groups. Children in both groups have higher difficulties scores if they experience high numbers of major life events. </w:t>
      </w:r>
    </w:p>
    <w:p w:rsidR="001F2DE9" w:rsidRPr="00E275F9" w:rsidRDefault="001F2DE9" w:rsidP="00757980">
      <w:pPr>
        <w:pStyle w:val="Heading1"/>
      </w:pPr>
      <w:r w:rsidRPr="00E275F9">
        <w:t>Key Statistics</w:t>
      </w:r>
    </w:p>
    <w:p w:rsidR="001F2DE9" w:rsidRPr="003A51C7" w:rsidRDefault="001F2DE9" w:rsidP="001F2DE9">
      <w:pPr>
        <w:pStyle w:val="ListParagraph"/>
        <w:numPr>
          <w:ilvl w:val="0"/>
          <w:numId w:val="62"/>
        </w:numPr>
        <w:spacing w:after="0" w:line="240" w:lineRule="auto"/>
        <w:rPr>
          <w:rFonts w:eastAsia="Times New Roman" w:cs="Times New Roman"/>
          <w:sz w:val="20"/>
          <w:szCs w:val="20"/>
          <w:lang w:eastAsia="en-AU"/>
        </w:rPr>
      </w:pPr>
      <w:r w:rsidRPr="003A51C7">
        <w:rPr>
          <w:rFonts w:eastAsia="Times New Roman" w:cs="Times New Roman"/>
          <w:sz w:val="20"/>
          <w:szCs w:val="20"/>
          <w:lang w:eastAsia="en-AU"/>
        </w:rPr>
        <w:t xml:space="preserve">25 per cent chance of children developing clinically significant social and emotional difficulties if they experience three or more major life events. </w:t>
      </w:r>
    </w:p>
    <w:p w:rsidR="001F2DE9" w:rsidRPr="003A51C7" w:rsidRDefault="001F2DE9" w:rsidP="001F2DE9">
      <w:pPr>
        <w:spacing w:before="0" w:after="0" w:line="240" w:lineRule="auto"/>
        <w:rPr>
          <w:color w:val="000000" w:themeColor="text1"/>
          <w:szCs w:val="20"/>
        </w:rPr>
      </w:pPr>
    </w:p>
    <w:p w:rsidR="001F2DE9" w:rsidRPr="003A51C7" w:rsidRDefault="001F2DE9" w:rsidP="001F2DE9">
      <w:pPr>
        <w:pStyle w:val="ListParagraph"/>
        <w:numPr>
          <w:ilvl w:val="0"/>
          <w:numId w:val="62"/>
        </w:numPr>
        <w:spacing w:after="0" w:line="240" w:lineRule="auto"/>
        <w:rPr>
          <w:rFonts w:eastAsia="Times New Roman" w:cs="Times New Roman"/>
          <w:sz w:val="20"/>
          <w:szCs w:val="20"/>
          <w:lang w:eastAsia="en-AU"/>
        </w:rPr>
      </w:pPr>
      <w:r w:rsidRPr="003A51C7">
        <w:rPr>
          <w:rFonts w:eastAsia="Times New Roman" w:cs="Times New Roman"/>
          <w:sz w:val="20"/>
          <w:szCs w:val="20"/>
          <w:lang w:eastAsia="en-AU"/>
        </w:rPr>
        <w:t xml:space="preserve">2.3 per cent of LSIC children experiencing three or more events in each of the four waves. </w:t>
      </w:r>
    </w:p>
    <w:p w:rsidR="001F2DE9" w:rsidRPr="003A51C7" w:rsidRDefault="001F2DE9" w:rsidP="001F2DE9">
      <w:pPr>
        <w:pStyle w:val="ListParagraph"/>
        <w:rPr>
          <w:rFonts w:eastAsia="Times New Roman" w:cs="Times New Roman"/>
          <w:sz w:val="20"/>
          <w:szCs w:val="20"/>
          <w:lang w:eastAsia="en-AU"/>
        </w:rPr>
      </w:pPr>
    </w:p>
    <w:p w:rsidR="003F11A7" w:rsidRPr="00757980" w:rsidRDefault="001F2DE9" w:rsidP="00757980">
      <w:pPr>
        <w:pStyle w:val="ListParagraph"/>
        <w:numPr>
          <w:ilvl w:val="0"/>
          <w:numId w:val="62"/>
        </w:numPr>
        <w:spacing w:before="240" w:after="0"/>
        <w:jc w:val="both"/>
        <w:rPr>
          <w:sz w:val="20"/>
          <w:szCs w:val="20"/>
        </w:rPr>
      </w:pPr>
      <w:r w:rsidRPr="003A51C7">
        <w:rPr>
          <w:sz w:val="20"/>
          <w:szCs w:val="20"/>
        </w:rPr>
        <w:t>2.1 points average increase in difficulties scores for children in LSIC experiencing three or more events in any wave.</w:t>
      </w:r>
    </w:p>
    <w:p w:rsidR="003F11A7" w:rsidRDefault="003F11A7">
      <w:pPr>
        <w:spacing w:before="0" w:after="0" w:line="240" w:lineRule="auto"/>
        <w:rPr>
          <w:b/>
        </w:rPr>
      </w:pPr>
    </w:p>
    <w:p w:rsidR="003F11A7" w:rsidRDefault="003F11A7" w:rsidP="003F11A7">
      <w:r>
        <w:t xml:space="preserve">A more complete version of this research is available at: </w:t>
      </w:r>
    </w:p>
    <w:p w:rsidR="003F11A7" w:rsidRDefault="00D60406" w:rsidP="003F11A7">
      <w:pPr>
        <w:rPr>
          <w:rStyle w:val="BookTitle"/>
          <w:i w:val="0"/>
          <w:iCs w:val="0"/>
          <w:smallCaps w:val="0"/>
        </w:rPr>
      </w:pPr>
      <w:hyperlink r:id="rId11" w:history="1">
        <w:r w:rsidR="003F11A7" w:rsidRPr="005C7278">
          <w:rPr>
            <w:rStyle w:val="Hyperlink"/>
            <w:spacing w:val="5"/>
          </w:rPr>
          <w:t>Department of Social Services 2014, Footprints in Time: the Longitudinal Study of Indigenous Children—Report from wave 5, DSS, Canberra</w:t>
        </w:r>
      </w:hyperlink>
      <w:r w:rsidR="003F11A7">
        <w:rPr>
          <w:rStyle w:val="BookTitle"/>
          <w:i w:val="0"/>
          <w:iCs w:val="0"/>
          <w:smallCaps w:val="0"/>
        </w:rPr>
        <w:t>.</w:t>
      </w:r>
    </w:p>
    <w:p w:rsidR="003F11A7" w:rsidRPr="001F350C" w:rsidRDefault="003F11A7" w:rsidP="003F11A7">
      <w:pPr>
        <w:rPr>
          <w:rStyle w:val="BookTitle"/>
          <w:b/>
          <w:i w:val="0"/>
          <w:iCs w:val="0"/>
          <w:smallCaps w:val="0"/>
        </w:rPr>
      </w:pPr>
      <w:r w:rsidRPr="002E3D0E">
        <w:t>For any queries regarding this research please email</w:t>
      </w:r>
      <w:r>
        <w:t>:</w:t>
      </w:r>
      <w:r>
        <w:rPr>
          <w:rStyle w:val="BookTitle"/>
          <w:i w:val="0"/>
          <w:iCs w:val="0"/>
          <w:smallCaps w:val="0"/>
        </w:rPr>
        <w:t xml:space="preserve"> </w:t>
      </w:r>
      <w:hyperlink r:id="rId12" w:history="1">
        <w:r w:rsidRPr="008A40F7">
          <w:rPr>
            <w:rStyle w:val="Hyperlink"/>
            <w:szCs w:val="20"/>
          </w:rPr>
          <w:t>NCLD@dss.gov.au</w:t>
        </w:r>
      </w:hyperlink>
      <w:r w:rsidRPr="00C32B09">
        <w:rPr>
          <w:szCs w:val="20"/>
        </w:rPr>
        <w:t>.</w:t>
      </w:r>
      <w:r w:rsidRPr="001F350C">
        <w:rPr>
          <w:rStyle w:val="BookTitle"/>
          <w:b/>
          <w:i w:val="0"/>
          <w:iCs w:val="0"/>
          <w:smallCaps w:val="0"/>
        </w:rPr>
        <w:t xml:space="preserve"> </w:t>
      </w:r>
    </w:p>
    <w:sectPr w:rsidR="003F11A7" w:rsidRPr="001F350C" w:rsidSect="002B04A5">
      <w:headerReference w:type="even" r:id="rId13"/>
      <w:headerReference w:type="default" r:id="rId14"/>
      <w:footerReference w:type="even" r:id="rId15"/>
      <w:footerReference w:type="default" r:id="rId16"/>
      <w:headerReference w:type="first" r:id="rId17"/>
      <w:footerReference w:type="first" r:id="rId18"/>
      <w:pgSz w:w="11906" w:h="16838" w:code="9"/>
      <w:pgMar w:top="1360" w:right="1133" w:bottom="1134" w:left="993"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6" w:rsidRDefault="003218C6">
      <w:r>
        <w:separator/>
      </w:r>
    </w:p>
  </w:endnote>
  <w:endnote w:type="continuationSeparator" w:id="0">
    <w:p w:rsidR="003218C6" w:rsidRDefault="003218C6">
      <w:r>
        <w:continuationSeparator/>
      </w:r>
    </w:p>
  </w:endnote>
  <w:endnote w:id="1">
    <w:p w:rsidR="00407B87" w:rsidRPr="00AA7346" w:rsidRDefault="00407B87" w:rsidP="00407B87">
      <w:pPr>
        <w:pStyle w:val="EndnoteText"/>
        <w:rPr>
          <w:rStyle w:val="EndnoteReference"/>
        </w:rPr>
      </w:pPr>
      <w:r w:rsidRPr="00681FE0">
        <w:rPr>
          <w:rStyle w:val="EndnoteReference"/>
        </w:rPr>
        <w:endnoteRef/>
      </w:r>
      <w:r w:rsidRPr="00AA7346">
        <w:rPr>
          <w:rStyle w:val="EndnoteReference"/>
        </w:rPr>
        <w:t xml:space="preserve"> Australian Social Inclusion Board 2012, How Australia is faring, 2nd </w:t>
      </w:r>
      <w:proofErr w:type="spellStart"/>
      <w:r w:rsidRPr="00AA7346">
        <w:rPr>
          <w:rStyle w:val="EndnoteReference"/>
        </w:rPr>
        <w:t>Edn</w:t>
      </w:r>
      <w:proofErr w:type="spellEnd"/>
      <w:r w:rsidRPr="00AA7346">
        <w:rPr>
          <w:rStyle w:val="EndnoteReference"/>
        </w:rPr>
        <w:t xml:space="preserve">, Department of </w:t>
      </w:r>
      <w:r w:rsidRPr="00FA71A1">
        <w:rPr>
          <w:rStyle w:val="EndnoteReference"/>
        </w:rPr>
        <w:t xml:space="preserve">the </w:t>
      </w:r>
      <w:r w:rsidRPr="00AA7346">
        <w:rPr>
          <w:rStyle w:val="EndnoteReference"/>
        </w:rPr>
        <w:t>Prime Minister and Cabinet, Canberra.</w:t>
      </w:r>
    </w:p>
  </w:endnote>
  <w:endnote w:id="2">
    <w:p w:rsidR="00407B87" w:rsidRPr="00AA7346" w:rsidRDefault="00407B87" w:rsidP="00407B87">
      <w:pPr>
        <w:pStyle w:val="EndnoteText"/>
        <w:rPr>
          <w:rStyle w:val="EndnoteReference"/>
        </w:rPr>
      </w:pPr>
      <w:r w:rsidRPr="00681FE0">
        <w:rPr>
          <w:rStyle w:val="EndnoteReference"/>
        </w:rPr>
        <w:endnoteRef/>
      </w:r>
      <w:r w:rsidRPr="00AA7346">
        <w:rPr>
          <w:rStyle w:val="EndnoteReference"/>
        </w:rPr>
        <w:t xml:space="preserve"> Wilkins R, Warren D, Hahn M, </w:t>
      </w:r>
      <w:proofErr w:type="spellStart"/>
      <w:r w:rsidRPr="00AA7346">
        <w:rPr>
          <w:rStyle w:val="EndnoteReference"/>
        </w:rPr>
        <w:t>Houng</w:t>
      </w:r>
      <w:proofErr w:type="spellEnd"/>
      <w:r w:rsidRPr="00AA7346">
        <w:rPr>
          <w:rStyle w:val="EndnoteReference"/>
        </w:rPr>
        <w:t>, B 2006, Families, Incomes and Jobs, Volume 8: A Statistical Report on Waves 1 to 8 of the Household, Income and Labour Dynamics in Australia Survey, University of Melbourne, Melbourne</w:t>
      </w:r>
    </w:p>
  </w:endnote>
  <w:endnote w:id="3">
    <w:p w:rsidR="001B57AC" w:rsidRPr="00874A63" w:rsidRDefault="001B57AC" w:rsidP="001B57AC">
      <w:pPr>
        <w:pStyle w:val="EndnoteText"/>
        <w:rPr>
          <w:rStyle w:val="EndnoteReference"/>
        </w:rPr>
      </w:pPr>
      <w:r w:rsidRPr="0070640D">
        <w:rPr>
          <w:rStyle w:val="EndnoteReference"/>
        </w:rPr>
        <w:endnoteRef/>
      </w:r>
      <w:r w:rsidRPr="00874A63">
        <w:rPr>
          <w:rStyle w:val="EndnoteReference"/>
        </w:rPr>
        <w:t xml:space="preserve"> Lack of significance for Footprints in Time may be partially explained by the relatively small sample size; however, variables for the single parent and low education are not significant even in the bivariate models suggesting that the smaller sample size is not the only explanation. </w:t>
      </w:r>
    </w:p>
  </w:endnote>
  <w:endnote w:id="4">
    <w:p w:rsidR="001B57AC" w:rsidRPr="00AA7346" w:rsidRDefault="001B57AC" w:rsidP="001B57AC">
      <w:pPr>
        <w:pStyle w:val="EndnoteText"/>
        <w:rPr>
          <w:rStyle w:val="EndnoteReference"/>
        </w:rPr>
      </w:pPr>
      <w:r w:rsidRPr="00681FE0">
        <w:rPr>
          <w:rStyle w:val="EndnoteReference"/>
        </w:rPr>
        <w:endnoteRef/>
      </w:r>
      <w:r w:rsidRPr="00AA7346">
        <w:rPr>
          <w:rStyle w:val="EndnoteReference"/>
        </w:rPr>
        <w:t xml:space="preserve"> Wilkins, R, Warren, D, 2012, Families, Incomes and Jobs, Volume 7: A statistical report on waves 1 to 9 of the Household, Income and Labour Dynamics in Australia Survey, Melbourne Institute of Applied Economic and Social Research, Melbourne</w:t>
      </w:r>
    </w:p>
  </w:endnote>
  <w:endnote w:id="5">
    <w:p w:rsidR="001B57AC" w:rsidRPr="00AA7346" w:rsidRDefault="001B57AC" w:rsidP="001B57AC">
      <w:pPr>
        <w:pStyle w:val="EndnoteText"/>
        <w:rPr>
          <w:rStyle w:val="EndnoteReference"/>
        </w:rPr>
      </w:pPr>
      <w:r w:rsidRPr="00681FE0">
        <w:rPr>
          <w:rStyle w:val="EndnoteReference"/>
        </w:rPr>
        <w:endnoteRef/>
      </w:r>
      <w:r w:rsidRPr="00AA7346">
        <w:rPr>
          <w:rStyle w:val="EndnoteReference"/>
        </w:rPr>
        <w:t xml:space="preserve"> </w:t>
      </w:r>
      <w:proofErr w:type="spellStart"/>
      <w:r w:rsidRPr="00AA7346">
        <w:rPr>
          <w:rStyle w:val="EndnoteReference"/>
        </w:rPr>
        <w:t>Zubrick</w:t>
      </w:r>
      <w:proofErr w:type="spellEnd"/>
      <w:r w:rsidRPr="00AA7346">
        <w:rPr>
          <w:rStyle w:val="EndnoteReference"/>
        </w:rPr>
        <w:t xml:space="preserve"> SR, </w:t>
      </w:r>
      <w:proofErr w:type="spellStart"/>
      <w:r w:rsidRPr="00AA7346">
        <w:rPr>
          <w:rStyle w:val="EndnoteReference"/>
        </w:rPr>
        <w:t>Silburn</w:t>
      </w:r>
      <w:proofErr w:type="spellEnd"/>
      <w:r w:rsidRPr="00AA7346">
        <w:rPr>
          <w:rStyle w:val="EndnoteReference"/>
        </w:rPr>
        <w:t xml:space="preserve"> SR, Lawrence DM, </w:t>
      </w:r>
      <w:proofErr w:type="spellStart"/>
      <w:r w:rsidRPr="00AA7346">
        <w:rPr>
          <w:rStyle w:val="EndnoteReference"/>
        </w:rPr>
        <w:t>Mitrou</w:t>
      </w:r>
      <w:proofErr w:type="spellEnd"/>
      <w:r w:rsidRPr="00AA7346">
        <w:rPr>
          <w:rStyle w:val="EndnoteReference"/>
        </w:rPr>
        <w:t xml:space="preserve"> FG, Dalby RB, Blair EM, Griffin J, Milroy H, De </w:t>
      </w:r>
      <w:proofErr w:type="spellStart"/>
      <w:r w:rsidRPr="00AA7346">
        <w:rPr>
          <w:rStyle w:val="EndnoteReference"/>
        </w:rPr>
        <w:t>Maio</w:t>
      </w:r>
      <w:proofErr w:type="spellEnd"/>
      <w:r w:rsidRPr="00AA7346">
        <w:rPr>
          <w:rStyle w:val="EndnoteReference"/>
        </w:rPr>
        <w:t xml:space="preserve"> JA, Cox A, Li J</w:t>
      </w:r>
      <w:r w:rsidRPr="00FA71A1">
        <w:rPr>
          <w:rStyle w:val="EndnoteReference"/>
        </w:rPr>
        <w:t xml:space="preserve"> 2005</w:t>
      </w:r>
      <w:r w:rsidRPr="00AA7346">
        <w:rPr>
          <w:rStyle w:val="EndnoteReference"/>
        </w:rPr>
        <w:t xml:space="preserve"> </w:t>
      </w:r>
      <w:r w:rsidRPr="00AA7346">
        <w:rPr>
          <w:rStyle w:val="EndnoteReference"/>
          <w:i/>
        </w:rPr>
        <w:t>The Western Australian Aboriginal Child Health Survey: The Social and Emotional Wellbeing of Aboriginal Children and Young People</w:t>
      </w:r>
      <w:r w:rsidRPr="00AA7346">
        <w:rPr>
          <w:rStyle w:val="EndnoteReference"/>
        </w:rPr>
        <w:t>. Perth: Curtin University of Technology and Telethon Institute for Child Health Research, Volume 2 – p. 101, p</w:t>
      </w:r>
      <w:r w:rsidRPr="00FA71A1">
        <w:rPr>
          <w:rStyle w:val="EndnoteReference"/>
        </w:rPr>
        <w:t>p</w:t>
      </w:r>
      <w:r w:rsidRPr="00AA7346">
        <w:rPr>
          <w:rStyle w:val="EndnoteReference"/>
        </w:rPr>
        <w:t>.135</w:t>
      </w:r>
      <w:r w:rsidRPr="00FA71A1">
        <w:rPr>
          <w:rStyle w:val="EndnoteReference"/>
        </w:rPr>
        <w:t>–</w:t>
      </w:r>
      <w:r w:rsidRPr="00AA7346">
        <w:rPr>
          <w:rStyle w:val="EndnoteReference"/>
        </w:rPr>
        <w:t>137</w:t>
      </w:r>
    </w:p>
  </w:endnote>
  <w:endnote w:id="6">
    <w:p w:rsidR="001B57AC" w:rsidRDefault="001B57AC" w:rsidP="001B57AC">
      <w:pPr>
        <w:pStyle w:val="EndnoteText"/>
      </w:pPr>
      <w:r w:rsidRPr="00681FE0">
        <w:rPr>
          <w:rStyle w:val="EndnoteReference"/>
        </w:rPr>
        <w:endnoteRef/>
      </w:r>
      <w:r w:rsidRPr="00AA7346">
        <w:rPr>
          <w:rStyle w:val="EndnoteReference"/>
        </w:rPr>
        <w:t xml:space="preserve"> For LSIC, the percentages represent the annual average of five waves over the period from 2008 to 2011. For LSAC the five waves of data were collected every two years over the period from 2004 to 2010. Note also that the questions asked in the two studies are not identical but have been use</w:t>
      </w:r>
      <w:r>
        <w:rPr>
          <w:rStyle w:val="EndnoteReference"/>
        </w:rPr>
        <w:t>d as the closest approximation.</w:t>
      </w:r>
    </w:p>
    <w:p w:rsidR="001B57AC" w:rsidRDefault="001B57AC" w:rsidP="001B57AC"/>
    <w:p w:rsidR="001B57AC" w:rsidRPr="00AA7346" w:rsidRDefault="001B57AC" w:rsidP="001B57AC">
      <w:pPr>
        <w:spacing w:before="0" w:after="0" w:line="240" w:lineRule="auto"/>
        <w:rPr>
          <w:rStyle w:val="EndnoteReferenc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E9" w:rsidRDefault="006B6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C" w:rsidRPr="00B42948" w:rsidRDefault="00777A40" w:rsidP="0074638C">
    <w:pPr>
      <w:pStyle w:val="Footer"/>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sidR="0074638C">
      <w:rPr>
        <w:b/>
        <w:color w:val="000000" w:themeColor="text1"/>
      </w:rPr>
      <w:tab/>
    </w:r>
    <w:r w:rsidR="0074638C" w:rsidRPr="00B42948">
      <w:rPr>
        <w:rFonts w:asciiTheme="minorHAnsi" w:hAnsiTheme="minorHAnsi" w:cstheme="minorHAnsi"/>
        <w:color w:val="000000" w:themeColor="text1"/>
        <w:sz w:val="16"/>
        <w:szCs w:val="16"/>
      </w:rPr>
      <w:t xml:space="preserve">Page </w:t>
    </w:r>
    <w:r w:rsidR="0074638C" w:rsidRPr="00B42948">
      <w:rPr>
        <w:rFonts w:asciiTheme="minorHAnsi" w:hAnsiTheme="minorHAnsi" w:cstheme="minorHAnsi"/>
        <w:b/>
        <w:color w:val="000000" w:themeColor="text1"/>
        <w:sz w:val="16"/>
        <w:szCs w:val="16"/>
      </w:rPr>
      <w:fldChar w:fldCharType="begin"/>
    </w:r>
    <w:r w:rsidR="0074638C" w:rsidRPr="00B42948">
      <w:rPr>
        <w:rFonts w:asciiTheme="minorHAnsi" w:hAnsiTheme="minorHAnsi" w:cstheme="minorHAnsi"/>
        <w:b/>
        <w:color w:val="000000" w:themeColor="text1"/>
        <w:sz w:val="16"/>
        <w:szCs w:val="16"/>
      </w:rPr>
      <w:instrText xml:space="preserve"> PAGE  \* Arabic  \* MERGEFORMAT </w:instrText>
    </w:r>
    <w:r w:rsidR="0074638C" w:rsidRPr="00B42948">
      <w:rPr>
        <w:rFonts w:asciiTheme="minorHAnsi" w:hAnsiTheme="minorHAnsi" w:cstheme="minorHAnsi"/>
        <w:b/>
        <w:color w:val="000000" w:themeColor="text1"/>
        <w:sz w:val="16"/>
        <w:szCs w:val="16"/>
      </w:rPr>
      <w:fldChar w:fldCharType="separate"/>
    </w:r>
    <w:r w:rsidR="00D60406">
      <w:rPr>
        <w:rFonts w:asciiTheme="minorHAnsi" w:hAnsiTheme="minorHAnsi" w:cstheme="minorHAnsi"/>
        <w:b/>
        <w:noProof/>
        <w:color w:val="000000" w:themeColor="text1"/>
        <w:sz w:val="16"/>
        <w:szCs w:val="16"/>
      </w:rPr>
      <w:t>2</w:t>
    </w:r>
    <w:r w:rsidR="0074638C" w:rsidRPr="00B42948">
      <w:rPr>
        <w:rFonts w:asciiTheme="minorHAnsi" w:hAnsiTheme="minorHAnsi" w:cstheme="minorHAnsi"/>
        <w:b/>
        <w:color w:val="000000" w:themeColor="text1"/>
        <w:sz w:val="16"/>
        <w:szCs w:val="16"/>
      </w:rPr>
      <w:fldChar w:fldCharType="end"/>
    </w:r>
    <w:r w:rsidR="0074638C" w:rsidRPr="00B42948">
      <w:rPr>
        <w:rFonts w:asciiTheme="minorHAnsi" w:hAnsiTheme="minorHAnsi" w:cstheme="minorHAnsi"/>
        <w:color w:val="000000" w:themeColor="text1"/>
        <w:sz w:val="16"/>
        <w:szCs w:val="16"/>
      </w:rPr>
      <w:t xml:space="preserve"> of </w:t>
    </w:r>
    <w:r w:rsidR="0074638C" w:rsidRPr="00B42948">
      <w:rPr>
        <w:rFonts w:asciiTheme="minorHAnsi" w:hAnsiTheme="minorHAnsi" w:cstheme="minorHAnsi"/>
        <w:b/>
        <w:color w:val="000000" w:themeColor="text1"/>
        <w:sz w:val="16"/>
        <w:szCs w:val="16"/>
      </w:rPr>
      <w:fldChar w:fldCharType="begin"/>
    </w:r>
    <w:r w:rsidR="0074638C" w:rsidRPr="00B42948">
      <w:rPr>
        <w:rFonts w:asciiTheme="minorHAnsi" w:hAnsiTheme="minorHAnsi" w:cstheme="minorHAnsi"/>
        <w:b/>
        <w:color w:val="000000" w:themeColor="text1"/>
        <w:sz w:val="16"/>
        <w:szCs w:val="16"/>
      </w:rPr>
      <w:instrText xml:space="preserve"> NUMPAGES  \* Arabic  \* MERGEFORMAT </w:instrText>
    </w:r>
    <w:r w:rsidR="0074638C" w:rsidRPr="00B42948">
      <w:rPr>
        <w:rFonts w:asciiTheme="minorHAnsi" w:hAnsiTheme="minorHAnsi" w:cstheme="minorHAnsi"/>
        <w:b/>
        <w:color w:val="000000" w:themeColor="text1"/>
        <w:sz w:val="16"/>
        <w:szCs w:val="16"/>
      </w:rPr>
      <w:fldChar w:fldCharType="separate"/>
    </w:r>
    <w:r w:rsidR="00D60406">
      <w:rPr>
        <w:rFonts w:asciiTheme="minorHAnsi" w:hAnsiTheme="minorHAnsi" w:cstheme="minorHAnsi"/>
        <w:b/>
        <w:noProof/>
        <w:color w:val="000000" w:themeColor="text1"/>
        <w:sz w:val="16"/>
        <w:szCs w:val="16"/>
      </w:rPr>
      <w:t>5</w:t>
    </w:r>
    <w:r w:rsidR="0074638C" w:rsidRPr="00B42948">
      <w:rPr>
        <w:rFonts w:asciiTheme="minorHAnsi" w:hAnsiTheme="minorHAnsi" w:cstheme="minorHAnsi"/>
        <w:b/>
        <w:color w:val="000000" w:themeColor="text1"/>
        <w:sz w:val="16"/>
        <w:szCs w:val="16"/>
      </w:rPr>
      <w:fldChar w:fldCharType="end"/>
    </w:r>
  </w:p>
  <w:p w:rsidR="00A06C77" w:rsidRPr="00234486" w:rsidRDefault="00A06C77" w:rsidP="00846C1D">
    <w:pPr>
      <w:pStyle w:val="Footer"/>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C" w:rsidRPr="00B42948" w:rsidRDefault="0074638C" w:rsidP="0074638C">
    <w:pPr>
      <w:pStyle w:val="Footer"/>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Pr>
        <w:b/>
        <w:color w:val="000000" w:themeColor="text1"/>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D60406">
      <w:rPr>
        <w:rFonts w:asciiTheme="minorHAnsi" w:hAnsiTheme="minorHAnsi" w:cstheme="minorHAnsi"/>
        <w:b/>
        <w:noProof/>
        <w:color w:val="000000" w:themeColor="text1"/>
        <w:sz w:val="16"/>
        <w:szCs w:val="16"/>
      </w:rPr>
      <w:t>1</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D60406">
      <w:rPr>
        <w:rFonts w:asciiTheme="minorHAnsi" w:hAnsiTheme="minorHAnsi" w:cstheme="minorHAnsi"/>
        <w:b/>
        <w:noProof/>
        <w:color w:val="000000" w:themeColor="text1"/>
        <w:sz w:val="16"/>
        <w:szCs w:val="16"/>
      </w:rPr>
      <w:t>5</w:t>
    </w:r>
    <w:r w:rsidRPr="00B42948">
      <w:rPr>
        <w:rFonts w:asciiTheme="minorHAnsi" w:hAnsiTheme="minorHAnsi" w:cstheme="minorHAnsi"/>
        <w:b/>
        <w:color w:val="000000" w:themeColor="text1"/>
        <w:sz w:val="16"/>
        <w:szCs w:val="16"/>
      </w:rPr>
      <w:fldChar w:fldCharType="end"/>
    </w:r>
  </w:p>
  <w:p w:rsidR="00B42948" w:rsidRPr="00B42948" w:rsidRDefault="00B42948">
    <w:pPr>
      <w:pStyle w:val="Footer"/>
      <w:rPr>
        <w:rFonts w:asciiTheme="minorHAnsi" w:hAnsiTheme="minorHAnsi" w:cstheme="minorHAns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6" w:rsidRDefault="003218C6">
      <w:r>
        <w:separator/>
      </w:r>
    </w:p>
  </w:footnote>
  <w:footnote w:type="continuationSeparator" w:id="0">
    <w:p w:rsidR="003218C6" w:rsidRDefault="003218C6">
      <w:r>
        <w:continuationSeparator/>
      </w:r>
    </w:p>
  </w:footnote>
  <w:footnote w:id="1">
    <w:p w:rsidR="00BC15D1" w:rsidRDefault="00BC15D1" w:rsidP="00BC15D1">
      <w:pPr>
        <w:pStyle w:val="FootnoteText"/>
      </w:pPr>
      <w:r>
        <w:rPr>
          <w:rStyle w:val="FootnoteReference"/>
        </w:rPr>
        <w:footnoteRef/>
      </w:r>
      <w:r>
        <w:t xml:space="preserve"> The normal category for SDQ includes scores of 13 or below. The raised category includes scores of 14 to 16 and the high category includes score of 17 or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E9" w:rsidRDefault="006B6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E9" w:rsidRDefault="006B6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A5" w:rsidRDefault="00757980" w:rsidP="00757980">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3360" behindDoc="1" locked="0" layoutInCell="1" allowOverlap="1" wp14:anchorId="61DC357F" wp14:editId="57FD2213">
          <wp:simplePos x="0" y="0"/>
          <wp:positionH relativeFrom="column">
            <wp:posOffset>4465320</wp:posOffset>
          </wp:positionH>
          <wp:positionV relativeFrom="paragraph">
            <wp:posOffset>250825</wp:posOffset>
          </wp:positionV>
          <wp:extent cx="1666875" cy="762000"/>
          <wp:effectExtent l="0" t="0" r="9525" b="0"/>
          <wp:wrapNone/>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008375EE" w:rsidRPr="00360B93">
      <w:rPr>
        <w:noProof/>
      </w:rPr>
      <w:drawing>
        <wp:inline distT="0" distB="0" distL="0" distR="0" wp14:anchorId="17D34C33" wp14:editId="201F0A56">
          <wp:extent cx="2313940" cy="616585"/>
          <wp:effectExtent l="0" t="0" r="0" b="0"/>
          <wp:docPr id="14"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F076BA" w:rsidRPr="00901FB7" w:rsidRDefault="00F076BA" w:rsidP="002B04A5">
    <w:pPr>
      <w:pStyle w:val="Header"/>
      <w:tabs>
        <w:tab w:val="clear" w:pos="4153"/>
        <w:tab w:val="clear" w:pos="8306"/>
        <w:tab w:val="right" w:pos="9639"/>
      </w:tabs>
      <w:spacing w:after="0"/>
      <w:contextualSpacing w:val="0"/>
      <w:rPr>
        <w:noProof/>
        <w:color w:val="FFFFFF" w:themeColor="background1"/>
      </w:rPr>
    </w:pPr>
  </w:p>
  <w:p w:rsidR="00200F7D" w:rsidRPr="00757980" w:rsidRDefault="00757980" w:rsidP="00757980">
    <w:pPr>
      <w:pStyle w:val="Header"/>
      <w:tabs>
        <w:tab w:val="right" w:pos="9639"/>
      </w:tabs>
      <w:rPr>
        <w:noProof/>
        <w:color w:val="500778" w:themeColor="accent6"/>
        <w:sz w:val="28"/>
        <w:szCs w:val="28"/>
      </w:rPr>
    </w:pPr>
    <w:r w:rsidRPr="00757980">
      <w:rPr>
        <w:b/>
        <w:bCs/>
        <w:noProof/>
        <w:color w:val="500778" w:themeColor="accent6"/>
        <w:sz w:val="28"/>
        <w:szCs w:val="28"/>
      </w:rPr>
      <w:t>National Centre for Longitudinal Data</w:t>
    </w:r>
  </w:p>
  <w:p w:rsidR="00200F7D" w:rsidRPr="00757980" w:rsidRDefault="00200F7D" w:rsidP="002B04A5">
    <w:pPr>
      <w:pStyle w:val="Header"/>
      <w:tabs>
        <w:tab w:val="clear" w:pos="4153"/>
        <w:tab w:val="clear" w:pos="8306"/>
        <w:tab w:val="right" w:pos="9639"/>
      </w:tabs>
      <w:spacing w:after="0"/>
      <w:contextualSpacing w:val="0"/>
      <w:rPr>
        <w:noProof/>
        <w:color w:val="500778" w:themeColor="accent6"/>
        <w:sz w:val="10"/>
        <w:szCs w:val="10"/>
      </w:rPr>
    </w:pPr>
  </w:p>
  <w:p w:rsidR="00360B93" w:rsidRPr="00901FB7" w:rsidRDefault="00200F7D" w:rsidP="00C33A3B">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7456" behindDoc="0" locked="0" layoutInCell="1" allowOverlap="1" wp14:anchorId="6C730B6F" wp14:editId="148A8761">
              <wp:simplePos x="0" y="0"/>
              <wp:positionH relativeFrom="column">
                <wp:align>left</wp:align>
              </wp:positionH>
              <wp:positionV relativeFrom="paragraph">
                <wp:posOffset>6985</wp:posOffset>
              </wp:positionV>
              <wp:extent cx="6249600" cy="0"/>
              <wp:effectExtent l="0" t="0" r="18415" b="19050"/>
              <wp:wrapNone/>
              <wp:docPr id="5" name="Straight Connector 4" descr="decorative"/>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745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D3484A"/>
    <w:multiLevelType w:val="hybridMultilevel"/>
    <w:tmpl w:val="ED26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4"/>
  </w:num>
  <w:num w:numId="26">
    <w:abstractNumId w:val="39"/>
  </w:num>
  <w:num w:numId="27">
    <w:abstractNumId w:val="19"/>
  </w:num>
  <w:num w:numId="28">
    <w:abstractNumId w:val="59"/>
  </w:num>
  <w:num w:numId="29">
    <w:abstractNumId w:val="48"/>
  </w:num>
  <w:num w:numId="30">
    <w:abstractNumId w:val="27"/>
  </w:num>
  <w:num w:numId="31">
    <w:abstractNumId w:val="44"/>
  </w:num>
  <w:num w:numId="32">
    <w:abstractNumId w:val="53"/>
  </w:num>
  <w:num w:numId="33">
    <w:abstractNumId w:val="55"/>
  </w:num>
  <w:num w:numId="34">
    <w:abstractNumId w:val="4"/>
  </w:num>
  <w:num w:numId="35">
    <w:abstractNumId w:val="25"/>
  </w:num>
  <w:num w:numId="36">
    <w:abstractNumId w:val="47"/>
  </w:num>
  <w:num w:numId="37">
    <w:abstractNumId w:val="8"/>
  </w:num>
  <w:num w:numId="38">
    <w:abstractNumId w:val="30"/>
  </w:num>
  <w:num w:numId="39">
    <w:abstractNumId w:val="24"/>
  </w:num>
  <w:num w:numId="40">
    <w:abstractNumId w:val="33"/>
  </w:num>
  <w:num w:numId="41">
    <w:abstractNumId w:val="37"/>
  </w:num>
  <w:num w:numId="42">
    <w:abstractNumId w:val="23"/>
  </w:num>
  <w:num w:numId="43">
    <w:abstractNumId w:val="14"/>
  </w:num>
  <w:num w:numId="44">
    <w:abstractNumId w:val="41"/>
  </w:num>
  <w:num w:numId="45">
    <w:abstractNumId w:val="46"/>
  </w:num>
  <w:num w:numId="46">
    <w:abstractNumId w:val="32"/>
  </w:num>
  <w:num w:numId="47">
    <w:abstractNumId w:val="31"/>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6"/>
  </w:num>
  <w:num w:numId="55">
    <w:abstractNumId w:val="18"/>
  </w:num>
  <w:num w:numId="56">
    <w:abstractNumId w:val="29"/>
  </w:num>
  <w:num w:numId="57">
    <w:abstractNumId w:val="28"/>
  </w:num>
  <w:num w:numId="58">
    <w:abstractNumId w:val="10"/>
  </w:num>
  <w:num w:numId="59">
    <w:abstractNumId w:val="36"/>
  </w:num>
  <w:num w:numId="60">
    <w:abstractNumId w:val="6"/>
  </w:num>
  <w:num w:numId="61">
    <w:abstractNumId w:val="20"/>
  </w:num>
  <w:num w:numId="62">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doNotUseMarginsForDrawingGridOrigin/>
  <w:drawingGridHorizontalOrigin w:val="992"/>
  <w:drawingGridVerticalOrigin w:val="136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CCD"/>
    <w:rsid w:val="00012F84"/>
    <w:rsid w:val="00013F99"/>
    <w:rsid w:val="00021E3F"/>
    <w:rsid w:val="00025376"/>
    <w:rsid w:val="0002593F"/>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CF9"/>
    <w:rsid w:val="00080ECC"/>
    <w:rsid w:val="00080F2E"/>
    <w:rsid w:val="00081CEB"/>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103372"/>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60C5"/>
    <w:rsid w:val="00185F6A"/>
    <w:rsid w:val="001943DD"/>
    <w:rsid w:val="00195374"/>
    <w:rsid w:val="001A127F"/>
    <w:rsid w:val="001A1F53"/>
    <w:rsid w:val="001A3CA4"/>
    <w:rsid w:val="001A3EA4"/>
    <w:rsid w:val="001B3AEC"/>
    <w:rsid w:val="001B5000"/>
    <w:rsid w:val="001B57AC"/>
    <w:rsid w:val="001B6F28"/>
    <w:rsid w:val="001C60E8"/>
    <w:rsid w:val="001D0326"/>
    <w:rsid w:val="001D4585"/>
    <w:rsid w:val="001D5D54"/>
    <w:rsid w:val="001E41C8"/>
    <w:rsid w:val="001F2DE9"/>
    <w:rsid w:val="001F3AD7"/>
    <w:rsid w:val="001F7F3E"/>
    <w:rsid w:val="00200F7D"/>
    <w:rsid w:val="00207630"/>
    <w:rsid w:val="00213082"/>
    <w:rsid w:val="00213B52"/>
    <w:rsid w:val="0021714E"/>
    <w:rsid w:val="00222187"/>
    <w:rsid w:val="00222C8D"/>
    <w:rsid w:val="00222E33"/>
    <w:rsid w:val="00227B95"/>
    <w:rsid w:val="00234486"/>
    <w:rsid w:val="0023523A"/>
    <w:rsid w:val="002353DF"/>
    <w:rsid w:val="00235F71"/>
    <w:rsid w:val="0025272A"/>
    <w:rsid w:val="00252F46"/>
    <w:rsid w:val="00271922"/>
    <w:rsid w:val="0027204E"/>
    <w:rsid w:val="00273412"/>
    <w:rsid w:val="00274ACF"/>
    <w:rsid w:val="00285F1B"/>
    <w:rsid w:val="00295831"/>
    <w:rsid w:val="00296F1B"/>
    <w:rsid w:val="002A6DF5"/>
    <w:rsid w:val="002B04A5"/>
    <w:rsid w:val="002D00B0"/>
    <w:rsid w:val="002D2E16"/>
    <w:rsid w:val="002F19EF"/>
    <w:rsid w:val="002F384D"/>
    <w:rsid w:val="002F4640"/>
    <w:rsid w:val="00302415"/>
    <w:rsid w:val="003102F6"/>
    <w:rsid w:val="00313304"/>
    <w:rsid w:val="00313C48"/>
    <w:rsid w:val="003162AD"/>
    <w:rsid w:val="00321148"/>
    <w:rsid w:val="00321798"/>
    <w:rsid w:val="003218C6"/>
    <w:rsid w:val="00325F44"/>
    <w:rsid w:val="00326976"/>
    <w:rsid w:val="003311D7"/>
    <w:rsid w:val="00332B8B"/>
    <w:rsid w:val="00347104"/>
    <w:rsid w:val="0035213F"/>
    <w:rsid w:val="003555D2"/>
    <w:rsid w:val="00360B93"/>
    <w:rsid w:val="003618C0"/>
    <w:rsid w:val="00363DF3"/>
    <w:rsid w:val="003656B1"/>
    <w:rsid w:val="0037056B"/>
    <w:rsid w:val="00372CE1"/>
    <w:rsid w:val="00377173"/>
    <w:rsid w:val="003774DA"/>
    <w:rsid w:val="00392557"/>
    <w:rsid w:val="003945C0"/>
    <w:rsid w:val="003A06C2"/>
    <w:rsid w:val="003A51C7"/>
    <w:rsid w:val="003B6D2E"/>
    <w:rsid w:val="003C342E"/>
    <w:rsid w:val="003C430D"/>
    <w:rsid w:val="003C7404"/>
    <w:rsid w:val="003D3C5A"/>
    <w:rsid w:val="003D404A"/>
    <w:rsid w:val="003E6FDA"/>
    <w:rsid w:val="003F0AAB"/>
    <w:rsid w:val="003F11A7"/>
    <w:rsid w:val="003F3072"/>
    <w:rsid w:val="00401A2A"/>
    <w:rsid w:val="00407B87"/>
    <w:rsid w:val="004103D7"/>
    <w:rsid w:val="0041307C"/>
    <w:rsid w:val="004167B4"/>
    <w:rsid w:val="00430D7E"/>
    <w:rsid w:val="004316C9"/>
    <w:rsid w:val="00433B04"/>
    <w:rsid w:val="00440BD3"/>
    <w:rsid w:val="00446F93"/>
    <w:rsid w:val="004649E2"/>
    <w:rsid w:val="00464E8C"/>
    <w:rsid w:val="00466D36"/>
    <w:rsid w:val="00467185"/>
    <w:rsid w:val="0047050C"/>
    <w:rsid w:val="00475504"/>
    <w:rsid w:val="00480F21"/>
    <w:rsid w:val="00484FED"/>
    <w:rsid w:val="00495AF1"/>
    <w:rsid w:val="004F775C"/>
    <w:rsid w:val="005015E4"/>
    <w:rsid w:val="0050291D"/>
    <w:rsid w:val="0050697E"/>
    <w:rsid w:val="00510E02"/>
    <w:rsid w:val="00524B3C"/>
    <w:rsid w:val="005315A9"/>
    <w:rsid w:val="005316BE"/>
    <w:rsid w:val="00532B56"/>
    <w:rsid w:val="00535132"/>
    <w:rsid w:val="00540AD0"/>
    <w:rsid w:val="0054322A"/>
    <w:rsid w:val="00543923"/>
    <w:rsid w:val="005519C9"/>
    <w:rsid w:val="005523D1"/>
    <w:rsid w:val="00554A9C"/>
    <w:rsid w:val="00557624"/>
    <w:rsid w:val="0056023E"/>
    <w:rsid w:val="00564573"/>
    <w:rsid w:val="005658EF"/>
    <w:rsid w:val="005822A3"/>
    <w:rsid w:val="0059070B"/>
    <w:rsid w:val="00594445"/>
    <w:rsid w:val="005B1225"/>
    <w:rsid w:val="005B23E8"/>
    <w:rsid w:val="005C09F4"/>
    <w:rsid w:val="005C561A"/>
    <w:rsid w:val="005C5B93"/>
    <w:rsid w:val="005C66FF"/>
    <w:rsid w:val="005C785A"/>
    <w:rsid w:val="005D03CA"/>
    <w:rsid w:val="005D267C"/>
    <w:rsid w:val="005D45AB"/>
    <w:rsid w:val="005E4662"/>
    <w:rsid w:val="005F093F"/>
    <w:rsid w:val="005F214A"/>
    <w:rsid w:val="005F6BD6"/>
    <w:rsid w:val="00601C99"/>
    <w:rsid w:val="00605CB7"/>
    <w:rsid w:val="00607597"/>
    <w:rsid w:val="00610A91"/>
    <w:rsid w:val="006255E4"/>
    <w:rsid w:val="00641020"/>
    <w:rsid w:val="006410C1"/>
    <w:rsid w:val="00647F05"/>
    <w:rsid w:val="006530EF"/>
    <w:rsid w:val="00654D06"/>
    <w:rsid w:val="00661536"/>
    <w:rsid w:val="006630C5"/>
    <w:rsid w:val="0067233D"/>
    <w:rsid w:val="006745AE"/>
    <w:rsid w:val="00675BEF"/>
    <w:rsid w:val="00676AF3"/>
    <w:rsid w:val="00676D10"/>
    <w:rsid w:val="006807BE"/>
    <w:rsid w:val="00680F71"/>
    <w:rsid w:val="00682A53"/>
    <w:rsid w:val="0069174B"/>
    <w:rsid w:val="00693FA1"/>
    <w:rsid w:val="006B05E3"/>
    <w:rsid w:val="006B09BC"/>
    <w:rsid w:val="006B42A0"/>
    <w:rsid w:val="006B4E59"/>
    <w:rsid w:val="006B6CE9"/>
    <w:rsid w:val="006C3402"/>
    <w:rsid w:val="006C3622"/>
    <w:rsid w:val="006C395C"/>
    <w:rsid w:val="006C45D4"/>
    <w:rsid w:val="006C6D23"/>
    <w:rsid w:val="006D0041"/>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38C"/>
    <w:rsid w:val="0074640C"/>
    <w:rsid w:val="0075003D"/>
    <w:rsid w:val="00751B37"/>
    <w:rsid w:val="00754D44"/>
    <w:rsid w:val="00757980"/>
    <w:rsid w:val="00767B7E"/>
    <w:rsid w:val="007746A9"/>
    <w:rsid w:val="00777A40"/>
    <w:rsid w:val="00785465"/>
    <w:rsid w:val="00787656"/>
    <w:rsid w:val="007939D6"/>
    <w:rsid w:val="00794E8B"/>
    <w:rsid w:val="00796F2E"/>
    <w:rsid w:val="007A651F"/>
    <w:rsid w:val="007A67EA"/>
    <w:rsid w:val="007B15AF"/>
    <w:rsid w:val="007B7E83"/>
    <w:rsid w:val="007C1631"/>
    <w:rsid w:val="007C636F"/>
    <w:rsid w:val="007D0EF8"/>
    <w:rsid w:val="007D39EB"/>
    <w:rsid w:val="008131E7"/>
    <w:rsid w:val="00813711"/>
    <w:rsid w:val="00814279"/>
    <w:rsid w:val="008263C2"/>
    <w:rsid w:val="008375EE"/>
    <w:rsid w:val="00842959"/>
    <w:rsid w:val="008451FE"/>
    <w:rsid w:val="00845F7C"/>
    <w:rsid w:val="008466A1"/>
    <w:rsid w:val="00846C1D"/>
    <w:rsid w:val="0085048A"/>
    <w:rsid w:val="00851758"/>
    <w:rsid w:val="008529C4"/>
    <w:rsid w:val="00856D5A"/>
    <w:rsid w:val="008609EB"/>
    <w:rsid w:val="00862D6D"/>
    <w:rsid w:val="00865177"/>
    <w:rsid w:val="008653E0"/>
    <w:rsid w:val="008657FB"/>
    <w:rsid w:val="00871D4F"/>
    <w:rsid w:val="00874FB3"/>
    <w:rsid w:val="00880BE3"/>
    <w:rsid w:val="00882588"/>
    <w:rsid w:val="00895792"/>
    <w:rsid w:val="008A3738"/>
    <w:rsid w:val="008A5493"/>
    <w:rsid w:val="008B264E"/>
    <w:rsid w:val="008B645B"/>
    <w:rsid w:val="008B67B8"/>
    <w:rsid w:val="008B774D"/>
    <w:rsid w:val="008C123E"/>
    <w:rsid w:val="008C3ED0"/>
    <w:rsid w:val="008C5585"/>
    <w:rsid w:val="008C5E94"/>
    <w:rsid w:val="008E6E9D"/>
    <w:rsid w:val="008F68F7"/>
    <w:rsid w:val="008F7480"/>
    <w:rsid w:val="00901FB7"/>
    <w:rsid w:val="009037B6"/>
    <w:rsid w:val="00906CBE"/>
    <w:rsid w:val="00906FFA"/>
    <w:rsid w:val="00910384"/>
    <w:rsid w:val="0091230A"/>
    <w:rsid w:val="009139C0"/>
    <w:rsid w:val="009161C8"/>
    <w:rsid w:val="009164AD"/>
    <w:rsid w:val="00922289"/>
    <w:rsid w:val="00936F46"/>
    <w:rsid w:val="0094271E"/>
    <w:rsid w:val="00943142"/>
    <w:rsid w:val="00943353"/>
    <w:rsid w:val="00943A29"/>
    <w:rsid w:val="0095197E"/>
    <w:rsid w:val="00952AB2"/>
    <w:rsid w:val="009551E0"/>
    <w:rsid w:val="00955801"/>
    <w:rsid w:val="0095654E"/>
    <w:rsid w:val="00956F3C"/>
    <w:rsid w:val="0095779B"/>
    <w:rsid w:val="00961CF6"/>
    <w:rsid w:val="0096485D"/>
    <w:rsid w:val="009900F0"/>
    <w:rsid w:val="00991769"/>
    <w:rsid w:val="00994E9F"/>
    <w:rsid w:val="00996931"/>
    <w:rsid w:val="009A40C2"/>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5351"/>
    <w:rsid w:val="00A42ADE"/>
    <w:rsid w:val="00A47A08"/>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40D26"/>
    <w:rsid w:val="00B42948"/>
    <w:rsid w:val="00B4451B"/>
    <w:rsid w:val="00B51316"/>
    <w:rsid w:val="00B72D62"/>
    <w:rsid w:val="00B843C8"/>
    <w:rsid w:val="00B951E2"/>
    <w:rsid w:val="00B96F37"/>
    <w:rsid w:val="00BA607C"/>
    <w:rsid w:val="00BB3E2A"/>
    <w:rsid w:val="00BB720D"/>
    <w:rsid w:val="00BC15D1"/>
    <w:rsid w:val="00BC16F5"/>
    <w:rsid w:val="00BC287D"/>
    <w:rsid w:val="00BC4A76"/>
    <w:rsid w:val="00BD32E5"/>
    <w:rsid w:val="00BD7ADD"/>
    <w:rsid w:val="00BE41C3"/>
    <w:rsid w:val="00BE6767"/>
    <w:rsid w:val="00BE68D7"/>
    <w:rsid w:val="00BF7763"/>
    <w:rsid w:val="00C04D5E"/>
    <w:rsid w:val="00C24EA2"/>
    <w:rsid w:val="00C24F70"/>
    <w:rsid w:val="00C33479"/>
    <w:rsid w:val="00C33A3B"/>
    <w:rsid w:val="00C47BA2"/>
    <w:rsid w:val="00C612DC"/>
    <w:rsid w:val="00C622CB"/>
    <w:rsid w:val="00C64D15"/>
    <w:rsid w:val="00C74F74"/>
    <w:rsid w:val="00C7554B"/>
    <w:rsid w:val="00C83E31"/>
    <w:rsid w:val="00C916A4"/>
    <w:rsid w:val="00CA2A52"/>
    <w:rsid w:val="00CA2B15"/>
    <w:rsid w:val="00CA42BC"/>
    <w:rsid w:val="00CA6490"/>
    <w:rsid w:val="00CB13F4"/>
    <w:rsid w:val="00CB5744"/>
    <w:rsid w:val="00CB7022"/>
    <w:rsid w:val="00CC0F89"/>
    <w:rsid w:val="00CD1937"/>
    <w:rsid w:val="00CE214C"/>
    <w:rsid w:val="00CE6858"/>
    <w:rsid w:val="00CF50BE"/>
    <w:rsid w:val="00CF6A52"/>
    <w:rsid w:val="00D03583"/>
    <w:rsid w:val="00D117B4"/>
    <w:rsid w:val="00D169F7"/>
    <w:rsid w:val="00D26D01"/>
    <w:rsid w:val="00D314B7"/>
    <w:rsid w:val="00D33DA3"/>
    <w:rsid w:val="00D4723B"/>
    <w:rsid w:val="00D55EE8"/>
    <w:rsid w:val="00D5785A"/>
    <w:rsid w:val="00D60406"/>
    <w:rsid w:val="00D64C48"/>
    <w:rsid w:val="00D655C8"/>
    <w:rsid w:val="00D731C4"/>
    <w:rsid w:val="00D76BB8"/>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15BAE"/>
    <w:rsid w:val="00E26A7B"/>
    <w:rsid w:val="00E275F9"/>
    <w:rsid w:val="00E30AA0"/>
    <w:rsid w:val="00E30D45"/>
    <w:rsid w:val="00E42FE4"/>
    <w:rsid w:val="00E46FAA"/>
    <w:rsid w:val="00E51764"/>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D67E2"/>
    <w:rsid w:val="00EE764E"/>
    <w:rsid w:val="00EF1347"/>
    <w:rsid w:val="00EF2BEB"/>
    <w:rsid w:val="00F01129"/>
    <w:rsid w:val="00F03D93"/>
    <w:rsid w:val="00F03D9E"/>
    <w:rsid w:val="00F076BA"/>
    <w:rsid w:val="00F15786"/>
    <w:rsid w:val="00F227BF"/>
    <w:rsid w:val="00F374B2"/>
    <w:rsid w:val="00F40AFC"/>
    <w:rsid w:val="00F4730E"/>
    <w:rsid w:val="00F50A92"/>
    <w:rsid w:val="00F53F24"/>
    <w:rsid w:val="00F60A3F"/>
    <w:rsid w:val="00F63341"/>
    <w:rsid w:val="00F645A3"/>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757980"/>
    <w:pPr>
      <w:keepNext/>
      <w:keepLines/>
      <w:spacing w:before="240" w:line="240" w:lineRule="auto"/>
      <w:contextualSpacing/>
      <w:outlineLvl w:val="0"/>
    </w:pPr>
    <w:rPr>
      <w:rFonts w:ascii="Georgia" w:hAnsi="Georgia" w:cs="Arial"/>
      <w:bCs/>
      <w:color w:val="500778" w:themeColor="accent6"/>
      <w:kern w:val="32"/>
      <w:sz w:val="24"/>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757980"/>
    <w:rPr>
      <w:rFonts w:ascii="Georgia" w:hAnsi="Georgia" w:cs="Arial"/>
      <w:bCs/>
      <w:color w:val="500778" w:themeColor="accent6"/>
      <w:kern w:val="32"/>
      <w:sz w:val="24"/>
      <w:szCs w:val="24"/>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757980"/>
    <w:pPr>
      <w:keepNext/>
      <w:keepLines/>
      <w:spacing w:before="240" w:line="240" w:lineRule="auto"/>
      <w:contextualSpacing/>
      <w:outlineLvl w:val="0"/>
    </w:pPr>
    <w:rPr>
      <w:rFonts w:ascii="Georgia" w:hAnsi="Georgia" w:cs="Arial"/>
      <w:bCs/>
      <w:color w:val="500778" w:themeColor="accent6"/>
      <w:kern w:val="32"/>
      <w:sz w:val="24"/>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757980"/>
    <w:rPr>
      <w:rFonts w:ascii="Georgia" w:hAnsi="Georgia" w:cs="Arial"/>
      <w:bCs/>
      <w:color w:val="500778" w:themeColor="accent6"/>
      <w:kern w:val="32"/>
      <w:sz w:val="24"/>
      <w:szCs w:val="24"/>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CLD@ds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about-the-department/publications-articles/research-publications/longitudinal-data-initiatives/footprints-in-time-the-longitudinal-study-of-indigenous-children-ls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54F6-2006-435F-82C9-503C89E3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2015-05-22T00:27:00Z</dcterms:created>
  <dcterms:modified xsi:type="dcterms:W3CDTF">2015-05-22T01:34:00Z</dcterms:modified>
</cp:coreProperties>
</file>