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79" w:rsidRPr="0022133E" w:rsidRDefault="00AA33E5" w:rsidP="0022133E">
      <w:pPr>
        <w:pStyle w:val="Title"/>
      </w:pPr>
      <w:r w:rsidRPr="0022133E">
        <w:t>National Rental Affordability Scheme (NRAS)</w:t>
      </w:r>
    </w:p>
    <w:p w:rsidR="00D54679" w:rsidRPr="00AC5CAD" w:rsidRDefault="00862E54" w:rsidP="00AC5CAD">
      <w:pPr>
        <w:pStyle w:val="Subtitle"/>
      </w:pPr>
      <w:r w:rsidRPr="00AC5CAD">
        <w:t>NRAS Incentive (indexation)</w:t>
      </w:r>
    </w:p>
    <w:p w:rsidR="00862E54" w:rsidRPr="002560D3" w:rsidRDefault="00862E54" w:rsidP="00AC5CAD">
      <w:pPr>
        <w:pStyle w:val="Heading1"/>
      </w:pPr>
      <w:r w:rsidRPr="00527986">
        <w:t>Introduction</w:t>
      </w:r>
    </w:p>
    <w:p w:rsidR="00862E54" w:rsidRDefault="00862E54" w:rsidP="00862E54">
      <w:pPr>
        <w:spacing w:before="120" w:after="0" w:line="280" w:lineRule="atLeast"/>
        <w:rPr>
          <w:rFonts w:ascii="Museo Sans 100" w:hAnsi="Museo Sans 100"/>
          <w:color w:val="auto"/>
          <w:sz w:val="22"/>
          <w:szCs w:val="22"/>
        </w:rPr>
      </w:pPr>
      <w:r w:rsidRPr="002560D3">
        <w:rPr>
          <w:rFonts w:ascii="Museo Sans 100" w:hAnsi="Museo Sans 100"/>
          <w:color w:val="auto"/>
          <w:sz w:val="22"/>
          <w:szCs w:val="22"/>
        </w:rPr>
        <w:t xml:space="preserve">The NRAS </w:t>
      </w:r>
      <w:r w:rsidRPr="007258ED">
        <w:rPr>
          <w:rFonts w:ascii="Museo Sans 100" w:hAnsi="Museo Sans 100"/>
          <w:color w:val="auto"/>
          <w:sz w:val="22"/>
          <w:szCs w:val="22"/>
          <w:lang w:val="en-AU"/>
        </w:rPr>
        <w:t>Incentive</w:t>
      </w:r>
      <w:r w:rsidRPr="002560D3">
        <w:rPr>
          <w:rFonts w:ascii="Museo Sans 100" w:hAnsi="Museo Sans 100"/>
          <w:color w:val="auto"/>
          <w:sz w:val="22"/>
          <w:szCs w:val="22"/>
        </w:rPr>
        <w:t xml:space="preserve"> is indexed according to movements in the Rents component of the Housing Group Consumer Price Index for the year, December quarter to December quarter as at </w:t>
      </w:r>
      <w:r w:rsidR="006D25FE" w:rsidRPr="002560D3">
        <w:rPr>
          <w:rFonts w:ascii="Museo Sans 100" w:hAnsi="Museo Sans 100"/>
          <w:color w:val="auto"/>
          <w:sz w:val="22"/>
          <w:szCs w:val="22"/>
        </w:rPr>
        <w:t>1</w:t>
      </w:r>
      <w:r w:rsidR="006D25FE">
        <w:rPr>
          <w:rFonts w:ascii="Museo Sans 100" w:hAnsi="Museo Sans 100"/>
          <w:color w:val="auto"/>
          <w:sz w:val="22"/>
          <w:szCs w:val="22"/>
        </w:rPr>
        <w:t> </w:t>
      </w:r>
      <w:r w:rsidRPr="002560D3">
        <w:rPr>
          <w:rFonts w:ascii="Museo Sans 100" w:hAnsi="Museo Sans 100"/>
          <w:color w:val="auto"/>
          <w:sz w:val="22"/>
          <w:szCs w:val="22"/>
        </w:rPr>
        <w:t xml:space="preserve">March, using the weighted average rate of eight capital cities housing component, and is effective from </w:t>
      </w:r>
      <w:r w:rsidR="006D25FE" w:rsidRPr="002560D3">
        <w:rPr>
          <w:rFonts w:ascii="Museo Sans 100" w:hAnsi="Museo Sans 100"/>
          <w:color w:val="auto"/>
          <w:sz w:val="22"/>
          <w:szCs w:val="22"/>
        </w:rPr>
        <w:t>1</w:t>
      </w:r>
      <w:r w:rsidR="006D25FE">
        <w:rPr>
          <w:rFonts w:ascii="Museo Sans 100" w:hAnsi="Museo Sans 100"/>
          <w:color w:val="auto"/>
          <w:sz w:val="22"/>
          <w:szCs w:val="22"/>
        </w:rPr>
        <w:t> </w:t>
      </w:r>
      <w:r w:rsidRPr="002560D3">
        <w:rPr>
          <w:rFonts w:ascii="Museo Sans 100" w:hAnsi="Museo Sans 100"/>
          <w:color w:val="auto"/>
          <w:sz w:val="22"/>
          <w:szCs w:val="22"/>
        </w:rPr>
        <w:t>May.</w:t>
      </w:r>
    </w:p>
    <w:p w:rsidR="00862E54" w:rsidRPr="00FA4018" w:rsidRDefault="00862E54" w:rsidP="00AC5CAD">
      <w:pPr>
        <w:pStyle w:val="Heading1"/>
      </w:pPr>
      <w:r w:rsidRPr="00FA4018">
        <w:t>Incentive values</w:t>
      </w:r>
    </w:p>
    <w:p w:rsidR="007A1531" w:rsidRPr="0022133E" w:rsidRDefault="007A1531" w:rsidP="0022133E">
      <w:pPr>
        <w:pStyle w:val="Heading2"/>
      </w:pPr>
      <w:r w:rsidRPr="0022133E">
        <w:t xml:space="preserve">Rents Component — Weighted average of eight capital cities — 2.4% increase in </w:t>
      </w:r>
      <w:r w:rsidR="00093A97" w:rsidRPr="0022133E">
        <w:t>2015-16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194"/>
        <w:gridCol w:w="2693"/>
        <w:gridCol w:w="1219"/>
      </w:tblGrid>
      <w:tr w:rsidR="007A1531" w:rsidTr="00556CE2">
        <w:trPr>
          <w:tblHeader/>
        </w:trPr>
        <w:tc>
          <w:tcPr>
            <w:tcW w:w="4903" w:type="dxa"/>
            <w:gridSpan w:val="3"/>
            <w:shd w:val="clear" w:color="auto" w:fill="005A70"/>
          </w:tcPr>
          <w:p w:rsidR="007A1531" w:rsidRPr="002560D3" w:rsidRDefault="007A1531" w:rsidP="00A96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Current NRAS Year</w:t>
            </w:r>
          </w:p>
        </w:tc>
      </w:tr>
      <w:tr w:rsidR="007A1531" w:rsidTr="00556CE2">
        <w:trPr>
          <w:trHeight w:val="567"/>
          <w:tblHeader/>
        </w:trPr>
        <w:tc>
          <w:tcPr>
            <w:tcW w:w="1181" w:type="dxa"/>
          </w:tcPr>
          <w:p w:rsidR="007A1531" w:rsidRPr="002560D3" w:rsidRDefault="007A1531" w:rsidP="00A964A6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</w:tcPr>
          <w:p w:rsidR="007A1531" w:rsidRPr="002560D3" w:rsidRDefault="007A1531" w:rsidP="00A964A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</w:tcPr>
          <w:p w:rsidR="007A1531" w:rsidRPr="002560D3" w:rsidRDefault="007A1531" w:rsidP="00A964A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7A1531" w:rsidTr="00136FAE">
        <w:tc>
          <w:tcPr>
            <w:tcW w:w="1181" w:type="dxa"/>
            <w:vMerge w:val="restart"/>
          </w:tcPr>
          <w:p w:rsidR="007A1531" w:rsidRPr="002560D3" w:rsidRDefault="007A1531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7A1531" w:rsidRPr="002560D3" w:rsidRDefault="007A1531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</w:tcPr>
          <w:p w:rsidR="007A1531" w:rsidRPr="006D10B5" w:rsidRDefault="007A1531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$8,187.78</w:t>
            </w:r>
          </w:p>
        </w:tc>
      </w:tr>
      <w:tr w:rsidR="007A1531" w:rsidTr="00136FAE">
        <w:tc>
          <w:tcPr>
            <w:tcW w:w="1181" w:type="dxa"/>
            <w:vMerge/>
          </w:tcPr>
          <w:p w:rsidR="007A1531" w:rsidRPr="002560D3" w:rsidRDefault="007A1531" w:rsidP="00A964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1531" w:rsidRPr="002560D3" w:rsidRDefault="007A1531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</w:tcPr>
          <w:p w:rsidR="007A1531" w:rsidRPr="006D10B5" w:rsidRDefault="007A1531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$2,729.26</w:t>
            </w:r>
          </w:p>
        </w:tc>
      </w:tr>
      <w:tr w:rsidR="007A1531" w:rsidTr="00136FAE">
        <w:tc>
          <w:tcPr>
            <w:tcW w:w="1181" w:type="dxa"/>
            <w:vMerge/>
          </w:tcPr>
          <w:p w:rsidR="007A1531" w:rsidRPr="002560D3" w:rsidRDefault="007A1531" w:rsidP="00A964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1531" w:rsidRPr="002560D3" w:rsidRDefault="007A1531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</w:tcPr>
          <w:p w:rsidR="007A1531" w:rsidRPr="006D10B5" w:rsidRDefault="007A1531" w:rsidP="00A964A6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begin"/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instrText xml:space="preserve"> =SUM(ABOVE) </w:instrTex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separate"/>
            </w:r>
            <w:r w:rsidRPr="006D10B5">
              <w:rPr>
                <w:rFonts w:ascii="Calibri" w:eastAsia="Times New Roman" w:hAnsi="Calibri"/>
                <w:noProof/>
                <w:color w:val="222222"/>
                <w:sz w:val="22"/>
                <w:szCs w:val="22"/>
                <w:lang w:eastAsia="en-AU"/>
              </w:rPr>
              <w:t>$10,917.04</w: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:rsidR="00093A97" w:rsidRPr="0022133E" w:rsidRDefault="00093A97" w:rsidP="0022133E">
      <w:pPr>
        <w:pStyle w:val="Heading2"/>
      </w:pPr>
      <w:r w:rsidRPr="0022133E">
        <w:t>Rents Component — Weighted average of eight capital cities — 3.0% increase in 2014-15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3.0% increase in 2014-15"/>
      </w:tblPr>
      <w:tblGrid>
        <w:gridCol w:w="1194"/>
        <w:gridCol w:w="2693"/>
        <w:gridCol w:w="1219"/>
      </w:tblGrid>
      <w:tr w:rsidR="00136FAE" w:rsidRPr="00136FAE" w:rsidTr="00556CE2">
        <w:trPr>
          <w:tblHeader/>
        </w:trPr>
        <w:tc>
          <w:tcPr>
            <w:tcW w:w="4903" w:type="dxa"/>
            <w:gridSpan w:val="3"/>
            <w:shd w:val="clear" w:color="auto" w:fill="005A70"/>
          </w:tcPr>
          <w:p w:rsidR="00093A97" w:rsidRPr="00136FAE" w:rsidRDefault="00093A97" w:rsidP="00A964A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 w:colFirst="0" w:colLast="0"/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Past NRAS Year</w:t>
            </w:r>
          </w:p>
        </w:tc>
      </w:tr>
      <w:bookmarkEnd w:id="0"/>
      <w:tr w:rsidR="00093A97" w:rsidTr="00556CE2">
        <w:trPr>
          <w:trHeight w:val="567"/>
          <w:tblHeader/>
        </w:trPr>
        <w:tc>
          <w:tcPr>
            <w:tcW w:w="1181" w:type="dxa"/>
          </w:tcPr>
          <w:p w:rsidR="00093A97" w:rsidRPr="002560D3" w:rsidRDefault="00093A97" w:rsidP="00A964A6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</w:tcPr>
          <w:p w:rsidR="00093A97" w:rsidRPr="002560D3" w:rsidRDefault="00093A97" w:rsidP="00A964A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</w:tcPr>
          <w:p w:rsidR="00093A97" w:rsidRPr="002560D3" w:rsidRDefault="00093A97" w:rsidP="00A964A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093A97" w:rsidTr="00136FAE">
        <w:tc>
          <w:tcPr>
            <w:tcW w:w="1181" w:type="dxa"/>
            <w:vMerge w:val="restart"/>
          </w:tcPr>
          <w:p w:rsidR="00093A97" w:rsidRPr="002560D3" w:rsidRDefault="00093A97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93A97" w:rsidRPr="002560D3" w:rsidRDefault="00093A97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</w:tcPr>
          <w:p w:rsidR="00093A97" w:rsidRPr="006D10B5" w:rsidRDefault="00093A97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$7,995.88</w:t>
            </w:r>
          </w:p>
        </w:tc>
      </w:tr>
      <w:tr w:rsidR="00093A97" w:rsidTr="00136FAE">
        <w:tc>
          <w:tcPr>
            <w:tcW w:w="1181" w:type="dxa"/>
            <w:vMerge/>
          </w:tcPr>
          <w:p w:rsidR="00093A97" w:rsidRPr="002560D3" w:rsidRDefault="00093A97" w:rsidP="00A964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3A97" w:rsidRPr="002560D3" w:rsidRDefault="00093A97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</w:tcPr>
          <w:p w:rsidR="00093A97" w:rsidRPr="006D10B5" w:rsidRDefault="00093A97" w:rsidP="00A964A6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$2,665.29</w:t>
            </w:r>
          </w:p>
        </w:tc>
      </w:tr>
      <w:tr w:rsidR="00093A97" w:rsidTr="00136FAE">
        <w:tc>
          <w:tcPr>
            <w:tcW w:w="1181" w:type="dxa"/>
            <w:vMerge/>
          </w:tcPr>
          <w:p w:rsidR="00093A97" w:rsidRPr="002560D3" w:rsidRDefault="00093A97" w:rsidP="00A964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3A97" w:rsidRPr="002560D3" w:rsidRDefault="00093A97" w:rsidP="00A964A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</w:tcPr>
          <w:p w:rsidR="00093A97" w:rsidRPr="006D10B5" w:rsidRDefault="00093A97" w:rsidP="00A964A6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begin"/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instrText xml:space="preserve"> =SUM(ABOVE) </w:instrTex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separate"/>
            </w:r>
            <w:r w:rsidRPr="006D10B5">
              <w:rPr>
                <w:rFonts w:ascii="Calibri" w:eastAsia="Times New Roman" w:hAnsi="Calibri"/>
                <w:noProof/>
                <w:color w:val="222222"/>
                <w:sz w:val="22"/>
                <w:szCs w:val="22"/>
                <w:lang w:eastAsia="en-AU"/>
              </w:rPr>
              <w:t>$10,661.17</w: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:rsidR="00862E54" w:rsidRPr="00741D10" w:rsidRDefault="00862E54" w:rsidP="0022133E">
      <w:pPr>
        <w:pStyle w:val="Heading2"/>
        <w:rPr>
          <w:b/>
        </w:rPr>
      </w:pPr>
      <w:r w:rsidRPr="00FA4018">
        <w:t xml:space="preserve">Rents Component — Weighted average of eight capital cities — 3.7% increase </w:t>
      </w:r>
      <w:r w:rsidRPr="0022133E">
        <w:t>in 2013-14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3.7% increase in 2013-14&#10;"/>
      </w:tblPr>
      <w:tblGrid>
        <w:gridCol w:w="1194"/>
        <w:gridCol w:w="2693"/>
        <w:gridCol w:w="1219"/>
      </w:tblGrid>
      <w:tr w:rsidR="00136FAE" w:rsidRPr="00136FAE" w:rsidTr="00556CE2">
        <w:trPr>
          <w:tblHeader/>
        </w:trPr>
        <w:tc>
          <w:tcPr>
            <w:tcW w:w="4903" w:type="dxa"/>
            <w:gridSpan w:val="3"/>
            <w:shd w:val="clear" w:color="auto" w:fill="005A70"/>
          </w:tcPr>
          <w:p w:rsidR="00862E54" w:rsidRPr="00136FAE" w:rsidRDefault="007A1531" w:rsidP="001D25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Past </w:t>
            </w:r>
            <w:r w:rsidR="0026428C"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NRAS Year</w:t>
            </w:r>
          </w:p>
        </w:tc>
      </w:tr>
      <w:tr w:rsidR="00862E54" w:rsidTr="00556CE2">
        <w:trPr>
          <w:trHeight w:val="567"/>
          <w:tblHeader/>
        </w:trPr>
        <w:tc>
          <w:tcPr>
            <w:tcW w:w="1181" w:type="dxa"/>
          </w:tcPr>
          <w:p w:rsidR="00862E54" w:rsidRPr="002560D3" w:rsidRDefault="00862E54" w:rsidP="001D2544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36FAE">
        <w:tc>
          <w:tcPr>
            <w:tcW w:w="1181" w:type="dxa"/>
            <w:vMerge w:val="restart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62E54" w:rsidRPr="00093A97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3A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</w:tcPr>
          <w:p w:rsidR="00862E54" w:rsidRPr="006D10B5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$7,763.00</w:t>
            </w:r>
          </w:p>
        </w:tc>
      </w:tr>
      <w:tr w:rsidR="00862E54" w:rsidTr="00136FAE">
        <w:tc>
          <w:tcPr>
            <w:tcW w:w="1181" w:type="dxa"/>
            <w:vMerge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E54" w:rsidRPr="00093A97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3A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</w:tcPr>
          <w:p w:rsidR="00862E54" w:rsidRPr="006D10B5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t>$2,587.00</w:t>
            </w:r>
          </w:p>
        </w:tc>
      </w:tr>
      <w:tr w:rsidR="00862E54" w:rsidTr="00136FAE">
        <w:tc>
          <w:tcPr>
            <w:tcW w:w="1181" w:type="dxa"/>
            <w:vMerge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E54" w:rsidRPr="00093A97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3A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</w:tcPr>
          <w:p w:rsidR="00862E54" w:rsidRPr="006D10B5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</w:pP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begin"/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instrText xml:space="preserve"> =SUM(ABOVE) </w:instrTex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separate"/>
            </w:r>
            <w:r w:rsidRPr="006D10B5">
              <w:rPr>
                <w:rFonts w:ascii="Calibri" w:eastAsia="Times New Roman" w:hAnsi="Calibri"/>
                <w:noProof/>
                <w:color w:val="222222"/>
                <w:sz w:val="22"/>
                <w:szCs w:val="22"/>
                <w:lang w:eastAsia="en-AU"/>
              </w:rPr>
              <w:t>$10,350.00</w:t>
            </w:r>
            <w:r w:rsidRPr="006D10B5">
              <w:rPr>
                <w:rFonts w:ascii="Calibri" w:eastAsia="Times New Roman" w:hAnsi="Calibri"/>
                <w:color w:val="222222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:rsidR="00A42C28" w:rsidRDefault="00A42C28" w:rsidP="00A42C28">
      <w:pPr>
        <w:rPr>
          <w:rFonts w:ascii="Georgia" w:eastAsiaTheme="majorEastAsia" w:hAnsi="Georgia" w:cstheme="majorBidi"/>
          <w:color w:val="auto"/>
          <w:sz w:val="24"/>
          <w:szCs w:val="26"/>
        </w:rPr>
      </w:pPr>
      <w:r>
        <w:br w:type="page"/>
      </w:r>
    </w:p>
    <w:p w:rsidR="00862E54" w:rsidRPr="0022133E" w:rsidRDefault="00862E54" w:rsidP="0022133E">
      <w:pPr>
        <w:pStyle w:val="Heading2"/>
      </w:pPr>
      <w:r w:rsidRPr="0022133E">
        <w:lastRenderedPageBreak/>
        <w:t>Rents Component — Weighted average of eight capital cities — 4.8% increase in 2012-13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4.8% increase in 2012-13"/>
      </w:tblPr>
      <w:tblGrid>
        <w:gridCol w:w="1194"/>
        <w:gridCol w:w="2693"/>
        <w:gridCol w:w="1107"/>
      </w:tblGrid>
      <w:tr w:rsidR="00136FAE" w:rsidRPr="00136FAE" w:rsidTr="00556CE2">
        <w:trPr>
          <w:tblHeader/>
        </w:trPr>
        <w:tc>
          <w:tcPr>
            <w:tcW w:w="4903" w:type="dxa"/>
            <w:gridSpan w:val="3"/>
            <w:shd w:val="clear" w:color="auto" w:fill="005A70"/>
          </w:tcPr>
          <w:p w:rsidR="00862E54" w:rsidRPr="00136FAE" w:rsidRDefault="0026428C" w:rsidP="001D254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Past NRAS Year</w:t>
            </w:r>
          </w:p>
        </w:tc>
      </w:tr>
      <w:tr w:rsidR="00862E54" w:rsidTr="00556CE2">
        <w:trPr>
          <w:trHeight w:val="567"/>
          <w:tblHeader/>
        </w:trPr>
        <w:tc>
          <w:tcPr>
            <w:tcW w:w="1181" w:type="dxa"/>
          </w:tcPr>
          <w:p w:rsidR="00862E54" w:rsidRPr="002560D3" w:rsidRDefault="00862E54" w:rsidP="001D2544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36FAE">
        <w:tc>
          <w:tcPr>
            <w:tcW w:w="1181" w:type="dxa"/>
            <w:vMerge w:val="restart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2012/2013</w:t>
            </w:r>
          </w:p>
        </w:tc>
        <w:tc>
          <w:tcPr>
            <w:tcW w:w="269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$7,486.00</w:t>
            </w:r>
          </w:p>
        </w:tc>
      </w:tr>
      <w:tr w:rsidR="00862E54" w:rsidTr="00136FAE">
        <w:tc>
          <w:tcPr>
            <w:tcW w:w="1181" w:type="dxa"/>
            <w:vMerge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$2,495.00</w:t>
            </w:r>
          </w:p>
        </w:tc>
      </w:tr>
      <w:tr w:rsidR="00862E54" w:rsidTr="00136FAE">
        <w:tc>
          <w:tcPr>
            <w:tcW w:w="1181" w:type="dxa"/>
            <w:vMerge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$9,981.00</w:t>
            </w:r>
          </w:p>
        </w:tc>
      </w:tr>
    </w:tbl>
    <w:p w:rsidR="00862E54" w:rsidRPr="0022133E" w:rsidRDefault="00862E54" w:rsidP="0022133E">
      <w:pPr>
        <w:pStyle w:val="Heading2"/>
      </w:pPr>
      <w:r w:rsidRPr="0022133E">
        <w:t>Rents Component — Weighted average of eight capital cities — 4.2% Increase in 2011-12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4.2% Increase in 2011-12"/>
      </w:tblPr>
      <w:tblGrid>
        <w:gridCol w:w="1194"/>
        <w:gridCol w:w="2775"/>
        <w:gridCol w:w="1390"/>
      </w:tblGrid>
      <w:tr w:rsidR="00136FAE" w:rsidRPr="00136FAE" w:rsidTr="00556CE2">
        <w:trPr>
          <w:tblHeader/>
        </w:trPr>
        <w:tc>
          <w:tcPr>
            <w:tcW w:w="5198" w:type="dxa"/>
            <w:gridSpan w:val="3"/>
            <w:shd w:val="clear" w:color="auto" w:fill="005A70"/>
          </w:tcPr>
          <w:p w:rsidR="00862E54" w:rsidRPr="00136FAE" w:rsidRDefault="00862E54" w:rsidP="001D2544">
            <w:pPr>
              <w:jc w:val="center"/>
              <w:rPr>
                <w:rFonts w:ascii="Museo Sans 100" w:hAnsi="Museo Sans 100"/>
                <w:color w:val="FFFFFF" w:themeColor="background1"/>
                <w:sz w:val="20"/>
                <w:szCs w:val="20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Past NRAS Year</w:t>
            </w:r>
          </w:p>
        </w:tc>
      </w:tr>
      <w:tr w:rsidR="00862E54" w:rsidRPr="002560D3" w:rsidTr="00556CE2">
        <w:trPr>
          <w:trHeight w:val="567"/>
          <w:tblHeader/>
        </w:trPr>
        <w:tc>
          <w:tcPr>
            <w:tcW w:w="1033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775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330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2560D3" w:rsidTr="00136FAE">
        <w:tc>
          <w:tcPr>
            <w:tcW w:w="1033" w:type="dxa"/>
            <w:vMerge w:val="restart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2011/2012</w:t>
            </w:r>
          </w:p>
        </w:tc>
        <w:tc>
          <w:tcPr>
            <w:tcW w:w="2775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330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$7 143.00</w:t>
            </w:r>
          </w:p>
        </w:tc>
      </w:tr>
      <w:tr w:rsidR="00862E54" w:rsidRPr="002560D3" w:rsidTr="00136FAE">
        <w:tc>
          <w:tcPr>
            <w:tcW w:w="1033" w:type="dxa"/>
            <w:vMerge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75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330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$2 381.00</w:t>
            </w:r>
          </w:p>
        </w:tc>
      </w:tr>
      <w:tr w:rsidR="00862E54" w:rsidRPr="002560D3" w:rsidTr="00136FAE">
        <w:tc>
          <w:tcPr>
            <w:tcW w:w="1033" w:type="dxa"/>
            <w:vMerge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75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330" w:type="dxa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$9 524.00</w:t>
            </w:r>
          </w:p>
        </w:tc>
      </w:tr>
    </w:tbl>
    <w:p w:rsidR="00862E54" w:rsidRPr="0022133E" w:rsidRDefault="00862E54" w:rsidP="0022133E">
      <w:pPr>
        <w:pStyle w:val="Heading2"/>
      </w:pPr>
      <w:r w:rsidRPr="0022133E">
        <w:t>Rents Component — Weighted average of eight capital cities — 5.4% Increase in 2010-11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5.4% Increase in 2010-11"/>
      </w:tblPr>
      <w:tblGrid>
        <w:gridCol w:w="1194"/>
        <w:gridCol w:w="2601"/>
        <w:gridCol w:w="1536"/>
      </w:tblGrid>
      <w:tr w:rsidR="00136FAE" w:rsidRPr="00136FAE" w:rsidTr="00556CE2">
        <w:trPr>
          <w:tblHeader/>
        </w:trPr>
        <w:tc>
          <w:tcPr>
            <w:tcW w:w="5230" w:type="dxa"/>
            <w:gridSpan w:val="3"/>
            <w:shd w:val="clear" w:color="auto" w:fill="005A70"/>
          </w:tcPr>
          <w:p w:rsidR="00862E54" w:rsidRPr="00136FAE" w:rsidRDefault="00862E54" w:rsidP="001D2544">
            <w:pPr>
              <w:jc w:val="center"/>
              <w:rPr>
                <w:rFonts w:ascii="Museo Sans 100" w:hAnsi="Museo Sans 100"/>
                <w:color w:val="FFFFFF" w:themeColor="background1"/>
                <w:sz w:val="20"/>
                <w:szCs w:val="20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Past NRAS Year</w:t>
            </w:r>
          </w:p>
        </w:tc>
      </w:tr>
      <w:tr w:rsidR="00862E54" w:rsidRPr="006B3469" w:rsidTr="00556CE2">
        <w:trPr>
          <w:trHeight w:val="567"/>
          <w:tblHeader/>
        </w:trPr>
        <w:tc>
          <w:tcPr>
            <w:tcW w:w="0" w:type="auto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0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53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6B3469" w:rsidTr="00136FAE">
        <w:tc>
          <w:tcPr>
            <w:tcW w:w="0" w:type="auto"/>
            <w:vMerge w:val="restart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2010/2011</w:t>
            </w:r>
          </w:p>
        </w:tc>
        <w:tc>
          <w:tcPr>
            <w:tcW w:w="260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53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$6 855.00</w:t>
            </w:r>
          </w:p>
        </w:tc>
      </w:tr>
      <w:tr w:rsidR="00862E54" w:rsidRPr="006B3469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53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$2 285.00</w:t>
            </w:r>
          </w:p>
        </w:tc>
      </w:tr>
      <w:tr w:rsidR="00862E54" w:rsidRPr="006B3469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3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$9 140.00</w:t>
            </w:r>
          </w:p>
        </w:tc>
      </w:tr>
    </w:tbl>
    <w:p w:rsidR="00862E54" w:rsidRPr="0022133E" w:rsidRDefault="00862E54" w:rsidP="0022133E">
      <w:pPr>
        <w:pStyle w:val="Heading2"/>
      </w:pPr>
      <w:r w:rsidRPr="0022133E">
        <w:t>Rents Component — Weighted average of eight capital cities — 8.4% Increase in 2009-10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 — Weighted average of eight capital cities — 8.4% Increase in 2009-10"/>
      </w:tblPr>
      <w:tblGrid>
        <w:gridCol w:w="1194"/>
        <w:gridCol w:w="2921"/>
        <w:gridCol w:w="1286"/>
      </w:tblGrid>
      <w:tr w:rsidR="00136FAE" w:rsidRPr="00136FAE" w:rsidTr="00556CE2">
        <w:trPr>
          <w:tblHeader/>
        </w:trPr>
        <w:tc>
          <w:tcPr>
            <w:tcW w:w="0" w:type="auto"/>
            <w:gridSpan w:val="3"/>
            <w:shd w:val="clear" w:color="auto" w:fill="005A70"/>
          </w:tcPr>
          <w:p w:rsidR="00862E54" w:rsidRPr="00136FAE" w:rsidRDefault="00862E54" w:rsidP="001D2544">
            <w:pPr>
              <w:jc w:val="center"/>
              <w:rPr>
                <w:rFonts w:ascii="Museo Sans 100" w:hAnsi="Museo Sans 100"/>
                <w:color w:val="FFFFFF" w:themeColor="background1"/>
                <w:sz w:val="20"/>
                <w:szCs w:val="20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Past NRAS Years</w:t>
            </w:r>
          </w:p>
        </w:tc>
      </w:tr>
      <w:tr w:rsidR="00862E54" w:rsidRPr="006B3469" w:rsidTr="00556CE2">
        <w:trPr>
          <w:trHeight w:val="567"/>
          <w:tblHeader/>
        </w:trPr>
        <w:tc>
          <w:tcPr>
            <w:tcW w:w="0" w:type="auto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92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28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6B3469" w:rsidTr="00136FAE">
        <w:tc>
          <w:tcPr>
            <w:tcW w:w="0" w:type="auto"/>
            <w:vMerge w:val="restart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2009/2010</w:t>
            </w:r>
          </w:p>
        </w:tc>
        <w:tc>
          <w:tcPr>
            <w:tcW w:w="292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28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$6 504.00</w:t>
            </w:r>
          </w:p>
        </w:tc>
      </w:tr>
      <w:tr w:rsidR="00862E54" w:rsidRPr="006B3469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28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$2 168.00</w:t>
            </w:r>
          </w:p>
        </w:tc>
      </w:tr>
      <w:tr w:rsidR="00862E54" w:rsidRPr="006B3469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1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286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$8 672.00</w:t>
            </w:r>
          </w:p>
        </w:tc>
      </w:tr>
    </w:tbl>
    <w:p w:rsidR="00862E54" w:rsidRPr="0022133E" w:rsidRDefault="00862E54" w:rsidP="0022133E">
      <w:pPr>
        <w:pStyle w:val="Heading2"/>
      </w:pPr>
      <w:r w:rsidRPr="0022133E">
        <w:t>Rents Component— Base rate in 2008-09</w:t>
      </w: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ents Component— Base rate in 2008-09"/>
      </w:tblPr>
      <w:tblGrid>
        <w:gridCol w:w="1194"/>
        <w:gridCol w:w="2638"/>
        <w:gridCol w:w="1569"/>
      </w:tblGrid>
      <w:tr w:rsidR="00862E54" w:rsidTr="00556CE2">
        <w:trPr>
          <w:tblHeader/>
        </w:trPr>
        <w:tc>
          <w:tcPr>
            <w:tcW w:w="0" w:type="auto"/>
            <w:gridSpan w:val="3"/>
            <w:shd w:val="clear" w:color="auto" w:fill="005A70"/>
          </w:tcPr>
          <w:p w:rsidR="00862E54" w:rsidRPr="00136FAE" w:rsidRDefault="00862E54" w:rsidP="001D2544">
            <w:pPr>
              <w:jc w:val="center"/>
              <w:rPr>
                <w:color w:val="FFFFFF" w:themeColor="background1"/>
              </w:rPr>
            </w:pPr>
            <w:r w:rsidRPr="00136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Base rate</w:t>
            </w:r>
            <w:r w:rsidRPr="00136FAE">
              <w:rPr>
                <w:color w:val="FFFFFF" w:themeColor="background1"/>
              </w:rPr>
              <w:t xml:space="preserve"> </w:t>
            </w:r>
          </w:p>
        </w:tc>
      </w:tr>
      <w:tr w:rsidR="00862E54" w:rsidTr="00556CE2">
        <w:trPr>
          <w:trHeight w:val="567"/>
          <w:tblHeader/>
        </w:trPr>
        <w:tc>
          <w:tcPr>
            <w:tcW w:w="0" w:type="auto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38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569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36FAE">
        <w:tc>
          <w:tcPr>
            <w:tcW w:w="0" w:type="auto"/>
            <w:vMerge w:val="restart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2008/2009</w:t>
            </w:r>
          </w:p>
        </w:tc>
        <w:tc>
          <w:tcPr>
            <w:tcW w:w="2638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569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$6 000.00</w:t>
            </w:r>
          </w:p>
        </w:tc>
      </w:tr>
      <w:tr w:rsidR="00862E54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569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$2 000.00</w:t>
            </w:r>
          </w:p>
        </w:tc>
      </w:tr>
      <w:tr w:rsidR="00862E54" w:rsidTr="00136FAE">
        <w:tc>
          <w:tcPr>
            <w:tcW w:w="0" w:type="auto"/>
            <w:vMerge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69" w:type="dxa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$8 000.00</w:t>
            </w:r>
          </w:p>
        </w:tc>
      </w:tr>
    </w:tbl>
    <w:p w:rsidR="00862E54" w:rsidRPr="006B3469" w:rsidRDefault="00862E54" w:rsidP="00AC5CAD">
      <w:pPr>
        <w:pStyle w:val="Heading1"/>
      </w:pPr>
      <w:r w:rsidRPr="006B3469">
        <w:t>More information</w:t>
      </w:r>
    </w:p>
    <w:p w:rsidR="00862E54" w:rsidRPr="00136FAE" w:rsidRDefault="00862E54" w:rsidP="00862E54">
      <w:pPr>
        <w:keepNext/>
        <w:spacing w:before="120" w:after="0" w:line="280" w:lineRule="atLeast"/>
        <w:rPr>
          <w:rFonts w:ascii="Museo Sans 100" w:hAnsi="Museo Sans 100"/>
          <w:color w:val="auto"/>
          <w:sz w:val="22"/>
          <w:szCs w:val="22"/>
        </w:rPr>
      </w:pPr>
      <w:r w:rsidRPr="006B3469">
        <w:rPr>
          <w:rFonts w:ascii="Museo Sans 100" w:hAnsi="Museo Sans 100"/>
          <w:color w:val="auto"/>
          <w:sz w:val="22"/>
          <w:szCs w:val="22"/>
        </w:rPr>
        <w:t>For more info</w:t>
      </w:r>
      <w:r w:rsidRPr="00136FAE">
        <w:rPr>
          <w:rFonts w:ascii="Museo Sans 100" w:hAnsi="Museo Sans 100"/>
          <w:color w:val="auto"/>
          <w:sz w:val="22"/>
          <w:szCs w:val="22"/>
        </w:rPr>
        <w:t xml:space="preserve">rmation visit </w:t>
      </w:r>
      <w:hyperlink r:id="rId8" w:history="1">
        <w:r w:rsidR="005802D4" w:rsidRPr="00136FAE">
          <w:rPr>
            <w:rStyle w:val="Hyperlink"/>
            <w:rFonts w:ascii="Museo Sans 100" w:hAnsi="Museo Sans 100"/>
            <w:sz w:val="22"/>
            <w:szCs w:val="22"/>
          </w:rPr>
          <w:t>the NRAS website</w:t>
        </w:r>
      </w:hyperlink>
    </w:p>
    <w:sectPr w:rsidR="00862E54" w:rsidRPr="00136FAE" w:rsidSect="00A42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14" w:right="424" w:bottom="1559" w:left="567" w:header="142" w:footer="1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E5" w:rsidRDefault="00AA33E5" w:rsidP="00D54679">
      <w:pPr>
        <w:spacing w:after="0" w:line="240" w:lineRule="auto"/>
      </w:pPr>
      <w:r>
        <w:separator/>
      </w:r>
    </w:p>
  </w:endnote>
  <w:endnote w:type="continuationSeparator" w:id="0">
    <w:p w:rsidR="00AA33E5" w:rsidRDefault="00AA33E5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3E" w:rsidRDefault="00221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D54679" w:rsidP="006839E0">
    <w:pPr>
      <w:pStyle w:val="Footer"/>
      <w:ind w:left="-1134" w:right="-24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Pr="006839E0" w:rsidRDefault="00D5467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E5" w:rsidRDefault="00AA33E5" w:rsidP="00D54679">
      <w:pPr>
        <w:spacing w:after="0" w:line="240" w:lineRule="auto"/>
      </w:pPr>
      <w:r>
        <w:separator/>
      </w:r>
    </w:p>
  </w:footnote>
  <w:footnote w:type="continuationSeparator" w:id="0">
    <w:p w:rsidR="00AA33E5" w:rsidRDefault="00AA33E5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3E" w:rsidRDefault="00221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Pr="00A42C28" w:rsidRDefault="00D54679" w:rsidP="00A42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4B" w:rsidRDefault="00473A4B" w:rsidP="00AA33E5">
    <w:pPr>
      <w:pStyle w:val="Header"/>
      <w:ind w:left="-284"/>
    </w:pPr>
  </w:p>
  <w:p w:rsidR="00473A4B" w:rsidRDefault="00473A4B" w:rsidP="00AA33E5">
    <w:pPr>
      <w:pStyle w:val="Header"/>
      <w:ind w:left="-284"/>
    </w:pPr>
  </w:p>
  <w:p w:rsidR="00473A4B" w:rsidRDefault="00473A4B" w:rsidP="00AA33E5">
    <w:pPr>
      <w:pStyle w:val="Header"/>
      <w:ind w:left="-284"/>
    </w:pPr>
  </w:p>
  <w:p w:rsidR="00D54679" w:rsidRDefault="00C54BA8" w:rsidP="00AA33E5">
    <w:pPr>
      <w:pStyle w:val="Header"/>
      <w:ind w:left="-284"/>
    </w:pPr>
    <w:r>
      <w:rPr>
        <w:noProof/>
        <w:lang w:val="en-AU" w:eastAsia="en-AU"/>
      </w:rPr>
      <w:drawing>
        <wp:inline distT="0" distB="0" distL="0" distR="0" wp14:anchorId="3660F230" wp14:editId="4037EC36">
          <wp:extent cx="6624000" cy="922047"/>
          <wp:effectExtent l="0" t="0" r="5715" b="0"/>
          <wp:docPr id="1" name="Picture 1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2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4E6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89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265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06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A0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2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ED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8A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C6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5"/>
    <w:rsid w:val="00004BBD"/>
    <w:rsid w:val="00093A97"/>
    <w:rsid w:val="0013030D"/>
    <w:rsid w:val="00136FAE"/>
    <w:rsid w:val="001748A8"/>
    <w:rsid w:val="001B2F40"/>
    <w:rsid w:val="001E16F4"/>
    <w:rsid w:val="001E630D"/>
    <w:rsid w:val="0022133E"/>
    <w:rsid w:val="00237198"/>
    <w:rsid w:val="0026428C"/>
    <w:rsid w:val="002A5A55"/>
    <w:rsid w:val="003B2BB8"/>
    <w:rsid w:val="003D34FF"/>
    <w:rsid w:val="00417985"/>
    <w:rsid w:val="00473A4B"/>
    <w:rsid w:val="004B54CA"/>
    <w:rsid w:val="004E5CBF"/>
    <w:rsid w:val="00542AD7"/>
    <w:rsid w:val="00556CE2"/>
    <w:rsid w:val="005802D4"/>
    <w:rsid w:val="005C3AA9"/>
    <w:rsid w:val="00600154"/>
    <w:rsid w:val="0060156B"/>
    <w:rsid w:val="0060546A"/>
    <w:rsid w:val="00662293"/>
    <w:rsid w:val="006839E0"/>
    <w:rsid w:val="006A4CE7"/>
    <w:rsid w:val="006D10B5"/>
    <w:rsid w:val="006D25FE"/>
    <w:rsid w:val="006E0C8D"/>
    <w:rsid w:val="00720908"/>
    <w:rsid w:val="00741D10"/>
    <w:rsid w:val="00785261"/>
    <w:rsid w:val="007A1531"/>
    <w:rsid w:val="007B0256"/>
    <w:rsid w:val="007C7115"/>
    <w:rsid w:val="00862E54"/>
    <w:rsid w:val="00916079"/>
    <w:rsid w:val="009225F0"/>
    <w:rsid w:val="009D6572"/>
    <w:rsid w:val="00A42C28"/>
    <w:rsid w:val="00A52DBD"/>
    <w:rsid w:val="00AA33E5"/>
    <w:rsid w:val="00AC5CAD"/>
    <w:rsid w:val="00BA2DB9"/>
    <w:rsid w:val="00BE7148"/>
    <w:rsid w:val="00C54BA8"/>
    <w:rsid w:val="00CA2235"/>
    <w:rsid w:val="00D54679"/>
    <w:rsid w:val="00DD4C19"/>
    <w:rsid w:val="00E278BD"/>
    <w:rsid w:val="00F42880"/>
    <w:rsid w:val="00F6065B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6CE2"/>
    <w:pPr>
      <w:spacing w:before="180" w:after="9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6CE2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6CE2"/>
    <w:pPr>
      <w:spacing w:before="180" w:after="9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6CE2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ra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2015-05-01T02:21:00Z</dcterms:created>
  <dcterms:modified xsi:type="dcterms:W3CDTF">2015-05-01T02:21:00Z</dcterms:modified>
</cp:coreProperties>
</file>