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D8" w:rsidRPr="00523A23" w:rsidRDefault="000240F9" w:rsidP="00B03D1B">
      <w:pPr>
        <w:pStyle w:val="Heading1"/>
      </w:pPr>
      <w:r w:rsidRPr="00523A23">
        <w:t xml:space="preserve">National Aboriginal and </w:t>
      </w:r>
      <w:r w:rsidRPr="00B03D1B">
        <w:t>Torres</w:t>
      </w:r>
      <w:r w:rsidRPr="00523A23">
        <w:t xml:space="preserve"> Strait Islander Education Policy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</w:p>
    <w:p w:rsidR="00980DFA" w:rsidRDefault="00980DFA" w:rsidP="0054056F">
      <w:pPr>
        <w:spacing w:after="0"/>
        <w:ind w:left="-284"/>
        <w:rPr>
          <w:rFonts w:cstheme="minorHAnsi"/>
        </w:rPr>
      </w:pPr>
      <w:r>
        <w:rPr>
          <w:rFonts w:cstheme="minorHAnsi"/>
        </w:rPr>
        <w:t>This is a joint policy statement as endorsed by the governments of: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  <w:r>
        <w:rPr>
          <w:rFonts w:cstheme="minorHAnsi"/>
        </w:rPr>
        <w:t>The Commonwealth of Australia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  <w:r>
        <w:rPr>
          <w:rFonts w:cstheme="minorHAnsi"/>
        </w:rPr>
        <w:t>The State of New South Wales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  <w:r>
        <w:rPr>
          <w:rFonts w:cstheme="minorHAnsi"/>
        </w:rPr>
        <w:t>The State of Queensland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  <w:r>
        <w:rPr>
          <w:rFonts w:cstheme="minorHAnsi"/>
        </w:rPr>
        <w:t>The State of South Australia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  <w:r>
        <w:rPr>
          <w:rFonts w:cstheme="minorHAnsi"/>
        </w:rPr>
        <w:t>The State of Tasmania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  <w:r>
        <w:rPr>
          <w:rFonts w:cstheme="minorHAnsi"/>
        </w:rPr>
        <w:t>The State of Victoria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  <w:r>
        <w:rPr>
          <w:rFonts w:cstheme="minorHAnsi"/>
        </w:rPr>
        <w:t>The State of Western Australia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  <w:r>
        <w:rPr>
          <w:rFonts w:cstheme="minorHAnsi"/>
        </w:rPr>
        <w:t>Australian Capital Territory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  <w:r>
        <w:rPr>
          <w:rFonts w:cstheme="minorHAnsi"/>
        </w:rPr>
        <w:t>Northern Territory</w:t>
      </w:r>
    </w:p>
    <w:p w:rsidR="00980DFA" w:rsidRDefault="00980DFA" w:rsidP="0054056F">
      <w:pPr>
        <w:spacing w:after="0"/>
        <w:ind w:left="-284"/>
        <w:rPr>
          <w:rFonts w:cstheme="minorHAnsi"/>
        </w:rPr>
      </w:pPr>
    </w:p>
    <w:p w:rsidR="00134A07" w:rsidRPr="00523A23" w:rsidRDefault="00134A07" w:rsidP="0054056F">
      <w:pPr>
        <w:spacing w:after="0"/>
        <w:ind w:left="-284"/>
        <w:rPr>
          <w:rFonts w:cstheme="minorHAnsi"/>
        </w:rPr>
      </w:pPr>
      <w:r w:rsidRPr="00523A23">
        <w:rPr>
          <w:rFonts w:cstheme="minorHAnsi"/>
        </w:rPr>
        <w:t xml:space="preserve">The following statement of goals forms the basis for co-operation and </w:t>
      </w:r>
      <w:r w:rsidR="00523A23" w:rsidRPr="00523A23">
        <w:rPr>
          <w:rFonts w:cstheme="minorHAnsi"/>
        </w:rPr>
        <w:t>collaboration between educational institution</w:t>
      </w:r>
      <w:r w:rsidR="00576372">
        <w:rPr>
          <w:rFonts w:cstheme="minorHAnsi"/>
        </w:rPr>
        <w:t>s</w:t>
      </w:r>
      <w:r w:rsidR="00523A23" w:rsidRPr="00523A23">
        <w:rPr>
          <w:rFonts w:cstheme="minorHAnsi"/>
        </w:rPr>
        <w:t xml:space="preserve">, States and Territories and the Commonwealth, in association with Aboriginal and Torres Strait Islander people. These are </w:t>
      </w:r>
      <w:r w:rsidR="00523A23" w:rsidRPr="00523A23">
        <w:rPr>
          <w:rFonts w:cstheme="minorHAnsi"/>
          <w:b/>
        </w:rPr>
        <w:t>long-term goals</w:t>
      </w:r>
      <w:r w:rsidR="00523A23" w:rsidRPr="00523A23">
        <w:rPr>
          <w:rFonts w:cstheme="minorHAnsi"/>
        </w:rPr>
        <w:t xml:space="preserve"> to guide the development of agreed educational strategies for meeting the different education needs of Aboriginal and Torres Strait Islander people in the States and Territories.</w:t>
      </w:r>
    </w:p>
    <w:p w:rsidR="00523A23" w:rsidRPr="00523A23" w:rsidRDefault="00523A23" w:rsidP="0054056F">
      <w:pPr>
        <w:spacing w:after="0"/>
        <w:ind w:left="-284"/>
        <w:rPr>
          <w:rFonts w:cstheme="minorHAnsi"/>
        </w:rPr>
      </w:pPr>
    </w:p>
    <w:p w:rsidR="00523A23" w:rsidRPr="00B03D1B" w:rsidRDefault="00523A23" w:rsidP="00B03D1B">
      <w:pPr>
        <w:pStyle w:val="Heading2"/>
      </w:pPr>
      <w:r w:rsidRPr="00B03D1B">
        <w:t>Long-term goals for Aboriginal and Torres Strait Islander Education</w:t>
      </w:r>
    </w:p>
    <w:p w:rsidR="00134A07" w:rsidRPr="00523A23" w:rsidRDefault="00134A07" w:rsidP="0054056F">
      <w:pPr>
        <w:spacing w:after="0"/>
        <w:ind w:left="-284"/>
        <w:rPr>
          <w:rFonts w:cstheme="minorHAnsi"/>
          <w:i/>
        </w:rPr>
      </w:pPr>
    </w:p>
    <w:p w:rsidR="000240F9" w:rsidRPr="00B03D1B" w:rsidRDefault="000240F9" w:rsidP="00B03D1B">
      <w:pPr>
        <w:pStyle w:val="Heading3"/>
      </w:pPr>
      <w:r w:rsidRPr="00B03D1B">
        <w:t>Involvement of Aboriginal people in educational decision making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establish effective arrangements for the participation of Aboriginal parents and community members in decisions regarding the planning, delivery and evaluation of preschool, primary and secondary education services for their children.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increase the number of Aboriginal people employed as educational administrators, teacher</w:t>
      </w:r>
      <w:r w:rsidR="00576372">
        <w:rPr>
          <w:rFonts w:cstheme="minorHAnsi"/>
        </w:rPr>
        <w:t>s, curriculum advisers, teacher</w:t>
      </w:r>
      <w:r w:rsidRPr="00523A23">
        <w:rPr>
          <w:rFonts w:cstheme="minorHAnsi"/>
        </w:rPr>
        <w:t xml:space="preserve"> assistants, home-school liaison officers and other education workers, including community people engaged in teaching of Aboriginal culture, history and contemporary society, and Aboriginal languages.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establish effective arrangements for the participation of Aboriginal students and community members in decisions regarding the planning, delivery and evaluation of post-school education services, including technical and further education colleges and higher education institutions.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increase the number of Aboriginal people employed as administrators, teachers, researchers and student services officers in technical and further education colleges and higher education institutions.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provide education and training services to develop the skills of Aboriginal people to participate in educational decision-making.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develop arrangements for the pr</w:t>
      </w:r>
      <w:r w:rsidR="00E8280B" w:rsidRPr="00523A23">
        <w:rPr>
          <w:rFonts w:cstheme="minorHAnsi"/>
        </w:rPr>
        <w:t>ovision of independent advice f</w:t>
      </w:r>
      <w:r w:rsidRPr="00523A23">
        <w:rPr>
          <w:rFonts w:cstheme="minorHAnsi"/>
        </w:rPr>
        <w:t>r</w:t>
      </w:r>
      <w:r w:rsidR="00E8280B" w:rsidRPr="00523A23">
        <w:rPr>
          <w:rFonts w:cstheme="minorHAnsi"/>
        </w:rPr>
        <w:t>om</w:t>
      </w:r>
      <w:r w:rsidRPr="00523A23">
        <w:rPr>
          <w:rFonts w:cstheme="minorHAnsi"/>
        </w:rPr>
        <w:t xml:space="preserve"> Aboriginal communities regarding educational decisions at regional, State, Territory and National levels.</w:t>
      </w:r>
    </w:p>
    <w:p w:rsidR="000240F9" w:rsidRPr="00523A23" w:rsidRDefault="000240F9" w:rsidP="00B03D1B">
      <w:pPr>
        <w:pStyle w:val="Heading3"/>
      </w:pPr>
      <w:r w:rsidRPr="00523A23">
        <w:t>Equality of access to educational services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ensure that Aboriginal children of pre-primary school age have access to pre-school services on a basis comparable to that available to other Australian children of the same age.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ensure that all Aboriginal children have local access to primary and secondary schooling.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ensure equitable access for Aboriginal people to post-compulsory secondary schooling, to technical and further education, and higher education.</w:t>
      </w:r>
    </w:p>
    <w:p w:rsidR="000240F9" w:rsidRPr="00523A23" w:rsidRDefault="000240F9" w:rsidP="00B03D1B">
      <w:pPr>
        <w:pStyle w:val="Heading3"/>
      </w:pPr>
      <w:r w:rsidRPr="00523A23">
        <w:lastRenderedPageBreak/>
        <w:t>Equity of educational participation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achieve the participation of Aboriginal children in pre-school education for a period similar to that for all Australian children.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achieve the participation of all Aboriginal children in compulsory schooling.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achieve the participation of Aboriginal people in post-compulsory secondary education, in technical and further education, and in higher education, at rates commensurate with those of all Australians in those sectors.</w:t>
      </w:r>
    </w:p>
    <w:p w:rsidR="000240F9" w:rsidRPr="00523A23" w:rsidRDefault="000240F9" w:rsidP="00B03D1B">
      <w:pPr>
        <w:pStyle w:val="Heading3"/>
      </w:pPr>
      <w:r w:rsidRPr="00523A23">
        <w:t>Equitable and appro</w:t>
      </w:r>
      <w:bookmarkStart w:id="0" w:name="_GoBack"/>
      <w:bookmarkEnd w:id="0"/>
      <w:r w:rsidRPr="00523A23">
        <w:t>priate educational outcomes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provide adequate preparation of Aboriginal children through pre-school education for the schooling years ahead.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enable Aboriginal attainment of skills to the same standard as other Australian students throughout the compulsory schooling years.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enable Aboriginal students to attain the successful completion of Year 12 or equivalent at the same rates as for other Australian students.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enable Aboriginal students to attain the same graduation rates from award courses in technical and further education, and in higher education, as for other Australians.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develop programs to support the maintenance and continued use of Aboriginal languages.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provide community education services which enable Aboriginal people to develop the skills to manage the development of their communities.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enable the attainment of proficiency in English language and numeracy competencies by Aboriginal adults with limited or no educational experience.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enable Aboriginal students at all levels of education to have an appreciation of their history, cultures and identity.</w:t>
      </w:r>
    </w:p>
    <w:p w:rsidR="000240F9" w:rsidRPr="00523A23" w:rsidRDefault="000240F9" w:rsidP="0054056F">
      <w:pPr>
        <w:pStyle w:val="ListParagraph"/>
        <w:numPr>
          <w:ilvl w:val="0"/>
          <w:numId w:val="1"/>
        </w:numPr>
        <w:ind w:left="0" w:hanging="284"/>
        <w:rPr>
          <w:rFonts w:cstheme="minorHAnsi"/>
        </w:rPr>
      </w:pPr>
      <w:r w:rsidRPr="00523A23">
        <w:rPr>
          <w:rFonts w:cstheme="minorHAnsi"/>
        </w:rPr>
        <w:t>To provide all Australian students with an understanding of and respect for Aboriginal traditional and contemporary cultures.</w:t>
      </w:r>
    </w:p>
    <w:sectPr w:rsidR="000240F9" w:rsidRPr="00523A23" w:rsidSect="0054056F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2C0"/>
    <w:multiLevelType w:val="hybridMultilevel"/>
    <w:tmpl w:val="819814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C63"/>
    <w:multiLevelType w:val="hybridMultilevel"/>
    <w:tmpl w:val="819814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F1BD8"/>
    <w:multiLevelType w:val="hybridMultilevel"/>
    <w:tmpl w:val="819814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14A1"/>
    <w:multiLevelType w:val="hybridMultilevel"/>
    <w:tmpl w:val="819814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9"/>
    <w:rsid w:val="000240F9"/>
    <w:rsid w:val="00025C63"/>
    <w:rsid w:val="00134A07"/>
    <w:rsid w:val="001F14F4"/>
    <w:rsid w:val="0031218A"/>
    <w:rsid w:val="004F1DD8"/>
    <w:rsid w:val="00523A23"/>
    <w:rsid w:val="0054056F"/>
    <w:rsid w:val="00576372"/>
    <w:rsid w:val="00980DFA"/>
    <w:rsid w:val="00B03D1B"/>
    <w:rsid w:val="00E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D1B"/>
    <w:pPr>
      <w:pBdr>
        <w:bottom w:val="single" w:sz="4" w:space="1" w:color="auto"/>
      </w:pBdr>
      <w:spacing w:after="240"/>
      <w:ind w:left="-284"/>
      <w:outlineLvl w:val="0"/>
    </w:pPr>
    <w:rPr>
      <w:rFonts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D1B"/>
    <w:pPr>
      <w:spacing w:after="0"/>
      <w:ind w:left="-284"/>
      <w:outlineLvl w:val="1"/>
    </w:pPr>
    <w:rPr>
      <w:rFonts w:cstheme="min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D1B"/>
    <w:pPr>
      <w:spacing w:after="0"/>
      <w:ind w:left="-284"/>
      <w:outlineLvl w:val="2"/>
    </w:pPr>
    <w:rPr>
      <w:rFonts w:cs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D1B"/>
    <w:rPr>
      <w:rFonts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03D1B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03D1B"/>
    <w:rPr>
      <w:rFonts w:cstheme="minorHAns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D1B"/>
    <w:pPr>
      <w:pBdr>
        <w:bottom w:val="single" w:sz="4" w:space="1" w:color="auto"/>
      </w:pBdr>
      <w:spacing w:after="240"/>
      <w:ind w:left="-284"/>
      <w:outlineLvl w:val="0"/>
    </w:pPr>
    <w:rPr>
      <w:rFonts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D1B"/>
    <w:pPr>
      <w:spacing w:after="0"/>
      <w:ind w:left="-284"/>
      <w:outlineLvl w:val="1"/>
    </w:pPr>
    <w:rPr>
      <w:rFonts w:cstheme="min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D1B"/>
    <w:pPr>
      <w:spacing w:after="0"/>
      <w:ind w:left="-284"/>
      <w:outlineLvl w:val="2"/>
    </w:pPr>
    <w:rPr>
      <w:rFonts w:cs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D1B"/>
    <w:rPr>
      <w:rFonts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03D1B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03D1B"/>
    <w:rPr>
      <w:rFonts w:cs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760D3-2EA3-4461-A8B9-EF162AF5BE97}"/>
</file>

<file path=customXml/itemProps2.xml><?xml version="1.0" encoding="utf-8"?>
<ds:datastoreItem xmlns:ds="http://schemas.openxmlformats.org/officeDocument/2006/customXml" ds:itemID="{B30368DD-7F6B-4A0B-BD5E-D7D622481C18}"/>
</file>

<file path=customXml/itemProps3.xml><?xml version="1.0" encoding="utf-8"?>
<ds:datastoreItem xmlns:ds="http://schemas.openxmlformats.org/officeDocument/2006/customXml" ds:itemID="{4FF07E22-EC30-494E-A2ED-D0328B51B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Smyth</dc:creator>
  <cp:lastModifiedBy>Liam Smyth</cp:lastModifiedBy>
  <cp:revision>2</cp:revision>
  <dcterms:created xsi:type="dcterms:W3CDTF">2014-12-03T06:47:00Z</dcterms:created>
  <dcterms:modified xsi:type="dcterms:W3CDTF">2014-12-03T06:47:00Z</dcterms:modified>
</cp:coreProperties>
</file>