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B" w:rsidRDefault="009A01FB" w:rsidP="00F842E8">
      <w:pPr>
        <w:sectPr w:rsidR="009A01FB" w:rsidSect="00574D6C">
          <w:headerReference w:type="first" r:id="rId13"/>
          <w:footerReference w:type="first" r:id="rId14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r>
        <w:rPr>
          <w:noProof/>
        </w:rPr>
        <w:drawing>
          <wp:inline distT="0" distB="0" distL="0" distR="0" wp14:anchorId="40C8847A" wp14:editId="40C8847B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FB" w:rsidRDefault="009A01FB" w:rsidP="00F842E8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:rsidR="00574D6C" w:rsidRPr="00C9589F" w:rsidRDefault="00A54F02" w:rsidP="00C9589F">
      <w:pPr>
        <w:pStyle w:val="TitleReversed"/>
        <w:ind w:left="4139"/>
        <w:jc w:val="right"/>
        <w:rPr>
          <w:b w:val="0"/>
          <w:sz w:val="40"/>
          <w:szCs w:val="40"/>
        </w:rPr>
      </w:pPr>
      <w:r w:rsidRPr="00C9589F">
        <w:rPr>
          <w:b w:val="0"/>
          <w:sz w:val="40"/>
          <w:szCs w:val="40"/>
        </w:rPr>
        <w:lastRenderedPageBreak/>
        <w:t>Case Study</w:t>
      </w:r>
    </w:p>
    <w:p w:rsidR="00574D6C" w:rsidRDefault="00574D6C" w:rsidP="00F842E8"/>
    <w:p w:rsidR="00574D6C" w:rsidRPr="00574D6C" w:rsidRDefault="00574D6C" w:rsidP="00F842E8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5F7114" w:rsidRPr="00C9589F" w:rsidRDefault="005F7114" w:rsidP="00C9589F">
      <w:pPr>
        <w:pStyle w:val="Title"/>
        <w:spacing w:line="240" w:lineRule="auto"/>
        <w:rPr>
          <w:sz w:val="16"/>
          <w:szCs w:val="16"/>
        </w:rPr>
        <w:sectPr w:rsidR="005F7114" w:rsidRPr="00C9589F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A35596" w:rsidRPr="005369A1" w:rsidRDefault="00A35596" w:rsidP="00A35596">
      <w:pPr>
        <w:pStyle w:val="Title"/>
        <w:ind w:left="-2268"/>
        <w:jc w:val="center"/>
      </w:pPr>
      <w:r>
        <w:lastRenderedPageBreak/>
        <w:t xml:space="preserve">Pathways to a career in </w:t>
      </w:r>
      <w:r>
        <w:br/>
        <w:t>Child Care and Early Learning</w:t>
      </w:r>
    </w:p>
    <w:p w:rsidR="00A35596" w:rsidRPr="00CF1356" w:rsidRDefault="00A35596" w:rsidP="00A35596">
      <w:pPr>
        <w:ind w:left="-2268"/>
        <w:jc w:val="center"/>
        <w:rPr>
          <w:rFonts w:ascii="Times New Roman" w:hAnsi="Times New Roman"/>
          <w:sz w:val="28"/>
          <w:szCs w:val="28"/>
        </w:rPr>
        <w:sectPr w:rsidR="00A35596" w:rsidRPr="00CF1356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rPr>
          <w:rFonts w:cstheme="minorHAnsi"/>
          <w:bCs/>
          <w:iCs/>
          <w:sz w:val="28"/>
          <w:szCs w:val="28"/>
        </w:rPr>
        <w:t>Early Childhood Education and Care Industry Roundtables</w:t>
      </w:r>
      <w:r w:rsidRPr="00CF1356">
        <w:rPr>
          <w:rFonts w:cstheme="minorHAnsi"/>
          <w:sz w:val="28"/>
          <w:szCs w:val="28"/>
        </w:rPr>
        <w:t xml:space="preserve"> were held across regional and remote Australia to assist the </w:t>
      </w:r>
      <w:r>
        <w:rPr>
          <w:rFonts w:cstheme="minorHAnsi"/>
          <w:sz w:val="28"/>
          <w:szCs w:val="28"/>
        </w:rPr>
        <w:t>childcare and early learning</w:t>
      </w:r>
      <w:r w:rsidRPr="00CF1356">
        <w:rPr>
          <w:rFonts w:cstheme="minorHAnsi"/>
          <w:sz w:val="28"/>
          <w:szCs w:val="28"/>
        </w:rPr>
        <w:t xml:space="preserve"> sector meet the requirements of the National Quality Framework.</w:t>
      </w:r>
    </w:p>
    <w:p w:rsidR="009D003F" w:rsidRPr="00C9589F" w:rsidRDefault="009D003F" w:rsidP="00C9589F">
      <w:pPr>
        <w:pStyle w:val="BodyTextIntro"/>
        <w:spacing w:before="0" w:after="0"/>
        <w:rPr>
          <w:sz w:val="16"/>
          <w:szCs w:val="16"/>
        </w:rPr>
        <w:sectPr w:rsidR="009D003F" w:rsidRPr="00C9589F" w:rsidSect="008E17D4">
          <w:type w:val="continuous"/>
          <w:pgSz w:w="11906" w:h="16838"/>
          <w:pgMar w:top="0" w:right="1440" w:bottom="1440" w:left="1440" w:header="709" w:footer="709" w:gutter="0"/>
          <w:cols w:space="708"/>
          <w:titlePg/>
          <w:docGrid w:linePitch="360"/>
        </w:sectPr>
      </w:pPr>
    </w:p>
    <w:p w:rsidR="00B36291" w:rsidRDefault="005279D0" w:rsidP="00F842E8">
      <w:r>
        <w:rPr>
          <w:b/>
          <w:bCs/>
          <w:noProof/>
        </w:rPr>
        <w:lastRenderedPageBreak/>
        <w:drawing>
          <wp:inline distT="0" distB="0" distL="0" distR="0" wp14:anchorId="5332FB66" wp14:editId="4EE6968D">
            <wp:extent cx="1043940" cy="1560195"/>
            <wp:effectExtent l="19050" t="19050" r="22860" b="20955"/>
            <wp:docPr id="1" name="Picture 1" title="Melissa Har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2202\AppData\Local\Microsoft\Windows\Temporary Internet Files\Content.Outlook\HNUI87DX\Mel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60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2C92" w:rsidRDefault="005279D0" w:rsidP="00C9589F">
      <w:r>
        <w:t xml:space="preserve">Melissa </w:t>
      </w:r>
      <w:proofErr w:type="spellStart"/>
      <w:r>
        <w:t>Harpur</w:t>
      </w:r>
      <w:proofErr w:type="spellEnd"/>
    </w:p>
    <w:p w:rsidR="00C9589F" w:rsidRDefault="00222C92" w:rsidP="00C9589F">
      <w:r>
        <w:br w:type="column"/>
      </w:r>
      <w:r w:rsidR="00C9589F" w:rsidRPr="00C9589F">
        <w:rPr>
          <w:b/>
          <w:sz w:val="32"/>
          <w:szCs w:val="32"/>
        </w:rPr>
        <w:lastRenderedPageBreak/>
        <w:t xml:space="preserve">Melissa </w:t>
      </w:r>
      <w:proofErr w:type="spellStart"/>
      <w:r w:rsidR="00C9589F" w:rsidRPr="00C9589F">
        <w:rPr>
          <w:b/>
          <w:sz w:val="32"/>
          <w:szCs w:val="32"/>
        </w:rPr>
        <w:t>Harpur</w:t>
      </w:r>
      <w:proofErr w:type="spellEnd"/>
    </w:p>
    <w:p w:rsidR="00C9589F" w:rsidRPr="00C9589F" w:rsidRDefault="00C9589F" w:rsidP="00C9589F">
      <w:pPr>
        <w:rPr>
          <w:rFonts w:cstheme="minorHAnsi"/>
          <w:sz w:val="24"/>
        </w:rPr>
      </w:pPr>
      <w:r w:rsidRPr="00C9589F">
        <w:rPr>
          <w:rFonts w:cstheme="minorHAnsi"/>
          <w:sz w:val="24"/>
        </w:rPr>
        <w:t xml:space="preserve">Passion, persistence and a desire to make a difference are factors that drive Melissa </w:t>
      </w:r>
      <w:proofErr w:type="spellStart"/>
      <w:r w:rsidRPr="00C9589F">
        <w:rPr>
          <w:rFonts w:cstheme="minorHAnsi"/>
          <w:sz w:val="24"/>
        </w:rPr>
        <w:t>Harpur</w:t>
      </w:r>
      <w:proofErr w:type="spellEnd"/>
      <w:r w:rsidRPr="00C9589F">
        <w:rPr>
          <w:rFonts w:cstheme="minorHAnsi"/>
          <w:sz w:val="24"/>
        </w:rPr>
        <w:t xml:space="preserve"> in her </w:t>
      </w:r>
      <w:r w:rsidR="00A35596">
        <w:rPr>
          <w:rFonts w:cstheme="minorHAnsi"/>
          <w:sz w:val="24"/>
        </w:rPr>
        <w:t>child care and early learning</w:t>
      </w:r>
      <w:r w:rsidRPr="00C9589F">
        <w:rPr>
          <w:rFonts w:cstheme="minorHAnsi"/>
          <w:sz w:val="24"/>
        </w:rPr>
        <w:t xml:space="preserve"> career.</w:t>
      </w:r>
    </w:p>
    <w:p w:rsidR="00C9589F" w:rsidRPr="00C9589F" w:rsidRDefault="00C9589F" w:rsidP="00C9589F">
      <w:pPr>
        <w:rPr>
          <w:rFonts w:cstheme="minorHAnsi"/>
          <w:szCs w:val="20"/>
        </w:rPr>
      </w:pPr>
      <w:r w:rsidRPr="00C9589F">
        <w:rPr>
          <w:rFonts w:cstheme="minorHAnsi"/>
          <w:szCs w:val="20"/>
        </w:rPr>
        <w:t>Melissa originally wanted to open an art and craft drop in centre. It was only by chance that Melissa saw an advertisement for the former Diploma of Children’s Services.</w:t>
      </w:r>
    </w:p>
    <w:p w:rsidR="005279D0" w:rsidRDefault="005279D0" w:rsidP="00C9589F">
      <w:pPr>
        <w:rPr>
          <w:rFonts w:cstheme="minorHAnsi"/>
          <w:szCs w:val="20"/>
        </w:rPr>
      </w:pPr>
      <w:r w:rsidRPr="00C9589F">
        <w:rPr>
          <w:rFonts w:cstheme="minorHAnsi"/>
          <w:szCs w:val="20"/>
        </w:rPr>
        <w:t>Melissa completed her diploma at TAFE and began a casual position in the Culburra and District</w:t>
      </w:r>
      <w:r>
        <w:rPr>
          <w:rFonts w:cstheme="minorHAnsi"/>
          <w:szCs w:val="20"/>
        </w:rPr>
        <w:t>s</w:t>
      </w:r>
      <w:r w:rsidRPr="00C9589F">
        <w:rPr>
          <w:rFonts w:cstheme="minorHAnsi"/>
          <w:szCs w:val="20"/>
        </w:rPr>
        <w:t xml:space="preserve"> Preschool which quickly became a permanent, </w:t>
      </w:r>
      <w:r>
        <w:rPr>
          <w:rFonts w:cstheme="minorHAnsi"/>
          <w:szCs w:val="20"/>
        </w:rPr>
        <w:t xml:space="preserve">part-time </w:t>
      </w:r>
      <w:r w:rsidRPr="00C9589F">
        <w:rPr>
          <w:rFonts w:cstheme="minorHAnsi"/>
          <w:szCs w:val="20"/>
        </w:rPr>
        <w:t>second in charge role.</w:t>
      </w:r>
      <w:r>
        <w:rPr>
          <w:rFonts w:cstheme="minorHAnsi"/>
          <w:szCs w:val="20"/>
        </w:rPr>
        <w:t xml:space="preserve"> The support at Culburra and Districts Preschool enabled her to enrol in </w:t>
      </w:r>
      <w:r w:rsidR="00553B49">
        <w:rPr>
          <w:rFonts w:cstheme="minorHAnsi"/>
          <w:szCs w:val="20"/>
        </w:rPr>
        <w:t>The Bachelor of Education the Early Years</w:t>
      </w:r>
      <w:r>
        <w:rPr>
          <w:rFonts w:cstheme="minorHAnsi"/>
          <w:szCs w:val="20"/>
        </w:rPr>
        <w:t xml:space="preserve"> at Wollongong University</w:t>
      </w:r>
      <w:r w:rsidRPr="00C9589F">
        <w:rPr>
          <w:rFonts w:cstheme="minorHAnsi"/>
          <w:szCs w:val="20"/>
        </w:rPr>
        <w:t>.</w:t>
      </w:r>
    </w:p>
    <w:p w:rsidR="00C9589F" w:rsidRPr="00C9589F" w:rsidRDefault="00C9589F" w:rsidP="00C9589F">
      <w:pPr>
        <w:rPr>
          <w:rFonts w:cstheme="minorHAnsi"/>
          <w:szCs w:val="20"/>
        </w:rPr>
      </w:pPr>
      <w:r w:rsidRPr="00C9589F">
        <w:rPr>
          <w:rFonts w:cstheme="minorHAnsi"/>
          <w:szCs w:val="20"/>
        </w:rPr>
        <w:t xml:space="preserve">While studying </w:t>
      </w:r>
      <w:r w:rsidR="00553B49">
        <w:rPr>
          <w:rFonts w:cstheme="minorHAnsi"/>
          <w:szCs w:val="20"/>
        </w:rPr>
        <w:t>her Bachelor Degree of Education the</w:t>
      </w:r>
      <w:r w:rsidRPr="00C9589F">
        <w:rPr>
          <w:rFonts w:cstheme="minorHAnsi"/>
          <w:szCs w:val="20"/>
        </w:rPr>
        <w:t xml:space="preserve"> Early Years at the University of Wollongong, Melissa was partnered with mentor ‘Aunty’ Deb Wray from the </w:t>
      </w:r>
      <w:proofErr w:type="spellStart"/>
      <w:r w:rsidRPr="00C9589F">
        <w:rPr>
          <w:rFonts w:cstheme="minorHAnsi"/>
          <w:szCs w:val="20"/>
        </w:rPr>
        <w:t>Woolyungah</w:t>
      </w:r>
      <w:proofErr w:type="spellEnd"/>
      <w:r w:rsidRPr="00C9589F">
        <w:rPr>
          <w:rFonts w:cstheme="minorHAnsi"/>
          <w:szCs w:val="20"/>
        </w:rPr>
        <w:t xml:space="preserve"> Indigenous Students Centre</w:t>
      </w:r>
      <w:r w:rsidR="00C05C97">
        <w:rPr>
          <w:rFonts w:cstheme="minorHAnsi"/>
          <w:szCs w:val="20"/>
        </w:rPr>
        <w:t>.</w:t>
      </w:r>
      <w:r w:rsidRPr="00C9589F">
        <w:rPr>
          <w:rFonts w:cstheme="minorHAnsi"/>
          <w:szCs w:val="20"/>
        </w:rPr>
        <w:t xml:space="preserve"> </w:t>
      </w:r>
    </w:p>
    <w:p w:rsidR="00C9589F" w:rsidRPr="00DD6BDC" w:rsidRDefault="00C9589F" w:rsidP="00C9589F">
      <w:pPr>
        <w:rPr>
          <w:rFonts w:cstheme="minorHAnsi"/>
          <w:szCs w:val="20"/>
        </w:rPr>
      </w:pPr>
      <w:r w:rsidRPr="00DD6BDC">
        <w:rPr>
          <w:rFonts w:cstheme="minorHAnsi"/>
          <w:szCs w:val="20"/>
        </w:rPr>
        <w:t>“Aunty Deb helped me to get a hold of study in a university environment and with her help and support I started to do really well.”</w:t>
      </w:r>
    </w:p>
    <w:p w:rsidR="00C9589F" w:rsidRPr="00C9589F" w:rsidRDefault="00C9589F" w:rsidP="00C9589F">
      <w:pPr>
        <w:ind w:right="-369"/>
        <w:rPr>
          <w:rFonts w:cstheme="minorHAnsi"/>
          <w:szCs w:val="20"/>
        </w:rPr>
      </w:pPr>
      <w:r w:rsidRPr="00C9589F">
        <w:rPr>
          <w:rFonts w:cstheme="minorHAnsi"/>
          <w:szCs w:val="20"/>
        </w:rPr>
        <w:lastRenderedPageBreak/>
        <w:t>During Melissa’s third year of university, she undertook practical experience at Noah’s Shoal</w:t>
      </w:r>
      <w:r w:rsidR="00222C92">
        <w:rPr>
          <w:rFonts w:cstheme="minorHAnsi"/>
          <w:szCs w:val="20"/>
        </w:rPr>
        <w:t xml:space="preserve">haven Early Intervention Centre. </w:t>
      </w:r>
      <w:r w:rsidR="005279D0">
        <w:rPr>
          <w:rFonts w:cstheme="minorHAnsi"/>
          <w:szCs w:val="20"/>
        </w:rPr>
        <w:t xml:space="preserve"> </w:t>
      </w:r>
      <w:r w:rsidRPr="00C9589F">
        <w:rPr>
          <w:rFonts w:cstheme="minorHAnsi"/>
          <w:szCs w:val="20"/>
        </w:rPr>
        <w:t>With the support</w:t>
      </w:r>
      <w:r w:rsidR="00E64C0A">
        <w:rPr>
          <w:rFonts w:cstheme="minorHAnsi"/>
          <w:szCs w:val="20"/>
        </w:rPr>
        <w:t xml:space="preserve"> of the Centre, Melissa grew in </w:t>
      </w:r>
      <w:r w:rsidRPr="00C9589F">
        <w:rPr>
          <w:rFonts w:cstheme="minorHAnsi"/>
          <w:szCs w:val="20"/>
        </w:rPr>
        <w:t xml:space="preserve">confidence </w:t>
      </w:r>
      <w:proofErr w:type="gramStart"/>
      <w:r w:rsidRPr="00C9589F">
        <w:rPr>
          <w:rFonts w:cstheme="minorHAnsi"/>
          <w:szCs w:val="20"/>
        </w:rPr>
        <w:t>and</w:t>
      </w:r>
      <w:proofErr w:type="gramEnd"/>
      <w:r w:rsidRPr="00C9589F">
        <w:rPr>
          <w:rFonts w:cstheme="minorHAnsi"/>
          <w:szCs w:val="20"/>
        </w:rPr>
        <w:t xml:space="preserve"> found she could develop a career in </w:t>
      </w:r>
      <w:r w:rsidR="00A35596">
        <w:rPr>
          <w:rFonts w:cstheme="minorHAnsi"/>
          <w:szCs w:val="20"/>
        </w:rPr>
        <w:t>child care and early learning</w:t>
      </w:r>
      <w:r w:rsidRPr="00C9589F">
        <w:rPr>
          <w:rFonts w:cstheme="minorHAnsi"/>
          <w:szCs w:val="20"/>
        </w:rPr>
        <w:t xml:space="preserve">. </w:t>
      </w:r>
    </w:p>
    <w:p w:rsidR="005279D0" w:rsidRPr="00E52571" w:rsidRDefault="005279D0" w:rsidP="005279D0">
      <w:pPr>
        <w:rPr>
          <w:rFonts w:cstheme="minorHAnsi"/>
          <w:color w:val="FF0000"/>
          <w:szCs w:val="20"/>
        </w:rPr>
      </w:pPr>
      <w:r w:rsidRPr="00C9589F">
        <w:rPr>
          <w:rFonts w:cstheme="minorHAnsi"/>
          <w:szCs w:val="20"/>
        </w:rPr>
        <w:t>Melissa now</w:t>
      </w:r>
      <w:r>
        <w:rPr>
          <w:rFonts w:cstheme="minorHAnsi"/>
          <w:szCs w:val="20"/>
        </w:rPr>
        <w:t xml:space="preserve"> works as an early c</w:t>
      </w:r>
      <w:r w:rsidRPr="00C9589F">
        <w:rPr>
          <w:rFonts w:cstheme="minorHAnsi"/>
          <w:szCs w:val="20"/>
        </w:rPr>
        <w:t xml:space="preserve">hildhood </w:t>
      </w:r>
      <w:r w:rsidRPr="00817FCA">
        <w:rPr>
          <w:rFonts w:cstheme="minorHAnsi"/>
          <w:szCs w:val="20"/>
        </w:rPr>
        <w:t>teacher for Noah’s Shoalhaven in local centres and collaborates with other services in the Shoalhaven facilitating playgroups for Aboriginal Children and Families.</w:t>
      </w:r>
    </w:p>
    <w:p w:rsidR="005279D0" w:rsidRPr="00C9589F" w:rsidRDefault="005279D0" w:rsidP="005279D0">
      <w:pPr>
        <w:rPr>
          <w:rFonts w:cstheme="minorHAnsi"/>
          <w:szCs w:val="20"/>
        </w:rPr>
      </w:pPr>
      <w:r w:rsidRPr="00C9589F">
        <w:rPr>
          <w:rFonts w:cstheme="minorHAnsi"/>
          <w:szCs w:val="20"/>
        </w:rPr>
        <w:t>Melissa finds her career varied and interesting but also very busy.</w:t>
      </w:r>
      <w:r>
        <w:rPr>
          <w:rFonts w:cstheme="minorHAnsi"/>
          <w:szCs w:val="20"/>
        </w:rPr>
        <w:t xml:space="preserve"> </w:t>
      </w:r>
      <w:r w:rsidRPr="00817FCA">
        <w:rPr>
          <w:rFonts w:cstheme="minorHAnsi"/>
          <w:szCs w:val="20"/>
        </w:rPr>
        <w:t xml:space="preserve">She is </w:t>
      </w:r>
      <w:r>
        <w:rPr>
          <w:rFonts w:cstheme="minorHAnsi"/>
          <w:szCs w:val="20"/>
        </w:rPr>
        <w:t>currently completing a C</w:t>
      </w:r>
      <w:r w:rsidRPr="00817FCA">
        <w:rPr>
          <w:rFonts w:cstheme="minorHAnsi"/>
          <w:szCs w:val="20"/>
        </w:rPr>
        <w:t xml:space="preserve">ertificate </w:t>
      </w:r>
      <w:r w:rsidR="00687912">
        <w:rPr>
          <w:rFonts w:cstheme="minorHAnsi"/>
          <w:szCs w:val="20"/>
        </w:rPr>
        <w:t>IV</w:t>
      </w:r>
      <w:r w:rsidRPr="00817FCA">
        <w:rPr>
          <w:rFonts w:cstheme="minorHAnsi"/>
          <w:szCs w:val="20"/>
        </w:rPr>
        <w:t xml:space="preserve"> in training and assessment at TAFE</w:t>
      </w:r>
      <w:r w:rsidRPr="00C9589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and</w:t>
      </w:r>
      <w:r w:rsidRPr="00C9589F">
        <w:rPr>
          <w:rFonts w:cstheme="minorHAnsi"/>
          <w:szCs w:val="20"/>
        </w:rPr>
        <w:t xml:space="preserve"> is planning on completing a Master of Special Education with a focus on Aboriginal and Torres Strait Islander perspectives in the </w:t>
      </w:r>
      <w:r>
        <w:rPr>
          <w:rFonts w:cstheme="minorHAnsi"/>
          <w:szCs w:val="20"/>
        </w:rPr>
        <w:t>child care and early learning</w:t>
      </w:r>
      <w:r w:rsidRPr="00C9589F">
        <w:rPr>
          <w:rFonts w:cstheme="minorHAnsi"/>
          <w:szCs w:val="20"/>
        </w:rPr>
        <w:t xml:space="preserve"> sector and then maybe even a Doctorate.</w:t>
      </w:r>
    </w:p>
    <w:p w:rsidR="00C9589F" w:rsidRPr="00C9589F" w:rsidRDefault="00C9589F" w:rsidP="00C9589F">
      <w:pPr>
        <w:rPr>
          <w:rFonts w:cstheme="minorHAnsi"/>
          <w:szCs w:val="20"/>
        </w:rPr>
      </w:pPr>
      <w:r w:rsidRPr="00C9589F">
        <w:rPr>
          <w:rFonts w:cstheme="minorHAnsi"/>
          <w:szCs w:val="20"/>
        </w:rPr>
        <w:t xml:space="preserve">To people thinking about a career in </w:t>
      </w:r>
      <w:r w:rsidR="00A35596">
        <w:rPr>
          <w:rFonts w:cstheme="minorHAnsi"/>
          <w:szCs w:val="20"/>
        </w:rPr>
        <w:t>child care and early learning</w:t>
      </w:r>
      <w:r w:rsidRPr="00C9589F">
        <w:rPr>
          <w:rFonts w:cstheme="minorHAnsi"/>
          <w:szCs w:val="20"/>
        </w:rPr>
        <w:t>, Melissa’s advice is:</w:t>
      </w:r>
    </w:p>
    <w:p w:rsidR="00537558" w:rsidRPr="00222C92" w:rsidRDefault="00C9589F" w:rsidP="00222C92">
      <w:pPr>
        <w:spacing w:after="0"/>
      </w:pPr>
      <w:r w:rsidRPr="00C9589F">
        <w:rPr>
          <w:rFonts w:cstheme="minorHAnsi"/>
          <w:szCs w:val="20"/>
        </w:rPr>
        <w:t>“</w:t>
      </w:r>
      <w:r w:rsidR="00C05C97">
        <w:rPr>
          <w:rFonts w:cstheme="minorHAnsi"/>
          <w:szCs w:val="20"/>
        </w:rPr>
        <w:t>Go to TAFE and do the D</w:t>
      </w:r>
      <w:r w:rsidRPr="00C9589F">
        <w:rPr>
          <w:rFonts w:cstheme="minorHAnsi"/>
          <w:szCs w:val="20"/>
        </w:rPr>
        <w:t xml:space="preserve">iploma of </w:t>
      </w:r>
      <w:r w:rsidR="00C05C97">
        <w:rPr>
          <w:rFonts w:cstheme="minorHAnsi"/>
          <w:szCs w:val="20"/>
        </w:rPr>
        <w:t>Early Childhood Education and C</w:t>
      </w:r>
      <w:r w:rsidRPr="00C9589F">
        <w:rPr>
          <w:rFonts w:cstheme="minorHAnsi"/>
          <w:szCs w:val="20"/>
        </w:rPr>
        <w:t xml:space="preserve">are first and explore your personal strengths, weaknesses and philosophy on working with young children and adults. It is not all painting, play dough and sand pit construction, there is a lot </w:t>
      </w:r>
      <w:r w:rsidR="00222C92">
        <w:rPr>
          <w:rFonts w:cstheme="minorHAnsi"/>
          <w:szCs w:val="20"/>
        </w:rPr>
        <w:t xml:space="preserve">more </w:t>
      </w:r>
      <w:r w:rsidR="008437C6">
        <w:rPr>
          <w:rFonts w:cstheme="minorHAnsi"/>
          <w:szCs w:val="20"/>
        </w:rPr>
        <w:t>to it</w:t>
      </w:r>
      <w:r w:rsidR="00163115">
        <w:rPr>
          <w:rFonts w:cstheme="minorHAnsi"/>
          <w:szCs w:val="20"/>
        </w:rPr>
        <w:t>!</w:t>
      </w:r>
      <w:bookmarkStart w:id="0" w:name="_GoBack"/>
      <w:bookmarkEnd w:id="0"/>
      <w:r w:rsidR="008437C6">
        <w:rPr>
          <w:rFonts w:cstheme="minorHAnsi"/>
          <w:szCs w:val="20"/>
        </w:rPr>
        <w:t>”</w:t>
      </w:r>
    </w:p>
    <w:sectPr w:rsidR="00537558" w:rsidRPr="00222C92" w:rsidSect="00222C92">
      <w:footerReference w:type="default" r:id="rId17"/>
      <w:type w:val="continuous"/>
      <w:pgSz w:w="11906" w:h="16838"/>
      <w:pgMar w:top="1440" w:right="1440" w:bottom="1440" w:left="1440" w:header="709" w:footer="709" w:gutter="0"/>
      <w:cols w:num="3" w:space="284" w:equalWidth="0">
        <w:col w:w="1418" w:space="284"/>
        <w:col w:w="3343" w:space="284"/>
        <w:col w:w="369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E4" w:rsidRDefault="00166CE4" w:rsidP="009D003F">
      <w:pPr>
        <w:spacing w:before="0" w:after="0"/>
      </w:pPr>
      <w:r>
        <w:separator/>
      </w:r>
    </w:p>
  </w:endnote>
  <w:endnote w:type="continuationSeparator" w:id="0">
    <w:p w:rsidR="00166CE4" w:rsidRDefault="00166CE4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2D" w:rsidRPr="00E21756" w:rsidRDefault="00982589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40C88487" wp14:editId="40C88488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89" w:rsidRDefault="00C96B9C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7564F84C" wp14:editId="3D966628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E4" w:rsidRDefault="00166CE4" w:rsidP="009D003F">
      <w:pPr>
        <w:spacing w:before="0" w:after="0"/>
      </w:pPr>
      <w:r>
        <w:separator/>
      </w:r>
    </w:p>
  </w:footnote>
  <w:footnote w:type="continuationSeparator" w:id="0">
    <w:p w:rsidR="00166CE4" w:rsidRDefault="00166CE4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5C" w:rsidRPr="0000485C" w:rsidRDefault="009A01FB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C88485" wp14:editId="40C88486">
          <wp:simplePos x="0" y="0"/>
          <wp:positionH relativeFrom="column">
            <wp:posOffset>-827481</wp:posOffset>
          </wp:positionH>
          <wp:positionV relativeFrom="paragraph">
            <wp:posOffset>-450215</wp:posOffset>
          </wp:positionV>
          <wp:extent cx="7695210" cy="2390467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9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7260"/>
    <w:rsid w:val="00054FDF"/>
    <w:rsid w:val="000E27E1"/>
    <w:rsid w:val="000F51D1"/>
    <w:rsid w:val="00163115"/>
    <w:rsid w:val="00166CE4"/>
    <w:rsid w:val="00171A13"/>
    <w:rsid w:val="00222C92"/>
    <w:rsid w:val="00235086"/>
    <w:rsid w:val="00256C60"/>
    <w:rsid w:val="0027179D"/>
    <w:rsid w:val="002A7C17"/>
    <w:rsid w:val="002D0FE6"/>
    <w:rsid w:val="00325574"/>
    <w:rsid w:val="0038416D"/>
    <w:rsid w:val="003E4927"/>
    <w:rsid w:val="004100BE"/>
    <w:rsid w:val="00436355"/>
    <w:rsid w:val="004C7E34"/>
    <w:rsid w:val="005279D0"/>
    <w:rsid w:val="00537558"/>
    <w:rsid w:val="00540B3B"/>
    <w:rsid w:val="00553B49"/>
    <w:rsid w:val="00574D6C"/>
    <w:rsid w:val="00581186"/>
    <w:rsid w:val="005B62AF"/>
    <w:rsid w:val="005F7114"/>
    <w:rsid w:val="00600342"/>
    <w:rsid w:val="00617D37"/>
    <w:rsid w:val="006234F7"/>
    <w:rsid w:val="00644517"/>
    <w:rsid w:val="00687912"/>
    <w:rsid w:val="0069692D"/>
    <w:rsid w:val="00733A69"/>
    <w:rsid w:val="007539CD"/>
    <w:rsid w:val="007A4C00"/>
    <w:rsid w:val="008121CF"/>
    <w:rsid w:val="008437C6"/>
    <w:rsid w:val="0088391D"/>
    <w:rsid w:val="008E17D4"/>
    <w:rsid w:val="00982589"/>
    <w:rsid w:val="00997787"/>
    <w:rsid w:val="00997D9E"/>
    <w:rsid w:val="009A01FB"/>
    <w:rsid w:val="009D003F"/>
    <w:rsid w:val="00A35596"/>
    <w:rsid w:val="00A54F02"/>
    <w:rsid w:val="00AB67E2"/>
    <w:rsid w:val="00AC2431"/>
    <w:rsid w:val="00B36291"/>
    <w:rsid w:val="00B65FE3"/>
    <w:rsid w:val="00B84384"/>
    <w:rsid w:val="00BA040D"/>
    <w:rsid w:val="00BA3832"/>
    <w:rsid w:val="00C02B61"/>
    <w:rsid w:val="00C05C97"/>
    <w:rsid w:val="00C50C78"/>
    <w:rsid w:val="00C9589F"/>
    <w:rsid w:val="00C96B9C"/>
    <w:rsid w:val="00CC6DE3"/>
    <w:rsid w:val="00D77000"/>
    <w:rsid w:val="00DA2BB2"/>
    <w:rsid w:val="00DD6BDC"/>
    <w:rsid w:val="00E146BF"/>
    <w:rsid w:val="00E21756"/>
    <w:rsid w:val="00E32DBB"/>
    <w:rsid w:val="00E64C0A"/>
    <w:rsid w:val="00E77EEC"/>
    <w:rsid w:val="00ED13E5"/>
    <w:rsid w:val="00EE671D"/>
    <w:rsid w:val="00F7704C"/>
    <w:rsid w:val="00F842E8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7A7544E4E5DABD40BA085515B4BF7761" ma:contentTypeVersion="8" ma:contentTypeDescription="Ddocs' Word Content Type" ma:contentTypeScope="" ma:versionID="35f82b4fce87b79617dc8f872f124c20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4281-161D-40E3-B483-73DA3BF3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FE0D2-17DB-45E2-B618-20CCC12F3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9959FF-C594-45A8-8F95-29B9DE5B093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67D8518-B69C-4EF9-817D-B34E421DAD1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/fields"/>
    <ds:schemaRef ds:uri="0b9ebfc0-ae39-4069-ae84-f049ed302bb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A7995B9-33A2-4085-BA66-F58F1B67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F92235D1.dotm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Michelle Moule</cp:lastModifiedBy>
  <cp:revision>3</cp:revision>
  <cp:lastPrinted>2013-11-27T00:59:00Z</cp:lastPrinted>
  <dcterms:created xsi:type="dcterms:W3CDTF">2014-01-20T04:37:00Z</dcterms:created>
  <dcterms:modified xsi:type="dcterms:W3CDTF">2014-01-20T04:37:00Z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0x0101009EDC4876AF524A70BD125A9D2C0D191E0C007A7544E4E5DABD40BA085515B4BF7761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