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6A4" w:rsidRPr="00884392" w:rsidRDefault="00DB06A4" w:rsidP="00DB06A4">
      <w:pPr>
        <w:spacing w:before="0" w:after="240"/>
      </w:pPr>
      <w:bookmarkStart w:id="0" w:name="_GoBack"/>
      <w:bookmarkEnd w:id="0"/>
      <w:r w:rsidRPr="00884392">
        <w:rPr>
          <w:noProof/>
        </w:rPr>
        <w:drawing>
          <wp:anchor distT="0" distB="0" distL="114300" distR="114300" simplePos="0" relativeHeight="251659264" behindDoc="1" locked="0" layoutInCell="1" allowOverlap="1" wp14:anchorId="4DEA9E2D" wp14:editId="3CC2FE1D">
            <wp:simplePos x="0" y="0"/>
            <wp:positionH relativeFrom="column">
              <wp:posOffset>-1270</wp:posOffset>
            </wp:positionH>
            <wp:positionV relativeFrom="paragraph">
              <wp:posOffset>-668020</wp:posOffset>
            </wp:positionV>
            <wp:extent cx="3060065" cy="901700"/>
            <wp:effectExtent l="0" t="0" r="6985" b="0"/>
            <wp:wrapNone/>
            <wp:docPr id="15" name="Picture 15" descr="Department of Social Servic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logo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065" cy="901700"/>
                    </a:xfrm>
                    <a:prstGeom prst="rect">
                      <a:avLst/>
                    </a:prstGeom>
                  </pic:spPr>
                </pic:pic>
              </a:graphicData>
            </a:graphic>
            <wp14:sizeRelH relativeFrom="page">
              <wp14:pctWidth>0</wp14:pctWidth>
            </wp14:sizeRelH>
            <wp14:sizeRelV relativeFrom="page">
              <wp14:pctHeight>0</wp14:pctHeight>
            </wp14:sizeRelV>
          </wp:anchor>
        </w:drawing>
      </w:r>
      <w:r w:rsidRPr="00884392">
        <w:rPr>
          <w:noProof/>
        </w:rPr>
        <w:softHyphen/>
      </w:r>
    </w:p>
    <w:p w:rsidR="006B31EA" w:rsidRPr="006B31EA" w:rsidRDefault="006B31EA" w:rsidP="00D431C7">
      <w:pPr>
        <w:pStyle w:val="Heading1"/>
        <w:rPr>
          <w:sz w:val="40"/>
          <w:szCs w:val="40"/>
        </w:rPr>
      </w:pPr>
      <w:bookmarkStart w:id="1" w:name="_Toc391890680"/>
    </w:p>
    <w:p w:rsidR="006B31EA" w:rsidRPr="006B31EA" w:rsidRDefault="006B31EA" w:rsidP="006B31EA"/>
    <w:p w:rsidR="00DB06A4" w:rsidRPr="00D431C7" w:rsidRDefault="00DB06A4" w:rsidP="00D431C7">
      <w:pPr>
        <w:pStyle w:val="Heading1"/>
      </w:pPr>
      <w:r w:rsidRPr="00D431C7">
        <w:t>Try, Test and Learn</w:t>
      </w:r>
      <w:r w:rsidR="006B31EA">
        <w:t xml:space="preserve"> </w:t>
      </w:r>
      <w:r w:rsidRPr="00D431C7">
        <w:t>Fund</w:t>
      </w:r>
    </w:p>
    <w:p w:rsidR="00DB06A4" w:rsidRPr="00D431C7" w:rsidRDefault="00DB06A4" w:rsidP="00D431C7">
      <w:pPr>
        <w:pStyle w:val="Heading1"/>
        <w:rPr>
          <w:rFonts w:eastAsiaTheme="majorEastAsia"/>
        </w:rPr>
        <w:sectPr w:rsidR="00DB06A4" w:rsidRPr="00D431C7" w:rsidSect="00B303D2">
          <w:headerReference w:type="even" r:id="rId9"/>
          <w:headerReference w:type="default" r:id="rId10"/>
          <w:footerReference w:type="even" r:id="rId11"/>
          <w:footerReference w:type="default" r:id="rId12"/>
          <w:headerReference w:type="first" r:id="rId13"/>
          <w:footerReference w:type="first" r:id="rId14"/>
          <w:pgSz w:w="11906" w:h="16838" w:code="9"/>
          <w:pgMar w:top="737" w:right="2546" w:bottom="1134" w:left="737" w:header="737" w:footer="794" w:gutter="0"/>
          <w:cols w:space="708"/>
          <w:titlePg/>
          <w:docGrid w:linePitch="360"/>
        </w:sectPr>
      </w:pPr>
    </w:p>
    <w:bookmarkEnd w:id="1"/>
    <w:p w:rsidR="00DB06A4" w:rsidRPr="00884392" w:rsidRDefault="00DB06A4" w:rsidP="00DB06A4">
      <w:pPr>
        <w:spacing w:before="0" w:after="60" w:line="240" w:lineRule="auto"/>
        <w:contextualSpacing/>
        <w:outlineLvl w:val="0"/>
        <w:rPr>
          <w:rFonts w:ascii="Georgia" w:hAnsi="Georgia" w:cs="Arial"/>
          <w:spacing w:val="-4"/>
          <w:kern w:val="32"/>
          <w:sz w:val="24"/>
        </w:rPr>
      </w:pPr>
      <w:r w:rsidRPr="00884392">
        <w:rPr>
          <w:rFonts w:ascii="Georgia" w:hAnsi="Georgia" w:cs="Arial"/>
          <w:spacing w:val="-4"/>
          <w:kern w:val="32"/>
          <w:sz w:val="32"/>
          <w:szCs w:val="32"/>
        </w:rPr>
        <w:t xml:space="preserve">Initiative: </w:t>
      </w:r>
      <w:r w:rsidRPr="00884392">
        <w:rPr>
          <w:rFonts w:ascii="Georgia" w:hAnsi="Georgia" w:cs="Arial"/>
          <w:i/>
          <w:spacing w:val="-4"/>
          <w:kern w:val="32"/>
          <w:sz w:val="32"/>
          <w:szCs w:val="32"/>
        </w:rPr>
        <w:t xml:space="preserve">Warra </w:t>
      </w:r>
      <w:proofErr w:type="spellStart"/>
      <w:r w:rsidRPr="00884392">
        <w:rPr>
          <w:rFonts w:ascii="Georgia" w:hAnsi="Georgia" w:cs="Arial"/>
          <w:i/>
          <w:spacing w:val="-4"/>
          <w:kern w:val="32"/>
          <w:sz w:val="32"/>
          <w:szCs w:val="32"/>
        </w:rPr>
        <w:t>Warra</w:t>
      </w:r>
      <w:proofErr w:type="spellEnd"/>
      <w:r w:rsidRPr="00884392">
        <w:rPr>
          <w:rFonts w:ascii="Georgia" w:hAnsi="Georgia" w:cs="Arial"/>
          <w:i/>
          <w:spacing w:val="-4"/>
          <w:kern w:val="32"/>
          <w:sz w:val="32"/>
          <w:szCs w:val="32"/>
        </w:rPr>
        <w:t xml:space="preserve"> </w:t>
      </w:r>
      <w:proofErr w:type="spellStart"/>
      <w:r w:rsidRPr="00884392">
        <w:rPr>
          <w:rFonts w:ascii="Georgia" w:hAnsi="Georgia" w:cs="Arial"/>
          <w:i/>
          <w:spacing w:val="-4"/>
          <w:kern w:val="32"/>
          <w:sz w:val="32"/>
          <w:szCs w:val="32"/>
        </w:rPr>
        <w:t>Kanyi</w:t>
      </w:r>
      <w:proofErr w:type="spellEnd"/>
      <w:r w:rsidRPr="00884392">
        <w:rPr>
          <w:rFonts w:ascii="Georgia" w:hAnsi="Georgia" w:cs="Arial"/>
          <w:i/>
          <w:spacing w:val="-4"/>
          <w:kern w:val="32"/>
          <w:sz w:val="32"/>
          <w:szCs w:val="32"/>
        </w:rPr>
        <w:t xml:space="preserve"> </w:t>
      </w:r>
      <w:r w:rsidRPr="00884392">
        <w:rPr>
          <w:rFonts w:ascii="Georgia" w:hAnsi="Georgia" w:cs="Arial"/>
          <w:i/>
          <w:spacing w:val="-4"/>
          <w:kern w:val="32"/>
          <w:sz w:val="24"/>
        </w:rPr>
        <w:t>(‘Caring for people’ in Warlpiri language)</w:t>
      </w:r>
    </w:p>
    <w:p w:rsidR="00BB288B" w:rsidRDefault="00BB288B" w:rsidP="00D431C7">
      <w:pPr>
        <w:rPr>
          <w:rFonts w:asciiTheme="majorHAnsi" w:hAnsiTheme="majorHAnsi"/>
          <w:sz w:val="24"/>
        </w:rPr>
      </w:pPr>
      <w:r w:rsidRPr="00884392">
        <w:rPr>
          <w:noProof/>
          <w:sz w:val="26"/>
        </w:rPr>
        <mc:AlternateContent>
          <mc:Choice Requires="wps">
            <w:drawing>
              <wp:anchor distT="0" distB="0" distL="114300" distR="114300" simplePos="0" relativeHeight="251661312" behindDoc="1" locked="0" layoutInCell="1" allowOverlap="1" wp14:anchorId="1AD56256" wp14:editId="072A4C85">
                <wp:simplePos x="0" y="0"/>
                <wp:positionH relativeFrom="page">
                  <wp:posOffset>236220</wp:posOffset>
                </wp:positionH>
                <wp:positionV relativeFrom="page">
                  <wp:posOffset>3268980</wp:posOffset>
                </wp:positionV>
                <wp:extent cx="7058025" cy="960120"/>
                <wp:effectExtent l="0" t="0" r="28575" b="11430"/>
                <wp:wrapTopAndBottom/>
                <wp:docPr id="1" name="Text Box 1"/>
                <wp:cNvGraphicFramePr/>
                <a:graphic xmlns:a="http://schemas.openxmlformats.org/drawingml/2006/main">
                  <a:graphicData uri="http://schemas.microsoft.com/office/word/2010/wordprocessingShape">
                    <wps:wsp>
                      <wps:cNvSpPr txBox="1"/>
                      <wps:spPr>
                        <a:xfrm>
                          <a:off x="0" y="0"/>
                          <a:ext cx="7058025" cy="960120"/>
                        </a:xfrm>
                        <a:prstGeom prst="rect">
                          <a:avLst/>
                        </a:prstGeom>
                        <a:solidFill>
                          <a:sysClr val="window" lastClr="FFFFFF"/>
                        </a:solidFill>
                        <a:ln w="6350">
                          <a:solidFill>
                            <a:srgbClr val="78BE20"/>
                          </a:solidFill>
                        </a:ln>
                        <a:effectLst/>
                      </wps:spPr>
                      <wps:txbx>
                        <w:txbxContent>
                          <w:p w:rsidR="00DB06A4" w:rsidRPr="0077453B" w:rsidRDefault="00DB06A4" w:rsidP="00B303D2">
                            <w:pPr>
                              <w:spacing w:before="0" w:line="240" w:lineRule="auto"/>
                            </w:pPr>
                            <w:r w:rsidRPr="0077453B">
                              <w:t>Using insights from the Priority Investment Approach, the</w:t>
                            </w:r>
                            <w:r>
                              <w:t xml:space="preserve"> </w:t>
                            </w:r>
                            <w:r w:rsidRPr="0077453B">
                              <w:t xml:space="preserve">Try, Test and Learn Fund </w:t>
                            </w:r>
                            <w:r>
                              <w:t>is gathering evidence on new or innovative approaches to addressing barriers to work</w:t>
                            </w:r>
                            <w:r w:rsidRPr="0077453B">
                              <w:t xml:space="preserve">. </w:t>
                            </w:r>
                          </w:p>
                          <w:p w:rsidR="00DB06A4" w:rsidRDefault="00DB06A4" w:rsidP="00B303D2">
                            <w:pPr>
                              <w:spacing w:before="0" w:after="0" w:line="240" w:lineRule="auto"/>
                            </w:pPr>
                            <w:r w:rsidRPr="0077453B">
                              <w:t>The Try, Test and Learn Fund will help achieve the objectives of welfare reform</w:t>
                            </w:r>
                            <w:r w:rsidR="007951B0">
                              <w:t xml:space="preserve"> </w:t>
                            </w:r>
                            <w:r w:rsidRPr="0077453B">
                              <w:t>—</w:t>
                            </w:r>
                            <w:r w:rsidR="007951B0">
                              <w:t xml:space="preserve"> </w:t>
                            </w:r>
                            <w:r w:rsidRPr="0077453B">
                              <w:t>that is, to develop a modern welfare system that increases the capacity of individuals, reduces the risk of welfare dependency and maintains a strong welfare safety net.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D56256" id="_x0000_t202" coordsize="21600,21600" o:spt="202" path="m,l,21600r21600,l21600,xe">
                <v:stroke joinstyle="miter"/>
                <v:path gradientshapeok="t" o:connecttype="rect"/>
              </v:shapetype>
              <v:shape id="Text Box 1" o:spid="_x0000_s1026" type="#_x0000_t202" style="position:absolute;margin-left:18.6pt;margin-top:257.4pt;width:555.75pt;height:7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" fillcolor="window" strokecolor="#78be20" strokeweight=".5pt">
                <v:textbox inset="2mm,2mm,2mm,2mm">
                  <w:txbxContent>
                    <w:p w:rsidR="00DB06A4" w:rsidRPr="0077453B" w:rsidRDefault="00DB06A4" w:rsidP="00B303D2">
                      <w:pPr>
                        <w:spacing w:before="0" w:line="240" w:lineRule="auto"/>
                      </w:pPr>
                      <w:r w:rsidRPr="0077453B">
                        <w:t>Using insights from the Priority Investment Approach, the</w:t>
                      </w:r>
                      <w:r>
                        <w:t xml:space="preserve"> </w:t>
                      </w:r>
                      <w:r w:rsidRPr="0077453B">
                        <w:t xml:space="preserve">Try, Test and Learn Fund </w:t>
                      </w:r>
                      <w:r>
                        <w:t>is gathering evidence on new or innovative approaches to addressing barriers to work</w:t>
                      </w:r>
                      <w:r w:rsidRPr="0077453B">
                        <w:t xml:space="preserve">. </w:t>
                      </w:r>
                    </w:p>
                    <w:p w:rsidR="00DB06A4" w:rsidRDefault="00DB06A4" w:rsidP="00B303D2">
                      <w:pPr>
                        <w:spacing w:before="0" w:after="0" w:line="240" w:lineRule="auto"/>
                      </w:pPr>
                      <w:r w:rsidRPr="0077453B">
                        <w:t>The Try, Test and Learn Fund will help achieve the objectives of welfare reform</w:t>
                      </w:r>
                      <w:r w:rsidR="007951B0">
                        <w:t xml:space="preserve"> </w:t>
                      </w:r>
                      <w:r w:rsidRPr="0077453B">
                        <w:t>—</w:t>
                      </w:r>
                      <w:r w:rsidR="007951B0">
                        <w:t xml:space="preserve"> </w:t>
                      </w:r>
                      <w:r w:rsidRPr="0077453B">
                        <w:t>that is, to develop a modern welfare system that increases the capacity of individuals, reduces the risk of welfare dependency and maintains a strong welfare safety net.</w:t>
                      </w:r>
                    </w:p>
                  </w:txbxContent>
                </v:textbox>
                <w10:wrap type="topAndBottom" anchorx="page" anchory="page"/>
              </v:shape>
            </w:pict>
          </mc:Fallback>
        </mc:AlternateContent>
      </w:r>
      <w:r w:rsidR="00DB06A4" w:rsidRPr="00D431C7">
        <w:rPr>
          <w:rFonts w:asciiTheme="majorHAnsi" w:hAnsiTheme="majorHAnsi"/>
          <w:sz w:val="24"/>
        </w:rPr>
        <w:t>Location: Northern Territory</w:t>
      </w:r>
    </w:p>
    <w:p w:rsidR="00DB06A4" w:rsidRPr="00884392" w:rsidRDefault="00D56AC3" w:rsidP="00B303D2">
      <w:pPr>
        <w:pStyle w:val="Heading2"/>
        <w:spacing w:before="300"/>
        <w:rPr>
          <w:noProof/>
        </w:rPr>
      </w:pPr>
      <w:r w:rsidRPr="00884392">
        <w:rPr>
          <w:noProof/>
        </w:rPr>
        <mc:AlternateContent>
          <mc:Choice Requires="wps">
            <w:drawing>
              <wp:anchor distT="0" distB="0" distL="114300" distR="114300" simplePos="0" relativeHeight="251660288" behindDoc="0" locked="0" layoutInCell="1" allowOverlap="1" wp14:anchorId="1F9B693E" wp14:editId="282126AC">
                <wp:simplePos x="0" y="0"/>
                <wp:positionH relativeFrom="page">
                  <wp:posOffset>4709795</wp:posOffset>
                </wp:positionH>
                <wp:positionV relativeFrom="paragraph">
                  <wp:posOffset>1103630</wp:posOffset>
                </wp:positionV>
                <wp:extent cx="2647950" cy="38817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647950" cy="3881755"/>
                        </a:xfrm>
                        <a:prstGeom prst="rect">
                          <a:avLst/>
                        </a:prstGeom>
                        <a:solidFill>
                          <a:srgbClr val="78BE20">
                            <a:lumMod val="20000"/>
                            <a:lumOff val="80000"/>
                          </a:srgbClr>
                        </a:solidFill>
                        <a:ln w="6350">
                          <a:solidFill>
                            <a:srgbClr val="78BE20"/>
                          </a:solidFill>
                        </a:ln>
                        <a:effectLst/>
                      </wps:spPr>
                      <wps:txbx>
                        <w:txbxContent>
                          <w:p w:rsidR="00DB06A4" w:rsidRDefault="00DB06A4" w:rsidP="005F1459">
                            <w:pPr>
                              <w:pStyle w:val="Heading2"/>
                              <w:spacing w:before="0"/>
                              <w:jc w:val="center"/>
                            </w:pPr>
                            <w:r>
                              <w:t>Fast facts</w:t>
                            </w:r>
                          </w:p>
                          <w:p w:rsidR="00DB06A4" w:rsidRDefault="00DB06A4" w:rsidP="00DB06A4">
                            <w:pPr>
                              <w:pStyle w:val="ListBullet"/>
                              <w:numPr>
                                <w:ilvl w:val="0"/>
                                <w:numId w:val="0"/>
                              </w:numPr>
                            </w:pPr>
                            <w:r w:rsidRPr="00337CF6">
                              <w:rPr>
                                <w:b/>
                              </w:rPr>
                              <w:t xml:space="preserve">Priority group: </w:t>
                            </w:r>
                            <w:r>
                              <w:t>Other</w:t>
                            </w:r>
                          </w:p>
                          <w:p w:rsidR="00DB06A4" w:rsidRDefault="003F5D25" w:rsidP="00DB06A4">
                            <w:pPr>
                              <w:pStyle w:val="ListBullet"/>
                              <w:numPr>
                                <w:ilvl w:val="0"/>
                                <w:numId w:val="0"/>
                              </w:numPr>
                            </w:pPr>
                            <w:r>
                              <w:rPr>
                                <w:b/>
                              </w:rPr>
                              <w:t>Target p</w:t>
                            </w:r>
                            <w:r w:rsidR="00DB06A4">
                              <w:rPr>
                                <w:b/>
                              </w:rPr>
                              <w:t>articipant</w:t>
                            </w:r>
                            <w:r w:rsidR="00DB06A4" w:rsidRPr="00337CF6">
                              <w:rPr>
                                <w:b/>
                              </w:rPr>
                              <w:t xml:space="preserve"> number: </w:t>
                            </w:r>
                            <w:r w:rsidR="00DB06A4">
                              <w:t>75</w:t>
                            </w:r>
                          </w:p>
                          <w:p w:rsidR="00DB06A4" w:rsidRDefault="00DB06A4" w:rsidP="00DB06A4">
                            <w:pPr>
                              <w:pStyle w:val="ListBullet"/>
                              <w:numPr>
                                <w:ilvl w:val="0"/>
                                <w:numId w:val="0"/>
                              </w:numPr>
                            </w:pPr>
                            <w:r w:rsidRPr="00337CF6">
                              <w:rPr>
                                <w:b/>
                              </w:rPr>
                              <w:t xml:space="preserve">Locations: </w:t>
                            </w:r>
                            <w:r w:rsidRPr="00F32A98">
                              <w:t>Yuendumu and Lajamanu</w:t>
                            </w:r>
                          </w:p>
                          <w:p w:rsidR="00DB06A4" w:rsidRDefault="00DB06A4" w:rsidP="00DB06A4">
                            <w:pPr>
                              <w:pStyle w:val="ListBullet"/>
                              <w:numPr>
                                <w:ilvl w:val="0"/>
                                <w:numId w:val="0"/>
                              </w:numPr>
                            </w:pPr>
                            <w:r w:rsidRPr="00337CF6">
                              <w:rPr>
                                <w:b/>
                              </w:rPr>
                              <w:t xml:space="preserve">Trial period: </w:t>
                            </w:r>
                            <w:r w:rsidR="00BB288B">
                              <w:t>24</w:t>
                            </w:r>
                            <w:r>
                              <w:t xml:space="preserve"> months</w:t>
                            </w:r>
                          </w:p>
                          <w:p w:rsidR="00DB06A4" w:rsidRDefault="00DB06A4" w:rsidP="00DB06A4">
                            <w:pPr>
                              <w:pStyle w:val="ListBullet"/>
                              <w:numPr>
                                <w:ilvl w:val="0"/>
                                <w:numId w:val="0"/>
                              </w:numPr>
                            </w:pPr>
                            <w:r w:rsidRPr="00337CF6">
                              <w:rPr>
                                <w:b/>
                              </w:rPr>
                              <w:t xml:space="preserve">Total funding: </w:t>
                            </w:r>
                            <w:r>
                              <w:t>$1.</w:t>
                            </w:r>
                            <w:r w:rsidR="00BB288B">
                              <w:t>5</w:t>
                            </w:r>
                            <w:r>
                              <w:t xml:space="preserve"> million</w:t>
                            </w:r>
                          </w:p>
                          <w:p w:rsidR="00DB06A4" w:rsidRPr="00907ED7" w:rsidRDefault="00DB06A4" w:rsidP="00DB06A4">
                            <w:pPr>
                              <w:pStyle w:val="ListBullet"/>
                              <w:numPr>
                                <w:ilvl w:val="0"/>
                                <w:numId w:val="0"/>
                              </w:numPr>
                            </w:pPr>
                            <w:r>
                              <w:rPr>
                                <w:b/>
                              </w:rPr>
                              <w:t>Service provider</w:t>
                            </w:r>
                            <w:r w:rsidRPr="00337CF6">
                              <w:rPr>
                                <w:b/>
                              </w:rPr>
                              <w:t>:</w:t>
                            </w:r>
                            <w:r>
                              <w:rPr>
                                <w:b/>
                              </w:rPr>
                              <w:t xml:space="preserve"> </w:t>
                            </w:r>
                            <w:r w:rsidRPr="00907ED7">
                              <w:t xml:space="preserve">Warlpiri Youth Development Aboriginal Corporation </w:t>
                            </w:r>
                          </w:p>
                          <w:p w:rsidR="00DB06A4" w:rsidRDefault="00DB06A4" w:rsidP="00D431C7">
                            <w:r w:rsidRPr="00862E89">
                              <w:rPr>
                                <w:b/>
                              </w:rPr>
                              <w:t xml:space="preserve">Potential future saving: </w:t>
                            </w:r>
                            <w:r w:rsidR="00D56AC3" w:rsidRPr="00F57E77">
                              <w:t xml:space="preserve">This project supports </w:t>
                            </w:r>
                            <w:r w:rsidR="00D56AC3">
                              <w:t xml:space="preserve">a </w:t>
                            </w:r>
                            <w:r w:rsidR="00D56AC3" w:rsidRPr="00F57E77">
                              <w:t>group of people identified through the provider’s experience in working with vulnerable people, and other research. To date, potential future savings for this group have not been calculated. Such a calculation may be possible once data on participants in this project</w:t>
                            </w:r>
                            <w:r w:rsidR="00D56AC3">
                              <w:t xml:space="preserve"> is available</w:t>
                            </w:r>
                            <w:r w:rsidR="00D56AC3" w:rsidRPr="00F57E77">
                              <w:t xml:space="preserve"> if an appropriate com</w:t>
                            </w:r>
                            <w:r w:rsidR="00D56AC3">
                              <w:t>parison group can be identified.</w:t>
                            </w:r>
                          </w:p>
                          <w:p w:rsidR="00BB288B" w:rsidRDefault="00BB288B" w:rsidP="00BB288B">
                            <w:pPr>
                              <w:pStyle w:val="ListBullet"/>
                              <w:numPr>
                                <w:ilvl w:val="0"/>
                                <w:numId w:val="0"/>
                              </w:numPr>
                            </w:pPr>
                            <w:r w:rsidRPr="00F50D17">
                              <w:rPr>
                                <w:b/>
                              </w:rPr>
                              <w:t xml:space="preserve">Note: </w:t>
                            </w:r>
                            <w:r w:rsidRPr="00A97FF6">
                              <w:t xml:space="preserve">Due to changes in </w:t>
                            </w:r>
                            <w:r>
                              <w:t xml:space="preserve">circumstances, adjustments have </w:t>
                            </w:r>
                            <w:r w:rsidRPr="00A97FF6">
                              <w:t>been made to</w:t>
                            </w:r>
                            <w:r>
                              <w:t xml:space="preserve"> the</w:t>
                            </w:r>
                            <w:r w:rsidRPr="00A97FF6">
                              <w:t xml:space="preserve"> trial period and total funding.</w:t>
                            </w:r>
                          </w:p>
                          <w:p w:rsidR="00BB288B" w:rsidRPr="00D431C7" w:rsidRDefault="00BB288B" w:rsidP="00D431C7">
                            <w:pPr>
                              <w:rPr>
                                <w:rFonts w:ascii="Calibri" w:hAnsi="Calibri"/>
                                <w:szCs w:val="22"/>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9B693E" id="Text Box 4" o:spid="_x0000_s1027" type="#_x0000_t202" style="position:absolute;margin-left:370.85pt;margin-top:86.9pt;width:208.5pt;height:30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" fillcolor="#e5f7ce" strokecolor="#78be20" strokeweight=".5pt">
                <v:textbox inset="2mm,2mm,2mm,2mm">
                  <w:txbxContent>
                    <w:p w:rsidR="00DB06A4" w:rsidRDefault="00DB06A4" w:rsidP="005F1459">
                      <w:pPr>
                        <w:pStyle w:val="Heading2"/>
                        <w:spacing w:before="0"/>
                        <w:jc w:val="center"/>
                      </w:pPr>
                      <w:r>
                        <w:t>Fast facts</w:t>
                      </w:r>
                    </w:p>
                    <w:p w:rsidR="00DB06A4" w:rsidRDefault="00DB06A4" w:rsidP="00DB06A4">
                      <w:pPr>
                        <w:pStyle w:val="ListBullet"/>
                        <w:numPr>
                          <w:ilvl w:val="0"/>
                          <w:numId w:val="0"/>
                        </w:numPr>
                      </w:pPr>
                      <w:r w:rsidRPr="00337CF6">
                        <w:rPr>
                          <w:b/>
                        </w:rPr>
                        <w:t xml:space="preserve">Priority group: </w:t>
                      </w:r>
                      <w:r>
                        <w:t>Other</w:t>
                      </w:r>
                    </w:p>
                    <w:p w:rsidR="00DB06A4" w:rsidRDefault="003F5D25" w:rsidP="00DB06A4">
                      <w:pPr>
                        <w:pStyle w:val="ListBullet"/>
                        <w:numPr>
                          <w:ilvl w:val="0"/>
                          <w:numId w:val="0"/>
                        </w:numPr>
                      </w:pPr>
                      <w:r>
                        <w:rPr>
                          <w:b/>
                        </w:rPr>
                        <w:t>Target p</w:t>
                      </w:r>
                      <w:r w:rsidR="00DB06A4">
                        <w:rPr>
                          <w:b/>
                        </w:rPr>
                        <w:t>articipant</w:t>
                      </w:r>
                      <w:r w:rsidR="00DB06A4" w:rsidRPr="00337CF6">
                        <w:rPr>
                          <w:b/>
                        </w:rPr>
                        <w:t xml:space="preserve"> number: </w:t>
                      </w:r>
                      <w:r w:rsidR="00DB06A4">
                        <w:t>75</w:t>
                      </w:r>
                    </w:p>
                    <w:p w:rsidR="00DB06A4" w:rsidRDefault="00DB06A4" w:rsidP="00DB06A4">
                      <w:pPr>
                        <w:pStyle w:val="ListBullet"/>
                        <w:numPr>
                          <w:ilvl w:val="0"/>
                          <w:numId w:val="0"/>
                        </w:numPr>
                      </w:pPr>
                      <w:r w:rsidRPr="00337CF6">
                        <w:rPr>
                          <w:b/>
                        </w:rPr>
                        <w:t xml:space="preserve">Locations: </w:t>
                      </w:r>
                      <w:r w:rsidRPr="00F32A98">
                        <w:t>Yuendumu and Lajamanu</w:t>
                      </w:r>
                    </w:p>
                    <w:p w:rsidR="00DB06A4" w:rsidRDefault="00DB06A4" w:rsidP="00DB06A4">
                      <w:pPr>
                        <w:pStyle w:val="ListBullet"/>
                        <w:numPr>
                          <w:ilvl w:val="0"/>
                          <w:numId w:val="0"/>
                        </w:numPr>
                      </w:pPr>
                      <w:r w:rsidRPr="00337CF6">
                        <w:rPr>
                          <w:b/>
                        </w:rPr>
                        <w:t xml:space="preserve">Trial period: </w:t>
                      </w:r>
                      <w:r w:rsidR="00BB288B">
                        <w:t>24</w:t>
                      </w:r>
                      <w:r>
                        <w:t xml:space="preserve"> months</w:t>
                      </w:r>
                    </w:p>
                    <w:p w:rsidR="00DB06A4" w:rsidRDefault="00DB06A4" w:rsidP="00DB06A4">
                      <w:pPr>
                        <w:pStyle w:val="ListBullet"/>
                        <w:numPr>
                          <w:ilvl w:val="0"/>
                          <w:numId w:val="0"/>
                        </w:numPr>
                      </w:pPr>
                      <w:r w:rsidRPr="00337CF6">
                        <w:rPr>
                          <w:b/>
                        </w:rPr>
                        <w:t xml:space="preserve">Total funding: </w:t>
                      </w:r>
                      <w:r>
                        <w:t>$1.</w:t>
                      </w:r>
                      <w:r w:rsidR="00BB288B">
                        <w:t>5</w:t>
                      </w:r>
                      <w:r>
                        <w:t xml:space="preserve"> million</w:t>
                      </w:r>
                    </w:p>
                    <w:p w:rsidR="00DB06A4" w:rsidRPr="00907ED7" w:rsidRDefault="00DB06A4" w:rsidP="00DB06A4">
                      <w:pPr>
                        <w:pStyle w:val="ListBullet"/>
                        <w:numPr>
                          <w:ilvl w:val="0"/>
                          <w:numId w:val="0"/>
                        </w:numPr>
                      </w:pPr>
                      <w:r>
                        <w:rPr>
                          <w:b/>
                        </w:rPr>
                        <w:t>Service provider</w:t>
                      </w:r>
                      <w:r w:rsidRPr="00337CF6">
                        <w:rPr>
                          <w:b/>
                        </w:rPr>
                        <w:t>:</w:t>
                      </w:r>
                      <w:r>
                        <w:rPr>
                          <w:b/>
                        </w:rPr>
                        <w:t xml:space="preserve"> </w:t>
                      </w:r>
                      <w:r w:rsidRPr="00907ED7">
                        <w:t xml:space="preserve">Warlpiri Youth Development Aboriginal Corporation </w:t>
                      </w:r>
                    </w:p>
                    <w:p w:rsidR="00DB06A4" w:rsidRDefault="00DB06A4" w:rsidP="00D431C7">
                      <w:r w:rsidRPr="00862E89">
                        <w:rPr>
                          <w:b/>
                        </w:rPr>
                        <w:t xml:space="preserve">Potential future saving: </w:t>
                      </w:r>
                      <w:r w:rsidR="00D56AC3" w:rsidRPr="00F57E77">
                        <w:t xml:space="preserve">This project supports </w:t>
                      </w:r>
                      <w:r w:rsidR="00D56AC3">
                        <w:t xml:space="preserve">a </w:t>
                      </w:r>
                      <w:r w:rsidR="00D56AC3" w:rsidRPr="00F57E77">
                        <w:t xml:space="preserve">group of people identified through the provider’s experience in working with vulnerable people, and other research. To date, potential future savings for this group </w:t>
                      </w:r>
                      <w:proofErr w:type="gramStart"/>
                      <w:r w:rsidR="00D56AC3" w:rsidRPr="00F57E77">
                        <w:t>have not been calculated</w:t>
                      </w:r>
                      <w:proofErr w:type="gramEnd"/>
                      <w:r w:rsidR="00D56AC3" w:rsidRPr="00F57E77">
                        <w:t>. Such a calculation may be possible once data on participants in this project</w:t>
                      </w:r>
                      <w:r w:rsidR="00D56AC3">
                        <w:t xml:space="preserve"> is available</w:t>
                      </w:r>
                      <w:r w:rsidR="00D56AC3" w:rsidRPr="00F57E77">
                        <w:t xml:space="preserve"> if an appropriate com</w:t>
                      </w:r>
                      <w:r w:rsidR="00D56AC3">
                        <w:t xml:space="preserve">parison group </w:t>
                      </w:r>
                      <w:proofErr w:type="gramStart"/>
                      <w:r w:rsidR="00D56AC3">
                        <w:t>can be identified</w:t>
                      </w:r>
                      <w:proofErr w:type="gramEnd"/>
                      <w:r w:rsidR="00D56AC3">
                        <w:t>.</w:t>
                      </w:r>
                    </w:p>
                    <w:p w:rsidR="00BB288B" w:rsidRDefault="00BB288B" w:rsidP="00BB288B">
                      <w:pPr>
                        <w:pStyle w:val="ListBullet"/>
                        <w:numPr>
                          <w:ilvl w:val="0"/>
                          <w:numId w:val="0"/>
                        </w:numPr>
                      </w:pPr>
                      <w:r w:rsidRPr="00F50D17">
                        <w:rPr>
                          <w:b/>
                        </w:rPr>
                        <w:t xml:space="preserve">Note: </w:t>
                      </w:r>
                      <w:r w:rsidRPr="00A97FF6">
                        <w:t xml:space="preserve">Due to changes in </w:t>
                      </w:r>
                      <w:r>
                        <w:t xml:space="preserve">circumstances, adjustments </w:t>
                      </w:r>
                      <w:proofErr w:type="gramStart"/>
                      <w:r>
                        <w:t xml:space="preserve">have </w:t>
                      </w:r>
                      <w:r w:rsidRPr="00A97FF6">
                        <w:t>been made</w:t>
                      </w:r>
                      <w:proofErr w:type="gramEnd"/>
                      <w:r w:rsidRPr="00A97FF6">
                        <w:t xml:space="preserve"> to</w:t>
                      </w:r>
                      <w:r>
                        <w:t xml:space="preserve"> the</w:t>
                      </w:r>
                      <w:r w:rsidRPr="00A97FF6">
                        <w:t xml:space="preserve"> trial period and total funding.</w:t>
                      </w:r>
                    </w:p>
                    <w:p w:rsidR="00BB288B" w:rsidRPr="00D431C7" w:rsidRDefault="00BB288B" w:rsidP="00D431C7">
                      <w:pPr>
                        <w:rPr>
                          <w:rFonts w:ascii="Calibri" w:hAnsi="Calibri"/>
                          <w:szCs w:val="22"/>
                        </w:rPr>
                      </w:pPr>
                    </w:p>
                  </w:txbxContent>
                </v:textbox>
                <w10:wrap type="square" anchorx="page"/>
              </v:shape>
            </w:pict>
          </mc:Fallback>
        </mc:AlternateContent>
      </w:r>
      <w:r w:rsidR="00DB06A4" w:rsidRPr="00884392">
        <w:t>What are we trying to achieve?</w:t>
      </w:r>
      <w:r w:rsidR="00DB06A4" w:rsidRPr="00884392">
        <w:rPr>
          <w:noProof/>
        </w:rPr>
        <w:t xml:space="preserve"> </w:t>
      </w:r>
    </w:p>
    <w:p w:rsidR="00DB06A4" w:rsidRDefault="00DB06A4" w:rsidP="00B303D2">
      <w:pPr>
        <w:spacing w:after="0" w:line="240" w:lineRule="auto"/>
        <w:rPr>
          <w:rFonts w:eastAsiaTheme="majorEastAsia"/>
        </w:rPr>
      </w:pPr>
      <w:r w:rsidRPr="00D431C7">
        <w:rPr>
          <w:rFonts w:eastAsiaTheme="majorEastAsia"/>
        </w:rPr>
        <w:t>To improve the health and wellbeing of Indigenous people, aged between 12</w:t>
      </w:r>
      <w:r w:rsidR="007951B0">
        <w:rPr>
          <w:rFonts w:eastAsiaTheme="majorEastAsia"/>
        </w:rPr>
        <w:t> </w:t>
      </w:r>
      <w:r w:rsidRPr="00D431C7">
        <w:rPr>
          <w:rFonts w:eastAsiaTheme="majorEastAsia"/>
        </w:rPr>
        <w:t>and 35 years, living in two remote Warlpiri communities to assist them to become more resilient, engaged and productive. The project test</w:t>
      </w:r>
      <w:r w:rsidR="003A33B9">
        <w:rPr>
          <w:rFonts w:eastAsiaTheme="majorEastAsia"/>
        </w:rPr>
        <w:t>s</w:t>
      </w:r>
      <w:r w:rsidRPr="00D431C7">
        <w:rPr>
          <w:rFonts w:eastAsiaTheme="majorEastAsia"/>
        </w:rPr>
        <w:t xml:space="preserve"> whether higher levels of social and emotional wellbeing lead to improved education and employment outcomes.</w:t>
      </w:r>
    </w:p>
    <w:p w:rsidR="00BB288B" w:rsidRPr="00D431C7" w:rsidRDefault="00BB288B" w:rsidP="00B303D2">
      <w:pPr>
        <w:spacing w:before="0" w:after="0" w:line="240" w:lineRule="auto"/>
      </w:pPr>
    </w:p>
    <w:p w:rsidR="00DB06A4" w:rsidRPr="00884392" w:rsidRDefault="00DB06A4" w:rsidP="00B303D2">
      <w:pPr>
        <w:pStyle w:val="Heading2"/>
        <w:spacing w:before="0"/>
      </w:pPr>
      <w:r w:rsidRPr="00884392">
        <w:t xml:space="preserve">What is </w:t>
      </w:r>
      <w:r w:rsidRPr="002D0FB7">
        <w:rPr>
          <w:i/>
        </w:rPr>
        <w:t xml:space="preserve">Warra </w:t>
      </w:r>
      <w:proofErr w:type="spellStart"/>
      <w:r w:rsidRPr="002D0FB7">
        <w:rPr>
          <w:i/>
        </w:rPr>
        <w:t>Warra</w:t>
      </w:r>
      <w:proofErr w:type="spellEnd"/>
      <w:r w:rsidRPr="002D0FB7">
        <w:rPr>
          <w:i/>
        </w:rPr>
        <w:t xml:space="preserve"> </w:t>
      </w:r>
      <w:proofErr w:type="spellStart"/>
      <w:r w:rsidRPr="002D0FB7">
        <w:rPr>
          <w:i/>
        </w:rPr>
        <w:t>Kanyi</w:t>
      </w:r>
      <w:proofErr w:type="spellEnd"/>
      <w:r w:rsidRPr="00884392">
        <w:t>?</w:t>
      </w:r>
    </w:p>
    <w:p w:rsidR="00DB06A4" w:rsidRPr="00D431C7" w:rsidRDefault="00DB06A4" w:rsidP="00D431C7">
      <w:pPr>
        <w:spacing w:line="240" w:lineRule="auto"/>
        <w:rPr>
          <w:rFonts w:eastAsiaTheme="majorEastAsia"/>
        </w:rPr>
      </w:pPr>
      <w:r w:rsidRPr="00D431C7">
        <w:rPr>
          <w:rFonts w:eastAsiaTheme="majorEastAsia"/>
        </w:rPr>
        <w:t xml:space="preserve">Through Warra </w:t>
      </w:r>
      <w:proofErr w:type="spellStart"/>
      <w:r w:rsidRPr="00D431C7">
        <w:rPr>
          <w:rFonts w:eastAsiaTheme="majorEastAsia"/>
        </w:rPr>
        <w:t>Warra</w:t>
      </w:r>
      <w:proofErr w:type="spellEnd"/>
      <w:r w:rsidRPr="00D431C7">
        <w:rPr>
          <w:rFonts w:eastAsiaTheme="majorEastAsia"/>
        </w:rPr>
        <w:t xml:space="preserve"> </w:t>
      </w:r>
      <w:proofErr w:type="spellStart"/>
      <w:r w:rsidRPr="00D431C7">
        <w:rPr>
          <w:rFonts w:eastAsiaTheme="majorEastAsia"/>
        </w:rPr>
        <w:t>Kanyi</w:t>
      </w:r>
      <w:proofErr w:type="spellEnd"/>
      <w:r w:rsidRPr="00D431C7">
        <w:rPr>
          <w:rFonts w:eastAsiaTheme="majorEastAsia"/>
        </w:rPr>
        <w:t>, participants receive intensive case management to address the reasons that have led them to become disengaged from education and employment. The case managers are community members, who are supported by experienced practitioners. Through this bi-cultural model, the project work</w:t>
      </w:r>
      <w:r w:rsidR="003A33B9">
        <w:rPr>
          <w:rFonts w:eastAsiaTheme="majorEastAsia"/>
        </w:rPr>
        <w:t>s</w:t>
      </w:r>
      <w:r w:rsidRPr="00D431C7">
        <w:rPr>
          <w:rFonts w:eastAsiaTheme="majorEastAsia"/>
        </w:rPr>
        <w:t xml:space="preserve"> with participants to provide them with the skills and supports needed to improve their psychological, emotional and physical wellbeing.</w:t>
      </w:r>
    </w:p>
    <w:p w:rsidR="00DB06A4" w:rsidRDefault="00DB06A4" w:rsidP="00B303D2">
      <w:pPr>
        <w:spacing w:after="0" w:line="240" w:lineRule="auto"/>
        <w:rPr>
          <w:rFonts w:eastAsiaTheme="majorEastAsia"/>
        </w:rPr>
      </w:pPr>
      <w:r w:rsidRPr="00D431C7">
        <w:rPr>
          <w:rFonts w:eastAsiaTheme="majorEastAsia"/>
        </w:rPr>
        <w:t xml:space="preserve">Warra </w:t>
      </w:r>
      <w:proofErr w:type="spellStart"/>
      <w:r w:rsidRPr="00D431C7">
        <w:rPr>
          <w:rFonts w:eastAsiaTheme="majorEastAsia"/>
        </w:rPr>
        <w:t>Warra</w:t>
      </w:r>
      <w:proofErr w:type="spellEnd"/>
      <w:r w:rsidRPr="00D431C7">
        <w:rPr>
          <w:rFonts w:eastAsiaTheme="majorEastAsia"/>
        </w:rPr>
        <w:t xml:space="preserve"> </w:t>
      </w:r>
      <w:proofErr w:type="spellStart"/>
      <w:r w:rsidRPr="00D431C7">
        <w:rPr>
          <w:rFonts w:eastAsiaTheme="majorEastAsia"/>
        </w:rPr>
        <w:t>Kanyi</w:t>
      </w:r>
      <w:proofErr w:type="spellEnd"/>
      <w:r w:rsidRPr="00D431C7">
        <w:rPr>
          <w:rFonts w:eastAsiaTheme="majorEastAsia"/>
        </w:rPr>
        <w:t xml:space="preserve"> has been successfully operating for a decade in Yuendumu. This project enable</w:t>
      </w:r>
      <w:r w:rsidR="003A33B9">
        <w:rPr>
          <w:rFonts w:eastAsiaTheme="majorEastAsia"/>
        </w:rPr>
        <w:t>s</w:t>
      </w:r>
      <w:r w:rsidRPr="00D431C7">
        <w:rPr>
          <w:rFonts w:eastAsiaTheme="majorEastAsia"/>
        </w:rPr>
        <w:t xml:space="preserve"> the approach to be continued, clearly documented, and rolled out to Lajamanu community, where no case management services currently exist. </w:t>
      </w:r>
    </w:p>
    <w:p w:rsidR="00BB288B" w:rsidRPr="00D431C7" w:rsidRDefault="00BB288B" w:rsidP="00B303D2">
      <w:pPr>
        <w:spacing w:before="0" w:after="0" w:line="240" w:lineRule="auto"/>
        <w:rPr>
          <w:rFonts w:eastAsiaTheme="majorEastAsia"/>
        </w:rPr>
      </w:pPr>
    </w:p>
    <w:p w:rsidR="00DB06A4" w:rsidRPr="00884392" w:rsidRDefault="00DB06A4" w:rsidP="00B303D2">
      <w:pPr>
        <w:pStyle w:val="Heading2"/>
        <w:spacing w:before="0"/>
        <w:rPr>
          <w:szCs w:val="18"/>
        </w:rPr>
      </w:pPr>
      <w:r w:rsidRPr="00884392">
        <w:t>What does the evidence tell us?</w:t>
      </w:r>
    </w:p>
    <w:p w:rsidR="00D431C7" w:rsidRDefault="0085557A" w:rsidP="00D431C7">
      <w:pPr>
        <w:spacing w:line="240" w:lineRule="auto"/>
        <w:rPr>
          <w:rFonts w:asciiTheme="minorHAnsi" w:eastAsiaTheme="majorEastAsia" w:hAnsiTheme="minorHAnsi" w:cstheme="minorHAnsi"/>
          <w:iCs/>
          <w:color w:val="000000" w:themeColor="text1"/>
          <w:szCs w:val="20"/>
        </w:rPr>
      </w:pPr>
      <w:r w:rsidRPr="003F2BBC">
        <w:t xml:space="preserve">Young unemployed </w:t>
      </w:r>
      <w:r>
        <w:t xml:space="preserve">Indigenous </w:t>
      </w:r>
      <w:r w:rsidRPr="003F2BBC">
        <w:t>people face a variety of barriers to further education and employment</w:t>
      </w:r>
      <w:r>
        <w:t>, particularly those living in very remote</w:t>
      </w:r>
      <w:r w:rsidRPr="00884392">
        <w:rPr>
          <w:rFonts w:asciiTheme="minorHAnsi" w:eastAsiaTheme="majorEastAsia" w:hAnsiTheme="minorHAnsi" w:cstheme="minorHAnsi"/>
          <w:iCs/>
          <w:color w:val="000000" w:themeColor="text1"/>
          <w:szCs w:val="20"/>
        </w:rPr>
        <w:t xml:space="preserve"> </w:t>
      </w:r>
      <w:r>
        <w:rPr>
          <w:rFonts w:asciiTheme="minorHAnsi" w:eastAsiaTheme="majorEastAsia" w:hAnsiTheme="minorHAnsi" w:cstheme="minorHAnsi"/>
          <w:iCs/>
          <w:color w:val="000000" w:themeColor="text1"/>
          <w:szCs w:val="20"/>
        </w:rPr>
        <w:t>areas.</w:t>
      </w:r>
    </w:p>
    <w:p w:rsidR="00DB06A4" w:rsidRPr="00D431C7" w:rsidRDefault="00DB06A4" w:rsidP="00D431C7">
      <w:pPr>
        <w:spacing w:line="240" w:lineRule="auto"/>
        <w:rPr>
          <w:rFonts w:asciiTheme="minorHAnsi" w:eastAsiaTheme="majorEastAsia" w:hAnsiTheme="minorHAnsi" w:cstheme="minorHAnsi"/>
          <w:iCs/>
          <w:color w:val="000000" w:themeColor="text1"/>
          <w:szCs w:val="20"/>
        </w:rPr>
      </w:pPr>
      <w:r w:rsidRPr="00884392">
        <w:rPr>
          <w:rFonts w:asciiTheme="minorHAnsi" w:eastAsiaTheme="majorEastAsia" w:hAnsiTheme="minorHAnsi" w:cstheme="minorHAnsi"/>
          <w:iCs/>
          <w:color w:val="000000" w:themeColor="text1"/>
          <w:szCs w:val="20"/>
        </w:rPr>
        <w:t xml:space="preserve">Indigenous people living in very remote areas are 1.4 times more likely to be unemployed and 1.5 times more likely to receive government allowances as their main income source than Indigenous people living in major cities (AIHW, Australia’s Welfare, 2017). </w:t>
      </w:r>
    </w:p>
    <w:p w:rsidR="00D431C7" w:rsidRDefault="00DB06A4" w:rsidP="00D431C7">
      <w:pPr>
        <w:pStyle w:val="Heading2"/>
      </w:pPr>
      <w:r w:rsidRPr="00884392">
        <w:t>How is this initiative new and innovative?</w:t>
      </w:r>
    </w:p>
    <w:p w:rsidR="00DA13C8" w:rsidRPr="00D431C7" w:rsidRDefault="00DB06A4" w:rsidP="00D431C7">
      <w:pPr>
        <w:spacing w:line="240" w:lineRule="auto"/>
        <w:rPr>
          <w:sz w:val="26"/>
        </w:rPr>
      </w:pPr>
      <w:r w:rsidRPr="00884392">
        <w:rPr>
          <w:szCs w:val="22"/>
        </w:rPr>
        <w:t xml:space="preserve">This project </w:t>
      </w:r>
      <w:r w:rsidRPr="00D431C7">
        <w:t>test</w:t>
      </w:r>
      <w:r w:rsidR="003A33B9">
        <w:t>s</w:t>
      </w:r>
      <w:r w:rsidRPr="00D431C7">
        <w:t xml:space="preserve"> the scaling up of a bi-cultural approach to delivering services, in a remote Indigenous community where no such services currently exist. The approach embeds systems and skills that reduce the risk of welfare dependence. It also helps to develop skills in the educational, emotional and psychological domains of Warlpiri life that increase employability and the likelihood of maintaining employment.</w:t>
      </w:r>
    </w:p>
    <w:sectPr w:rsidR="00DA13C8" w:rsidRPr="00D431C7" w:rsidSect="003A33B9">
      <w:headerReference w:type="default" r:id="rId15"/>
      <w:footerReference w:type="default" r:id="rId16"/>
      <w:type w:val="continuous"/>
      <w:pgSz w:w="11906" w:h="16838" w:code="9"/>
      <w:pgMar w:top="720" w:right="720" w:bottom="720" w:left="720"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BB" w:rsidRDefault="00BA15BB">
      <w:r>
        <w:separator/>
      </w:r>
    </w:p>
    <w:p w:rsidR="00BA15BB" w:rsidRDefault="00BA15BB"/>
  </w:endnote>
  <w:endnote w:type="continuationSeparator" w:id="0">
    <w:p w:rsidR="00BA15BB" w:rsidRDefault="00BA15BB">
      <w:r>
        <w:continuationSeparator/>
      </w:r>
    </w:p>
    <w:p w:rsidR="00BA15BB" w:rsidRDefault="00BA1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3A" w:rsidRDefault="00B7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A4" w:rsidRPr="00846C1D" w:rsidRDefault="00DB06A4" w:rsidP="00846C1D">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A4" w:rsidRDefault="00682537">
    <w:pPr>
      <w:pStyle w:val="Footer"/>
      <w:rPr>
        <w:noProof/>
      </w:rPr>
    </w:pPr>
    <w:r>
      <w:t>Revised February 2021</w:t>
    </w:r>
  </w:p>
  <w:p w:rsidR="00B303D2" w:rsidRDefault="00B303D2" w:rsidP="00B303D2">
    <w:pPr>
      <w:pStyle w:val="Footer"/>
      <w:tabs>
        <w:tab w:val="clear" w:pos="10433"/>
        <w:tab w:val="left" w:pos="6696"/>
      </w:tabs>
    </w:pPr>
    <w:r w:rsidRPr="00496410">
      <w:rPr>
        <w:noProof/>
      </w:rPr>
      <w:drawing>
        <wp:anchor distT="0" distB="0" distL="114300" distR="114300" simplePos="0" relativeHeight="251662336" behindDoc="1" locked="0" layoutInCell="1" allowOverlap="1" wp14:anchorId="2C71739A" wp14:editId="176CA128">
          <wp:simplePos x="0" y="0"/>
          <wp:positionH relativeFrom="page">
            <wp:align>left</wp:align>
          </wp:positionH>
          <wp:positionV relativeFrom="paragraph">
            <wp:posOffset>106045</wp:posOffset>
          </wp:positionV>
          <wp:extent cx="7559675" cy="464820"/>
          <wp:effectExtent l="0" t="0" r="3175" b="0"/>
          <wp:wrapNone/>
          <wp:docPr id="7" name="Picture 7" descr="Green banner aligning with the bran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rotWithShape="1">
                  <a:blip r:embed="rId1" cstate="print">
                    <a:extLst>
                      <a:ext uri="{28A0092B-C50C-407E-A947-70E740481C1C}">
                        <a14:useLocalDpi xmlns:a14="http://schemas.microsoft.com/office/drawing/2010/main" val="0"/>
                      </a:ext>
                    </a:extLst>
                  </a:blip>
                  <a:srcRect t="31709" b="25308"/>
                  <a:stretch/>
                </pic:blipFill>
                <pic:spPr bwMode="auto">
                  <a:xfrm>
                    <a:off x="0" y="0"/>
                    <a:ext cx="7559675" cy="464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7" w:rsidRPr="00846C1D" w:rsidRDefault="00321148" w:rsidP="00846C1D">
    <w:pPr>
      <w:pStyle w:val="Footer"/>
    </w:pPr>
    <w:r>
      <w:tab/>
    </w:r>
    <w:r>
      <w:fldChar w:fldCharType="begin"/>
    </w:r>
    <w:r>
      <w:instrText xml:space="preserve"> PAGE   \* MERGEFORMAT </w:instrText>
    </w:r>
    <w:r>
      <w:fldChar w:fldCharType="separate"/>
    </w:r>
    <w:r w:rsidR="006D4861">
      <w:rPr>
        <w:noProof/>
      </w:rPr>
      <w:t>2</w:t>
    </w:r>
    <w:r>
      <w:rPr>
        <w:noProof/>
      </w:rPr>
      <w:fldChar w:fldCharType="end"/>
    </w:r>
  </w:p>
  <w:p w:rsidR="008E075E" w:rsidRDefault="008E075E"/>
  <w:p w:rsidR="00937F53" w:rsidRDefault="00937F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BB" w:rsidRDefault="00BA15BB">
      <w:r>
        <w:separator/>
      </w:r>
    </w:p>
    <w:p w:rsidR="00BA15BB" w:rsidRDefault="00BA15BB"/>
  </w:footnote>
  <w:footnote w:type="continuationSeparator" w:id="0">
    <w:p w:rsidR="00BA15BB" w:rsidRDefault="00BA15BB">
      <w:r>
        <w:continuationSeparator/>
      </w:r>
    </w:p>
    <w:p w:rsidR="00BA15BB" w:rsidRDefault="00BA15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3A" w:rsidRDefault="00B7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A4" w:rsidRDefault="00DB06A4">
    <w:pPr>
      <w:pStyle w:val="Header"/>
      <w:rPr>
        <w:noProof/>
      </w:rPr>
    </w:pPr>
    <w:r w:rsidRPr="00680F71">
      <w:rPr>
        <w:noProof/>
      </w:rPr>
      <w:t>Commonwealth Financial Counselling</w:t>
    </w:r>
  </w:p>
  <w:p w:rsidR="00DB06A4" w:rsidRDefault="00DB06A4">
    <w:pPr>
      <w:pStyle w:val="Header"/>
    </w:pPr>
    <w:r>
      <w:rPr>
        <w:noProof/>
      </w:rPr>
      <mc:AlternateContent>
        <mc:Choice Requires="wps">
          <w:drawing>
            <wp:inline distT="0" distB="0" distL="0" distR="0" wp14:anchorId="79F2BAA9" wp14:editId="6FEFD7A8">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E788B"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A4" w:rsidRDefault="00DB06A4">
    <w:pPr>
      <w:pStyle w:val="Header"/>
      <w:rPr>
        <w:noProof/>
      </w:rPr>
    </w:pPr>
    <w:r>
      <w:rPr>
        <w:noProof/>
      </w:rPr>
      <w:drawing>
        <wp:anchor distT="0" distB="0" distL="114300" distR="114300" simplePos="0" relativeHeight="251660288" behindDoc="1" locked="0" layoutInCell="1" allowOverlap="1" wp14:anchorId="5F314862" wp14:editId="00B2B74A">
          <wp:simplePos x="0" y="0"/>
          <wp:positionH relativeFrom="column">
            <wp:posOffset>138430</wp:posOffset>
          </wp:positionH>
          <wp:positionV relativeFrom="paragraph">
            <wp:posOffset>-248396</wp:posOffset>
          </wp:positionV>
          <wp:extent cx="6621780" cy="3133090"/>
          <wp:effectExtent l="0" t="0" r="7620" b="0"/>
          <wp:wrapNone/>
          <wp:docPr id="5" name="Picture 5" descr="This element is background and contains the Australian Government crest and some design features. " title="TTL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2.jpg"/>
                  <pic:cNvPicPr/>
                </pic:nvPicPr>
                <pic:blipFill rotWithShape="1">
                  <a:blip r:embed="rId1" cstate="print">
                    <a:extLst>
                      <a:ext uri="{28A0092B-C50C-407E-A947-70E740481C1C}">
                        <a14:useLocalDpi xmlns:a14="http://schemas.microsoft.com/office/drawing/2010/main" val="0"/>
                      </a:ext>
                    </a:extLst>
                  </a:blip>
                  <a:srcRect t="687"/>
                  <a:stretch/>
                </pic:blipFill>
                <pic:spPr bwMode="auto">
                  <a:xfrm>
                    <a:off x="0" y="0"/>
                    <a:ext cx="6621780" cy="3133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06A4" w:rsidRDefault="00DB06A4">
    <w:pPr>
      <w:pStyle w:val="Header"/>
      <w:rPr>
        <w:noProof/>
      </w:rPr>
    </w:pPr>
    <w:r>
      <w:rPr>
        <w:noProof/>
      </w:rPr>
      <w:softHyphen/>
    </w:r>
    <w:r>
      <w:rPr>
        <w:noProof/>
      </w:rPr>
      <w:softHyphen/>
    </w:r>
    <w:r>
      <w:rPr>
        <w:noProof/>
      </w:rPr>
      <w:softHyphen/>
    </w:r>
  </w:p>
  <w:p w:rsidR="00DB06A4" w:rsidRDefault="00DB0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A05" w:rsidRDefault="00D56AC3" w:rsidP="00766A05">
    <w:pPr>
      <w:pStyle w:val="Header"/>
      <w:rPr>
        <w:noProof/>
      </w:rPr>
    </w:pPr>
    <w:r>
      <w:rPr>
        <w:noProof/>
      </w:rPr>
      <w:t>Try, Test and Learn Fund</w:t>
    </w:r>
  </w:p>
  <w:p w:rsidR="00214BA3" w:rsidRDefault="00214BA3">
    <w:pPr>
      <w:pStyle w:val="Header"/>
    </w:pPr>
    <w:r>
      <w:rPr>
        <w:noProof/>
      </w:rPr>
      <mc:AlternateContent>
        <mc:Choice Requires="wps">
          <w:drawing>
            <wp:inline distT="0" distB="0" distL="0" distR="0" wp14:anchorId="75DF97C7" wp14:editId="1DCE9466">
              <wp:extent cx="6624000" cy="36000"/>
              <wp:effectExtent l="0" t="0" r="5715" b="2540"/>
              <wp:docPr id="9" name="Rectangle 9"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0AF853" id="Rectangle 9"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C0f1PmtwIAAMUF&#10;AAAOAAAAAAAAAAAAAAAAAC4CAABkcnMvZTJvRG9jLnhtbFBLAQItABQABgAIAAAAIQAf6AbE3AAA&#10;AAQBAAAPAAAAAAAAAAAAAAAAABEFAABkcnMvZG93bnJldi54bWxQSwUGAAAAAAQABADzAAAAGgYA&#10;AAAA&#10;" fillcolor="#275d38" stroked="f" strokeweight="2pt">
              <w10:anchorlock/>
            </v:rect>
          </w:pict>
        </mc:Fallback>
      </mc:AlternateContent>
    </w:r>
  </w:p>
  <w:p w:rsidR="008E075E" w:rsidRDefault="008E075E"/>
  <w:p w:rsidR="00937F53" w:rsidRDefault="00937F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236553"/>
    <w:multiLevelType w:val="hybridMultilevel"/>
    <w:tmpl w:val="CA803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7"/>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59"/>
  </w:num>
  <w:num w:numId="25">
    <w:abstractNumId w:val="32"/>
  </w:num>
  <w:num w:numId="26">
    <w:abstractNumId w:val="38"/>
  </w:num>
  <w:num w:numId="27">
    <w:abstractNumId w:val="19"/>
  </w:num>
  <w:num w:numId="28">
    <w:abstractNumId w:val="58"/>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1"/>
  </w:num>
  <w:num w:numId="41">
    <w:abstractNumId w:val="36"/>
  </w:num>
  <w:num w:numId="42">
    <w:abstractNumId w:val="21"/>
  </w:num>
  <w:num w:numId="43">
    <w:abstractNumId w:val="14"/>
  </w:num>
  <w:num w:numId="44">
    <w:abstractNumId w:val="40"/>
  </w:num>
  <w:num w:numId="45">
    <w:abstractNumId w:val="45"/>
  </w:num>
  <w:num w:numId="46">
    <w:abstractNumId w:val="30"/>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CE"/>
    <w:rsid w:val="00002C18"/>
    <w:rsid w:val="00010549"/>
    <w:rsid w:val="00012F84"/>
    <w:rsid w:val="000136AD"/>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552C9"/>
    <w:rsid w:val="00057AC4"/>
    <w:rsid w:val="00067CD0"/>
    <w:rsid w:val="00080F2E"/>
    <w:rsid w:val="00081CEB"/>
    <w:rsid w:val="00083791"/>
    <w:rsid w:val="00086E3C"/>
    <w:rsid w:val="00087B2C"/>
    <w:rsid w:val="00087DBD"/>
    <w:rsid w:val="00090570"/>
    <w:rsid w:val="00090753"/>
    <w:rsid w:val="00093570"/>
    <w:rsid w:val="00097BFF"/>
    <w:rsid w:val="000A669D"/>
    <w:rsid w:val="000A66A8"/>
    <w:rsid w:val="000B6003"/>
    <w:rsid w:val="000C014D"/>
    <w:rsid w:val="000D3DC0"/>
    <w:rsid w:val="000D4703"/>
    <w:rsid w:val="000D64F9"/>
    <w:rsid w:val="000D693C"/>
    <w:rsid w:val="000E12D4"/>
    <w:rsid w:val="000E2CA6"/>
    <w:rsid w:val="00104669"/>
    <w:rsid w:val="00107059"/>
    <w:rsid w:val="00110028"/>
    <w:rsid w:val="00111C64"/>
    <w:rsid w:val="00115D09"/>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33BC"/>
    <w:rsid w:val="001939FF"/>
    <w:rsid w:val="001943DD"/>
    <w:rsid w:val="00195374"/>
    <w:rsid w:val="001A127F"/>
    <w:rsid w:val="001A2E2F"/>
    <w:rsid w:val="001A39E5"/>
    <w:rsid w:val="001A3CA4"/>
    <w:rsid w:val="001A3EA4"/>
    <w:rsid w:val="001B3AEC"/>
    <w:rsid w:val="001B5000"/>
    <w:rsid w:val="001B6F28"/>
    <w:rsid w:val="001C2557"/>
    <w:rsid w:val="001C6104"/>
    <w:rsid w:val="001D4585"/>
    <w:rsid w:val="001D5D54"/>
    <w:rsid w:val="001E41C8"/>
    <w:rsid w:val="001F3AD7"/>
    <w:rsid w:val="00207630"/>
    <w:rsid w:val="00213082"/>
    <w:rsid w:val="00214BA3"/>
    <w:rsid w:val="0021714E"/>
    <w:rsid w:val="00222187"/>
    <w:rsid w:val="00222C8D"/>
    <w:rsid w:val="00222E33"/>
    <w:rsid w:val="00227B95"/>
    <w:rsid w:val="0023523A"/>
    <w:rsid w:val="002353DF"/>
    <w:rsid w:val="00235C99"/>
    <w:rsid w:val="00235F71"/>
    <w:rsid w:val="0025272A"/>
    <w:rsid w:val="00263E01"/>
    <w:rsid w:val="002659AC"/>
    <w:rsid w:val="00266985"/>
    <w:rsid w:val="00271922"/>
    <w:rsid w:val="0027204E"/>
    <w:rsid w:val="00273412"/>
    <w:rsid w:val="00274ACF"/>
    <w:rsid w:val="00274AE3"/>
    <w:rsid w:val="00282CD1"/>
    <w:rsid w:val="00285F1B"/>
    <w:rsid w:val="00295831"/>
    <w:rsid w:val="00296F1B"/>
    <w:rsid w:val="002A6DF5"/>
    <w:rsid w:val="002C2FA1"/>
    <w:rsid w:val="002D00B0"/>
    <w:rsid w:val="002D0FB7"/>
    <w:rsid w:val="002D2E16"/>
    <w:rsid w:val="002E5722"/>
    <w:rsid w:val="002E7D1D"/>
    <w:rsid w:val="002F19EF"/>
    <w:rsid w:val="002F56D2"/>
    <w:rsid w:val="00302415"/>
    <w:rsid w:val="003102F6"/>
    <w:rsid w:val="00313304"/>
    <w:rsid w:val="00313C48"/>
    <w:rsid w:val="003162AD"/>
    <w:rsid w:val="00321148"/>
    <w:rsid w:val="00321798"/>
    <w:rsid w:val="00325F44"/>
    <w:rsid w:val="00326976"/>
    <w:rsid w:val="00326FED"/>
    <w:rsid w:val="003311D7"/>
    <w:rsid w:val="00332B8B"/>
    <w:rsid w:val="00337CF6"/>
    <w:rsid w:val="00347104"/>
    <w:rsid w:val="0035213F"/>
    <w:rsid w:val="003555D2"/>
    <w:rsid w:val="00363DF3"/>
    <w:rsid w:val="003656B1"/>
    <w:rsid w:val="00366339"/>
    <w:rsid w:val="00367EBC"/>
    <w:rsid w:val="003703CE"/>
    <w:rsid w:val="0037056B"/>
    <w:rsid w:val="00377173"/>
    <w:rsid w:val="003774DA"/>
    <w:rsid w:val="00381C38"/>
    <w:rsid w:val="00392557"/>
    <w:rsid w:val="003945C0"/>
    <w:rsid w:val="003966E2"/>
    <w:rsid w:val="003A06C2"/>
    <w:rsid w:val="003A33B9"/>
    <w:rsid w:val="003B067E"/>
    <w:rsid w:val="003B55C8"/>
    <w:rsid w:val="003B6D2E"/>
    <w:rsid w:val="003C430D"/>
    <w:rsid w:val="003C7107"/>
    <w:rsid w:val="003C7404"/>
    <w:rsid w:val="003D3C5A"/>
    <w:rsid w:val="003D404A"/>
    <w:rsid w:val="003D4F76"/>
    <w:rsid w:val="003D65EC"/>
    <w:rsid w:val="003E6FDA"/>
    <w:rsid w:val="003F3072"/>
    <w:rsid w:val="003F5D25"/>
    <w:rsid w:val="003F7DDF"/>
    <w:rsid w:val="00401A2A"/>
    <w:rsid w:val="0040666C"/>
    <w:rsid w:val="004103D7"/>
    <w:rsid w:val="0041170A"/>
    <w:rsid w:val="0041307C"/>
    <w:rsid w:val="004167B4"/>
    <w:rsid w:val="00430D7E"/>
    <w:rsid w:val="00432AB3"/>
    <w:rsid w:val="00433B04"/>
    <w:rsid w:val="00440BD3"/>
    <w:rsid w:val="00446F93"/>
    <w:rsid w:val="004649E2"/>
    <w:rsid w:val="00464E8C"/>
    <w:rsid w:val="00466D36"/>
    <w:rsid w:val="00467185"/>
    <w:rsid w:val="0047050C"/>
    <w:rsid w:val="00475504"/>
    <w:rsid w:val="00480F21"/>
    <w:rsid w:val="00484FED"/>
    <w:rsid w:val="00487FDC"/>
    <w:rsid w:val="00495AF1"/>
    <w:rsid w:val="00496410"/>
    <w:rsid w:val="004A6B73"/>
    <w:rsid w:val="004C366C"/>
    <w:rsid w:val="004C5384"/>
    <w:rsid w:val="004F775C"/>
    <w:rsid w:val="005015E4"/>
    <w:rsid w:val="0050291D"/>
    <w:rsid w:val="0050697E"/>
    <w:rsid w:val="00524B3C"/>
    <w:rsid w:val="005279F0"/>
    <w:rsid w:val="005315A9"/>
    <w:rsid w:val="00532B56"/>
    <w:rsid w:val="00540AD0"/>
    <w:rsid w:val="0054322A"/>
    <w:rsid w:val="00543923"/>
    <w:rsid w:val="005519C9"/>
    <w:rsid w:val="005523D1"/>
    <w:rsid w:val="00554A9C"/>
    <w:rsid w:val="00557624"/>
    <w:rsid w:val="0056023E"/>
    <w:rsid w:val="005658EF"/>
    <w:rsid w:val="005822A3"/>
    <w:rsid w:val="00585669"/>
    <w:rsid w:val="00590213"/>
    <w:rsid w:val="0059070B"/>
    <w:rsid w:val="00594445"/>
    <w:rsid w:val="005B1225"/>
    <w:rsid w:val="005B76B0"/>
    <w:rsid w:val="005C09F4"/>
    <w:rsid w:val="005C2FB0"/>
    <w:rsid w:val="005C561A"/>
    <w:rsid w:val="005C5B93"/>
    <w:rsid w:val="005C66FF"/>
    <w:rsid w:val="005C673E"/>
    <w:rsid w:val="005C785A"/>
    <w:rsid w:val="005D03CA"/>
    <w:rsid w:val="005D45AB"/>
    <w:rsid w:val="005D4634"/>
    <w:rsid w:val="005E4662"/>
    <w:rsid w:val="005F093F"/>
    <w:rsid w:val="005F1459"/>
    <w:rsid w:val="005F214A"/>
    <w:rsid w:val="005F6BD6"/>
    <w:rsid w:val="00601C99"/>
    <w:rsid w:val="00607597"/>
    <w:rsid w:val="006255E4"/>
    <w:rsid w:val="00627728"/>
    <w:rsid w:val="00633E60"/>
    <w:rsid w:val="00641020"/>
    <w:rsid w:val="006410C1"/>
    <w:rsid w:val="00643754"/>
    <w:rsid w:val="00647F05"/>
    <w:rsid w:val="006530EF"/>
    <w:rsid w:val="00654D06"/>
    <w:rsid w:val="00661536"/>
    <w:rsid w:val="00664041"/>
    <w:rsid w:val="0067233D"/>
    <w:rsid w:val="006745AE"/>
    <w:rsid w:val="00675BEF"/>
    <w:rsid w:val="00676AF3"/>
    <w:rsid w:val="00676D10"/>
    <w:rsid w:val="00680F71"/>
    <w:rsid w:val="00682537"/>
    <w:rsid w:val="00682A53"/>
    <w:rsid w:val="0069174B"/>
    <w:rsid w:val="00693FA1"/>
    <w:rsid w:val="006A0B6D"/>
    <w:rsid w:val="006A79B4"/>
    <w:rsid w:val="006B05E3"/>
    <w:rsid w:val="006B09BC"/>
    <w:rsid w:val="006B31EA"/>
    <w:rsid w:val="006B42A0"/>
    <w:rsid w:val="006B4E59"/>
    <w:rsid w:val="006C1F8C"/>
    <w:rsid w:val="006C3402"/>
    <w:rsid w:val="006C3622"/>
    <w:rsid w:val="006C395C"/>
    <w:rsid w:val="006C45D4"/>
    <w:rsid w:val="006C59FD"/>
    <w:rsid w:val="006D4861"/>
    <w:rsid w:val="006E1F3C"/>
    <w:rsid w:val="006E6073"/>
    <w:rsid w:val="006F7300"/>
    <w:rsid w:val="00703C09"/>
    <w:rsid w:val="00712300"/>
    <w:rsid w:val="00713CD6"/>
    <w:rsid w:val="00720739"/>
    <w:rsid w:val="00721695"/>
    <w:rsid w:val="007242B4"/>
    <w:rsid w:val="00725FB2"/>
    <w:rsid w:val="00730C64"/>
    <w:rsid w:val="007322AF"/>
    <w:rsid w:val="00735477"/>
    <w:rsid w:val="00736DCA"/>
    <w:rsid w:val="00742399"/>
    <w:rsid w:val="0074640C"/>
    <w:rsid w:val="00747F8B"/>
    <w:rsid w:val="0075003D"/>
    <w:rsid w:val="00751B37"/>
    <w:rsid w:val="00752C05"/>
    <w:rsid w:val="00754D44"/>
    <w:rsid w:val="00766A05"/>
    <w:rsid w:val="00767B7E"/>
    <w:rsid w:val="0077453B"/>
    <w:rsid w:val="007746A9"/>
    <w:rsid w:val="00785465"/>
    <w:rsid w:val="00786D10"/>
    <w:rsid w:val="00787656"/>
    <w:rsid w:val="007951B0"/>
    <w:rsid w:val="007A67EA"/>
    <w:rsid w:val="007B15AF"/>
    <w:rsid w:val="007B269E"/>
    <w:rsid w:val="007B7E83"/>
    <w:rsid w:val="007C1631"/>
    <w:rsid w:val="007C636F"/>
    <w:rsid w:val="007D0EF8"/>
    <w:rsid w:val="007D39EB"/>
    <w:rsid w:val="00801B26"/>
    <w:rsid w:val="008131E7"/>
    <w:rsid w:val="00813711"/>
    <w:rsid w:val="00814279"/>
    <w:rsid w:val="008263C2"/>
    <w:rsid w:val="00831773"/>
    <w:rsid w:val="00833147"/>
    <w:rsid w:val="00842959"/>
    <w:rsid w:val="008451FE"/>
    <w:rsid w:val="008466A1"/>
    <w:rsid w:val="00846C1D"/>
    <w:rsid w:val="00851758"/>
    <w:rsid w:val="0085557A"/>
    <w:rsid w:val="00856D5A"/>
    <w:rsid w:val="008609EB"/>
    <w:rsid w:val="00862D6D"/>
    <w:rsid w:val="00862E89"/>
    <w:rsid w:val="008653E0"/>
    <w:rsid w:val="008657FB"/>
    <w:rsid w:val="00871D4F"/>
    <w:rsid w:val="00874FB3"/>
    <w:rsid w:val="00880BE3"/>
    <w:rsid w:val="00882588"/>
    <w:rsid w:val="00895792"/>
    <w:rsid w:val="008A1212"/>
    <w:rsid w:val="008A3738"/>
    <w:rsid w:val="008B645B"/>
    <w:rsid w:val="008B67B8"/>
    <w:rsid w:val="008B774D"/>
    <w:rsid w:val="008C123E"/>
    <w:rsid w:val="008C3ED0"/>
    <w:rsid w:val="008C4B68"/>
    <w:rsid w:val="008C5585"/>
    <w:rsid w:val="008C5E94"/>
    <w:rsid w:val="008E075E"/>
    <w:rsid w:val="008E0878"/>
    <w:rsid w:val="008E6E9D"/>
    <w:rsid w:val="008F3839"/>
    <w:rsid w:val="008F68F7"/>
    <w:rsid w:val="008F7480"/>
    <w:rsid w:val="009037B6"/>
    <w:rsid w:val="00906CBE"/>
    <w:rsid w:val="00906FFA"/>
    <w:rsid w:val="00910384"/>
    <w:rsid w:val="009139C0"/>
    <w:rsid w:val="009161C8"/>
    <w:rsid w:val="009164AD"/>
    <w:rsid w:val="00922289"/>
    <w:rsid w:val="00931A25"/>
    <w:rsid w:val="00936F46"/>
    <w:rsid w:val="00937F53"/>
    <w:rsid w:val="00941057"/>
    <w:rsid w:val="0094271E"/>
    <w:rsid w:val="00943142"/>
    <w:rsid w:val="00943A29"/>
    <w:rsid w:val="0095197E"/>
    <w:rsid w:val="00952AB2"/>
    <w:rsid w:val="00952EAE"/>
    <w:rsid w:val="009551E0"/>
    <w:rsid w:val="00955801"/>
    <w:rsid w:val="0095654E"/>
    <w:rsid w:val="00956F3C"/>
    <w:rsid w:val="0095779B"/>
    <w:rsid w:val="009900F0"/>
    <w:rsid w:val="00991769"/>
    <w:rsid w:val="00994E9F"/>
    <w:rsid w:val="00996931"/>
    <w:rsid w:val="009A4CD8"/>
    <w:rsid w:val="009B3ED1"/>
    <w:rsid w:val="009B5C57"/>
    <w:rsid w:val="009C433C"/>
    <w:rsid w:val="009C49A3"/>
    <w:rsid w:val="009D28B7"/>
    <w:rsid w:val="009D7E1A"/>
    <w:rsid w:val="009E2162"/>
    <w:rsid w:val="00A006EB"/>
    <w:rsid w:val="00A03709"/>
    <w:rsid w:val="00A06C77"/>
    <w:rsid w:val="00A10147"/>
    <w:rsid w:val="00A12A9A"/>
    <w:rsid w:val="00A13D26"/>
    <w:rsid w:val="00A146A5"/>
    <w:rsid w:val="00A17411"/>
    <w:rsid w:val="00A2223D"/>
    <w:rsid w:val="00A34A74"/>
    <w:rsid w:val="00A35351"/>
    <w:rsid w:val="00A364F6"/>
    <w:rsid w:val="00A42ADE"/>
    <w:rsid w:val="00A57D8D"/>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5956"/>
    <w:rsid w:val="00AE619F"/>
    <w:rsid w:val="00AF373A"/>
    <w:rsid w:val="00AF7268"/>
    <w:rsid w:val="00AF7EFE"/>
    <w:rsid w:val="00B03BEE"/>
    <w:rsid w:val="00B049AA"/>
    <w:rsid w:val="00B0517E"/>
    <w:rsid w:val="00B056E2"/>
    <w:rsid w:val="00B06952"/>
    <w:rsid w:val="00B11314"/>
    <w:rsid w:val="00B1192C"/>
    <w:rsid w:val="00B138E3"/>
    <w:rsid w:val="00B23267"/>
    <w:rsid w:val="00B24420"/>
    <w:rsid w:val="00B25891"/>
    <w:rsid w:val="00B27149"/>
    <w:rsid w:val="00B303D2"/>
    <w:rsid w:val="00B32EED"/>
    <w:rsid w:val="00B33D33"/>
    <w:rsid w:val="00B40D26"/>
    <w:rsid w:val="00B4451B"/>
    <w:rsid w:val="00B72D62"/>
    <w:rsid w:val="00B760F3"/>
    <w:rsid w:val="00B7663A"/>
    <w:rsid w:val="00B80FAE"/>
    <w:rsid w:val="00B836C1"/>
    <w:rsid w:val="00B843C8"/>
    <w:rsid w:val="00B951E2"/>
    <w:rsid w:val="00B96F37"/>
    <w:rsid w:val="00BA15BB"/>
    <w:rsid w:val="00BA4027"/>
    <w:rsid w:val="00BA607C"/>
    <w:rsid w:val="00BB288B"/>
    <w:rsid w:val="00BB3E2A"/>
    <w:rsid w:val="00BC16F5"/>
    <w:rsid w:val="00BC287D"/>
    <w:rsid w:val="00BC4A76"/>
    <w:rsid w:val="00BC71BD"/>
    <w:rsid w:val="00BD32E5"/>
    <w:rsid w:val="00BD7ADD"/>
    <w:rsid w:val="00BE41C3"/>
    <w:rsid w:val="00BE6767"/>
    <w:rsid w:val="00BE68D7"/>
    <w:rsid w:val="00BF7763"/>
    <w:rsid w:val="00C04D5E"/>
    <w:rsid w:val="00C24EA2"/>
    <w:rsid w:val="00C24F70"/>
    <w:rsid w:val="00C33479"/>
    <w:rsid w:val="00C47BA2"/>
    <w:rsid w:val="00C56BEE"/>
    <w:rsid w:val="00C612DC"/>
    <w:rsid w:val="00C622CB"/>
    <w:rsid w:val="00C628EC"/>
    <w:rsid w:val="00C64D15"/>
    <w:rsid w:val="00C71113"/>
    <w:rsid w:val="00C74F74"/>
    <w:rsid w:val="00C7554B"/>
    <w:rsid w:val="00C762E5"/>
    <w:rsid w:val="00C83E31"/>
    <w:rsid w:val="00C916A4"/>
    <w:rsid w:val="00CA2A52"/>
    <w:rsid w:val="00CA2B15"/>
    <w:rsid w:val="00CA4C7E"/>
    <w:rsid w:val="00CA6490"/>
    <w:rsid w:val="00CB5744"/>
    <w:rsid w:val="00CB7022"/>
    <w:rsid w:val="00CC1AB6"/>
    <w:rsid w:val="00CC2E8B"/>
    <w:rsid w:val="00CD1937"/>
    <w:rsid w:val="00CE214C"/>
    <w:rsid w:val="00CE2721"/>
    <w:rsid w:val="00CE6858"/>
    <w:rsid w:val="00CF34DF"/>
    <w:rsid w:val="00CF50BE"/>
    <w:rsid w:val="00CF6A52"/>
    <w:rsid w:val="00D03583"/>
    <w:rsid w:val="00D117B4"/>
    <w:rsid w:val="00D169F7"/>
    <w:rsid w:val="00D26D01"/>
    <w:rsid w:val="00D31DB2"/>
    <w:rsid w:val="00D33DA3"/>
    <w:rsid w:val="00D405D6"/>
    <w:rsid w:val="00D431C7"/>
    <w:rsid w:val="00D4723B"/>
    <w:rsid w:val="00D55EE8"/>
    <w:rsid w:val="00D56AC3"/>
    <w:rsid w:val="00D5785A"/>
    <w:rsid w:val="00D64C48"/>
    <w:rsid w:val="00D64CFC"/>
    <w:rsid w:val="00D7006D"/>
    <w:rsid w:val="00D731C4"/>
    <w:rsid w:val="00D81BAA"/>
    <w:rsid w:val="00D85BE0"/>
    <w:rsid w:val="00D87C1A"/>
    <w:rsid w:val="00D87FD7"/>
    <w:rsid w:val="00D92167"/>
    <w:rsid w:val="00D9502B"/>
    <w:rsid w:val="00D97047"/>
    <w:rsid w:val="00D97108"/>
    <w:rsid w:val="00DA13C8"/>
    <w:rsid w:val="00DB055E"/>
    <w:rsid w:val="00DB06A4"/>
    <w:rsid w:val="00DC5665"/>
    <w:rsid w:val="00DD4F44"/>
    <w:rsid w:val="00DD5D8B"/>
    <w:rsid w:val="00DE09C1"/>
    <w:rsid w:val="00DE0F9E"/>
    <w:rsid w:val="00DE5D76"/>
    <w:rsid w:val="00DE7D9A"/>
    <w:rsid w:val="00E04C8D"/>
    <w:rsid w:val="00E128D8"/>
    <w:rsid w:val="00E30D45"/>
    <w:rsid w:val="00E42FE4"/>
    <w:rsid w:val="00E444A3"/>
    <w:rsid w:val="00E46FAA"/>
    <w:rsid w:val="00E53D1B"/>
    <w:rsid w:val="00E5750B"/>
    <w:rsid w:val="00E60E2E"/>
    <w:rsid w:val="00E63A24"/>
    <w:rsid w:val="00E71A2D"/>
    <w:rsid w:val="00E8698A"/>
    <w:rsid w:val="00E87C18"/>
    <w:rsid w:val="00E91ED4"/>
    <w:rsid w:val="00E923F2"/>
    <w:rsid w:val="00E95E07"/>
    <w:rsid w:val="00E9784C"/>
    <w:rsid w:val="00EA31CC"/>
    <w:rsid w:val="00EB14DF"/>
    <w:rsid w:val="00EB2B64"/>
    <w:rsid w:val="00EB3A07"/>
    <w:rsid w:val="00EB4143"/>
    <w:rsid w:val="00EB4728"/>
    <w:rsid w:val="00EB6844"/>
    <w:rsid w:val="00EC207A"/>
    <w:rsid w:val="00EC3F31"/>
    <w:rsid w:val="00ED3C91"/>
    <w:rsid w:val="00ED4112"/>
    <w:rsid w:val="00EF0851"/>
    <w:rsid w:val="00EF1347"/>
    <w:rsid w:val="00EF2BEB"/>
    <w:rsid w:val="00F01129"/>
    <w:rsid w:val="00F03D93"/>
    <w:rsid w:val="00F03D9E"/>
    <w:rsid w:val="00F132C6"/>
    <w:rsid w:val="00F227BF"/>
    <w:rsid w:val="00F374B2"/>
    <w:rsid w:val="00F37EEA"/>
    <w:rsid w:val="00F40AFC"/>
    <w:rsid w:val="00F4730E"/>
    <w:rsid w:val="00F50A92"/>
    <w:rsid w:val="00F53F24"/>
    <w:rsid w:val="00F614F1"/>
    <w:rsid w:val="00F63341"/>
    <w:rsid w:val="00F70554"/>
    <w:rsid w:val="00F7536E"/>
    <w:rsid w:val="00F81F93"/>
    <w:rsid w:val="00F86F1B"/>
    <w:rsid w:val="00F92A21"/>
    <w:rsid w:val="00F92E9B"/>
    <w:rsid w:val="00F95814"/>
    <w:rsid w:val="00F96D66"/>
    <w:rsid w:val="00FA01D9"/>
    <w:rsid w:val="00FA031C"/>
    <w:rsid w:val="00FB13C1"/>
    <w:rsid w:val="00FB420B"/>
    <w:rsid w:val="00FC1C5F"/>
    <w:rsid w:val="00FC5C0C"/>
    <w:rsid w:val="00FC64EF"/>
    <w:rsid w:val="00FC69EB"/>
    <w:rsid w:val="00FD2673"/>
    <w:rsid w:val="00FE2A29"/>
    <w:rsid w:val="00FF0163"/>
    <w:rsid w:val="00FF3801"/>
    <w:rsid w:val="00FF4AED"/>
    <w:rsid w:val="00FF5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D431C7"/>
    <w:pPr>
      <w:spacing w:before="0" w:after="60" w:line="240" w:lineRule="auto"/>
      <w:contextualSpacing/>
      <w:outlineLvl w:val="0"/>
    </w:pPr>
    <w:rPr>
      <w:rFonts w:ascii="Georgia" w:hAnsi="Georgia" w:cs="Arial"/>
      <w:bCs/>
      <w:color w:val="275D38"/>
      <w:spacing w:val="-4"/>
      <w:kern w:val="36"/>
      <w:sz w:val="66"/>
      <w:szCs w:val="32"/>
    </w:rPr>
  </w:style>
  <w:style w:type="paragraph" w:styleId="Heading2">
    <w:name w:val="heading 2"/>
    <w:basedOn w:val="Normal"/>
    <w:next w:val="Normal"/>
    <w:link w:val="Heading2Char"/>
    <w:uiPriority w:val="2"/>
    <w:qFormat/>
    <w:rsid w:val="00D431C7"/>
    <w:pPr>
      <w:keepNext/>
      <w:keepLines/>
      <w:spacing w:line="240" w:lineRule="auto"/>
      <w:outlineLvl w:val="1"/>
    </w:pPr>
    <w:rPr>
      <w:rFonts w:ascii="Georgia" w:hAnsi="Georgia" w:cs="Arial"/>
      <w:iCs/>
      <w:color w:val="275D38"/>
      <w:kern w:val="32"/>
      <w:sz w:val="32"/>
      <w:szCs w:val="32"/>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D431C7"/>
    <w:rPr>
      <w:rFonts w:ascii="Georgia" w:hAnsi="Georgia" w:cs="Arial"/>
      <w:iCs/>
      <w:color w:val="275D38"/>
      <w:kern w:val="32"/>
      <w:sz w:val="32"/>
      <w:szCs w:val="32"/>
    </w:rPr>
  </w:style>
  <w:style w:type="character" w:customStyle="1" w:styleId="PullouttextChar">
    <w:name w:val="Pullout text Char"/>
    <w:basedOn w:val="Heading2Char"/>
    <w:link w:val="Pullouttext"/>
    <w:uiPriority w:val="3"/>
    <w:rsid w:val="006C3622"/>
    <w:rPr>
      <w:rFonts w:ascii="Georgia" w:hAnsi="Georgia" w:cs="Arial"/>
      <w:bCs w:val="0"/>
      <w:i/>
      <w:iCs/>
      <w:color w:val="275D38"/>
      <w:kern w:val="32"/>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431C7"/>
    <w:rPr>
      <w:rFonts w:ascii="Georgia" w:hAnsi="Georgia" w:cs="Arial"/>
      <w:bCs/>
      <w:color w:val="275D38"/>
      <w:spacing w:val="-4"/>
      <w:kern w:val="36"/>
      <w:sz w:val="6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qFormat/>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paragraph" w:styleId="NormalWeb">
    <w:name w:val="Normal (Web)"/>
    <w:basedOn w:val="Normal"/>
    <w:uiPriority w:val="99"/>
    <w:semiHidden/>
    <w:unhideWhenUsed/>
    <w:rsid w:val="002E572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60613141">
      <w:bodyDiv w:val="1"/>
      <w:marLeft w:val="0"/>
      <w:marRight w:val="0"/>
      <w:marTop w:val="0"/>
      <w:marBottom w:val="0"/>
      <w:divBdr>
        <w:top w:val="none" w:sz="0" w:space="0" w:color="auto"/>
        <w:left w:val="none" w:sz="0" w:space="0" w:color="auto"/>
        <w:bottom w:val="none" w:sz="0" w:space="0" w:color="auto"/>
        <w:right w:val="none" w:sz="0" w:space="0" w:color="auto"/>
      </w:divBdr>
    </w:div>
    <w:div w:id="1135024458">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6930626">
      <w:bodyDiv w:val="1"/>
      <w:marLeft w:val="0"/>
      <w:marRight w:val="0"/>
      <w:marTop w:val="0"/>
      <w:marBottom w:val="0"/>
      <w:divBdr>
        <w:top w:val="none" w:sz="0" w:space="0" w:color="auto"/>
        <w:left w:val="none" w:sz="0" w:space="0" w:color="auto"/>
        <w:bottom w:val="none" w:sz="0" w:space="0" w:color="auto"/>
        <w:right w:val="none" w:sz="0" w:space="0" w:color="auto"/>
      </w:divBdr>
    </w:div>
    <w:div w:id="154521905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51FE-62F0-45EA-A07F-DE0FE208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2021-04-30T00:09:00Z</dcterms:created>
  <dcterms:modified xsi:type="dcterms:W3CDTF">2021-04-30T00:09:00Z</dcterms:modified>
</cp:coreProperties>
</file>