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D48F7" w14:textId="19DDAE94" w:rsidR="008D2C95" w:rsidRDefault="002372B4" w:rsidP="008D2C95">
      <w:pPr>
        <w:pStyle w:val="Heading1"/>
      </w:pPr>
      <w:r>
        <w:rPr>
          <w:noProof/>
        </w:rPr>
        <w:drawing>
          <wp:inline distT="0" distB="0" distL="0" distR="0" wp14:anchorId="687F26D3" wp14:editId="3B96C7D6">
            <wp:extent cx="6299835" cy="1199287"/>
            <wp:effectExtent l="0" t="0" r="5715" b="1270"/>
            <wp:docPr id="1" name="Picture 1" descr="Australian Government, Department of Social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 Portrait Factsheet h orang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1199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F2C5D" w14:textId="4A9A981E" w:rsidR="005E2650" w:rsidRPr="005E2650" w:rsidRDefault="00BD7525" w:rsidP="005E2650">
      <w:pPr>
        <w:pStyle w:val="Heading1"/>
        <w:jc w:val="right"/>
        <w:rPr>
          <w:rFonts w:ascii="Arial" w:hAnsi="Arial"/>
          <w:color w:val="500778"/>
          <w:sz w:val="20"/>
          <w:szCs w:val="20"/>
        </w:rPr>
      </w:pPr>
      <w:r>
        <w:rPr>
          <w:rFonts w:ascii="Arial" w:hAnsi="Arial"/>
          <w:color w:val="500778"/>
          <w:sz w:val="20"/>
          <w:szCs w:val="20"/>
        </w:rPr>
        <w:t>April</w:t>
      </w:r>
      <w:r w:rsidR="00640C45" w:rsidRPr="00B362E9">
        <w:rPr>
          <w:rFonts w:ascii="Arial" w:hAnsi="Arial"/>
          <w:color w:val="500778"/>
          <w:sz w:val="20"/>
          <w:szCs w:val="20"/>
        </w:rPr>
        <w:t xml:space="preserve"> </w:t>
      </w:r>
      <w:r w:rsidR="002372B4" w:rsidRPr="00B362E9">
        <w:rPr>
          <w:rFonts w:ascii="Arial" w:hAnsi="Arial"/>
          <w:color w:val="500778"/>
          <w:sz w:val="20"/>
          <w:szCs w:val="20"/>
        </w:rPr>
        <w:t>2020</w:t>
      </w:r>
    </w:p>
    <w:p w14:paraId="7BAFED0D" w14:textId="77777777" w:rsidR="005E2650" w:rsidRDefault="0011748E" w:rsidP="008D2C95">
      <w:pPr>
        <w:pStyle w:val="Heading1"/>
        <w:rPr>
          <w:color w:val="500778"/>
          <w:sz w:val="52"/>
          <w:szCs w:val="52"/>
        </w:rPr>
      </w:pPr>
      <w:r w:rsidRPr="00B362E9">
        <w:rPr>
          <w:color w:val="500778"/>
          <w:sz w:val="52"/>
          <w:szCs w:val="52"/>
        </w:rPr>
        <w:t>N</w:t>
      </w:r>
      <w:r w:rsidR="00A301E7">
        <w:rPr>
          <w:color w:val="500778"/>
          <w:sz w:val="52"/>
          <w:szCs w:val="52"/>
        </w:rPr>
        <w:t xml:space="preserve">ational </w:t>
      </w:r>
      <w:r w:rsidRPr="00B362E9">
        <w:rPr>
          <w:color w:val="500778"/>
          <w:sz w:val="52"/>
          <w:szCs w:val="52"/>
        </w:rPr>
        <w:t>R</w:t>
      </w:r>
      <w:r w:rsidR="00A301E7">
        <w:rPr>
          <w:color w:val="500778"/>
          <w:sz w:val="52"/>
          <w:szCs w:val="52"/>
        </w:rPr>
        <w:t xml:space="preserve">ental </w:t>
      </w:r>
      <w:r w:rsidRPr="00B362E9">
        <w:rPr>
          <w:color w:val="500778"/>
          <w:sz w:val="52"/>
          <w:szCs w:val="52"/>
        </w:rPr>
        <w:t>A</w:t>
      </w:r>
      <w:r w:rsidR="00A301E7">
        <w:rPr>
          <w:color w:val="500778"/>
          <w:sz w:val="52"/>
          <w:szCs w:val="52"/>
        </w:rPr>
        <w:t xml:space="preserve">ffordability </w:t>
      </w:r>
      <w:r w:rsidRPr="00B362E9">
        <w:rPr>
          <w:color w:val="500778"/>
          <w:sz w:val="52"/>
          <w:szCs w:val="52"/>
        </w:rPr>
        <w:t>S</w:t>
      </w:r>
      <w:r w:rsidR="00A301E7">
        <w:rPr>
          <w:color w:val="500778"/>
          <w:sz w:val="52"/>
          <w:szCs w:val="52"/>
        </w:rPr>
        <w:t>cheme</w:t>
      </w:r>
    </w:p>
    <w:p w14:paraId="3A0D48F9" w14:textId="37F9EBD6" w:rsidR="008D2C95" w:rsidRPr="005E2650" w:rsidRDefault="00640C45" w:rsidP="008D2C95">
      <w:pPr>
        <w:pStyle w:val="Heading1"/>
        <w:rPr>
          <w:color w:val="500778"/>
          <w:sz w:val="52"/>
          <w:szCs w:val="52"/>
        </w:rPr>
      </w:pPr>
      <w:r w:rsidRPr="00B362E9">
        <w:rPr>
          <w:color w:val="auto"/>
          <w:sz w:val="36"/>
          <w:szCs w:val="36"/>
        </w:rPr>
        <w:t>Eligible Tenants</w:t>
      </w:r>
    </w:p>
    <w:p w14:paraId="1847C241" w14:textId="2340CBA2" w:rsidR="005E2650" w:rsidRDefault="001B4655" w:rsidP="004873C6">
      <w:pPr>
        <w:rPr>
          <w:rFonts w:eastAsia="Times New Roman" w:cs="Times New Roman"/>
          <w:spacing w:val="4"/>
          <w:sz w:val="24"/>
          <w:szCs w:val="24"/>
          <w:lang w:eastAsia="en-AU"/>
        </w:rPr>
      </w:pPr>
      <w:r w:rsidRPr="00B362E9">
        <w:rPr>
          <w:rFonts w:eastAsia="Times New Roman" w:cs="Times New Roman"/>
          <w:spacing w:val="4"/>
          <w:sz w:val="24"/>
          <w:szCs w:val="24"/>
          <w:lang w:eastAsia="en-AU"/>
        </w:rPr>
        <w:t xml:space="preserve">The purpose of this information sheet is to </w:t>
      </w:r>
      <w:r w:rsidR="00907DEF" w:rsidRPr="00B362E9">
        <w:rPr>
          <w:rFonts w:eastAsia="Times New Roman" w:cs="Times New Roman"/>
          <w:spacing w:val="4"/>
          <w:sz w:val="24"/>
          <w:szCs w:val="24"/>
          <w:lang w:eastAsia="en-AU"/>
        </w:rPr>
        <w:t>outline the income and eligibility requirements for tenants</w:t>
      </w:r>
      <w:r w:rsidR="00E739BF" w:rsidRPr="00B362E9">
        <w:rPr>
          <w:rFonts w:eastAsia="Times New Roman" w:cs="Times New Roman"/>
          <w:spacing w:val="4"/>
          <w:sz w:val="24"/>
          <w:szCs w:val="24"/>
          <w:lang w:eastAsia="en-AU"/>
        </w:rPr>
        <w:t xml:space="preserve"> </w:t>
      </w:r>
      <w:r w:rsidR="005E5CF2">
        <w:rPr>
          <w:rFonts w:eastAsia="Times New Roman" w:cs="Times New Roman"/>
          <w:spacing w:val="4"/>
          <w:sz w:val="24"/>
          <w:szCs w:val="24"/>
          <w:lang w:eastAsia="en-AU"/>
        </w:rPr>
        <w:t xml:space="preserve">who are renting dwellings </w:t>
      </w:r>
      <w:r w:rsidR="00B35BDD">
        <w:rPr>
          <w:rFonts w:eastAsia="Times New Roman" w:cs="Times New Roman"/>
          <w:spacing w:val="4"/>
          <w:sz w:val="24"/>
          <w:szCs w:val="24"/>
          <w:lang w:eastAsia="en-AU"/>
        </w:rPr>
        <w:t xml:space="preserve">approved under </w:t>
      </w:r>
      <w:r w:rsidR="00E739BF" w:rsidRPr="00B362E9">
        <w:rPr>
          <w:rFonts w:eastAsia="Times New Roman" w:cs="Times New Roman"/>
          <w:spacing w:val="4"/>
          <w:sz w:val="24"/>
          <w:szCs w:val="24"/>
          <w:lang w:eastAsia="en-AU"/>
        </w:rPr>
        <w:t>the National Rental Affordability Scheme (NRAS</w:t>
      </w:r>
      <w:r w:rsidR="005E2650">
        <w:rPr>
          <w:rFonts w:eastAsia="Times New Roman" w:cs="Times New Roman"/>
          <w:spacing w:val="4"/>
          <w:sz w:val="24"/>
          <w:szCs w:val="24"/>
          <w:lang w:eastAsia="en-AU"/>
        </w:rPr>
        <w:t>,</w:t>
      </w:r>
      <w:r w:rsidR="00E739BF" w:rsidRPr="00B362E9">
        <w:rPr>
          <w:rFonts w:eastAsia="Times New Roman" w:cs="Times New Roman"/>
          <w:spacing w:val="4"/>
          <w:sz w:val="24"/>
          <w:szCs w:val="24"/>
          <w:lang w:eastAsia="en-AU"/>
        </w:rPr>
        <w:t xml:space="preserve"> the Scheme)</w:t>
      </w:r>
      <w:r w:rsidR="00907DEF" w:rsidRPr="00B362E9">
        <w:rPr>
          <w:rFonts w:eastAsia="Times New Roman" w:cs="Times New Roman"/>
          <w:spacing w:val="4"/>
          <w:sz w:val="24"/>
          <w:szCs w:val="24"/>
          <w:lang w:eastAsia="en-AU"/>
        </w:rPr>
        <w:t>.</w:t>
      </w:r>
      <w:r w:rsidR="0039421F" w:rsidRPr="00B362E9">
        <w:rPr>
          <w:rFonts w:eastAsia="Times New Roman" w:cs="Times New Roman"/>
          <w:spacing w:val="4"/>
          <w:sz w:val="24"/>
          <w:szCs w:val="24"/>
          <w:lang w:eastAsia="en-AU"/>
        </w:rPr>
        <w:t xml:space="preserve"> </w:t>
      </w:r>
      <w:r w:rsidR="0014192C">
        <w:rPr>
          <w:rFonts w:eastAsia="Times New Roman" w:cs="Times New Roman"/>
          <w:spacing w:val="4"/>
          <w:sz w:val="24"/>
          <w:szCs w:val="24"/>
          <w:lang w:eastAsia="en-AU"/>
        </w:rPr>
        <w:t>NRAS</w:t>
      </w:r>
      <w:r w:rsidR="00AF4935">
        <w:rPr>
          <w:rFonts w:eastAsia="Times New Roman" w:cs="Times New Roman"/>
          <w:spacing w:val="4"/>
          <w:sz w:val="24"/>
          <w:szCs w:val="24"/>
          <w:lang w:eastAsia="en-AU"/>
        </w:rPr>
        <w:t xml:space="preserve"> rental dwellings are covered by allocations that are managed by approved participants.</w:t>
      </w:r>
    </w:p>
    <w:p w14:paraId="3A0D48FB" w14:textId="0CB1B3B4" w:rsidR="009E3614" w:rsidRPr="005E2650" w:rsidRDefault="009E3614" w:rsidP="004873C6">
      <w:pPr>
        <w:rPr>
          <w:rFonts w:eastAsia="Times New Roman" w:cs="Times New Roman"/>
          <w:spacing w:val="4"/>
          <w:sz w:val="24"/>
          <w:szCs w:val="24"/>
          <w:lang w:eastAsia="en-AU"/>
        </w:rPr>
      </w:pPr>
      <w:r w:rsidRPr="005E2650">
        <w:rPr>
          <w:rFonts w:ascii="Georgia" w:hAnsi="Georgia"/>
          <w:color w:val="500778"/>
          <w:sz w:val="32"/>
          <w:szCs w:val="32"/>
        </w:rPr>
        <w:t>Assessing eligibility of tenants</w:t>
      </w:r>
    </w:p>
    <w:p w14:paraId="1470B233" w14:textId="5BF8203E" w:rsidR="000F0ECC" w:rsidRPr="004B2E66" w:rsidRDefault="000F0ECC" w:rsidP="004873C6">
      <w:pPr>
        <w:rPr>
          <w:rFonts w:eastAsia="Times New Roman" w:cs="Times New Roman"/>
          <w:spacing w:val="4"/>
          <w:sz w:val="24"/>
          <w:szCs w:val="24"/>
        </w:rPr>
      </w:pPr>
      <w:r w:rsidRPr="004B2E66">
        <w:rPr>
          <w:rFonts w:eastAsia="Times New Roman" w:cs="Times New Roman"/>
          <w:spacing w:val="4"/>
          <w:sz w:val="24"/>
          <w:szCs w:val="24"/>
        </w:rPr>
        <w:t xml:space="preserve">Under </w:t>
      </w:r>
      <w:r w:rsidR="00B35BDD" w:rsidRPr="004B2E66">
        <w:rPr>
          <w:rFonts w:eastAsia="Times New Roman" w:cs="Times New Roman"/>
          <w:spacing w:val="4"/>
          <w:sz w:val="24"/>
          <w:szCs w:val="24"/>
        </w:rPr>
        <w:t>subsection 41(2) of the</w:t>
      </w:r>
      <w:r w:rsidRPr="004B2E66">
        <w:rPr>
          <w:rFonts w:eastAsia="Times New Roman" w:cs="Times New Roman"/>
          <w:spacing w:val="4"/>
          <w:sz w:val="24"/>
          <w:szCs w:val="24"/>
        </w:rPr>
        <w:t xml:space="preserve"> </w:t>
      </w:r>
      <w:r w:rsidR="005E5CF2" w:rsidRPr="004B2E66">
        <w:rPr>
          <w:rFonts w:eastAsia="Times New Roman" w:cs="Times New Roman"/>
          <w:spacing w:val="4"/>
          <w:sz w:val="24"/>
          <w:szCs w:val="24"/>
        </w:rPr>
        <w:t xml:space="preserve">National Rental Affordability Scheme Regulations 2020 (the </w:t>
      </w:r>
      <w:r w:rsidRPr="004B2E66">
        <w:rPr>
          <w:rFonts w:eastAsia="Times New Roman" w:cs="Times New Roman"/>
          <w:spacing w:val="4"/>
          <w:sz w:val="24"/>
          <w:szCs w:val="24"/>
        </w:rPr>
        <w:t>Regulations</w:t>
      </w:r>
      <w:r w:rsidR="005E5CF2" w:rsidRPr="004B2E66">
        <w:rPr>
          <w:rFonts w:eastAsia="Times New Roman" w:cs="Times New Roman"/>
          <w:spacing w:val="4"/>
          <w:sz w:val="24"/>
          <w:szCs w:val="24"/>
        </w:rPr>
        <w:t>)</w:t>
      </w:r>
      <w:r w:rsidRPr="004B2E66">
        <w:rPr>
          <w:rFonts w:eastAsia="Times New Roman" w:cs="Times New Roman"/>
          <w:spacing w:val="4"/>
          <w:sz w:val="24"/>
          <w:szCs w:val="24"/>
        </w:rPr>
        <w:t xml:space="preserve">, </w:t>
      </w:r>
      <w:r w:rsidR="00D9108E" w:rsidRPr="004B2E66">
        <w:rPr>
          <w:rFonts w:eastAsia="Times New Roman" w:cs="Times New Roman"/>
          <w:spacing w:val="4"/>
          <w:sz w:val="24"/>
          <w:szCs w:val="24"/>
        </w:rPr>
        <w:t xml:space="preserve">a </w:t>
      </w:r>
      <w:r w:rsidRPr="004B2E66">
        <w:rPr>
          <w:rFonts w:eastAsia="Times New Roman" w:cs="Times New Roman"/>
          <w:spacing w:val="4"/>
          <w:sz w:val="24"/>
          <w:szCs w:val="24"/>
        </w:rPr>
        <w:t xml:space="preserve">tenant of an NRAS </w:t>
      </w:r>
      <w:r w:rsidR="00D9108E" w:rsidRPr="004B2E66">
        <w:rPr>
          <w:rFonts w:eastAsia="Times New Roman" w:cs="Times New Roman"/>
          <w:spacing w:val="4"/>
          <w:sz w:val="24"/>
          <w:szCs w:val="24"/>
        </w:rPr>
        <w:t xml:space="preserve">rental </w:t>
      </w:r>
      <w:r w:rsidRPr="004B2E66">
        <w:rPr>
          <w:rFonts w:eastAsia="Times New Roman" w:cs="Times New Roman"/>
          <w:spacing w:val="4"/>
          <w:sz w:val="24"/>
          <w:szCs w:val="24"/>
        </w:rPr>
        <w:t>dwelling</w:t>
      </w:r>
      <w:r w:rsidR="00F65CBD" w:rsidRPr="004B2E66">
        <w:rPr>
          <w:rFonts w:eastAsia="Times New Roman" w:cs="Times New Roman"/>
          <w:spacing w:val="4"/>
          <w:sz w:val="24"/>
          <w:szCs w:val="24"/>
        </w:rPr>
        <w:t xml:space="preserve"> first</w:t>
      </w:r>
      <w:r w:rsidRPr="004B2E66">
        <w:rPr>
          <w:rFonts w:eastAsia="Times New Roman" w:cs="Times New Roman"/>
          <w:spacing w:val="4"/>
          <w:sz w:val="24"/>
          <w:szCs w:val="24"/>
        </w:rPr>
        <w:t xml:space="preserve"> become</w:t>
      </w:r>
      <w:r w:rsidR="00D9108E" w:rsidRPr="004B2E66">
        <w:rPr>
          <w:rFonts w:eastAsia="Times New Roman" w:cs="Times New Roman"/>
          <w:spacing w:val="4"/>
          <w:sz w:val="24"/>
          <w:szCs w:val="24"/>
        </w:rPr>
        <w:t>s an</w:t>
      </w:r>
      <w:r w:rsidR="00ED59B7">
        <w:rPr>
          <w:rFonts w:eastAsia="Times New Roman" w:cs="Times New Roman"/>
          <w:spacing w:val="4"/>
          <w:sz w:val="24"/>
          <w:szCs w:val="24"/>
        </w:rPr>
        <w:t> </w:t>
      </w:r>
      <w:r w:rsidR="00B35BDD" w:rsidRPr="004B2E66">
        <w:rPr>
          <w:rFonts w:eastAsia="Times New Roman" w:cs="Times New Roman"/>
          <w:spacing w:val="4"/>
          <w:sz w:val="24"/>
          <w:szCs w:val="24"/>
        </w:rPr>
        <w:t xml:space="preserve">‘eligible tenant’ </w:t>
      </w:r>
      <w:r w:rsidRPr="004B2E66">
        <w:rPr>
          <w:rFonts w:eastAsia="Times New Roman" w:cs="Times New Roman"/>
          <w:spacing w:val="4"/>
          <w:sz w:val="24"/>
          <w:szCs w:val="24"/>
        </w:rPr>
        <w:t>on their start date</w:t>
      </w:r>
      <w:r w:rsidR="00B35BDD" w:rsidRPr="004B2E66">
        <w:rPr>
          <w:rFonts w:eastAsia="Times New Roman" w:cs="Times New Roman"/>
          <w:spacing w:val="4"/>
          <w:sz w:val="24"/>
          <w:szCs w:val="24"/>
        </w:rPr>
        <w:t xml:space="preserve"> of a tenancy</w:t>
      </w:r>
      <w:r w:rsidRPr="004B2E66">
        <w:rPr>
          <w:rFonts w:eastAsia="Times New Roman" w:cs="Times New Roman"/>
          <w:spacing w:val="4"/>
          <w:sz w:val="24"/>
          <w:szCs w:val="24"/>
        </w:rPr>
        <w:t xml:space="preserve"> if their combined gross income for the 12</w:t>
      </w:r>
      <w:r w:rsidR="004873C6" w:rsidRPr="004B2E66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4B2E66">
        <w:rPr>
          <w:rFonts w:eastAsia="Times New Roman" w:cs="Times New Roman"/>
          <w:spacing w:val="4"/>
          <w:sz w:val="24"/>
          <w:szCs w:val="24"/>
        </w:rPr>
        <w:t xml:space="preserve">months ending on the day before the start date does not exceed the income limit for their household.’ </w:t>
      </w:r>
    </w:p>
    <w:p w14:paraId="4271127D" w14:textId="26B9F0CA" w:rsidR="000F0ECC" w:rsidRPr="003B400F" w:rsidRDefault="000F0ECC" w:rsidP="004873C6">
      <w:pPr>
        <w:rPr>
          <w:rFonts w:eastAsia="Times New Roman" w:cs="Times New Roman"/>
          <w:spacing w:val="4"/>
          <w:sz w:val="24"/>
          <w:szCs w:val="24"/>
        </w:rPr>
      </w:pPr>
      <w:r w:rsidRPr="004B2E66">
        <w:rPr>
          <w:rFonts w:eastAsia="Times New Roman" w:cs="Times New Roman"/>
          <w:spacing w:val="4"/>
          <w:sz w:val="24"/>
          <w:szCs w:val="24"/>
        </w:rPr>
        <w:t xml:space="preserve">The start date is the day on which the tenant </w:t>
      </w:r>
      <w:r w:rsidR="005E5CF2" w:rsidRPr="004B2E66">
        <w:rPr>
          <w:rFonts w:eastAsia="Times New Roman" w:cs="Times New Roman"/>
          <w:spacing w:val="4"/>
          <w:sz w:val="24"/>
          <w:szCs w:val="24"/>
        </w:rPr>
        <w:t xml:space="preserve">first </w:t>
      </w:r>
      <w:r w:rsidRPr="004B2E66">
        <w:rPr>
          <w:rFonts w:eastAsia="Times New Roman" w:cs="Times New Roman"/>
          <w:spacing w:val="4"/>
          <w:sz w:val="24"/>
          <w:szCs w:val="24"/>
        </w:rPr>
        <w:t>become</w:t>
      </w:r>
      <w:r w:rsidR="00F65CBD" w:rsidRPr="004B2E66">
        <w:rPr>
          <w:rFonts w:eastAsia="Times New Roman" w:cs="Times New Roman"/>
          <w:spacing w:val="4"/>
          <w:sz w:val="24"/>
          <w:szCs w:val="24"/>
        </w:rPr>
        <w:t>s</w:t>
      </w:r>
      <w:r w:rsidRPr="004B2E66">
        <w:rPr>
          <w:rFonts w:eastAsia="Times New Roman" w:cs="Times New Roman"/>
          <w:spacing w:val="4"/>
          <w:sz w:val="24"/>
          <w:szCs w:val="24"/>
        </w:rPr>
        <w:t xml:space="preserve"> </w:t>
      </w:r>
      <w:r w:rsidR="00D9108E" w:rsidRPr="004B2E66">
        <w:rPr>
          <w:rFonts w:eastAsia="Times New Roman" w:cs="Times New Roman"/>
          <w:spacing w:val="4"/>
          <w:sz w:val="24"/>
          <w:szCs w:val="24"/>
        </w:rPr>
        <w:t xml:space="preserve">a </w:t>
      </w:r>
      <w:r w:rsidRPr="004B2E66">
        <w:rPr>
          <w:rFonts w:eastAsia="Times New Roman" w:cs="Times New Roman"/>
          <w:spacing w:val="4"/>
          <w:sz w:val="24"/>
          <w:szCs w:val="24"/>
        </w:rPr>
        <w:t xml:space="preserve">tenant of the </w:t>
      </w:r>
      <w:r w:rsidR="00B35BDD" w:rsidRPr="004B2E66">
        <w:rPr>
          <w:rFonts w:eastAsia="Times New Roman" w:cs="Times New Roman"/>
          <w:spacing w:val="4"/>
          <w:sz w:val="24"/>
          <w:szCs w:val="24"/>
        </w:rPr>
        <w:t xml:space="preserve">NRAS </w:t>
      </w:r>
      <w:r w:rsidRPr="004B2E66">
        <w:rPr>
          <w:rFonts w:eastAsia="Times New Roman" w:cs="Times New Roman"/>
          <w:spacing w:val="4"/>
          <w:sz w:val="24"/>
          <w:szCs w:val="24"/>
        </w:rPr>
        <w:t xml:space="preserve">dwelling. Tenant eligibility will be reassessed on the anniversary of </w:t>
      </w:r>
      <w:r w:rsidR="005E5CF2" w:rsidRPr="004B2E66">
        <w:rPr>
          <w:rFonts w:eastAsia="Times New Roman" w:cs="Times New Roman"/>
          <w:spacing w:val="4"/>
          <w:sz w:val="24"/>
          <w:szCs w:val="24"/>
        </w:rPr>
        <w:t>the tenant’s</w:t>
      </w:r>
      <w:r w:rsidR="005E5CF2" w:rsidRPr="003B400F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B400F">
        <w:rPr>
          <w:rFonts w:eastAsia="Times New Roman" w:cs="Times New Roman"/>
          <w:spacing w:val="4"/>
          <w:sz w:val="24"/>
          <w:szCs w:val="24"/>
        </w:rPr>
        <w:t>start date in subsequent years.</w:t>
      </w:r>
    </w:p>
    <w:p w14:paraId="06DF1596" w14:textId="1B8D65FB" w:rsidR="000F0ECC" w:rsidRPr="003B400F" w:rsidRDefault="000F0ECC" w:rsidP="004873C6">
      <w:pPr>
        <w:rPr>
          <w:rFonts w:eastAsia="Times New Roman" w:cs="Times New Roman"/>
          <w:spacing w:val="4"/>
          <w:sz w:val="24"/>
          <w:szCs w:val="24"/>
        </w:rPr>
      </w:pPr>
      <w:r w:rsidRPr="003B400F">
        <w:rPr>
          <w:rFonts w:eastAsia="Times New Roman" w:cs="Times New Roman"/>
          <w:spacing w:val="4"/>
          <w:sz w:val="24"/>
          <w:szCs w:val="24"/>
        </w:rPr>
        <w:t>The eligibility year commences on the</w:t>
      </w:r>
      <w:r w:rsidR="00D9108E">
        <w:rPr>
          <w:rFonts w:eastAsia="Times New Roman" w:cs="Times New Roman"/>
          <w:spacing w:val="4"/>
          <w:sz w:val="24"/>
          <w:szCs w:val="24"/>
        </w:rPr>
        <w:t xml:space="preserve"> tenant’s</w:t>
      </w:r>
      <w:r w:rsidRPr="003B400F">
        <w:rPr>
          <w:rFonts w:eastAsia="Times New Roman" w:cs="Times New Roman"/>
          <w:spacing w:val="4"/>
          <w:sz w:val="24"/>
          <w:szCs w:val="24"/>
        </w:rPr>
        <w:t xml:space="preserve"> start date, and each consecutive year starts on the anniversary of </w:t>
      </w:r>
      <w:r w:rsidR="00D9108E" w:rsidRPr="003B400F">
        <w:rPr>
          <w:rFonts w:eastAsia="Times New Roman" w:cs="Times New Roman"/>
          <w:spacing w:val="4"/>
          <w:sz w:val="24"/>
          <w:szCs w:val="24"/>
        </w:rPr>
        <w:t>the</w:t>
      </w:r>
      <w:r w:rsidR="00D9108E">
        <w:rPr>
          <w:rFonts w:eastAsia="Times New Roman" w:cs="Times New Roman"/>
          <w:spacing w:val="4"/>
          <w:sz w:val="24"/>
          <w:szCs w:val="24"/>
        </w:rPr>
        <w:t xml:space="preserve"> tenant’s</w:t>
      </w:r>
      <w:r w:rsidR="00D9108E" w:rsidRPr="003B400F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B400F">
        <w:rPr>
          <w:rFonts w:eastAsia="Times New Roman" w:cs="Times New Roman"/>
          <w:spacing w:val="4"/>
          <w:sz w:val="24"/>
          <w:szCs w:val="24"/>
        </w:rPr>
        <w:t xml:space="preserve">start date. </w:t>
      </w:r>
      <w:r w:rsidR="003D4345">
        <w:rPr>
          <w:rFonts w:eastAsia="Times New Roman" w:cs="Times New Roman"/>
          <w:spacing w:val="4"/>
          <w:sz w:val="24"/>
          <w:szCs w:val="24"/>
        </w:rPr>
        <w:t xml:space="preserve">A tenant’s </w:t>
      </w:r>
      <w:r w:rsidR="00581182">
        <w:rPr>
          <w:rFonts w:eastAsia="Times New Roman" w:cs="Times New Roman"/>
          <w:spacing w:val="4"/>
          <w:sz w:val="24"/>
          <w:szCs w:val="24"/>
        </w:rPr>
        <w:t xml:space="preserve">eligibility </w:t>
      </w:r>
      <w:r w:rsidR="00581182" w:rsidRPr="003B400F">
        <w:rPr>
          <w:rFonts w:eastAsia="Times New Roman" w:cs="Times New Roman"/>
          <w:spacing w:val="4"/>
          <w:sz w:val="24"/>
          <w:szCs w:val="24"/>
        </w:rPr>
        <w:t>should</w:t>
      </w:r>
      <w:r w:rsidRPr="003B400F">
        <w:rPr>
          <w:rFonts w:eastAsia="Times New Roman" w:cs="Times New Roman"/>
          <w:spacing w:val="4"/>
          <w:sz w:val="24"/>
          <w:szCs w:val="24"/>
        </w:rPr>
        <w:t xml:space="preserve"> be assessed, including combined gross income for the </w:t>
      </w:r>
      <w:r w:rsidR="003D4345">
        <w:rPr>
          <w:rFonts w:eastAsia="Times New Roman" w:cs="Times New Roman"/>
          <w:spacing w:val="4"/>
          <w:sz w:val="24"/>
          <w:szCs w:val="24"/>
        </w:rPr>
        <w:t xml:space="preserve">tenant’s </w:t>
      </w:r>
      <w:r w:rsidRPr="003B400F">
        <w:rPr>
          <w:rFonts w:eastAsia="Times New Roman" w:cs="Times New Roman"/>
          <w:spacing w:val="4"/>
          <w:sz w:val="24"/>
          <w:szCs w:val="24"/>
        </w:rPr>
        <w:t xml:space="preserve">household, on the day prior to the anniversary of </w:t>
      </w:r>
      <w:r w:rsidR="00D9108E" w:rsidRPr="003B400F">
        <w:rPr>
          <w:rFonts w:eastAsia="Times New Roman" w:cs="Times New Roman"/>
          <w:spacing w:val="4"/>
          <w:sz w:val="24"/>
          <w:szCs w:val="24"/>
        </w:rPr>
        <w:t>the</w:t>
      </w:r>
      <w:r w:rsidR="00D9108E">
        <w:rPr>
          <w:rFonts w:eastAsia="Times New Roman" w:cs="Times New Roman"/>
          <w:spacing w:val="4"/>
          <w:sz w:val="24"/>
          <w:szCs w:val="24"/>
        </w:rPr>
        <w:t xml:space="preserve"> tenant’s</w:t>
      </w:r>
      <w:r w:rsidR="00D9108E" w:rsidRPr="003B400F">
        <w:rPr>
          <w:rFonts w:eastAsia="Times New Roman" w:cs="Times New Roman"/>
          <w:spacing w:val="4"/>
          <w:sz w:val="24"/>
          <w:szCs w:val="24"/>
        </w:rPr>
        <w:t xml:space="preserve"> </w:t>
      </w:r>
      <w:r w:rsidRPr="003B400F">
        <w:rPr>
          <w:rFonts w:eastAsia="Times New Roman" w:cs="Times New Roman"/>
          <w:spacing w:val="4"/>
          <w:sz w:val="24"/>
          <w:szCs w:val="24"/>
        </w:rPr>
        <w:t>start date.</w:t>
      </w:r>
    </w:p>
    <w:p w14:paraId="374BDC9B" w14:textId="4A680C3D" w:rsidR="000F0ECC" w:rsidRPr="003B400F" w:rsidRDefault="000F0ECC" w:rsidP="004873C6">
      <w:pPr>
        <w:rPr>
          <w:rFonts w:eastAsia="Times New Roman" w:cs="Times New Roman"/>
          <w:spacing w:val="4"/>
          <w:sz w:val="24"/>
          <w:szCs w:val="24"/>
        </w:rPr>
      </w:pPr>
      <w:r w:rsidRPr="003B400F">
        <w:rPr>
          <w:rFonts w:eastAsia="Times New Roman" w:cs="Times New Roman"/>
          <w:spacing w:val="4"/>
          <w:sz w:val="24"/>
          <w:szCs w:val="24"/>
        </w:rPr>
        <w:t>Under</w:t>
      </w:r>
      <w:r w:rsidR="00B96337">
        <w:rPr>
          <w:rFonts w:eastAsia="Times New Roman" w:cs="Times New Roman"/>
          <w:spacing w:val="4"/>
          <w:sz w:val="24"/>
          <w:szCs w:val="24"/>
        </w:rPr>
        <w:t xml:space="preserve"> subsection 41(3) of</w:t>
      </w:r>
      <w:r w:rsidRPr="003B400F">
        <w:rPr>
          <w:rFonts w:eastAsia="Times New Roman" w:cs="Times New Roman"/>
          <w:spacing w:val="4"/>
          <w:sz w:val="24"/>
          <w:szCs w:val="24"/>
        </w:rPr>
        <w:t xml:space="preserve"> the Regulations, eligible tenants cease to be eligible tenants if:</w:t>
      </w:r>
    </w:p>
    <w:p w14:paraId="745AFA3A" w14:textId="6B42FD2E" w:rsidR="000F0ECC" w:rsidRPr="003B400F" w:rsidRDefault="000F0ECC" w:rsidP="004873C6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eastAsia="Times New Roman" w:cs="Times New Roman"/>
          <w:spacing w:val="4"/>
          <w:sz w:val="24"/>
          <w:szCs w:val="24"/>
        </w:rPr>
      </w:pPr>
      <w:r w:rsidRPr="003B400F">
        <w:rPr>
          <w:rFonts w:eastAsia="Times New Roman" w:cs="Times New Roman"/>
          <w:spacing w:val="4"/>
          <w:sz w:val="24"/>
          <w:szCs w:val="24"/>
        </w:rPr>
        <w:t>they cease to be tenants of an approved rental dwelling, that is, they stop renting an NRAS dwelling</w:t>
      </w:r>
      <w:r w:rsidR="00D9108E">
        <w:rPr>
          <w:rFonts w:eastAsia="Times New Roman" w:cs="Times New Roman"/>
          <w:spacing w:val="4"/>
          <w:sz w:val="24"/>
          <w:szCs w:val="24"/>
        </w:rPr>
        <w:t>; or</w:t>
      </w:r>
    </w:p>
    <w:p w14:paraId="613E6DB1" w14:textId="5E8AE0FA" w:rsidR="000F0ECC" w:rsidRDefault="000F0ECC" w:rsidP="004873C6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eastAsia="Times New Roman" w:cs="Times New Roman"/>
          <w:spacing w:val="4"/>
          <w:sz w:val="24"/>
          <w:szCs w:val="24"/>
        </w:rPr>
      </w:pPr>
      <w:r w:rsidRPr="003B400F">
        <w:rPr>
          <w:rFonts w:eastAsia="Times New Roman" w:cs="Times New Roman"/>
          <w:spacing w:val="4"/>
          <w:sz w:val="24"/>
          <w:szCs w:val="24"/>
        </w:rPr>
        <w:t>their combined gross income exceeds the income limit for their household by</w:t>
      </w:r>
      <w:r w:rsidR="009C3A8C">
        <w:rPr>
          <w:rFonts w:eastAsia="Times New Roman" w:cs="Times New Roman"/>
          <w:spacing w:val="4"/>
          <w:sz w:val="24"/>
          <w:szCs w:val="24"/>
        </w:rPr>
        <w:t> </w:t>
      </w:r>
      <w:r w:rsidRPr="003B400F">
        <w:rPr>
          <w:rFonts w:eastAsia="Times New Roman" w:cs="Times New Roman"/>
          <w:spacing w:val="4"/>
          <w:sz w:val="24"/>
          <w:szCs w:val="24"/>
        </w:rPr>
        <w:t>25 per cent or more in two consecutive eligibility years.</w:t>
      </w:r>
    </w:p>
    <w:p w14:paraId="10E5C199" w14:textId="7A01732E" w:rsidR="003D4345" w:rsidRDefault="00581182" w:rsidP="004873C6">
      <w:pPr>
        <w:pStyle w:val="ListParagraph"/>
        <w:numPr>
          <w:ilvl w:val="0"/>
          <w:numId w:val="4"/>
        </w:numPr>
        <w:ind w:left="714" w:hanging="357"/>
        <w:contextualSpacing w:val="0"/>
        <w:rPr>
          <w:rFonts w:eastAsia="Times New Roman" w:cs="Times New Roman"/>
          <w:spacing w:val="4"/>
          <w:sz w:val="24"/>
          <w:szCs w:val="24"/>
        </w:rPr>
      </w:pPr>
      <w:r>
        <w:rPr>
          <w:rFonts w:eastAsia="Times New Roman" w:cs="Times New Roman"/>
          <w:spacing w:val="4"/>
          <w:sz w:val="24"/>
          <w:szCs w:val="24"/>
        </w:rPr>
        <w:t>a</w:t>
      </w:r>
      <w:r w:rsidR="003D4345">
        <w:rPr>
          <w:rFonts w:eastAsia="Times New Roman" w:cs="Times New Roman"/>
          <w:spacing w:val="4"/>
          <w:sz w:val="24"/>
          <w:szCs w:val="24"/>
        </w:rPr>
        <w:t xml:space="preserve"> person (other than an eligible tenant) joins their household and the person’s income for the previous 12 months exceeds the income limit for a</w:t>
      </w:r>
      <w:r w:rsidR="00ED59B7">
        <w:rPr>
          <w:rFonts w:eastAsia="Times New Roman" w:cs="Times New Roman"/>
          <w:spacing w:val="4"/>
          <w:sz w:val="24"/>
          <w:szCs w:val="24"/>
        </w:rPr>
        <w:t> </w:t>
      </w:r>
      <w:r w:rsidR="003D4345">
        <w:rPr>
          <w:rFonts w:eastAsia="Times New Roman" w:cs="Times New Roman"/>
          <w:spacing w:val="4"/>
          <w:sz w:val="24"/>
          <w:szCs w:val="24"/>
        </w:rPr>
        <w:t>first adult for the year in which the person joins the household.</w:t>
      </w:r>
    </w:p>
    <w:p w14:paraId="5DCBF52B" w14:textId="0E5DB258" w:rsidR="004C76F8" w:rsidRDefault="00581182" w:rsidP="004873C6">
      <w:pPr>
        <w:rPr>
          <w:rFonts w:eastAsia="Times New Roman" w:cs="Times New Roman"/>
          <w:spacing w:val="4"/>
          <w:sz w:val="24"/>
          <w:szCs w:val="24"/>
        </w:rPr>
      </w:pPr>
      <w:r w:rsidRPr="00581182">
        <w:rPr>
          <w:rFonts w:eastAsia="Times New Roman" w:cs="Times New Roman"/>
          <w:spacing w:val="4"/>
          <w:sz w:val="24"/>
          <w:szCs w:val="24"/>
        </w:rPr>
        <w:lastRenderedPageBreak/>
        <w:t xml:space="preserve">Under </w:t>
      </w:r>
      <w:r w:rsidRPr="00581182">
        <w:rPr>
          <w:sz w:val="24"/>
          <w:szCs w:val="24"/>
        </w:rPr>
        <w:t xml:space="preserve">paragraph 41(3)(c) </w:t>
      </w:r>
      <w:r>
        <w:rPr>
          <w:sz w:val="24"/>
          <w:szCs w:val="24"/>
        </w:rPr>
        <w:t xml:space="preserve">of the Regulations, </w:t>
      </w:r>
      <w:r w:rsidRPr="00581182">
        <w:rPr>
          <w:sz w:val="24"/>
          <w:szCs w:val="24"/>
        </w:rPr>
        <w:t xml:space="preserve">a tenant can also cease to be eligible to rent an NRAS dwelling if a </w:t>
      </w:r>
      <w:r w:rsidRPr="00581182">
        <w:rPr>
          <w:rFonts w:cs="Arial"/>
          <w:sz w:val="24"/>
          <w:szCs w:val="24"/>
        </w:rPr>
        <w:t>person (other than an eligible tenant) joins their household and the person’s income for the previous 12 months exceeds the income limit for a first adult for the year in which the person joins the household.</w:t>
      </w:r>
    </w:p>
    <w:p w14:paraId="3068B9B6" w14:textId="2624FEBA" w:rsidR="005E2650" w:rsidRDefault="00380629" w:rsidP="004873C6">
      <w:pPr>
        <w:rPr>
          <w:rFonts w:eastAsia="Times New Roman" w:cs="Times New Roman"/>
          <w:spacing w:val="4"/>
          <w:sz w:val="24"/>
          <w:szCs w:val="24"/>
        </w:rPr>
      </w:pPr>
      <w:r>
        <w:rPr>
          <w:rFonts w:eastAsia="Times New Roman" w:cs="Times New Roman"/>
          <w:spacing w:val="4"/>
          <w:sz w:val="24"/>
          <w:szCs w:val="24"/>
        </w:rPr>
        <w:t xml:space="preserve">Where tenants cease to lease a dwelling under NRAS and apply for a new lease </w:t>
      </w:r>
      <w:r>
        <w:rPr>
          <w:rFonts w:eastAsia="Times New Roman" w:cs="Times New Roman"/>
          <w:spacing w:val="4"/>
          <w:sz w:val="24"/>
          <w:szCs w:val="24"/>
        </w:rPr>
        <w:br/>
        <w:t>in a different NRAS dwelling, they would be considered an existing household for eligibility purposes</w:t>
      </w:r>
      <w:r w:rsidR="004E2803">
        <w:rPr>
          <w:rFonts w:eastAsia="Times New Roman" w:cs="Times New Roman"/>
          <w:spacing w:val="4"/>
          <w:sz w:val="24"/>
          <w:szCs w:val="24"/>
        </w:rPr>
        <w:t xml:space="preserve"> only if the move between dwellings happens because of</w:t>
      </w:r>
      <w:r w:rsidR="00ED59B7">
        <w:rPr>
          <w:rFonts w:eastAsia="Times New Roman" w:cs="Times New Roman"/>
          <w:spacing w:val="4"/>
          <w:sz w:val="24"/>
          <w:szCs w:val="24"/>
        </w:rPr>
        <w:t> </w:t>
      </w:r>
      <w:r w:rsidR="004E2803">
        <w:rPr>
          <w:rFonts w:eastAsia="Times New Roman" w:cs="Times New Roman"/>
          <w:spacing w:val="4"/>
          <w:sz w:val="24"/>
          <w:szCs w:val="24"/>
        </w:rPr>
        <w:t>unexpected or exceptional circumstances</w:t>
      </w:r>
      <w:r>
        <w:rPr>
          <w:rFonts w:eastAsia="Times New Roman" w:cs="Times New Roman"/>
          <w:spacing w:val="4"/>
          <w:sz w:val="24"/>
          <w:szCs w:val="24"/>
        </w:rPr>
        <w:t>. As such, the eligibility for the tenants will be assessed as if the tenants were continuing their NRAS tenancy for household income limits</w:t>
      </w:r>
      <w:r w:rsidR="00F10B2E">
        <w:rPr>
          <w:rFonts w:eastAsia="Times New Roman" w:cs="Times New Roman"/>
          <w:spacing w:val="4"/>
          <w:sz w:val="24"/>
          <w:szCs w:val="24"/>
        </w:rPr>
        <w:t>.</w:t>
      </w:r>
    </w:p>
    <w:p w14:paraId="400C446C" w14:textId="5E063D40" w:rsidR="000F0ECC" w:rsidRPr="005E2650" w:rsidRDefault="000F0ECC" w:rsidP="004873C6">
      <w:pPr>
        <w:rPr>
          <w:rFonts w:ascii="Georgia" w:eastAsia="Times New Roman" w:hAnsi="Georgia" w:cs="Arial"/>
          <w:bCs/>
          <w:iCs/>
          <w:color w:val="500778"/>
          <w:spacing w:val="4"/>
          <w:sz w:val="32"/>
          <w:szCs w:val="28"/>
          <w:lang w:eastAsia="en-AU"/>
        </w:rPr>
      </w:pPr>
      <w:r w:rsidRPr="005E2650">
        <w:rPr>
          <w:rFonts w:ascii="Georgia" w:eastAsia="Times New Roman" w:hAnsi="Georgia" w:cs="Arial"/>
          <w:bCs/>
          <w:iCs/>
          <w:color w:val="500778"/>
          <w:spacing w:val="4"/>
          <w:sz w:val="32"/>
          <w:szCs w:val="28"/>
          <w:lang w:eastAsia="en-AU"/>
        </w:rPr>
        <w:t>How to assess ongoing tenant eligibility</w:t>
      </w:r>
    </w:p>
    <w:p w14:paraId="79BB794F" w14:textId="083EDCF2" w:rsidR="00380629" w:rsidRPr="004873C6" w:rsidRDefault="004873C6" w:rsidP="005654D0">
      <w:pPr>
        <w:rPr>
          <w:rFonts w:eastAsia="Times New Roman" w:cs="Times New Roman"/>
          <w:spacing w:val="4"/>
          <w:sz w:val="24"/>
          <w:szCs w:val="24"/>
        </w:rPr>
      </w:pPr>
      <w:r>
        <w:rPr>
          <w:rFonts w:eastAsia="Times New Roman" w:cs="Times New Roman"/>
          <w:spacing w:val="4"/>
          <w:sz w:val="24"/>
          <w:szCs w:val="24"/>
        </w:rPr>
        <w:t xml:space="preserve">After </w:t>
      </w:r>
      <w:r w:rsidR="00380629" w:rsidRPr="004873C6">
        <w:rPr>
          <w:rFonts w:eastAsia="Times New Roman" w:cs="Times New Roman"/>
          <w:spacing w:val="4"/>
          <w:sz w:val="24"/>
          <w:szCs w:val="24"/>
        </w:rPr>
        <w:t>tenant</w:t>
      </w:r>
      <w:r>
        <w:rPr>
          <w:rFonts w:eastAsia="Times New Roman" w:cs="Times New Roman"/>
          <w:spacing w:val="4"/>
          <w:sz w:val="24"/>
          <w:szCs w:val="24"/>
        </w:rPr>
        <w:t>s</w:t>
      </w:r>
      <w:r w:rsidR="00380629" w:rsidRPr="004873C6">
        <w:rPr>
          <w:rFonts w:eastAsia="Times New Roman" w:cs="Times New Roman"/>
          <w:spacing w:val="4"/>
          <w:sz w:val="24"/>
          <w:szCs w:val="24"/>
        </w:rPr>
        <w:t xml:space="preserve"> </w:t>
      </w:r>
      <w:r>
        <w:rPr>
          <w:rFonts w:eastAsia="Times New Roman" w:cs="Times New Roman"/>
          <w:spacing w:val="4"/>
          <w:sz w:val="24"/>
          <w:szCs w:val="24"/>
        </w:rPr>
        <w:t xml:space="preserve">have </w:t>
      </w:r>
      <w:r w:rsidR="00380629" w:rsidRPr="004873C6">
        <w:rPr>
          <w:rFonts w:eastAsia="Times New Roman" w:cs="Times New Roman"/>
          <w:spacing w:val="4"/>
          <w:sz w:val="24"/>
          <w:szCs w:val="24"/>
        </w:rPr>
        <w:t xml:space="preserve">commenced </w:t>
      </w:r>
      <w:r>
        <w:rPr>
          <w:rFonts w:eastAsia="Times New Roman" w:cs="Times New Roman"/>
          <w:spacing w:val="4"/>
          <w:sz w:val="24"/>
          <w:szCs w:val="24"/>
        </w:rPr>
        <w:t xml:space="preserve">a </w:t>
      </w:r>
      <w:r w:rsidR="00380629" w:rsidRPr="004873C6">
        <w:rPr>
          <w:rFonts w:eastAsia="Times New Roman" w:cs="Times New Roman"/>
          <w:spacing w:val="4"/>
          <w:sz w:val="24"/>
          <w:szCs w:val="24"/>
        </w:rPr>
        <w:t>tenancy in an NRAS dwelling, they will cease to</w:t>
      </w:r>
      <w:r w:rsidR="00ED59B7">
        <w:rPr>
          <w:rFonts w:eastAsia="Times New Roman" w:cs="Times New Roman"/>
          <w:spacing w:val="4"/>
          <w:sz w:val="24"/>
          <w:szCs w:val="24"/>
        </w:rPr>
        <w:t> </w:t>
      </w:r>
      <w:r w:rsidR="00380629" w:rsidRPr="004873C6">
        <w:rPr>
          <w:rFonts w:eastAsia="Times New Roman" w:cs="Times New Roman"/>
          <w:spacing w:val="4"/>
          <w:sz w:val="24"/>
          <w:szCs w:val="24"/>
        </w:rPr>
        <w:t xml:space="preserve">be eligible tenants if their annual gross household income exceeds the applicable household income limit by 25 per cent or more in two consecutive years. </w:t>
      </w:r>
    </w:p>
    <w:p w14:paraId="2829BBB8" w14:textId="732B6349" w:rsidR="00380629" w:rsidRPr="004873C6" w:rsidRDefault="00380629" w:rsidP="005654D0">
      <w:pPr>
        <w:rPr>
          <w:rFonts w:eastAsia="Times New Roman" w:cs="Times New Roman"/>
          <w:spacing w:val="4"/>
          <w:sz w:val="24"/>
          <w:szCs w:val="24"/>
        </w:rPr>
      </w:pPr>
      <w:r w:rsidRPr="004873C6">
        <w:rPr>
          <w:rFonts w:eastAsia="Times New Roman" w:cs="Times New Roman"/>
          <w:spacing w:val="4"/>
          <w:sz w:val="24"/>
          <w:szCs w:val="24"/>
        </w:rPr>
        <w:t>There is no asset test or citizenship test used to determ</w:t>
      </w:r>
      <w:r w:rsidR="004873C6">
        <w:rPr>
          <w:rFonts w:eastAsia="Times New Roman" w:cs="Times New Roman"/>
          <w:spacing w:val="4"/>
          <w:sz w:val="24"/>
          <w:szCs w:val="24"/>
        </w:rPr>
        <w:t xml:space="preserve">ine tenant eligibility, except </w:t>
      </w:r>
      <w:r w:rsidRPr="004873C6">
        <w:rPr>
          <w:rFonts w:eastAsia="Times New Roman" w:cs="Times New Roman"/>
          <w:spacing w:val="4"/>
          <w:sz w:val="24"/>
          <w:szCs w:val="24"/>
        </w:rPr>
        <w:t>in Queensland. For more information, con</w:t>
      </w:r>
      <w:r w:rsidR="004873C6">
        <w:rPr>
          <w:rFonts w:eastAsia="Times New Roman" w:cs="Times New Roman"/>
          <w:spacing w:val="4"/>
          <w:sz w:val="24"/>
          <w:szCs w:val="24"/>
        </w:rPr>
        <w:t xml:space="preserve">tact the Queensland Government </w:t>
      </w:r>
      <w:r w:rsidRPr="004873C6">
        <w:rPr>
          <w:rFonts w:eastAsia="Times New Roman" w:cs="Times New Roman"/>
          <w:spacing w:val="4"/>
          <w:sz w:val="24"/>
          <w:szCs w:val="24"/>
        </w:rPr>
        <w:t>on 13 QGOV (13 74 68).</w:t>
      </w:r>
    </w:p>
    <w:p w14:paraId="594D0382" w14:textId="71233D86" w:rsidR="005E2650" w:rsidRPr="004873C6" w:rsidRDefault="004873C6" w:rsidP="005654D0">
      <w:pPr>
        <w:rPr>
          <w:rFonts w:eastAsia="Times New Roman" w:cs="Times New Roman"/>
          <w:spacing w:val="4"/>
          <w:sz w:val="24"/>
          <w:szCs w:val="24"/>
        </w:rPr>
      </w:pPr>
      <w:r>
        <w:rPr>
          <w:rFonts w:eastAsia="Times New Roman" w:cs="Times New Roman"/>
          <w:spacing w:val="4"/>
          <w:sz w:val="24"/>
          <w:szCs w:val="24"/>
        </w:rPr>
        <w:t xml:space="preserve">Tenants </w:t>
      </w:r>
      <w:r w:rsidR="00380629" w:rsidRPr="004873C6">
        <w:rPr>
          <w:rFonts w:eastAsia="Times New Roman" w:cs="Times New Roman"/>
          <w:spacing w:val="4"/>
          <w:sz w:val="24"/>
          <w:szCs w:val="24"/>
        </w:rPr>
        <w:t xml:space="preserve">continuing eligibility needs to be assessed each year by the approved participant. The approved participant will request evidence of </w:t>
      </w:r>
      <w:r>
        <w:rPr>
          <w:rFonts w:eastAsia="Times New Roman" w:cs="Times New Roman"/>
          <w:spacing w:val="4"/>
          <w:sz w:val="24"/>
          <w:szCs w:val="24"/>
        </w:rPr>
        <w:t xml:space="preserve">each </w:t>
      </w:r>
      <w:r w:rsidR="00380629" w:rsidRPr="004873C6">
        <w:rPr>
          <w:rFonts w:eastAsia="Times New Roman" w:cs="Times New Roman"/>
          <w:spacing w:val="4"/>
          <w:sz w:val="24"/>
          <w:szCs w:val="24"/>
        </w:rPr>
        <w:t>tenant</w:t>
      </w:r>
      <w:r>
        <w:rPr>
          <w:rFonts w:eastAsia="Times New Roman" w:cs="Times New Roman"/>
          <w:spacing w:val="4"/>
          <w:sz w:val="24"/>
          <w:szCs w:val="24"/>
        </w:rPr>
        <w:t>'s</w:t>
      </w:r>
      <w:r w:rsidR="00380629" w:rsidRPr="004873C6">
        <w:rPr>
          <w:rFonts w:eastAsia="Times New Roman" w:cs="Times New Roman"/>
          <w:spacing w:val="4"/>
          <w:sz w:val="24"/>
          <w:szCs w:val="24"/>
        </w:rPr>
        <w:t xml:space="preserve"> annual income; and may also request other information, including the number and ages of people living in the dwe</w:t>
      </w:r>
      <w:r>
        <w:rPr>
          <w:rFonts w:eastAsia="Times New Roman" w:cs="Times New Roman"/>
          <w:spacing w:val="4"/>
          <w:sz w:val="24"/>
          <w:szCs w:val="24"/>
        </w:rPr>
        <w:t>lling. Approved participants</w:t>
      </w:r>
      <w:r w:rsidR="00380629" w:rsidRPr="004873C6">
        <w:rPr>
          <w:rFonts w:eastAsia="Times New Roman" w:cs="Times New Roman"/>
          <w:spacing w:val="4"/>
          <w:sz w:val="24"/>
          <w:szCs w:val="24"/>
        </w:rPr>
        <w:t xml:space="preserve"> require this information to satisfy the Australian Government that they continue to meet all requirements of the Scheme in relation to the rental dwelling</w:t>
      </w:r>
      <w:r w:rsidR="000F0ECC" w:rsidRPr="004873C6">
        <w:rPr>
          <w:rFonts w:eastAsia="Times New Roman" w:cs="Times New Roman"/>
          <w:spacing w:val="4"/>
          <w:sz w:val="24"/>
          <w:szCs w:val="24"/>
        </w:rPr>
        <w:t xml:space="preserve">. </w:t>
      </w:r>
    </w:p>
    <w:p w14:paraId="3A0D4904" w14:textId="484D51EE" w:rsidR="001F2557" w:rsidRPr="005E2650" w:rsidRDefault="001F2557" w:rsidP="004873C6">
      <w:pPr>
        <w:rPr>
          <w:sz w:val="24"/>
          <w:szCs w:val="24"/>
          <w:lang w:val="en-GB"/>
        </w:rPr>
      </w:pPr>
      <w:r w:rsidRPr="005E2650">
        <w:rPr>
          <w:rFonts w:ascii="Georgia" w:eastAsia="Times New Roman" w:hAnsi="Georgia" w:cs="Arial"/>
          <w:bCs/>
          <w:iCs/>
          <w:color w:val="500778"/>
          <w:spacing w:val="4"/>
          <w:sz w:val="32"/>
          <w:szCs w:val="28"/>
          <w:lang w:eastAsia="en-AU"/>
        </w:rPr>
        <w:t>NRAS household income limits</w:t>
      </w:r>
    </w:p>
    <w:p w14:paraId="092D2996" w14:textId="6CA0FBBF" w:rsidR="001728C7" w:rsidRPr="005654D0" w:rsidRDefault="00380629" w:rsidP="005654D0">
      <w:pPr>
        <w:rPr>
          <w:rFonts w:eastAsia="Times New Roman" w:cs="Times New Roman"/>
          <w:spacing w:val="4"/>
          <w:sz w:val="24"/>
          <w:szCs w:val="24"/>
        </w:rPr>
      </w:pPr>
      <w:r w:rsidRPr="004873C6">
        <w:rPr>
          <w:rFonts w:eastAsia="Times New Roman" w:cs="Times New Roman"/>
          <w:spacing w:val="4"/>
          <w:sz w:val="24"/>
          <w:szCs w:val="24"/>
        </w:rPr>
        <w:t>Potential NRAS tenants are required to meet gross household income limits in</w:t>
      </w:r>
      <w:r w:rsidR="00ED59B7">
        <w:rPr>
          <w:rFonts w:eastAsia="Times New Roman" w:cs="Times New Roman"/>
          <w:spacing w:val="4"/>
          <w:sz w:val="24"/>
          <w:szCs w:val="24"/>
        </w:rPr>
        <w:t> </w:t>
      </w:r>
      <w:r w:rsidRPr="004873C6">
        <w:rPr>
          <w:rFonts w:eastAsia="Times New Roman" w:cs="Times New Roman"/>
          <w:spacing w:val="4"/>
          <w:sz w:val="24"/>
          <w:szCs w:val="24"/>
        </w:rPr>
        <w:t xml:space="preserve">order to be considered eligible tenants. The income limits vary according to the composition of the household and are indexed annually. The most current income limits can be found at </w:t>
      </w:r>
      <w:hyperlink r:id="rId13" w:history="1">
        <w:r w:rsidRPr="005654D0">
          <w:rPr>
            <w:rFonts w:eastAsia="Times New Roman" w:cs="Times New Roman"/>
            <w:spacing w:val="4"/>
            <w:sz w:val="24"/>
            <w:szCs w:val="24"/>
          </w:rPr>
          <w:t>NRAS household income limits</w:t>
        </w:r>
      </w:hyperlink>
      <w:r w:rsidR="001728C7" w:rsidRPr="005654D0">
        <w:rPr>
          <w:rFonts w:eastAsia="Times New Roman" w:cs="Times New Roman"/>
          <w:spacing w:val="4"/>
          <w:sz w:val="24"/>
          <w:szCs w:val="24"/>
        </w:rPr>
        <w:t xml:space="preserve">. </w:t>
      </w:r>
    </w:p>
    <w:p w14:paraId="3A0D4908" w14:textId="7EB4FB95" w:rsidR="0009328F" w:rsidRPr="004873C6" w:rsidRDefault="00380629" w:rsidP="005654D0">
      <w:pPr>
        <w:rPr>
          <w:rFonts w:eastAsia="Times New Roman" w:cs="Times New Roman"/>
          <w:spacing w:val="4"/>
          <w:sz w:val="24"/>
          <w:szCs w:val="24"/>
        </w:rPr>
      </w:pPr>
      <w:r w:rsidRPr="004873C6">
        <w:rPr>
          <w:rFonts w:eastAsia="Times New Roman" w:cs="Times New Roman"/>
          <w:spacing w:val="4"/>
          <w:sz w:val="24"/>
          <w:szCs w:val="24"/>
        </w:rPr>
        <w:t>The calculation of household income limits takes into account household composition, including the number of dependants. For households with shared care arrangements each child is counted as a member of the household, regardless of the percentage of care, or how many nights per week each child resides in the dwelling. For example, if a household has children living in the dwelling for weekends only, each child would count as a member of the household for the purposes of calculating the household income limit</w:t>
      </w:r>
      <w:r w:rsidR="0009328F" w:rsidRPr="00380629">
        <w:rPr>
          <w:rFonts w:eastAsia="Times New Roman" w:cs="Times New Roman"/>
          <w:spacing w:val="4"/>
          <w:sz w:val="24"/>
          <w:szCs w:val="24"/>
        </w:rPr>
        <w:t>.</w:t>
      </w:r>
    </w:p>
    <w:p w14:paraId="3A0D4909" w14:textId="0664A9A9" w:rsidR="00133F02" w:rsidRPr="004873C6" w:rsidRDefault="00380629" w:rsidP="005654D0">
      <w:pPr>
        <w:rPr>
          <w:rFonts w:eastAsia="Times New Roman" w:cs="Times New Roman"/>
          <w:spacing w:val="4"/>
          <w:sz w:val="24"/>
          <w:szCs w:val="24"/>
        </w:rPr>
      </w:pPr>
      <w:r w:rsidRPr="004873C6">
        <w:rPr>
          <w:rFonts w:eastAsia="Times New Roman" w:cs="Times New Roman"/>
          <w:spacing w:val="4"/>
          <w:sz w:val="24"/>
          <w:szCs w:val="24"/>
        </w:rPr>
        <w:lastRenderedPageBreak/>
        <w:t>Where there is a change in the household composition the approved participant, or their tenancy manager, is responsible for updating the tenant information with the Department of Social Services and reassessing tenant eligibility</w:t>
      </w:r>
      <w:r w:rsidR="00133F02" w:rsidRPr="00380629">
        <w:rPr>
          <w:rFonts w:eastAsia="Times New Roman" w:cs="Times New Roman"/>
          <w:spacing w:val="4"/>
          <w:sz w:val="24"/>
          <w:szCs w:val="24"/>
        </w:rPr>
        <w:t>.</w:t>
      </w:r>
    </w:p>
    <w:p w14:paraId="469FAE19" w14:textId="77777777" w:rsidR="005E2650" w:rsidRPr="005654D0" w:rsidRDefault="00380629" w:rsidP="005654D0">
      <w:pPr>
        <w:rPr>
          <w:rFonts w:eastAsia="Times New Roman" w:cs="Times New Roman"/>
          <w:spacing w:val="4"/>
          <w:sz w:val="24"/>
          <w:szCs w:val="24"/>
        </w:rPr>
      </w:pPr>
      <w:r w:rsidRPr="004873C6">
        <w:rPr>
          <w:rFonts w:eastAsia="Times New Roman" w:cs="Times New Roman"/>
          <w:spacing w:val="4"/>
          <w:sz w:val="24"/>
          <w:szCs w:val="24"/>
        </w:rPr>
        <w:t xml:space="preserve">More information on the definition of income under NRAS can be found in the </w:t>
      </w:r>
      <w:hyperlink r:id="rId14" w:history="1">
        <w:r w:rsidRPr="004873C6">
          <w:rPr>
            <w:rFonts w:eastAsia="Times New Roman" w:cs="Times New Roman"/>
            <w:spacing w:val="4"/>
            <w:sz w:val="24"/>
            <w:szCs w:val="24"/>
          </w:rPr>
          <w:t>Income Definition Information Sheet</w:t>
        </w:r>
      </w:hyperlink>
      <w:r w:rsidR="003268EE" w:rsidRPr="005654D0">
        <w:rPr>
          <w:rFonts w:eastAsia="Times New Roman" w:cs="Times New Roman"/>
          <w:spacing w:val="4"/>
          <w:sz w:val="24"/>
          <w:szCs w:val="24"/>
        </w:rPr>
        <w:t>.</w:t>
      </w:r>
    </w:p>
    <w:p w14:paraId="3A0D490B" w14:textId="24DBF619" w:rsidR="00376AC2" w:rsidRPr="005E2650" w:rsidRDefault="002E1C30" w:rsidP="004873C6">
      <w:pPr>
        <w:rPr>
          <w:rFonts w:ascii="Georgia" w:eastAsia="Times New Roman" w:hAnsi="Georgia" w:cs="Times New Roman"/>
          <w:spacing w:val="4"/>
          <w:sz w:val="32"/>
          <w:szCs w:val="32"/>
          <w:lang w:eastAsia="en-AU"/>
        </w:rPr>
      </w:pPr>
      <w:r w:rsidRPr="005E2650">
        <w:rPr>
          <w:rFonts w:ascii="Georgia" w:hAnsi="Georgia"/>
          <w:color w:val="500778"/>
          <w:sz w:val="32"/>
          <w:szCs w:val="32"/>
        </w:rPr>
        <w:t>How to assess tenant eligibility</w:t>
      </w:r>
    </w:p>
    <w:p w14:paraId="5F08802B" w14:textId="77777777" w:rsidR="004873C6" w:rsidRDefault="004873C6" w:rsidP="005654D0">
      <w:pPr>
        <w:rPr>
          <w:rFonts w:eastAsia="Times New Roman" w:cs="Times New Roman"/>
          <w:spacing w:val="4"/>
          <w:sz w:val="24"/>
          <w:szCs w:val="24"/>
          <w:lang w:eastAsia="en-AU"/>
        </w:rPr>
      </w:pPr>
      <w:r w:rsidRPr="00ED59B7">
        <w:rPr>
          <w:rFonts w:eastAsia="Times New Roman" w:cs="Times New Roman"/>
          <w:spacing w:val="4"/>
          <w:sz w:val="24"/>
          <w:szCs w:val="24"/>
          <w:lang w:eastAsia="en-AU"/>
        </w:rPr>
        <w:t>An example:</w:t>
      </w:r>
      <w:bookmarkStart w:id="0" w:name="_GoBack"/>
      <w:bookmarkEnd w:id="0"/>
    </w:p>
    <w:p w14:paraId="5C685F2B" w14:textId="6A68FAE0" w:rsidR="004873C6" w:rsidRDefault="00376AC2" w:rsidP="005654D0">
      <w:pPr>
        <w:pStyle w:val="ListParagraph"/>
        <w:numPr>
          <w:ilvl w:val="0"/>
          <w:numId w:val="5"/>
        </w:numPr>
        <w:rPr>
          <w:rFonts w:eastAsia="Times New Roman" w:cs="Times New Roman"/>
          <w:spacing w:val="4"/>
          <w:sz w:val="24"/>
          <w:szCs w:val="24"/>
          <w:lang w:eastAsia="en-AU"/>
        </w:rPr>
      </w:pPr>
      <w:r w:rsidRPr="004873C6">
        <w:rPr>
          <w:rFonts w:eastAsia="Times New Roman" w:cs="Times New Roman"/>
          <w:spacing w:val="4"/>
          <w:sz w:val="24"/>
          <w:szCs w:val="24"/>
          <w:lang w:eastAsia="en-AU"/>
        </w:rPr>
        <w:t xml:space="preserve">Eligibility </w:t>
      </w:r>
      <w:r w:rsidR="004873C6">
        <w:rPr>
          <w:rFonts w:eastAsia="Times New Roman" w:cs="Times New Roman"/>
          <w:spacing w:val="4"/>
          <w:sz w:val="24"/>
          <w:szCs w:val="24"/>
          <w:lang w:eastAsia="en-AU"/>
        </w:rPr>
        <w:t>year 1: c</w:t>
      </w:r>
      <w:r w:rsidRPr="004873C6">
        <w:rPr>
          <w:rFonts w:eastAsia="Times New Roman" w:cs="Times New Roman"/>
          <w:spacing w:val="4"/>
          <w:sz w:val="24"/>
          <w:szCs w:val="24"/>
          <w:lang w:eastAsia="en-AU"/>
        </w:rPr>
        <w:t>ommences 20 Dec</w:t>
      </w:r>
      <w:r w:rsidR="003F4340" w:rsidRPr="004873C6">
        <w:rPr>
          <w:rFonts w:eastAsia="Times New Roman" w:cs="Times New Roman"/>
          <w:spacing w:val="4"/>
          <w:sz w:val="24"/>
          <w:szCs w:val="24"/>
          <w:lang w:eastAsia="en-AU"/>
        </w:rPr>
        <w:t>ember</w:t>
      </w:r>
      <w:r w:rsidRPr="004873C6">
        <w:rPr>
          <w:rFonts w:eastAsia="Times New Roman" w:cs="Times New Roman"/>
          <w:spacing w:val="4"/>
          <w:sz w:val="24"/>
          <w:szCs w:val="24"/>
          <w:lang w:eastAsia="en-AU"/>
        </w:rPr>
        <w:t xml:space="preserve"> 201</w:t>
      </w:r>
      <w:r w:rsidR="00B362E9" w:rsidRPr="004873C6">
        <w:rPr>
          <w:rFonts w:eastAsia="Times New Roman" w:cs="Times New Roman"/>
          <w:spacing w:val="4"/>
          <w:sz w:val="24"/>
          <w:szCs w:val="24"/>
          <w:lang w:eastAsia="en-AU"/>
        </w:rPr>
        <w:t>9</w:t>
      </w:r>
      <w:r w:rsidR="004873C6">
        <w:rPr>
          <w:rFonts w:eastAsia="Times New Roman" w:cs="Times New Roman"/>
          <w:spacing w:val="4"/>
          <w:sz w:val="24"/>
          <w:szCs w:val="24"/>
          <w:lang w:eastAsia="en-AU"/>
        </w:rPr>
        <w:t xml:space="preserve"> and ends 19 </w:t>
      </w:r>
      <w:r w:rsidRPr="004873C6">
        <w:rPr>
          <w:rFonts w:eastAsia="Times New Roman" w:cs="Times New Roman"/>
          <w:spacing w:val="4"/>
          <w:sz w:val="24"/>
          <w:szCs w:val="24"/>
          <w:lang w:eastAsia="en-AU"/>
        </w:rPr>
        <w:t>Dec</w:t>
      </w:r>
      <w:r w:rsidR="003F4340" w:rsidRPr="004873C6">
        <w:rPr>
          <w:rFonts w:eastAsia="Times New Roman" w:cs="Times New Roman"/>
          <w:spacing w:val="4"/>
          <w:sz w:val="24"/>
          <w:szCs w:val="24"/>
          <w:lang w:eastAsia="en-AU"/>
        </w:rPr>
        <w:t>ember</w:t>
      </w:r>
      <w:r w:rsidR="004873C6">
        <w:rPr>
          <w:rFonts w:eastAsia="Times New Roman" w:cs="Times New Roman"/>
          <w:spacing w:val="4"/>
          <w:sz w:val="24"/>
          <w:szCs w:val="24"/>
          <w:lang w:eastAsia="en-AU"/>
        </w:rPr>
        <w:t> </w:t>
      </w:r>
      <w:r w:rsidRPr="004873C6">
        <w:rPr>
          <w:rFonts w:eastAsia="Times New Roman" w:cs="Times New Roman"/>
          <w:spacing w:val="4"/>
          <w:sz w:val="24"/>
          <w:szCs w:val="24"/>
          <w:lang w:eastAsia="en-AU"/>
        </w:rPr>
        <w:t>20</w:t>
      </w:r>
      <w:r w:rsidR="00B362E9" w:rsidRPr="004873C6">
        <w:rPr>
          <w:rFonts w:eastAsia="Times New Roman" w:cs="Times New Roman"/>
          <w:spacing w:val="4"/>
          <w:sz w:val="24"/>
          <w:szCs w:val="24"/>
          <w:lang w:eastAsia="en-AU"/>
        </w:rPr>
        <w:t>20</w:t>
      </w:r>
    </w:p>
    <w:p w14:paraId="3A0D490D" w14:textId="791A555D" w:rsidR="00376AC2" w:rsidRPr="004873C6" w:rsidRDefault="004873C6" w:rsidP="005654D0">
      <w:pPr>
        <w:pStyle w:val="ListParagraph"/>
        <w:numPr>
          <w:ilvl w:val="0"/>
          <w:numId w:val="5"/>
        </w:numPr>
        <w:rPr>
          <w:rFonts w:eastAsia="Times New Roman" w:cs="Times New Roman"/>
          <w:spacing w:val="4"/>
          <w:sz w:val="24"/>
          <w:szCs w:val="24"/>
          <w:lang w:eastAsia="en-AU"/>
        </w:rPr>
      </w:pPr>
      <w:r>
        <w:rPr>
          <w:rFonts w:eastAsia="Times New Roman" w:cs="Times New Roman"/>
          <w:spacing w:val="4"/>
          <w:sz w:val="24"/>
          <w:szCs w:val="24"/>
          <w:lang w:eastAsia="en-AU"/>
        </w:rPr>
        <w:t>Eligibility year 2: c</w:t>
      </w:r>
      <w:r w:rsidR="00376AC2" w:rsidRPr="004873C6">
        <w:rPr>
          <w:rFonts w:eastAsia="Times New Roman" w:cs="Times New Roman"/>
          <w:spacing w:val="4"/>
          <w:sz w:val="24"/>
          <w:szCs w:val="24"/>
          <w:lang w:eastAsia="en-AU"/>
        </w:rPr>
        <w:t>ommences 20 Dec</w:t>
      </w:r>
      <w:r w:rsidR="003F4340" w:rsidRPr="004873C6">
        <w:rPr>
          <w:rFonts w:eastAsia="Times New Roman" w:cs="Times New Roman"/>
          <w:spacing w:val="4"/>
          <w:sz w:val="24"/>
          <w:szCs w:val="24"/>
          <w:lang w:eastAsia="en-AU"/>
        </w:rPr>
        <w:t>ember</w:t>
      </w:r>
      <w:r w:rsidR="00376AC2" w:rsidRPr="004873C6">
        <w:rPr>
          <w:rFonts w:eastAsia="Times New Roman" w:cs="Times New Roman"/>
          <w:spacing w:val="4"/>
          <w:sz w:val="24"/>
          <w:szCs w:val="24"/>
          <w:lang w:eastAsia="en-AU"/>
        </w:rPr>
        <w:t xml:space="preserve"> </w:t>
      </w:r>
      <w:r w:rsidR="00B362E9" w:rsidRPr="004873C6">
        <w:rPr>
          <w:rFonts w:eastAsia="Times New Roman" w:cs="Times New Roman"/>
          <w:spacing w:val="4"/>
          <w:sz w:val="24"/>
          <w:szCs w:val="24"/>
          <w:lang w:eastAsia="en-AU"/>
        </w:rPr>
        <w:t>2020</w:t>
      </w:r>
      <w:r w:rsidR="00F10B2E" w:rsidRPr="004873C6">
        <w:rPr>
          <w:rFonts w:eastAsia="Times New Roman" w:cs="Times New Roman"/>
          <w:spacing w:val="4"/>
          <w:sz w:val="24"/>
          <w:szCs w:val="24"/>
          <w:lang w:eastAsia="en-AU"/>
        </w:rPr>
        <w:t xml:space="preserve"> </w:t>
      </w:r>
      <w:r>
        <w:rPr>
          <w:rFonts w:eastAsia="Times New Roman" w:cs="Times New Roman"/>
          <w:spacing w:val="4"/>
          <w:sz w:val="24"/>
          <w:szCs w:val="24"/>
          <w:lang w:eastAsia="en-AU"/>
        </w:rPr>
        <w:t>and ends 19 </w:t>
      </w:r>
      <w:r w:rsidR="00376AC2" w:rsidRPr="004873C6">
        <w:rPr>
          <w:rFonts w:eastAsia="Times New Roman" w:cs="Times New Roman"/>
          <w:spacing w:val="4"/>
          <w:sz w:val="24"/>
          <w:szCs w:val="24"/>
          <w:lang w:eastAsia="en-AU"/>
        </w:rPr>
        <w:t>Dec</w:t>
      </w:r>
      <w:r w:rsidR="003F4340" w:rsidRPr="004873C6">
        <w:rPr>
          <w:rFonts w:eastAsia="Times New Roman" w:cs="Times New Roman"/>
          <w:spacing w:val="4"/>
          <w:sz w:val="24"/>
          <w:szCs w:val="24"/>
          <w:lang w:eastAsia="en-AU"/>
        </w:rPr>
        <w:t>ember</w:t>
      </w:r>
      <w:r>
        <w:rPr>
          <w:rFonts w:eastAsia="Times New Roman" w:cs="Times New Roman"/>
          <w:spacing w:val="4"/>
          <w:sz w:val="24"/>
          <w:szCs w:val="24"/>
          <w:lang w:eastAsia="en-AU"/>
        </w:rPr>
        <w:t> </w:t>
      </w:r>
      <w:r w:rsidR="00B362E9" w:rsidRPr="004873C6">
        <w:rPr>
          <w:rFonts w:eastAsia="Times New Roman" w:cs="Times New Roman"/>
          <w:spacing w:val="4"/>
          <w:sz w:val="24"/>
          <w:szCs w:val="24"/>
          <w:lang w:eastAsia="en-AU"/>
        </w:rPr>
        <w:t>2021</w:t>
      </w:r>
    </w:p>
    <w:p w14:paraId="3A0D490E" w14:textId="700CE006" w:rsidR="00376AC2" w:rsidRPr="00B362E9" w:rsidRDefault="00376AC2" w:rsidP="005654D0">
      <w:pPr>
        <w:rPr>
          <w:rFonts w:eastAsia="Times New Roman" w:cs="Times New Roman"/>
          <w:spacing w:val="4"/>
          <w:sz w:val="24"/>
          <w:szCs w:val="24"/>
          <w:lang w:eastAsia="en-AU"/>
        </w:rPr>
      </w:pPr>
      <w:r w:rsidRPr="00B362E9">
        <w:rPr>
          <w:rFonts w:eastAsia="Times New Roman" w:cs="Times New Roman"/>
          <w:spacing w:val="4"/>
          <w:sz w:val="24"/>
          <w:szCs w:val="24"/>
          <w:lang w:eastAsia="en-AU"/>
        </w:rPr>
        <w:t>On 20 Dec</w:t>
      </w:r>
      <w:r w:rsidR="000F0FA2" w:rsidRPr="00B362E9">
        <w:rPr>
          <w:rFonts w:eastAsia="Times New Roman" w:cs="Times New Roman"/>
          <w:spacing w:val="4"/>
          <w:sz w:val="24"/>
          <w:szCs w:val="24"/>
          <w:lang w:eastAsia="en-AU"/>
        </w:rPr>
        <w:t>ember</w:t>
      </w:r>
      <w:r w:rsidRPr="00B362E9">
        <w:rPr>
          <w:rFonts w:eastAsia="Times New Roman" w:cs="Times New Roman"/>
          <w:spacing w:val="4"/>
          <w:sz w:val="24"/>
          <w:szCs w:val="24"/>
          <w:lang w:eastAsia="en-AU"/>
        </w:rPr>
        <w:t xml:space="preserve"> 201</w:t>
      </w:r>
      <w:r w:rsidR="00B362E9" w:rsidRPr="00B362E9">
        <w:rPr>
          <w:rFonts w:eastAsia="Times New Roman" w:cs="Times New Roman"/>
          <w:spacing w:val="4"/>
          <w:sz w:val="24"/>
          <w:szCs w:val="24"/>
          <w:lang w:eastAsia="en-AU"/>
        </w:rPr>
        <w:t>9</w:t>
      </w:r>
      <w:r w:rsidR="000F0FA2" w:rsidRPr="00B362E9">
        <w:rPr>
          <w:rFonts w:eastAsia="Times New Roman" w:cs="Times New Roman"/>
          <w:spacing w:val="4"/>
          <w:sz w:val="24"/>
          <w:szCs w:val="24"/>
          <w:lang w:eastAsia="en-AU"/>
        </w:rPr>
        <w:t>,</w:t>
      </w:r>
      <w:r w:rsidRPr="00B362E9">
        <w:rPr>
          <w:rFonts w:eastAsia="Times New Roman" w:cs="Times New Roman"/>
          <w:spacing w:val="4"/>
          <w:sz w:val="24"/>
          <w:szCs w:val="24"/>
          <w:lang w:eastAsia="en-AU"/>
        </w:rPr>
        <w:t xml:space="preserve"> tenants move into a</w:t>
      </w:r>
      <w:r w:rsidR="000F0FA2" w:rsidRPr="00B362E9">
        <w:rPr>
          <w:rFonts w:eastAsia="Times New Roman" w:cs="Times New Roman"/>
          <w:spacing w:val="4"/>
          <w:sz w:val="24"/>
          <w:szCs w:val="24"/>
          <w:lang w:eastAsia="en-AU"/>
        </w:rPr>
        <w:t>n</w:t>
      </w:r>
      <w:r w:rsidRPr="00B362E9">
        <w:rPr>
          <w:rFonts w:eastAsia="Times New Roman" w:cs="Times New Roman"/>
          <w:spacing w:val="4"/>
          <w:sz w:val="24"/>
          <w:szCs w:val="24"/>
          <w:lang w:eastAsia="en-AU"/>
        </w:rPr>
        <w:t xml:space="preserve"> </w:t>
      </w:r>
      <w:r w:rsidR="000F0FA2" w:rsidRPr="00B362E9">
        <w:rPr>
          <w:rFonts w:eastAsia="Times New Roman" w:cs="Times New Roman"/>
          <w:spacing w:val="4"/>
          <w:sz w:val="24"/>
          <w:szCs w:val="24"/>
          <w:lang w:eastAsia="en-AU"/>
        </w:rPr>
        <w:t>approved rental dwelling</w:t>
      </w:r>
      <w:r w:rsidRPr="00B362E9">
        <w:rPr>
          <w:rFonts w:eastAsia="Times New Roman" w:cs="Times New Roman"/>
          <w:spacing w:val="4"/>
          <w:sz w:val="24"/>
          <w:szCs w:val="24"/>
          <w:lang w:eastAsia="en-AU"/>
        </w:rPr>
        <w:t>. The</w:t>
      </w:r>
      <w:r w:rsidR="00ED59B7">
        <w:rPr>
          <w:rFonts w:eastAsia="Times New Roman" w:cs="Times New Roman"/>
          <w:spacing w:val="4"/>
          <w:sz w:val="24"/>
          <w:szCs w:val="24"/>
          <w:lang w:eastAsia="en-AU"/>
        </w:rPr>
        <w:t> </w:t>
      </w:r>
      <w:r w:rsidRPr="00B362E9">
        <w:rPr>
          <w:rFonts w:eastAsia="Times New Roman" w:cs="Times New Roman"/>
          <w:spacing w:val="4"/>
          <w:sz w:val="24"/>
          <w:szCs w:val="24"/>
          <w:lang w:eastAsia="en-AU"/>
        </w:rPr>
        <w:t xml:space="preserve">combined gross income for their household does not exceed the income limit </w:t>
      </w:r>
      <w:r w:rsidR="003856AC" w:rsidRPr="00B362E9">
        <w:rPr>
          <w:rFonts w:eastAsia="Times New Roman" w:cs="Times New Roman"/>
          <w:spacing w:val="4"/>
          <w:sz w:val="24"/>
          <w:szCs w:val="24"/>
          <w:lang w:eastAsia="en-AU"/>
        </w:rPr>
        <w:t>on the day before the eligibility year commences, that is 19 December 201</w:t>
      </w:r>
      <w:r w:rsidR="00B362E9" w:rsidRPr="00B362E9">
        <w:rPr>
          <w:rFonts w:eastAsia="Times New Roman" w:cs="Times New Roman"/>
          <w:spacing w:val="4"/>
          <w:sz w:val="24"/>
          <w:szCs w:val="24"/>
          <w:lang w:eastAsia="en-AU"/>
        </w:rPr>
        <w:t>9</w:t>
      </w:r>
      <w:r w:rsidRPr="00B362E9">
        <w:rPr>
          <w:rFonts w:eastAsia="Times New Roman" w:cs="Times New Roman"/>
          <w:spacing w:val="4"/>
          <w:sz w:val="24"/>
          <w:szCs w:val="24"/>
          <w:lang w:eastAsia="en-AU"/>
        </w:rPr>
        <w:t>.</w:t>
      </w:r>
    </w:p>
    <w:p w14:paraId="3A0D490F" w14:textId="4A115BB4" w:rsidR="00376AC2" w:rsidRPr="00B362E9" w:rsidRDefault="00376AC2" w:rsidP="005654D0">
      <w:pPr>
        <w:rPr>
          <w:rFonts w:eastAsia="Times New Roman" w:cs="Times New Roman"/>
          <w:spacing w:val="4"/>
          <w:sz w:val="24"/>
          <w:szCs w:val="24"/>
          <w:lang w:eastAsia="en-AU"/>
        </w:rPr>
      </w:pPr>
      <w:r w:rsidRPr="00B362E9">
        <w:rPr>
          <w:rFonts w:eastAsia="Times New Roman" w:cs="Times New Roman"/>
          <w:spacing w:val="4"/>
          <w:sz w:val="24"/>
          <w:szCs w:val="24"/>
          <w:lang w:eastAsia="en-AU"/>
        </w:rPr>
        <w:t xml:space="preserve">On </w:t>
      </w:r>
      <w:r w:rsidR="003856AC" w:rsidRPr="00B362E9">
        <w:rPr>
          <w:rFonts w:eastAsia="Times New Roman" w:cs="Times New Roman"/>
          <w:spacing w:val="4"/>
          <w:sz w:val="24"/>
          <w:szCs w:val="24"/>
          <w:lang w:eastAsia="en-AU"/>
        </w:rPr>
        <w:t>19</w:t>
      </w:r>
      <w:r w:rsidRPr="00B362E9">
        <w:rPr>
          <w:rFonts w:eastAsia="Times New Roman" w:cs="Times New Roman"/>
          <w:spacing w:val="4"/>
          <w:sz w:val="24"/>
          <w:szCs w:val="24"/>
          <w:lang w:eastAsia="en-AU"/>
        </w:rPr>
        <w:t xml:space="preserve"> Dec</w:t>
      </w:r>
      <w:r w:rsidR="000F0FA2" w:rsidRPr="00B362E9">
        <w:rPr>
          <w:rFonts w:eastAsia="Times New Roman" w:cs="Times New Roman"/>
          <w:spacing w:val="4"/>
          <w:sz w:val="24"/>
          <w:szCs w:val="24"/>
          <w:lang w:eastAsia="en-AU"/>
        </w:rPr>
        <w:t>ember</w:t>
      </w:r>
      <w:r w:rsidRPr="00B362E9">
        <w:rPr>
          <w:rFonts w:eastAsia="Times New Roman" w:cs="Times New Roman"/>
          <w:spacing w:val="4"/>
          <w:sz w:val="24"/>
          <w:szCs w:val="24"/>
          <w:lang w:eastAsia="en-AU"/>
        </w:rPr>
        <w:t xml:space="preserve"> 20</w:t>
      </w:r>
      <w:r w:rsidR="00B362E9" w:rsidRPr="00B362E9">
        <w:rPr>
          <w:rFonts w:eastAsia="Times New Roman" w:cs="Times New Roman"/>
          <w:spacing w:val="4"/>
          <w:sz w:val="24"/>
          <w:szCs w:val="24"/>
          <w:lang w:eastAsia="en-AU"/>
        </w:rPr>
        <w:t>20</w:t>
      </w:r>
      <w:r w:rsidR="003856AC" w:rsidRPr="00B362E9">
        <w:rPr>
          <w:rFonts w:eastAsia="Times New Roman" w:cs="Times New Roman"/>
          <w:spacing w:val="4"/>
          <w:sz w:val="24"/>
          <w:szCs w:val="24"/>
          <w:lang w:eastAsia="en-AU"/>
        </w:rPr>
        <w:t xml:space="preserve"> (a day before the commencement of eligibility year 2),</w:t>
      </w:r>
      <w:r w:rsidRPr="00B362E9">
        <w:rPr>
          <w:rFonts w:eastAsia="Times New Roman" w:cs="Times New Roman"/>
          <w:spacing w:val="4"/>
          <w:sz w:val="24"/>
          <w:szCs w:val="24"/>
          <w:lang w:eastAsia="en-AU"/>
        </w:rPr>
        <w:t xml:space="preserve"> the</w:t>
      </w:r>
      <w:r w:rsidR="00F10B2E">
        <w:rPr>
          <w:rFonts w:eastAsia="Times New Roman" w:cs="Times New Roman"/>
          <w:spacing w:val="4"/>
          <w:sz w:val="24"/>
          <w:szCs w:val="24"/>
          <w:lang w:eastAsia="en-AU"/>
        </w:rPr>
        <w:t> household</w:t>
      </w:r>
      <w:r w:rsidRPr="00B362E9">
        <w:rPr>
          <w:rFonts w:eastAsia="Times New Roman" w:cs="Times New Roman"/>
          <w:spacing w:val="4"/>
          <w:sz w:val="24"/>
          <w:szCs w:val="24"/>
          <w:lang w:eastAsia="en-AU"/>
        </w:rPr>
        <w:t xml:space="preserve"> exceed</w:t>
      </w:r>
      <w:r w:rsidR="003F4340">
        <w:rPr>
          <w:rFonts w:eastAsia="Times New Roman" w:cs="Times New Roman"/>
          <w:spacing w:val="4"/>
          <w:sz w:val="24"/>
          <w:szCs w:val="24"/>
          <w:lang w:eastAsia="en-AU"/>
        </w:rPr>
        <w:t>s</w:t>
      </w:r>
      <w:r w:rsidRPr="00B362E9">
        <w:rPr>
          <w:rFonts w:eastAsia="Times New Roman" w:cs="Times New Roman"/>
          <w:spacing w:val="4"/>
          <w:sz w:val="24"/>
          <w:szCs w:val="24"/>
          <w:lang w:eastAsia="en-AU"/>
        </w:rPr>
        <w:t xml:space="preserve"> the gross income limit fo</w:t>
      </w:r>
      <w:r w:rsidR="005654D0">
        <w:rPr>
          <w:rFonts w:eastAsia="Times New Roman" w:cs="Times New Roman"/>
          <w:spacing w:val="4"/>
          <w:sz w:val="24"/>
          <w:szCs w:val="24"/>
          <w:lang w:eastAsia="en-AU"/>
        </w:rPr>
        <w:t>r the household by more than 25 </w:t>
      </w:r>
      <w:r w:rsidRPr="00B362E9">
        <w:rPr>
          <w:rFonts w:eastAsia="Times New Roman" w:cs="Times New Roman"/>
          <w:spacing w:val="4"/>
          <w:sz w:val="24"/>
          <w:szCs w:val="24"/>
          <w:lang w:eastAsia="en-AU"/>
        </w:rPr>
        <w:t xml:space="preserve">per cent. </w:t>
      </w:r>
    </w:p>
    <w:p w14:paraId="3A0D4910" w14:textId="5E09539A" w:rsidR="00376AC2" w:rsidRPr="00B362E9" w:rsidRDefault="00376AC2" w:rsidP="005654D0">
      <w:pPr>
        <w:rPr>
          <w:rFonts w:eastAsia="Times New Roman" w:cs="Times New Roman"/>
          <w:spacing w:val="4"/>
          <w:sz w:val="24"/>
          <w:szCs w:val="24"/>
          <w:lang w:eastAsia="en-AU"/>
        </w:rPr>
      </w:pPr>
      <w:r w:rsidRPr="00B362E9">
        <w:rPr>
          <w:rFonts w:eastAsia="Times New Roman" w:cs="Times New Roman"/>
          <w:spacing w:val="4"/>
          <w:sz w:val="24"/>
          <w:szCs w:val="24"/>
          <w:lang w:eastAsia="en-AU"/>
        </w:rPr>
        <w:t>On 19 Dec</w:t>
      </w:r>
      <w:r w:rsidR="000F0FA2" w:rsidRPr="00B362E9">
        <w:rPr>
          <w:rFonts w:eastAsia="Times New Roman" w:cs="Times New Roman"/>
          <w:spacing w:val="4"/>
          <w:sz w:val="24"/>
          <w:szCs w:val="24"/>
          <w:lang w:eastAsia="en-AU"/>
        </w:rPr>
        <w:t>ember</w:t>
      </w:r>
      <w:r w:rsidRPr="00B362E9">
        <w:rPr>
          <w:rFonts w:eastAsia="Times New Roman" w:cs="Times New Roman"/>
          <w:spacing w:val="4"/>
          <w:sz w:val="24"/>
          <w:szCs w:val="24"/>
          <w:lang w:eastAsia="en-AU"/>
        </w:rPr>
        <w:t xml:space="preserve"> </w:t>
      </w:r>
      <w:r w:rsidR="00B362E9" w:rsidRPr="00B362E9">
        <w:rPr>
          <w:rFonts w:eastAsia="Times New Roman" w:cs="Times New Roman"/>
          <w:spacing w:val="4"/>
          <w:sz w:val="24"/>
          <w:szCs w:val="24"/>
          <w:lang w:eastAsia="en-AU"/>
        </w:rPr>
        <w:t xml:space="preserve">2021 </w:t>
      </w:r>
      <w:r w:rsidRPr="00B362E9">
        <w:rPr>
          <w:rFonts w:eastAsia="Times New Roman" w:cs="Times New Roman"/>
          <w:spacing w:val="4"/>
          <w:sz w:val="24"/>
          <w:szCs w:val="24"/>
          <w:lang w:eastAsia="en-AU"/>
        </w:rPr>
        <w:t xml:space="preserve">(a day before the </w:t>
      </w:r>
      <w:r w:rsidR="003856AC" w:rsidRPr="00B362E9">
        <w:rPr>
          <w:rFonts w:eastAsia="Times New Roman" w:cs="Times New Roman"/>
          <w:spacing w:val="4"/>
          <w:sz w:val="24"/>
          <w:szCs w:val="24"/>
          <w:lang w:eastAsia="en-AU"/>
        </w:rPr>
        <w:t xml:space="preserve">commencement </w:t>
      </w:r>
      <w:r w:rsidRPr="00B362E9">
        <w:rPr>
          <w:rFonts w:eastAsia="Times New Roman" w:cs="Times New Roman"/>
          <w:spacing w:val="4"/>
          <w:sz w:val="24"/>
          <w:szCs w:val="24"/>
          <w:lang w:eastAsia="en-AU"/>
        </w:rPr>
        <w:t xml:space="preserve">of </w:t>
      </w:r>
      <w:r w:rsidR="003856AC" w:rsidRPr="00B362E9">
        <w:rPr>
          <w:rFonts w:eastAsia="Times New Roman" w:cs="Times New Roman"/>
          <w:spacing w:val="4"/>
          <w:sz w:val="24"/>
          <w:szCs w:val="24"/>
          <w:lang w:eastAsia="en-AU"/>
        </w:rPr>
        <w:t xml:space="preserve">eligibility </w:t>
      </w:r>
      <w:r w:rsidRPr="00B362E9">
        <w:rPr>
          <w:rFonts w:eastAsia="Times New Roman" w:cs="Times New Roman"/>
          <w:spacing w:val="4"/>
          <w:sz w:val="24"/>
          <w:szCs w:val="24"/>
          <w:lang w:eastAsia="en-AU"/>
        </w:rPr>
        <w:t xml:space="preserve">year </w:t>
      </w:r>
      <w:r w:rsidR="003856AC" w:rsidRPr="00B362E9">
        <w:rPr>
          <w:rFonts w:eastAsia="Times New Roman" w:cs="Times New Roman"/>
          <w:spacing w:val="4"/>
          <w:sz w:val="24"/>
          <w:szCs w:val="24"/>
          <w:lang w:eastAsia="en-AU"/>
        </w:rPr>
        <w:t>3</w:t>
      </w:r>
      <w:r w:rsidRPr="00B362E9">
        <w:rPr>
          <w:rFonts w:eastAsia="Times New Roman" w:cs="Times New Roman"/>
          <w:spacing w:val="4"/>
          <w:sz w:val="24"/>
          <w:szCs w:val="24"/>
          <w:lang w:eastAsia="en-AU"/>
        </w:rPr>
        <w:t>)</w:t>
      </w:r>
      <w:r w:rsidR="000F0FA2" w:rsidRPr="00B362E9">
        <w:rPr>
          <w:rFonts w:eastAsia="Times New Roman" w:cs="Times New Roman"/>
          <w:spacing w:val="4"/>
          <w:sz w:val="24"/>
          <w:szCs w:val="24"/>
          <w:lang w:eastAsia="en-AU"/>
        </w:rPr>
        <w:t>,</w:t>
      </w:r>
      <w:r w:rsidRPr="00B362E9">
        <w:rPr>
          <w:rFonts w:eastAsia="Times New Roman" w:cs="Times New Roman"/>
          <w:spacing w:val="4"/>
          <w:sz w:val="24"/>
          <w:szCs w:val="24"/>
          <w:lang w:eastAsia="en-AU"/>
        </w:rPr>
        <w:t xml:space="preserve"> the</w:t>
      </w:r>
      <w:r w:rsidR="00F10B2E">
        <w:rPr>
          <w:rFonts w:eastAsia="Times New Roman" w:cs="Times New Roman"/>
          <w:spacing w:val="4"/>
          <w:sz w:val="24"/>
          <w:szCs w:val="24"/>
          <w:lang w:eastAsia="en-AU"/>
        </w:rPr>
        <w:t> household</w:t>
      </w:r>
      <w:r w:rsidRPr="00B362E9">
        <w:rPr>
          <w:rFonts w:eastAsia="Times New Roman" w:cs="Times New Roman"/>
          <w:spacing w:val="4"/>
          <w:sz w:val="24"/>
          <w:szCs w:val="24"/>
          <w:lang w:eastAsia="en-AU"/>
        </w:rPr>
        <w:t xml:space="preserve"> exceed</w:t>
      </w:r>
      <w:r w:rsidR="003F4340">
        <w:rPr>
          <w:rFonts w:eastAsia="Times New Roman" w:cs="Times New Roman"/>
          <w:spacing w:val="4"/>
          <w:sz w:val="24"/>
          <w:szCs w:val="24"/>
          <w:lang w:eastAsia="en-AU"/>
        </w:rPr>
        <w:t>s</w:t>
      </w:r>
      <w:r w:rsidRPr="00B362E9">
        <w:rPr>
          <w:rFonts w:eastAsia="Times New Roman" w:cs="Times New Roman"/>
          <w:spacing w:val="4"/>
          <w:sz w:val="24"/>
          <w:szCs w:val="24"/>
          <w:lang w:eastAsia="en-AU"/>
        </w:rPr>
        <w:t xml:space="preserve"> the gross income limit fo</w:t>
      </w:r>
      <w:r w:rsidR="005654D0">
        <w:rPr>
          <w:rFonts w:eastAsia="Times New Roman" w:cs="Times New Roman"/>
          <w:spacing w:val="4"/>
          <w:sz w:val="24"/>
          <w:szCs w:val="24"/>
          <w:lang w:eastAsia="en-AU"/>
        </w:rPr>
        <w:t>r the household by more than 25 </w:t>
      </w:r>
      <w:r w:rsidRPr="00B362E9">
        <w:rPr>
          <w:rFonts w:eastAsia="Times New Roman" w:cs="Times New Roman"/>
          <w:spacing w:val="4"/>
          <w:sz w:val="24"/>
          <w:szCs w:val="24"/>
          <w:lang w:eastAsia="en-AU"/>
        </w:rPr>
        <w:t>per cent.</w:t>
      </w:r>
    </w:p>
    <w:p w14:paraId="7844144F" w14:textId="30F6A127" w:rsidR="00380629" w:rsidRDefault="00380629" w:rsidP="005654D0">
      <w:pPr>
        <w:rPr>
          <w:rFonts w:eastAsia="Times New Roman" w:cs="Times New Roman"/>
          <w:spacing w:val="4"/>
          <w:sz w:val="24"/>
          <w:szCs w:val="24"/>
          <w:lang w:eastAsia="en-AU"/>
        </w:rPr>
      </w:pPr>
      <w:r>
        <w:rPr>
          <w:rFonts w:eastAsia="Times New Roman" w:cs="Times New Roman"/>
          <w:spacing w:val="4"/>
          <w:sz w:val="24"/>
          <w:szCs w:val="24"/>
          <w:lang w:eastAsia="en-AU"/>
        </w:rPr>
        <w:t>As the combined gross income for their household exceeds the income limit by 25 per cent or more in two consecutive eligibility years, the tenants cease to</w:t>
      </w:r>
      <w:r w:rsidR="00ED59B7">
        <w:rPr>
          <w:rFonts w:eastAsia="Times New Roman" w:cs="Times New Roman"/>
          <w:spacing w:val="4"/>
          <w:sz w:val="24"/>
          <w:szCs w:val="24"/>
          <w:lang w:eastAsia="en-AU"/>
        </w:rPr>
        <w:t> </w:t>
      </w:r>
      <w:r>
        <w:rPr>
          <w:rFonts w:eastAsia="Times New Roman" w:cs="Times New Roman"/>
          <w:spacing w:val="4"/>
          <w:sz w:val="24"/>
          <w:szCs w:val="24"/>
          <w:lang w:eastAsia="en-AU"/>
        </w:rPr>
        <w:t xml:space="preserve">be eligible tenants and no incentive is payable from 20 December 2021. </w:t>
      </w:r>
    </w:p>
    <w:p w14:paraId="115452F9" w14:textId="77777777" w:rsidR="005E2650" w:rsidRDefault="00380629" w:rsidP="005654D0">
      <w:pPr>
        <w:rPr>
          <w:rFonts w:eastAsia="Times New Roman" w:cs="Times New Roman"/>
          <w:spacing w:val="4"/>
          <w:sz w:val="24"/>
          <w:szCs w:val="24"/>
          <w:lang w:eastAsia="en-AU"/>
        </w:rPr>
      </w:pPr>
      <w:r>
        <w:rPr>
          <w:rFonts w:eastAsia="Times New Roman" w:cs="Times New Roman"/>
          <w:spacing w:val="4"/>
          <w:sz w:val="24"/>
          <w:szCs w:val="24"/>
          <w:lang w:eastAsia="en-AU"/>
        </w:rPr>
        <w:t>Any arrangements for tenant(s) to vacate from a dwelling must be in line with the relevant landlord and tenancy laws applicable in the relevant state or territory</w:t>
      </w:r>
      <w:r w:rsidR="005E2650">
        <w:rPr>
          <w:rFonts w:eastAsia="Times New Roman" w:cs="Times New Roman"/>
          <w:spacing w:val="4"/>
          <w:sz w:val="24"/>
          <w:szCs w:val="24"/>
          <w:lang w:eastAsia="en-AU"/>
        </w:rPr>
        <w:t>.</w:t>
      </w:r>
    </w:p>
    <w:p w14:paraId="3A0D4914" w14:textId="4B5B86EF" w:rsidR="0011748E" w:rsidRPr="005E2650" w:rsidRDefault="00376AC2" w:rsidP="004873C6">
      <w:pPr>
        <w:rPr>
          <w:rFonts w:ascii="Georgia" w:eastAsia="Times New Roman" w:hAnsi="Georgia" w:cs="Times New Roman"/>
          <w:spacing w:val="4"/>
          <w:sz w:val="32"/>
          <w:szCs w:val="32"/>
          <w:lang w:eastAsia="en-AU"/>
        </w:rPr>
      </w:pPr>
      <w:r w:rsidRPr="005E2650">
        <w:rPr>
          <w:rFonts w:ascii="Georgia" w:hAnsi="Georgia"/>
          <w:color w:val="500778"/>
          <w:sz w:val="32"/>
          <w:szCs w:val="32"/>
        </w:rPr>
        <w:t>F</w:t>
      </w:r>
      <w:r w:rsidR="0011748E" w:rsidRPr="005E2650">
        <w:rPr>
          <w:rFonts w:ascii="Georgia" w:hAnsi="Georgia"/>
          <w:color w:val="500778"/>
          <w:sz w:val="32"/>
          <w:szCs w:val="32"/>
        </w:rPr>
        <w:t>urther information</w:t>
      </w:r>
    </w:p>
    <w:p w14:paraId="3A0D4916" w14:textId="08875A16" w:rsidR="007B0256" w:rsidRPr="005C3AA9" w:rsidRDefault="0011748E" w:rsidP="004873C6">
      <w:pPr>
        <w:rPr>
          <w:rStyle w:val="BookTitle"/>
          <w:i w:val="0"/>
          <w:iCs w:val="0"/>
          <w:smallCaps w:val="0"/>
          <w:spacing w:val="0"/>
        </w:rPr>
      </w:pPr>
      <w:r w:rsidRPr="00B362E9">
        <w:rPr>
          <w:rFonts w:eastAsia="Times New Roman" w:cs="Times New Roman"/>
          <w:spacing w:val="4"/>
          <w:sz w:val="24"/>
          <w:szCs w:val="24"/>
          <w:lang w:eastAsia="en-AU"/>
        </w:rPr>
        <w:t xml:space="preserve">Further queries on </w:t>
      </w:r>
      <w:r w:rsidR="00616873" w:rsidRPr="00B362E9">
        <w:rPr>
          <w:rFonts w:eastAsia="Times New Roman" w:cs="Times New Roman"/>
          <w:spacing w:val="4"/>
          <w:sz w:val="24"/>
          <w:szCs w:val="24"/>
          <w:lang w:eastAsia="en-AU"/>
        </w:rPr>
        <w:t xml:space="preserve">eligibility of tenants </w:t>
      </w:r>
      <w:r w:rsidRPr="00B362E9">
        <w:rPr>
          <w:rFonts w:eastAsia="Times New Roman" w:cs="Times New Roman"/>
          <w:spacing w:val="4"/>
          <w:sz w:val="24"/>
          <w:szCs w:val="24"/>
          <w:lang w:eastAsia="en-AU"/>
        </w:rPr>
        <w:t xml:space="preserve">can be sent to </w:t>
      </w:r>
      <w:hyperlink r:id="rId15" w:history="1">
        <w:r w:rsidRPr="00F11BB9">
          <w:rPr>
            <w:rFonts w:eastAsia="Times New Roman" w:cs="Times New Roman"/>
            <w:b/>
            <w:spacing w:val="4"/>
            <w:sz w:val="24"/>
            <w:szCs w:val="24"/>
            <w:u w:val="single"/>
            <w:lang w:eastAsia="en-AU"/>
          </w:rPr>
          <w:t>nras@dss.gov.au</w:t>
        </w:r>
      </w:hyperlink>
      <w:r w:rsidR="00F11BB9">
        <w:rPr>
          <w:rFonts w:eastAsia="Times New Roman" w:cs="Times New Roman"/>
          <w:spacing w:val="4"/>
          <w:sz w:val="24"/>
          <w:szCs w:val="24"/>
          <w:lang w:eastAsia="en-AU"/>
        </w:rPr>
        <w:t>.</w:t>
      </w:r>
    </w:p>
    <w:sectPr w:rsidR="007B0256" w:rsidRPr="005C3AA9" w:rsidSect="004C76F8">
      <w:footerReference w:type="default" r:id="rId16"/>
      <w:footerReference w:type="first" r:id="rId17"/>
      <w:pgSz w:w="11906" w:h="16838" w:code="9"/>
      <w:pgMar w:top="1440" w:right="1440" w:bottom="1440" w:left="1440" w:header="0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D0488" w14:textId="77777777" w:rsidR="00091036" w:rsidRDefault="00091036">
      <w:pPr>
        <w:spacing w:after="0" w:line="240" w:lineRule="auto"/>
      </w:pPr>
      <w:r>
        <w:separator/>
      </w:r>
    </w:p>
  </w:endnote>
  <w:endnote w:type="continuationSeparator" w:id="0">
    <w:p w14:paraId="6D1D8E0E" w14:textId="77777777" w:rsidR="00091036" w:rsidRDefault="0009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133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0D491D" w14:textId="5691005B" w:rsidR="00C45B84" w:rsidRDefault="00C45B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9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A0D491E" w14:textId="77777777" w:rsidR="00C45B84" w:rsidRDefault="00C45B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942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0D491F" w14:textId="09835C27" w:rsidR="002E4B74" w:rsidRDefault="002E4B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9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0D4920" w14:textId="77777777" w:rsidR="002E4B74" w:rsidRDefault="002E4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43494" w14:textId="77777777" w:rsidR="00091036" w:rsidRDefault="00091036">
      <w:pPr>
        <w:spacing w:after="0" w:line="240" w:lineRule="auto"/>
      </w:pPr>
      <w:r>
        <w:separator/>
      </w:r>
    </w:p>
  </w:footnote>
  <w:footnote w:type="continuationSeparator" w:id="0">
    <w:p w14:paraId="544421C8" w14:textId="77777777" w:rsidR="00091036" w:rsidRDefault="00091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B6DF6"/>
    <w:multiLevelType w:val="hybridMultilevel"/>
    <w:tmpl w:val="BF26B26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3E05FE">
      <w:start w:val="1"/>
      <w:numFmt w:val="lowerLetter"/>
      <w:lvlText w:val="(%2)"/>
      <w:lvlJc w:val="left"/>
      <w:pPr>
        <w:ind w:left="1530" w:hanging="450"/>
      </w:p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9725D"/>
    <w:multiLevelType w:val="hybridMultilevel"/>
    <w:tmpl w:val="693E080A"/>
    <w:lvl w:ilvl="0" w:tplc="4DB482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64817"/>
    <w:multiLevelType w:val="hybridMultilevel"/>
    <w:tmpl w:val="4B822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F6B82"/>
    <w:multiLevelType w:val="hybridMultilevel"/>
    <w:tmpl w:val="5BF8C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94B33"/>
    <w:multiLevelType w:val="hybridMultilevel"/>
    <w:tmpl w:val="DF06A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8E"/>
    <w:rsid w:val="00035932"/>
    <w:rsid w:val="00054CE6"/>
    <w:rsid w:val="00065316"/>
    <w:rsid w:val="0006588B"/>
    <w:rsid w:val="000802D7"/>
    <w:rsid w:val="0008171D"/>
    <w:rsid w:val="00086123"/>
    <w:rsid w:val="00091036"/>
    <w:rsid w:val="00091DA6"/>
    <w:rsid w:val="0009328F"/>
    <w:rsid w:val="000A7C6B"/>
    <w:rsid w:val="000F0ECC"/>
    <w:rsid w:val="000F0FA2"/>
    <w:rsid w:val="00105ACE"/>
    <w:rsid w:val="0011748E"/>
    <w:rsid w:val="00122B3D"/>
    <w:rsid w:val="00133F02"/>
    <w:rsid w:val="00136CD7"/>
    <w:rsid w:val="0014192C"/>
    <w:rsid w:val="00155870"/>
    <w:rsid w:val="001709EC"/>
    <w:rsid w:val="001728C7"/>
    <w:rsid w:val="00173A1A"/>
    <w:rsid w:val="00185663"/>
    <w:rsid w:val="00195C5B"/>
    <w:rsid w:val="001B4655"/>
    <w:rsid w:val="001E630D"/>
    <w:rsid w:val="001F17A4"/>
    <w:rsid w:val="001F2557"/>
    <w:rsid w:val="00230A5F"/>
    <w:rsid w:val="002372B4"/>
    <w:rsid w:val="00241298"/>
    <w:rsid w:val="002B133D"/>
    <w:rsid w:val="002C346F"/>
    <w:rsid w:val="002D7875"/>
    <w:rsid w:val="002E1C30"/>
    <w:rsid w:val="002E4B74"/>
    <w:rsid w:val="003108A6"/>
    <w:rsid w:val="00316B7E"/>
    <w:rsid w:val="00321DF4"/>
    <w:rsid w:val="00324217"/>
    <w:rsid w:val="003268EE"/>
    <w:rsid w:val="00340B26"/>
    <w:rsid w:val="00352A0B"/>
    <w:rsid w:val="00371036"/>
    <w:rsid w:val="00376AC2"/>
    <w:rsid w:val="00377ED1"/>
    <w:rsid w:val="00380629"/>
    <w:rsid w:val="003856AC"/>
    <w:rsid w:val="00385DA0"/>
    <w:rsid w:val="0039421F"/>
    <w:rsid w:val="003B2BB8"/>
    <w:rsid w:val="003C5D99"/>
    <w:rsid w:val="003D34FF"/>
    <w:rsid w:val="003D4345"/>
    <w:rsid w:val="003D7377"/>
    <w:rsid w:val="003F2672"/>
    <w:rsid w:val="003F4340"/>
    <w:rsid w:val="00437727"/>
    <w:rsid w:val="00471BBE"/>
    <w:rsid w:val="0047706D"/>
    <w:rsid w:val="004873C6"/>
    <w:rsid w:val="0049077C"/>
    <w:rsid w:val="004B2E66"/>
    <w:rsid w:val="004B54CA"/>
    <w:rsid w:val="004C76F8"/>
    <w:rsid w:val="004D0CF3"/>
    <w:rsid w:val="004D6023"/>
    <w:rsid w:val="004E2803"/>
    <w:rsid w:val="004E5CBF"/>
    <w:rsid w:val="004F7DB3"/>
    <w:rsid w:val="0051448E"/>
    <w:rsid w:val="005171C6"/>
    <w:rsid w:val="00522591"/>
    <w:rsid w:val="00522B39"/>
    <w:rsid w:val="00524779"/>
    <w:rsid w:val="00547F11"/>
    <w:rsid w:val="00551467"/>
    <w:rsid w:val="0056534E"/>
    <w:rsid w:val="005654D0"/>
    <w:rsid w:val="00574741"/>
    <w:rsid w:val="00576C27"/>
    <w:rsid w:val="00577433"/>
    <w:rsid w:val="00581182"/>
    <w:rsid w:val="005C3AA9"/>
    <w:rsid w:val="005E2650"/>
    <w:rsid w:val="005E2A73"/>
    <w:rsid w:val="005E5CF2"/>
    <w:rsid w:val="00616873"/>
    <w:rsid w:val="00616ACC"/>
    <w:rsid w:val="00625F7B"/>
    <w:rsid w:val="00640C45"/>
    <w:rsid w:val="006450D9"/>
    <w:rsid w:val="00657D0F"/>
    <w:rsid w:val="00686F99"/>
    <w:rsid w:val="006A4CE7"/>
    <w:rsid w:val="006C6C7F"/>
    <w:rsid w:val="006E08F7"/>
    <w:rsid w:val="006E4733"/>
    <w:rsid w:val="006F13D1"/>
    <w:rsid w:val="00702551"/>
    <w:rsid w:val="00727873"/>
    <w:rsid w:val="00736BB0"/>
    <w:rsid w:val="00785261"/>
    <w:rsid w:val="007A7346"/>
    <w:rsid w:val="007B0256"/>
    <w:rsid w:val="00803F0C"/>
    <w:rsid w:val="00804614"/>
    <w:rsid w:val="00835118"/>
    <w:rsid w:val="00845283"/>
    <w:rsid w:val="00856B20"/>
    <w:rsid w:val="008816DD"/>
    <w:rsid w:val="008D2C95"/>
    <w:rsid w:val="008D4789"/>
    <w:rsid w:val="008D59B8"/>
    <w:rsid w:val="008D7072"/>
    <w:rsid w:val="00907DEF"/>
    <w:rsid w:val="009225F0"/>
    <w:rsid w:val="00953811"/>
    <w:rsid w:val="0099170C"/>
    <w:rsid w:val="009B619D"/>
    <w:rsid w:val="009C3A8C"/>
    <w:rsid w:val="009C4C1C"/>
    <w:rsid w:val="009D275E"/>
    <w:rsid w:val="009E3614"/>
    <w:rsid w:val="009F7AF8"/>
    <w:rsid w:val="00A12AA7"/>
    <w:rsid w:val="00A301E7"/>
    <w:rsid w:val="00A42798"/>
    <w:rsid w:val="00A75E58"/>
    <w:rsid w:val="00AA3293"/>
    <w:rsid w:val="00AD71CB"/>
    <w:rsid w:val="00AE4010"/>
    <w:rsid w:val="00AF32DD"/>
    <w:rsid w:val="00AF4935"/>
    <w:rsid w:val="00B1061F"/>
    <w:rsid w:val="00B131CD"/>
    <w:rsid w:val="00B14A00"/>
    <w:rsid w:val="00B30CA6"/>
    <w:rsid w:val="00B35BDD"/>
    <w:rsid w:val="00B362E9"/>
    <w:rsid w:val="00B61F38"/>
    <w:rsid w:val="00B65C50"/>
    <w:rsid w:val="00B90355"/>
    <w:rsid w:val="00B96337"/>
    <w:rsid w:val="00BA2DB9"/>
    <w:rsid w:val="00BC14E7"/>
    <w:rsid w:val="00BC4EFC"/>
    <w:rsid w:val="00BC5442"/>
    <w:rsid w:val="00BD7525"/>
    <w:rsid w:val="00BE017D"/>
    <w:rsid w:val="00BE7148"/>
    <w:rsid w:val="00C27027"/>
    <w:rsid w:val="00C34F0B"/>
    <w:rsid w:val="00C36868"/>
    <w:rsid w:val="00C446AF"/>
    <w:rsid w:val="00C45B84"/>
    <w:rsid w:val="00C46B7D"/>
    <w:rsid w:val="00C52E65"/>
    <w:rsid w:val="00C5577F"/>
    <w:rsid w:val="00C55DAB"/>
    <w:rsid w:val="00C62D72"/>
    <w:rsid w:val="00C74DB9"/>
    <w:rsid w:val="00CA2B1C"/>
    <w:rsid w:val="00CB1D7E"/>
    <w:rsid w:val="00CE2969"/>
    <w:rsid w:val="00CE4E23"/>
    <w:rsid w:val="00D4611C"/>
    <w:rsid w:val="00D7113E"/>
    <w:rsid w:val="00D9108E"/>
    <w:rsid w:val="00DB2C50"/>
    <w:rsid w:val="00DC2F53"/>
    <w:rsid w:val="00DD39C7"/>
    <w:rsid w:val="00DF1078"/>
    <w:rsid w:val="00DF5C84"/>
    <w:rsid w:val="00E26661"/>
    <w:rsid w:val="00E739BF"/>
    <w:rsid w:val="00EA1B3C"/>
    <w:rsid w:val="00ED399D"/>
    <w:rsid w:val="00ED59B7"/>
    <w:rsid w:val="00F10B2E"/>
    <w:rsid w:val="00F11BB9"/>
    <w:rsid w:val="00F22AB4"/>
    <w:rsid w:val="00F40645"/>
    <w:rsid w:val="00F430DD"/>
    <w:rsid w:val="00F52195"/>
    <w:rsid w:val="00F54FDB"/>
    <w:rsid w:val="00F65CBD"/>
    <w:rsid w:val="00F65E24"/>
    <w:rsid w:val="00FA4638"/>
    <w:rsid w:val="00FC70E8"/>
    <w:rsid w:val="00FD3F0A"/>
    <w:rsid w:val="00FD4DA0"/>
    <w:rsid w:val="00FF051D"/>
    <w:rsid w:val="00FF0E5A"/>
    <w:rsid w:val="00FF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D48F7"/>
  <w15:docId w15:val="{DF8F4469-EA65-4803-AA6B-1862D153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2672"/>
    <w:pPr>
      <w:spacing w:before="240" w:after="360" w:line="240" w:lineRule="auto"/>
      <w:contextualSpacing/>
      <w:outlineLvl w:val="0"/>
    </w:pPr>
    <w:rPr>
      <w:rFonts w:ascii="Georgia" w:eastAsia="Times New Roman" w:hAnsi="Georgia" w:cs="Arial"/>
      <w:bCs/>
      <w:color w:val="005A70"/>
      <w:kern w:val="28"/>
      <w:sz w:val="7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2672"/>
    <w:pPr>
      <w:spacing w:before="360" w:after="180" w:line="280" w:lineRule="atLeast"/>
      <w:outlineLvl w:val="1"/>
    </w:pPr>
    <w:rPr>
      <w:rFonts w:ascii="Georgia" w:eastAsia="Times New Roman" w:hAnsi="Georgia" w:cs="Times New Roman"/>
      <w:color w:val="215868" w:themeColor="accent5" w:themeShade="80"/>
      <w:spacing w:val="4"/>
      <w:sz w:val="40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2672"/>
    <w:pPr>
      <w:keepNext/>
      <w:keepLines/>
      <w:spacing w:before="240" w:after="180" w:line="240" w:lineRule="auto"/>
      <w:contextualSpacing/>
      <w:outlineLvl w:val="2"/>
    </w:pPr>
    <w:rPr>
      <w:rFonts w:ascii="Georgia" w:eastAsia="Times New Roman" w:hAnsi="Georgia" w:cs="Arial"/>
      <w:bCs/>
      <w:iCs/>
      <w:color w:val="005A70"/>
      <w:spacing w:val="4"/>
      <w:sz w:val="32"/>
      <w:szCs w:val="28"/>
      <w:lang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2672"/>
    <w:rPr>
      <w:rFonts w:ascii="Georgia" w:eastAsia="Times New Roman" w:hAnsi="Georgia" w:cs="Arial"/>
      <w:bCs/>
      <w:color w:val="005A70"/>
      <w:kern w:val="28"/>
      <w:sz w:val="7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3F2672"/>
    <w:rPr>
      <w:rFonts w:ascii="Georgia" w:eastAsia="Times New Roman" w:hAnsi="Georgia" w:cs="Times New Roman"/>
      <w:color w:val="215868" w:themeColor="accent5" w:themeShade="80"/>
      <w:spacing w:val="4"/>
      <w:sz w:val="40"/>
      <w:szCs w:val="36"/>
      <w:lang w:eastAsia="en-AU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F2672"/>
    <w:rPr>
      <w:rFonts w:ascii="Georgia" w:eastAsia="Times New Roman" w:hAnsi="Georgia" w:cs="Arial"/>
      <w:bCs/>
      <w:iCs/>
      <w:color w:val="005A70"/>
      <w:spacing w:val="4"/>
      <w:sz w:val="32"/>
      <w:szCs w:val="28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rsid w:val="0011748E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pacing w:val="4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rsid w:val="0011748E"/>
    <w:rPr>
      <w:rFonts w:ascii="Arial" w:eastAsia="Times New Roman" w:hAnsi="Arial" w:cs="Times New Roman"/>
      <w:spacing w:val="4"/>
      <w:sz w:val="24"/>
      <w:szCs w:val="24"/>
      <w:lang w:eastAsia="en-AU"/>
    </w:rPr>
  </w:style>
  <w:style w:type="table" w:styleId="TableGrid">
    <w:name w:val="Table Grid"/>
    <w:basedOn w:val="TableNormal"/>
    <w:rsid w:val="00117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8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22B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B3D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376A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unhideWhenUsed/>
    <w:rsid w:val="00105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5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5A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5A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5ACE"/>
    <w:rPr>
      <w:rFonts w:ascii="Arial" w:hAnsi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F7DB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2372B4"/>
    <w:pPr>
      <w:spacing w:after="0" w:line="240" w:lineRule="auto"/>
    </w:pPr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5E2A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ss.gov.au/our-responsibilities/housing-support/programs-services/national-rental-affordability-scheme/national-rental-affordability-scheme-nras-household-income-indexation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nras@dss.gov.au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ss.gov.au/housing-support/programs-services/housing/national-rental-affordability-scheme/income-defin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48144A633C940BB39A129AC7045CA" ma:contentTypeVersion="2" ma:contentTypeDescription="Create a new document." ma:contentTypeScope="" ma:versionID="b347594513771d0e102bffc12e3e8d03">
  <xsd:schema xmlns:xsd="http://www.w3.org/2001/XMLSchema" xmlns:xs="http://www.w3.org/2001/XMLSchema" xmlns:p="http://schemas.microsoft.com/office/2006/metadata/properties" xmlns:ns1="http://schemas.microsoft.com/sharepoint/v3" xmlns:ns2="da13057a-72c5-49de-bee4-ff261e81e83e" xmlns:ns3="906c5a57-8f5c-4de1-a895-399cda7859bc" targetNamespace="http://schemas.microsoft.com/office/2006/metadata/properties" ma:root="true" ma:fieldsID="b89191b118b87722a4d30ef9aa3c1c09" ns1:_="" ns2:_="" ns3:_="">
    <xsd:import namespace="http://schemas.microsoft.com/sharepoint/v3"/>
    <xsd:import namespace="da13057a-72c5-49de-bee4-ff261e81e83e"/>
    <xsd:import namespace="906c5a57-8f5c-4de1-a895-399cda7859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3057a-72c5-49de-bee4-ff261e81e8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c5a57-8f5c-4de1-a895-399cda7859b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A7627-1883-47CB-8943-8311030FEA8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a13057a-72c5-49de-bee4-ff261e81e83e"/>
    <ds:schemaRef ds:uri="http://schemas.microsoft.com/sharepoint/v3"/>
    <ds:schemaRef ds:uri="http://purl.org/dc/terms/"/>
    <ds:schemaRef ds:uri="906c5a57-8f5c-4de1-a895-399cda7859b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1078AE-1E2C-4251-AF75-C92CDCDD8F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C5B302-67B0-4526-9AED-B3DE3753A79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0FB2AA-476E-4C54-B650-10F75BFE1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13057a-72c5-49de-bee4-ff261e81e83e"/>
    <ds:schemaRef ds:uri="906c5a57-8f5c-4de1-a895-399cda7859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9459070-F0AD-4E30-A4C8-C86A7364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COOK-TONKIN, Hannah</dc:creator>
  <cp:lastModifiedBy>VELTING, Carla</cp:lastModifiedBy>
  <cp:revision>2</cp:revision>
  <cp:lastPrinted>2020-03-19T05:13:00Z</cp:lastPrinted>
  <dcterms:created xsi:type="dcterms:W3CDTF">2020-04-01T23:19:00Z</dcterms:created>
  <dcterms:modified xsi:type="dcterms:W3CDTF">2020-04-01T23:19:00Z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0x0101000C448144A633C940BB39A129AC7045CA</vt:lpwstr>
  </property>
</Properties>
</file>