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32" w:rsidRDefault="00DD5CB9" w:rsidP="00DD5CB9">
      <w:pPr>
        <w:rPr>
          <w:rFonts w:eastAsiaTheme="majorEastAsia" w:cstheme="majorBidi"/>
          <w:b/>
          <w:bCs/>
          <w:color w:val="006400"/>
          <w:sz w:val="32"/>
          <w:szCs w:val="28"/>
        </w:rPr>
      </w:pPr>
      <w:bookmarkStart w:id="0" w:name="_GoBack"/>
      <w:bookmarkEnd w:id="0"/>
      <w:r>
        <w:rPr>
          <w:noProof/>
          <w:lang w:eastAsia="en-AU"/>
        </w:rPr>
        <w:drawing>
          <wp:anchor distT="0" distB="0" distL="114300" distR="114300" simplePos="0" relativeHeight="251659264" behindDoc="0" locked="0" layoutInCell="1" allowOverlap="1" wp14:anchorId="0CE21BF6" wp14:editId="52DF3BEC">
            <wp:simplePos x="0" y="0"/>
            <wp:positionH relativeFrom="margin">
              <wp:align>center</wp:align>
            </wp:positionH>
            <wp:positionV relativeFrom="paragraph">
              <wp:posOffset>0</wp:posOffset>
            </wp:positionV>
            <wp:extent cx="5968800" cy="2077200"/>
            <wp:effectExtent l="0" t="0" r="0" b="0"/>
            <wp:wrapSquare wrapText="bothSides"/>
            <wp:docPr id="1" name="Picture 1" descr="This banner depicts the Try, Test and Learn Fund title and branding elements." title="Try, Test and Learn Fun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68800" cy="2077200"/>
                    </a:xfrm>
                    <a:prstGeom prst="rect">
                      <a:avLst/>
                    </a:prstGeom>
                  </pic:spPr>
                </pic:pic>
              </a:graphicData>
            </a:graphic>
            <wp14:sizeRelH relativeFrom="page">
              <wp14:pctWidth>0</wp14:pctWidth>
            </wp14:sizeRelH>
            <wp14:sizeRelV relativeFrom="page">
              <wp14:pctHeight>0</wp14:pctHeight>
            </wp14:sizeRelV>
          </wp:anchor>
        </w:drawing>
      </w:r>
    </w:p>
    <w:p w:rsidR="0086544B" w:rsidRDefault="0086544B" w:rsidP="0086544B">
      <w:pPr>
        <w:rPr>
          <w:rFonts w:eastAsiaTheme="majorEastAsia" w:cstheme="majorBidi"/>
          <w:b/>
          <w:bCs/>
          <w:color w:val="006400"/>
          <w:sz w:val="32"/>
          <w:szCs w:val="28"/>
        </w:rPr>
      </w:pPr>
      <w:r>
        <w:rPr>
          <w:rFonts w:eastAsiaTheme="majorEastAsia" w:cstheme="majorBidi"/>
          <w:b/>
          <w:bCs/>
          <w:color w:val="006400"/>
          <w:sz w:val="32"/>
          <w:szCs w:val="28"/>
        </w:rPr>
        <w:t xml:space="preserve">Message from the Minister </w:t>
      </w:r>
    </w:p>
    <w:p w:rsidR="00237D6B" w:rsidRPr="00237D6B" w:rsidRDefault="00237D6B" w:rsidP="00237D6B">
      <w:pPr>
        <w:rPr>
          <w:color w:val="000000" w:themeColor="text1"/>
        </w:rPr>
      </w:pPr>
      <w:r w:rsidRPr="00237D6B">
        <w:rPr>
          <w:color w:val="000000" w:themeColor="text1"/>
        </w:rPr>
        <w:t xml:space="preserve">The Turnbull Government </w:t>
      </w:r>
      <w:proofErr w:type="gramStart"/>
      <w:r w:rsidRPr="00237D6B">
        <w:rPr>
          <w:color w:val="000000" w:themeColor="text1"/>
        </w:rPr>
        <w:t>is focussed</w:t>
      </w:r>
      <w:proofErr w:type="gramEnd"/>
      <w:r w:rsidRPr="00237D6B">
        <w:rPr>
          <w:color w:val="000000" w:themeColor="text1"/>
        </w:rPr>
        <w:t xml:space="preserve"> on helping Australians find a job and keep it.</w:t>
      </w:r>
    </w:p>
    <w:p w:rsidR="00237D6B" w:rsidRPr="00237D6B" w:rsidRDefault="00237D6B" w:rsidP="00237D6B">
      <w:pPr>
        <w:rPr>
          <w:color w:val="000000" w:themeColor="text1"/>
        </w:rPr>
      </w:pPr>
      <w:r w:rsidRPr="00237D6B">
        <w:rPr>
          <w:color w:val="000000" w:themeColor="text1"/>
        </w:rPr>
        <w:t xml:space="preserve">The health and social benefits of having a job are considerable. Work helps build financial independence and improves self-esteem. </w:t>
      </w:r>
    </w:p>
    <w:p w:rsidR="00237D6B" w:rsidRPr="00237D6B" w:rsidRDefault="00237D6B" w:rsidP="00237D6B">
      <w:pPr>
        <w:rPr>
          <w:color w:val="000000" w:themeColor="text1"/>
        </w:rPr>
      </w:pPr>
      <w:r w:rsidRPr="00237D6B">
        <w:rPr>
          <w:color w:val="000000" w:themeColor="text1"/>
        </w:rPr>
        <w:t xml:space="preserve">The Try, Test and Learn Fund was established to find and trial innovative, new ways to help vulnerable people at risk of long-term welfare dependence to find employment. </w:t>
      </w:r>
    </w:p>
    <w:p w:rsidR="00237D6B" w:rsidRPr="00237D6B" w:rsidRDefault="00237D6B" w:rsidP="00237D6B">
      <w:pPr>
        <w:rPr>
          <w:color w:val="000000" w:themeColor="text1"/>
        </w:rPr>
      </w:pPr>
      <w:r w:rsidRPr="00237D6B">
        <w:rPr>
          <w:color w:val="000000" w:themeColor="text1"/>
        </w:rPr>
        <w:t>There are 14 initiatives in the first phase of the trial about to get underway.</w:t>
      </w:r>
    </w:p>
    <w:p w:rsidR="00237D6B" w:rsidRPr="00237D6B" w:rsidRDefault="00237D6B" w:rsidP="00237D6B">
      <w:pPr>
        <w:rPr>
          <w:color w:val="000000" w:themeColor="text1"/>
        </w:rPr>
      </w:pPr>
      <w:r w:rsidRPr="00237D6B">
        <w:rPr>
          <w:color w:val="000000" w:themeColor="text1"/>
        </w:rPr>
        <w:t xml:space="preserve">The University of Queensland, in association with the University of Melbourne, </w:t>
      </w:r>
      <w:proofErr w:type="gramStart"/>
      <w:r w:rsidRPr="00237D6B">
        <w:rPr>
          <w:color w:val="000000" w:themeColor="text1"/>
        </w:rPr>
        <w:t>have been contracted</w:t>
      </w:r>
      <w:proofErr w:type="gramEnd"/>
      <w:r w:rsidRPr="00237D6B">
        <w:rPr>
          <w:color w:val="000000" w:themeColor="text1"/>
        </w:rPr>
        <w:t xml:space="preserve"> to conduct an evaluation of these initiatives.</w:t>
      </w:r>
    </w:p>
    <w:p w:rsidR="00237D6B" w:rsidRPr="00237D6B" w:rsidRDefault="00237D6B" w:rsidP="00237D6B">
      <w:pPr>
        <w:rPr>
          <w:color w:val="000000" w:themeColor="text1"/>
        </w:rPr>
      </w:pPr>
      <w:r w:rsidRPr="00237D6B">
        <w:rPr>
          <w:color w:val="000000" w:themeColor="text1"/>
        </w:rPr>
        <w:t xml:space="preserve">Quantitative and qualitative reviews will be ongoing until 2020, including stakeholder interviews, participant surveys, case studies, program data analysis and secondary data analysis.  </w:t>
      </w:r>
    </w:p>
    <w:p w:rsidR="00237D6B" w:rsidRPr="00237D6B" w:rsidRDefault="00237D6B" w:rsidP="00237D6B">
      <w:pPr>
        <w:rPr>
          <w:color w:val="000000" w:themeColor="text1"/>
        </w:rPr>
      </w:pPr>
      <w:r w:rsidRPr="00237D6B">
        <w:rPr>
          <w:color w:val="000000" w:themeColor="text1"/>
        </w:rPr>
        <w:t xml:space="preserve">The idea generating process continues with applications for the second tranche of the fund </w:t>
      </w:r>
      <w:proofErr w:type="gramStart"/>
      <w:r w:rsidRPr="00237D6B">
        <w:rPr>
          <w:color w:val="000000" w:themeColor="text1"/>
        </w:rPr>
        <w:t>being assessed</w:t>
      </w:r>
      <w:proofErr w:type="gramEnd"/>
      <w:r w:rsidRPr="00237D6B">
        <w:rPr>
          <w:color w:val="000000" w:themeColor="text1"/>
        </w:rPr>
        <w:t>.</w:t>
      </w:r>
    </w:p>
    <w:p w:rsidR="00237D6B" w:rsidRPr="00237D6B" w:rsidRDefault="00237D6B" w:rsidP="00237D6B">
      <w:pPr>
        <w:rPr>
          <w:color w:val="000000" w:themeColor="text1"/>
        </w:rPr>
      </w:pPr>
      <w:r w:rsidRPr="00237D6B">
        <w:rPr>
          <w:color w:val="000000" w:themeColor="text1"/>
        </w:rPr>
        <w:t xml:space="preserve">The Department successfully hosted an ‘ideas exchange’ event in the Tasmanian town of Burnie on 28 March, bringing together around 40 locals who workshopped practical solutions to link older unemployed people with work. </w:t>
      </w:r>
    </w:p>
    <w:p w:rsidR="00237D6B" w:rsidRPr="00237D6B" w:rsidRDefault="00237D6B" w:rsidP="00237D6B">
      <w:pPr>
        <w:rPr>
          <w:color w:val="000000" w:themeColor="text1"/>
        </w:rPr>
      </w:pPr>
      <w:r w:rsidRPr="00237D6B">
        <w:rPr>
          <w:color w:val="000000" w:themeColor="text1"/>
        </w:rPr>
        <w:t xml:space="preserve">You </w:t>
      </w:r>
      <w:proofErr w:type="gramStart"/>
      <w:r w:rsidRPr="00237D6B">
        <w:rPr>
          <w:color w:val="000000" w:themeColor="text1"/>
        </w:rPr>
        <w:t>are invited</w:t>
      </w:r>
      <w:proofErr w:type="gramEnd"/>
      <w:r w:rsidRPr="00237D6B">
        <w:rPr>
          <w:color w:val="000000" w:themeColor="text1"/>
        </w:rPr>
        <w:t xml:space="preserve"> to submit a Try, Test and Learn Fund grant application at </w:t>
      </w:r>
      <w:hyperlink r:id="rId7" w:history="1">
        <w:r w:rsidRPr="00237D6B">
          <w:rPr>
            <w:rStyle w:val="Hyperlink"/>
          </w:rPr>
          <w:t>Community Grants Hub</w:t>
        </w:r>
      </w:hyperlink>
      <w:r w:rsidRPr="00237D6B">
        <w:rPr>
          <w:color w:val="000000" w:themeColor="text1"/>
        </w:rPr>
        <w:t xml:space="preserve"> or </w:t>
      </w:r>
      <w:hyperlink r:id="rId8" w:history="1">
        <w:r w:rsidRPr="00237D6B">
          <w:rPr>
            <w:rStyle w:val="Hyperlink"/>
          </w:rPr>
          <w:t>GrantConnect</w:t>
        </w:r>
      </w:hyperlink>
      <w:r w:rsidRPr="00237D6B">
        <w:t>.</w:t>
      </w:r>
    </w:p>
    <w:p w:rsidR="00237D6B" w:rsidRDefault="00237D6B" w:rsidP="00237D6B">
      <w:pPr>
        <w:pStyle w:val="ListBullet"/>
        <w:numPr>
          <w:ilvl w:val="0"/>
          <w:numId w:val="0"/>
        </w:numPr>
        <w:tabs>
          <w:tab w:val="left" w:pos="720"/>
        </w:tabs>
        <w:spacing w:line="240" w:lineRule="auto"/>
        <w:contextualSpacing/>
      </w:pPr>
      <w:r>
        <w:rPr>
          <w:sz w:val="22"/>
          <w:szCs w:val="22"/>
          <w:lang w:val="en-US"/>
        </w:rPr>
        <w:t> </w:t>
      </w:r>
    </w:p>
    <w:p w:rsidR="0086544B" w:rsidRDefault="00237D6B" w:rsidP="00237D6B">
      <w:pPr>
        <w:pStyle w:val="ListBullet"/>
        <w:numPr>
          <w:ilvl w:val="0"/>
          <w:numId w:val="0"/>
        </w:numPr>
        <w:tabs>
          <w:tab w:val="left" w:pos="720"/>
        </w:tabs>
        <w:spacing w:line="240" w:lineRule="auto"/>
        <w:contextualSpacing/>
        <w:rPr>
          <w:b/>
          <w:bCs/>
          <w:sz w:val="22"/>
          <w:szCs w:val="22"/>
          <w:lang w:val="en-US"/>
        </w:rPr>
      </w:pPr>
      <w:r>
        <w:rPr>
          <w:b/>
          <w:bCs/>
          <w:sz w:val="22"/>
          <w:szCs w:val="22"/>
          <w:lang w:val="en-US"/>
        </w:rPr>
        <w:t xml:space="preserve">The Hon Dan </w:t>
      </w:r>
      <w:proofErr w:type="spellStart"/>
      <w:r>
        <w:rPr>
          <w:b/>
          <w:bCs/>
          <w:sz w:val="22"/>
          <w:szCs w:val="22"/>
          <w:lang w:val="en-US"/>
        </w:rPr>
        <w:t>Tehan</w:t>
      </w:r>
      <w:proofErr w:type="spellEnd"/>
      <w:r>
        <w:rPr>
          <w:b/>
          <w:bCs/>
          <w:sz w:val="22"/>
          <w:szCs w:val="22"/>
          <w:lang w:val="en-US"/>
        </w:rPr>
        <w:t xml:space="preserve"> MP, Minister for Social Services</w:t>
      </w:r>
    </w:p>
    <w:p w:rsidR="00237D6B" w:rsidRPr="00237D6B" w:rsidRDefault="00237D6B" w:rsidP="00237D6B">
      <w:pPr>
        <w:pStyle w:val="ListBullet"/>
        <w:numPr>
          <w:ilvl w:val="0"/>
          <w:numId w:val="0"/>
        </w:numPr>
        <w:tabs>
          <w:tab w:val="left" w:pos="720"/>
        </w:tabs>
        <w:spacing w:line="240" w:lineRule="auto"/>
        <w:contextualSpacing/>
      </w:pPr>
    </w:p>
    <w:p w:rsidR="002711A3" w:rsidRDefault="004243E3" w:rsidP="002711A3">
      <w:pPr>
        <w:rPr>
          <w:rFonts w:eastAsiaTheme="majorEastAsia" w:cstheme="majorBidi"/>
          <w:b/>
          <w:bCs/>
          <w:color w:val="006400"/>
          <w:sz w:val="32"/>
          <w:szCs w:val="28"/>
        </w:rPr>
      </w:pPr>
      <w:r>
        <w:rPr>
          <w:rFonts w:eastAsiaTheme="majorEastAsia" w:cstheme="majorBidi"/>
          <w:b/>
          <w:bCs/>
          <w:color w:val="006400"/>
          <w:sz w:val="32"/>
          <w:szCs w:val="28"/>
        </w:rPr>
        <w:t>Assessment of T</w:t>
      </w:r>
      <w:r w:rsidR="002711A3">
        <w:rPr>
          <w:rFonts w:eastAsiaTheme="majorEastAsia" w:cstheme="majorBidi"/>
          <w:b/>
          <w:bCs/>
          <w:color w:val="006400"/>
          <w:sz w:val="32"/>
          <w:szCs w:val="28"/>
        </w:rPr>
        <w:t xml:space="preserve">ranche 2 </w:t>
      </w:r>
      <w:r w:rsidR="00F33781">
        <w:rPr>
          <w:rFonts w:eastAsiaTheme="majorEastAsia" w:cstheme="majorBidi"/>
          <w:b/>
          <w:bCs/>
          <w:color w:val="006400"/>
          <w:sz w:val="32"/>
          <w:szCs w:val="28"/>
        </w:rPr>
        <w:t>applications</w:t>
      </w:r>
    </w:p>
    <w:p w:rsidR="00F33781" w:rsidRDefault="002C0764" w:rsidP="00F33781">
      <w:r w:rsidRPr="00B24487">
        <w:rPr>
          <w:color w:val="000000" w:themeColor="text1"/>
        </w:rPr>
        <w:t xml:space="preserve">The Try, Test and Learn Fund is taking an innovative and flexible approach to seeking </w:t>
      </w:r>
      <w:r>
        <w:rPr>
          <w:color w:val="000000" w:themeColor="text1"/>
        </w:rPr>
        <w:t xml:space="preserve">proposals </w:t>
      </w:r>
      <w:r w:rsidRPr="00B24487">
        <w:rPr>
          <w:color w:val="000000" w:themeColor="text1"/>
        </w:rPr>
        <w:t xml:space="preserve">for funding. </w:t>
      </w:r>
      <w:r w:rsidR="00F33781">
        <w:rPr>
          <w:color w:val="000000" w:themeColor="text1"/>
        </w:rPr>
        <w:t>T</w:t>
      </w:r>
      <w:r>
        <w:rPr>
          <w:color w:val="000000" w:themeColor="text1"/>
        </w:rPr>
        <w:t xml:space="preserve">ranche 2 </w:t>
      </w:r>
      <w:r w:rsidR="00F33781">
        <w:rPr>
          <w:color w:val="000000" w:themeColor="text1"/>
        </w:rPr>
        <w:t xml:space="preserve">provides an </w:t>
      </w:r>
      <w:r w:rsidRPr="00B24487">
        <w:rPr>
          <w:color w:val="000000" w:themeColor="text1"/>
        </w:rPr>
        <w:t>extended application period to be flexible to applicants’ needs and emerging policy priorities.</w:t>
      </w:r>
      <w:r>
        <w:rPr>
          <w:color w:val="000000" w:themeColor="text1"/>
        </w:rPr>
        <w:t xml:space="preserve"> </w:t>
      </w:r>
      <w:r w:rsidRPr="00B24487">
        <w:rPr>
          <w:color w:val="000000" w:themeColor="text1"/>
        </w:rPr>
        <w:t xml:space="preserve">We have developed a robust assessment </w:t>
      </w:r>
      <w:r w:rsidRPr="00B24487">
        <w:rPr>
          <w:color w:val="000000" w:themeColor="text1"/>
        </w:rPr>
        <w:lastRenderedPageBreak/>
        <w:t xml:space="preserve">process that will allow us to select </w:t>
      </w:r>
      <w:r w:rsidR="00F33781">
        <w:rPr>
          <w:color w:val="000000" w:themeColor="text1"/>
        </w:rPr>
        <w:t xml:space="preserve">applications </w:t>
      </w:r>
      <w:r w:rsidRPr="00B24487">
        <w:rPr>
          <w:color w:val="000000" w:themeColor="text1"/>
        </w:rPr>
        <w:t xml:space="preserve">in a way that is fair and maximises value for money. </w:t>
      </w:r>
      <w:r w:rsidR="00F33781">
        <w:t>Among the considerations in the assessment of applications will be the need to ensure a reasonable funding spread geographically, across priority groups and across the batches.</w:t>
      </w:r>
    </w:p>
    <w:p w:rsidR="002C0764" w:rsidRDefault="004243E3" w:rsidP="002C0764">
      <w:pPr>
        <w:rPr>
          <w:color w:val="000000" w:themeColor="text1"/>
        </w:rPr>
      </w:pPr>
      <w:r>
        <w:rPr>
          <w:color w:val="000000" w:themeColor="text1"/>
        </w:rPr>
        <w:t>We will</w:t>
      </w:r>
      <w:r w:rsidR="002C0764" w:rsidRPr="00B24487">
        <w:rPr>
          <w:color w:val="000000" w:themeColor="text1"/>
        </w:rPr>
        <w:t xml:space="preserve"> distribute funding across five assessment batches and across different groups at risk of long-term welfare dependence, including the four priority groups</w:t>
      </w:r>
      <w:r w:rsidR="00F33781">
        <w:rPr>
          <w:color w:val="000000" w:themeColor="text1"/>
        </w:rPr>
        <w:t>: Newstart Allowance recipients aged 50 and over, working age migrants receiving income support, working age carers receiving Carer Payment and at-risk young people aged 16-21 receiving income support</w:t>
      </w:r>
      <w:r w:rsidR="002C0764" w:rsidRPr="00B24487">
        <w:rPr>
          <w:color w:val="000000" w:themeColor="text1"/>
        </w:rPr>
        <w:t xml:space="preserve">. </w:t>
      </w:r>
      <w:r>
        <w:rPr>
          <w:color w:val="000000" w:themeColor="text1"/>
        </w:rPr>
        <w:t xml:space="preserve">We will manage demand </w:t>
      </w:r>
      <w:r w:rsidR="00F33781">
        <w:rPr>
          <w:color w:val="000000" w:themeColor="text1"/>
        </w:rPr>
        <w:t xml:space="preserve">by </w:t>
      </w:r>
      <w:r w:rsidR="00E746D4">
        <w:rPr>
          <w:color w:val="000000" w:themeColor="text1"/>
        </w:rPr>
        <w:t>funding suitable applications</w:t>
      </w:r>
      <w:r w:rsidR="002C0764" w:rsidRPr="00B24487">
        <w:rPr>
          <w:color w:val="000000" w:themeColor="text1"/>
        </w:rPr>
        <w:t xml:space="preserve"> at different </w:t>
      </w:r>
      <w:r w:rsidRPr="00B24487">
        <w:rPr>
          <w:color w:val="000000" w:themeColor="text1"/>
        </w:rPr>
        <w:t>times</w:t>
      </w:r>
      <w:r>
        <w:rPr>
          <w:color w:val="000000" w:themeColor="text1"/>
        </w:rPr>
        <w:t>; t</w:t>
      </w:r>
      <w:r w:rsidR="00E746D4">
        <w:rPr>
          <w:color w:val="000000" w:themeColor="text1"/>
        </w:rPr>
        <w:t>his means we may revisit suitable applications later</w:t>
      </w:r>
      <w:r w:rsidR="002C0764">
        <w:rPr>
          <w:color w:val="000000" w:themeColor="text1"/>
        </w:rPr>
        <w:t xml:space="preserve"> in the tranche</w:t>
      </w:r>
      <w:r w:rsidR="002C0764" w:rsidRPr="00B24487">
        <w:rPr>
          <w:color w:val="000000" w:themeColor="text1"/>
        </w:rPr>
        <w:t>.</w:t>
      </w:r>
    </w:p>
    <w:p w:rsidR="002C0764" w:rsidRDefault="00446B14" w:rsidP="002C0764">
      <w:r>
        <w:t xml:space="preserve">If you submitted </w:t>
      </w:r>
      <w:r w:rsidR="00D0150F">
        <w:t xml:space="preserve">an </w:t>
      </w:r>
      <w:r>
        <w:t xml:space="preserve">application in the January batch, </w:t>
      </w:r>
      <w:r w:rsidR="004243E3">
        <w:t xml:space="preserve">we will notify you </w:t>
      </w:r>
      <w:r>
        <w:t xml:space="preserve">of your application’s </w:t>
      </w:r>
      <w:r w:rsidR="00D0150F">
        <w:t>outcome</w:t>
      </w:r>
      <w:r>
        <w:t>.</w:t>
      </w:r>
      <w:r w:rsidR="00D0150F">
        <w:t xml:space="preserve"> If your application was not </w:t>
      </w:r>
      <w:r w:rsidR="00E746D4">
        <w:t>suitable,</w:t>
      </w:r>
      <w:r w:rsidR="00D0150F">
        <w:t xml:space="preserve"> </w:t>
      </w:r>
      <w:r w:rsidR="00E746D4">
        <w:t>it will not</w:t>
      </w:r>
      <w:r w:rsidR="00D0150F">
        <w:t xml:space="preserve"> be considered further</w:t>
      </w:r>
      <w:r w:rsidR="00E746D4">
        <w:t>.</w:t>
      </w:r>
      <w:r>
        <w:t xml:space="preserve"> </w:t>
      </w:r>
      <w:r w:rsidR="00D0150F">
        <w:t xml:space="preserve">If your application </w:t>
      </w:r>
      <w:r w:rsidR="00E746D4">
        <w:t>was assessed as</w:t>
      </w:r>
      <w:r w:rsidR="00D0150F">
        <w:t xml:space="preserve"> suitable but</w:t>
      </w:r>
      <w:r w:rsidR="004243E3">
        <w:t xml:space="preserve"> you</w:t>
      </w:r>
      <w:r w:rsidR="00D0150F">
        <w:t xml:space="preserve"> </w:t>
      </w:r>
      <w:r w:rsidR="004243E3">
        <w:t>did</w:t>
      </w:r>
      <w:r w:rsidR="00E746D4">
        <w:t xml:space="preserve"> </w:t>
      </w:r>
      <w:r w:rsidR="00D0150F">
        <w:t xml:space="preserve">not </w:t>
      </w:r>
      <w:r w:rsidR="004243E3">
        <w:t>receive</w:t>
      </w:r>
      <w:r w:rsidR="00D0150F">
        <w:t xml:space="preserve"> funding</w:t>
      </w:r>
      <w:r w:rsidR="004243E3">
        <w:t xml:space="preserve"> immediately</w:t>
      </w:r>
      <w:r w:rsidR="00D0150F">
        <w:t xml:space="preserve">, we will notify you </w:t>
      </w:r>
      <w:r w:rsidR="004243E3">
        <w:t xml:space="preserve">that </w:t>
      </w:r>
      <w:r w:rsidR="00E746D4">
        <w:t>we</w:t>
      </w:r>
      <w:r w:rsidR="00D0150F">
        <w:t xml:space="preserve"> may consider it later. </w:t>
      </w:r>
      <w:r w:rsidR="002C0764">
        <w:t xml:space="preserve">You can apply as many times as you like and can withdraw applications at any stage. </w:t>
      </w:r>
    </w:p>
    <w:p w:rsidR="00DD5CB9" w:rsidRPr="00C16032" w:rsidRDefault="004243E3" w:rsidP="006D0AE2">
      <w:pPr>
        <w:rPr>
          <w:rFonts w:eastAsiaTheme="majorEastAsia" w:cstheme="majorBidi"/>
          <w:b/>
          <w:bCs/>
          <w:color w:val="006400"/>
          <w:sz w:val="32"/>
          <w:szCs w:val="28"/>
        </w:rPr>
      </w:pPr>
      <w:r>
        <w:rPr>
          <w:rFonts w:eastAsiaTheme="majorEastAsia" w:cstheme="majorBidi"/>
          <w:b/>
          <w:bCs/>
          <w:color w:val="006400"/>
          <w:sz w:val="32"/>
          <w:szCs w:val="28"/>
        </w:rPr>
        <w:t>More Tranche</w:t>
      </w:r>
      <w:r w:rsidR="00DD5CB9">
        <w:rPr>
          <w:rFonts w:eastAsiaTheme="majorEastAsia" w:cstheme="majorBidi"/>
          <w:b/>
          <w:bCs/>
          <w:color w:val="006400"/>
          <w:sz w:val="32"/>
          <w:szCs w:val="28"/>
        </w:rPr>
        <w:t xml:space="preserve"> </w:t>
      </w:r>
      <w:r w:rsidR="003B289C">
        <w:rPr>
          <w:rFonts w:eastAsiaTheme="majorEastAsia" w:cstheme="majorBidi"/>
          <w:b/>
          <w:bCs/>
          <w:color w:val="006400"/>
          <w:sz w:val="32"/>
          <w:szCs w:val="28"/>
        </w:rPr>
        <w:t>2</w:t>
      </w:r>
      <w:r w:rsidR="00DD5CB9">
        <w:rPr>
          <w:rFonts w:eastAsiaTheme="majorEastAsia" w:cstheme="majorBidi"/>
          <w:b/>
          <w:bCs/>
          <w:color w:val="006400"/>
          <w:sz w:val="32"/>
          <w:szCs w:val="28"/>
        </w:rPr>
        <w:t xml:space="preserve"> information sessions</w:t>
      </w:r>
      <w:r w:rsidR="003B289C">
        <w:rPr>
          <w:rFonts w:eastAsiaTheme="majorEastAsia" w:cstheme="majorBidi"/>
          <w:b/>
          <w:bCs/>
          <w:color w:val="006400"/>
          <w:sz w:val="32"/>
          <w:szCs w:val="28"/>
        </w:rPr>
        <w:t>: Register now</w:t>
      </w:r>
      <w:r w:rsidR="00DD5CB9">
        <w:rPr>
          <w:rFonts w:eastAsiaTheme="majorEastAsia" w:cstheme="majorBidi"/>
          <w:b/>
          <w:bCs/>
          <w:color w:val="006400"/>
          <w:sz w:val="32"/>
          <w:szCs w:val="28"/>
        </w:rPr>
        <w:t xml:space="preserve"> </w:t>
      </w:r>
    </w:p>
    <w:p w:rsidR="00DD5CB9" w:rsidRDefault="00DD5CB9" w:rsidP="00DD5CB9">
      <w:pPr>
        <w:rPr>
          <w:rFonts w:ascii="Helvetica" w:hAnsi="Helvetica" w:cs="Helvetica"/>
          <w:color w:val="202020"/>
        </w:rPr>
      </w:pPr>
      <w:r>
        <w:rPr>
          <w:rFonts w:ascii="Helvetica" w:hAnsi="Helvetica" w:cs="Helvetica"/>
          <w:color w:val="202020"/>
        </w:rPr>
        <w:t xml:space="preserve">Registration is </w:t>
      </w:r>
      <w:r w:rsidR="003B289C">
        <w:rPr>
          <w:rFonts w:ascii="Helvetica" w:hAnsi="Helvetica" w:cs="Helvetica"/>
          <w:color w:val="202020"/>
        </w:rPr>
        <w:t xml:space="preserve">now </w:t>
      </w:r>
      <w:r>
        <w:rPr>
          <w:rFonts w:ascii="Helvetica" w:hAnsi="Helvetica" w:cs="Helvetica"/>
          <w:color w:val="202020"/>
        </w:rPr>
        <w:t xml:space="preserve">open for </w:t>
      </w:r>
      <w:r w:rsidR="00D72CAF">
        <w:rPr>
          <w:rFonts w:ascii="Helvetica" w:hAnsi="Helvetica" w:cs="Helvetica"/>
          <w:color w:val="202020"/>
        </w:rPr>
        <w:t xml:space="preserve">a number of </w:t>
      </w:r>
      <w:r w:rsidR="00115435">
        <w:rPr>
          <w:rFonts w:ascii="Helvetica" w:hAnsi="Helvetica" w:cs="Helvetica"/>
          <w:color w:val="202020"/>
        </w:rPr>
        <w:t>t</w:t>
      </w:r>
      <w:r>
        <w:rPr>
          <w:rFonts w:ascii="Helvetica" w:hAnsi="Helvetica" w:cs="Helvetica"/>
          <w:color w:val="202020"/>
        </w:rPr>
        <w:t xml:space="preserve">ranche </w:t>
      </w:r>
      <w:proofErr w:type="gramStart"/>
      <w:r w:rsidR="00DA050E">
        <w:rPr>
          <w:rFonts w:ascii="Helvetica" w:hAnsi="Helvetica" w:cs="Helvetica"/>
          <w:color w:val="202020"/>
        </w:rPr>
        <w:t>2</w:t>
      </w:r>
      <w:proofErr w:type="gramEnd"/>
      <w:r w:rsidR="00DA050E">
        <w:rPr>
          <w:rFonts w:ascii="Helvetica" w:hAnsi="Helvetica" w:cs="Helvetica"/>
          <w:color w:val="202020"/>
        </w:rPr>
        <w:t xml:space="preserve"> </w:t>
      </w:r>
      <w:r>
        <w:rPr>
          <w:rFonts w:ascii="Helvetica" w:hAnsi="Helvetica" w:cs="Helvetica"/>
          <w:color w:val="202020"/>
        </w:rPr>
        <w:t xml:space="preserve">information sessions. </w:t>
      </w:r>
      <w:r w:rsidR="008254FB">
        <w:rPr>
          <w:rFonts w:ascii="Helvetica" w:hAnsi="Helvetica" w:cs="Helvetica"/>
          <w:color w:val="202020"/>
        </w:rPr>
        <w:t>If you would like to attend one of the events, please register via Eventbrite at the links below</w:t>
      </w:r>
      <w:r>
        <w:rPr>
          <w:rFonts w:ascii="Helvetica" w:hAnsi="Helvetica" w:cs="Helvetica"/>
          <w:color w:val="202020"/>
        </w:rPr>
        <w:t>. Please note that these dates are subject to change. If dates, times, or venues change, we will contact anyone registered to attend through Eventbrite.</w:t>
      </w:r>
    </w:p>
    <w:p w:rsidR="00415EA2" w:rsidRPr="00415EA2" w:rsidRDefault="00A435CB" w:rsidP="00415EA2">
      <w:pPr>
        <w:numPr>
          <w:ilvl w:val="1"/>
          <w:numId w:val="7"/>
        </w:numPr>
        <w:spacing w:after="0"/>
        <w:ind w:left="1434" w:hanging="357"/>
        <w:rPr>
          <w:rFonts w:ascii="Helvetica" w:hAnsi="Helvetica" w:cs="Helvetica"/>
          <w:u w:val="single"/>
          <w:lang w:val="en"/>
        </w:rPr>
      </w:pPr>
      <w:hyperlink r:id="rId9" w:history="1">
        <w:r w:rsidR="00415EA2" w:rsidRPr="00415EA2">
          <w:rPr>
            <w:rStyle w:val="Hyperlink"/>
            <w:rFonts w:ascii="Helvetica" w:hAnsi="Helvetica" w:cs="Helvetica"/>
            <w:lang w:val="en"/>
          </w:rPr>
          <w:t xml:space="preserve">Perth on 11 April 2018 – register to attend </w:t>
        </w:r>
      </w:hyperlink>
    </w:p>
    <w:p w:rsidR="00415EA2" w:rsidRPr="00415EA2" w:rsidRDefault="00A435CB" w:rsidP="00415EA2">
      <w:pPr>
        <w:numPr>
          <w:ilvl w:val="1"/>
          <w:numId w:val="7"/>
        </w:numPr>
        <w:spacing w:after="0"/>
        <w:ind w:left="1434" w:hanging="357"/>
        <w:rPr>
          <w:rFonts w:ascii="Helvetica" w:hAnsi="Helvetica" w:cs="Helvetica"/>
          <w:u w:val="single"/>
          <w:lang w:val="en"/>
        </w:rPr>
      </w:pPr>
      <w:hyperlink r:id="rId10" w:history="1">
        <w:r w:rsidR="00415EA2" w:rsidRPr="00415EA2">
          <w:rPr>
            <w:rStyle w:val="Hyperlink"/>
            <w:rFonts w:ascii="Helvetica" w:hAnsi="Helvetica" w:cs="Helvetica"/>
            <w:lang w:val="en"/>
          </w:rPr>
          <w:t xml:space="preserve">Canberra on 19 April 2018 – register to attend </w:t>
        </w:r>
      </w:hyperlink>
    </w:p>
    <w:p w:rsidR="00415EA2" w:rsidRPr="00415EA2" w:rsidRDefault="00A435CB" w:rsidP="00415EA2">
      <w:pPr>
        <w:numPr>
          <w:ilvl w:val="1"/>
          <w:numId w:val="7"/>
        </w:numPr>
        <w:spacing w:after="0"/>
        <w:ind w:left="1434" w:hanging="357"/>
        <w:rPr>
          <w:rFonts w:ascii="Helvetica" w:hAnsi="Helvetica" w:cs="Helvetica"/>
          <w:u w:val="single"/>
          <w:lang w:val="en"/>
        </w:rPr>
      </w:pPr>
      <w:hyperlink r:id="rId11" w:history="1">
        <w:r w:rsidR="00415EA2" w:rsidRPr="00415EA2">
          <w:rPr>
            <w:rStyle w:val="Hyperlink"/>
            <w:rFonts w:ascii="Helvetica" w:hAnsi="Helvetica" w:cs="Helvetica"/>
            <w:lang w:val="en"/>
          </w:rPr>
          <w:t xml:space="preserve">Western Sydney on 16 May 2018 – register to attend </w:t>
        </w:r>
      </w:hyperlink>
    </w:p>
    <w:p w:rsidR="00415EA2" w:rsidRPr="00415EA2" w:rsidRDefault="00A435CB" w:rsidP="00415EA2">
      <w:pPr>
        <w:numPr>
          <w:ilvl w:val="1"/>
          <w:numId w:val="7"/>
        </w:numPr>
        <w:spacing w:after="0"/>
        <w:ind w:left="1434" w:hanging="357"/>
        <w:rPr>
          <w:rFonts w:ascii="Helvetica" w:hAnsi="Helvetica" w:cs="Helvetica"/>
          <w:u w:val="single"/>
          <w:lang w:val="en"/>
        </w:rPr>
      </w:pPr>
      <w:hyperlink r:id="rId12" w:history="1">
        <w:proofErr w:type="spellStart"/>
        <w:r w:rsidR="00415EA2" w:rsidRPr="00415EA2">
          <w:rPr>
            <w:rStyle w:val="Hyperlink"/>
            <w:rFonts w:ascii="Helvetica" w:hAnsi="Helvetica" w:cs="Helvetica"/>
            <w:lang w:val="en"/>
          </w:rPr>
          <w:t>Dubbo</w:t>
        </w:r>
        <w:proofErr w:type="spellEnd"/>
        <w:r w:rsidR="00415EA2" w:rsidRPr="00415EA2">
          <w:rPr>
            <w:rStyle w:val="Hyperlink"/>
            <w:rFonts w:ascii="Helvetica" w:hAnsi="Helvetica" w:cs="Helvetica"/>
            <w:lang w:val="en"/>
          </w:rPr>
          <w:t xml:space="preserve"> on 6 June 2018 – register to attend </w:t>
        </w:r>
      </w:hyperlink>
    </w:p>
    <w:p w:rsidR="00415EA2" w:rsidRPr="00415EA2" w:rsidRDefault="00A435CB" w:rsidP="00415EA2">
      <w:pPr>
        <w:numPr>
          <w:ilvl w:val="1"/>
          <w:numId w:val="7"/>
        </w:numPr>
        <w:spacing w:after="0"/>
        <w:ind w:left="1434" w:hanging="357"/>
        <w:rPr>
          <w:rFonts w:ascii="Helvetica" w:hAnsi="Helvetica" w:cs="Helvetica"/>
          <w:u w:val="single"/>
          <w:lang w:val="en"/>
        </w:rPr>
      </w:pPr>
      <w:hyperlink r:id="rId13" w:history="1">
        <w:r w:rsidR="00415EA2" w:rsidRPr="00415EA2">
          <w:rPr>
            <w:rStyle w:val="Hyperlink"/>
            <w:rFonts w:ascii="Helvetica" w:hAnsi="Helvetica" w:cs="Helvetica"/>
            <w:lang w:val="en"/>
          </w:rPr>
          <w:t xml:space="preserve">Coffs </w:t>
        </w:r>
        <w:proofErr w:type="spellStart"/>
        <w:r w:rsidR="00415EA2" w:rsidRPr="00415EA2">
          <w:rPr>
            <w:rStyle w:val="Hyperlink"/>
            <w:rFonts w:ascii="Helvetica" w:hAnsi="Helvetica" w:cs="Helvetica"/>
            <w:lang w:val="en"/>
          </w:rPr>
          <w:t>Harbour</w:t>
        </w:r>
        <w:proofErr w:type="spellEnd"/>
        <w:r w:rsidR="00415EA2" w:rsidRPr="00415EA2">
          <w:rPr>
            <w:rStyle w:val="Hyperlink"/>
            <w:rFonts w:ascii="Helvetica" w:hAnsi="Helvetica" w:cs="Helvetica"/>
            <w:lang w:val="en"/>
          </w:rPr>
          <w:t xml:space="preserve"> on 7 June 2018 – register to attend </w:t>
        </w:r>
      </w:hyperlink>
    </w:p>
    <w:p w:rsidR="00415EA2" w:rsidRPr="00415EA2" w:rsidRDefault="00A435CB" w:rsidP="00415EA2">
      <w:pPr>
        <w:numPr>
          <w:ilvl w:val="1"/>
          <w:numId w:val="7"/>
        </w:numPr>
        <w:spacing w:after="0"/>
        <w:ind w:left="1434" w:hanging="357"/>
        <w:rPr>
          <w:rFonts w:ascii="Helvetica" w:hAnsi="Helvetica" w:cs="Helvetica"/>
          <w:u w:val="single"/>
          <w:lang w:val="en"/>
        </w:rPr>
      </w:pPr>
      <w:hyperlink r:id="rId14" w:history="1">
        <w:proofErr w:type="spellStart"/>
        <w:r w:rsidR="00415EA2" w:rsidRPr="00415EA2">
          <w:rPr>
            <w:rStyle w:val="Hyperlink"/>
            <w:rFonts w:ascii="Helvetica" w:hAnsi="Helvetica" w:cs="Helvetica"/>
            <w:lang w:val="en"/>
          </w:rPr>
          <w:t>Wagga</w:t>
        </w:r>
        <w:proofErr w:type="spellEnd"/>
        <w:r w:rsidR="00415EA2" w:rsidRPr="00415EA2">
          <w:rPr>
            <w:rStyle w:val="Hyperlink"/>
            <w:rFonts w:ascii="Helvetica" w:hAnsi="Helvetica" w:cs="Helvetica"/>
            <w:lang w:val="en"/>
          </w:rPr>
          <w:t xml:space="preserve"> </w:t>
        </w:r>
        <w:proofErr w:type="spellStart"/>
        <w:r w:rsidR="00415EA2" w:rsidRPr="00415EA2">
          <w:rPr>
            <w:rStyle w:val="Hyperlink"/>
            <w:rFonts w:ascii="Helvetica" w:hAnsi="Helvetica" w:cs="Helvetica"/>
            <w:lang w:val="en"/>
          </w:rPr>
          <w:t>Wagga</w:t>
        </w:r>
        <w:proofErr w:type="spellEnd"/>
        <w:r w:rsidR="00415EA2" w:rsidRPr="00415EA2">
          <w:rPr>
            <w:rStyle w:val="Hyperlink"/>
            <w:rFonts w:ascii="Helvetica" w:hAnsi="Helvetica" w:cs="Helvetica"/>
            <w:lang w:val="en"/>
          </w:rPr>
          <w:t xml:space="preserve"> on 20 June 2018 – register to attend</w:t>
        </w:r>
      </w:hyperlink>
    </w:p>
    <w:p w:rsidR="00DD5CB9" w:rsidRDefault="00DD5CB9" w:rsidP="0066181E">
      <w:pPr>
        <w:spacing w:before="240"/>
        <w:rPr>
          <w:rFonts w:ascii="Helvetica" w:hAnsi="Helvetica" w:cs="Helvetica"/>
          <w:color w:val="202020"/>
        </w:rPr>
      </w:pPr>
      <w:r>
        <w:rPr>
          <w:rFonts w:ascii="Helvetica" w:hAnsi="Helvetica" w:cs="Helvetica"/>
          <w:color w:val="202020"/>
        </w:rPr>
        <w:t>The</w:t>
      </w:r>
      <w:r w:rsidR="0066181E">
        <w:rPr>
          <w:rFonts w:ascii="Helvetica" w:hAnsi="Helvetica" w:cs="Helvetica"/>
          <w:color w:val="202020"/>
        </w:rPr>
        <w:t>se</w:t>
      </w:r>
      <w:r>
        <w:rPr>
          <w:rFonts w:ascii="Helvetica" w:hAnsi="Helvetica" w:cs="Helvetica"/>
          <w:color w:val="202020"/>
        </w:rPr>
        <w:t xml:space="preserve"> session</w:t>
      </w:r>
      <w:r w:rsidR="0066181E">
        <w:rPr>
          <w:rFonts w:ascii="Helvetica" w:hAnsi="Helvetica" w:cs="Helvetica"/>
          <w:color w:val="202020"/>
        </w:rPr>
        <w:t>s</w:t>
      </w:r>
      <w:r>
        <w:rPr>
          <w:rFonts w:ascii="Helvetica" w:hAnsi="Helvetica" w:cs="Helvetica"/>
          <w:color w:val="202020"/>
        </w:rPr>
        <w:t xml:space="preserve"> outline the process and priority groups for </w:t>
      </w:r>
      <w:r w:rsidR="00115435">
        <w:rPr>
          <w:rFonts w:ascii="Helvetica" w:hAnsi="Helvetica" w:cs="Helvetica"/>
          <w:color w:val="202020"/>
        </w:rPr>
        <w:t>t</w:t>
      </w:r>
      <w:r w:rsidR="00AB5F79">
        <w:rPr>
          <w:rFonts w:ascii="Helvetica" w:hAnsi="Helvetica" w:cs="Helvetica"/>
          <w:color w:val="202020"/>
        </w:rPr>
        <w:t>ranche 2</w:t>
      </w:r>
      <w:r>
        <w:rPr>
          <w:rFonts w:ascii="Helvetica" w:hAnsi="Helvetica" w:cs="Helvetica"/>
          <w:color w:val="202020"/>
        </w:rPr>
        <w:t xml:space="preserve">, </w:t>
      </w:r>
      <w:r w:rsidR="0066181E">
        <w:rPr>
          <w:rFonts w:ascii="Helvetica" w:hAnsi="Helvetica" w:cs="Helvetica"/>
          <w:color w:val="202020"/>
        </w:rPr>
        <w:t xml:space="preserve">with </w:t>
      </w:r>
      <w:r>
        <w:rPr>
          <w:rFonts w:ascii="Helvetica" w:hAnsi="Helvetica" w:cs="Helvetica"/>
          <w:color w:val="202020"/>
        </w:rPr>
        <w:t>time for question</w:t>
      </w:r>
      <w:r w:rsidR="00415EA2">
        <w:rPr>
          <w:rFonts w:ascii="Helvetica" w:hAnsi="Helvetica" w:cs="Helvetica"/>
          <w:color w:val="202020"/>
        </w:rPr>
        <w:t xml:space="preserve">s </w:t>
      </w:r>
      <w:r>
        <w:rPr>
          <w:rFonts w:ascii="Helvetica" w:hAnsi="Helvetica" w:cs="Helvetica"/>
          <w:color w:val="202020"/>
        </w:rPr>
        <w:t>and answers</w:t>
      </w:r>
      <w:r w:rsidR="0066181E">
        <w:rPr>
          <w:rFonts w:ascii="Helvetica" w:hAnsi="Helvetica" w:cs="Helvetica"/>
          <w:color w:val="202020"/>
        </w:rPr>
        <w:t xml:space="preserve"> at the end</w:t>
      </w:r>
      <w:r>
        <w:rPr>
          <w:rFonts w:ascii="Helvetica" w:hAnsi="Helvetica" w:cs="Helvetica"/>
          <w:color w:val="202020"/>
        </w:rPr>
        <w:t xml:space="preserve">. </w:t>
      </w:r>
      <w:r w:rsidR="0066181E">
        <w:rPr>
          <w:rFonts w:ascii="Helvetica" w:hAnsi="Helvetica" w:cs="Helvetica"/>
          <w:color w:val="202020"/>
        </w:rPr>
        <w:t xml:space="preserve">Presentation notes and transcripts of the questions and answers </w:t>
      </w:r>
      <w:proofErr w:type="gramStart"/>
      <w:r w:rsidR="00F81A71">
        <w:rPr>
          <w:rFonts w:ascii="Helvetica" w:hAnsi="Helvetica" w:cs="Helvetica"/>
          <w:color w:val="202020"/>
        </w:rPr>
        <w:t xml:space="preserve">will be </w:t>
      </w:r>
      <w:r w:rsidR="0066181E">
        <w:rPr>
          <w:rFonts w:ascii="Helvetica" w:hAnsi="Helvetica" w:cs="Helvetica"/>
          <w:color w:val="202020"/>
        </w:rPr>
        <w:t>posted</w:t>
      </w:r>
      <w:proofErr w:type="gramEnd"/>
      <w:r w:rsidR="0066181E">
        <w:rPr>
          <w:rFonts w:ascii="Helvetica" w:hAnsi="Helvetica" w:cs="Helvetica"/>
          <w:color w:val="202020"/>
        </w:rPr>
        <w:t xml:space="preserve"> on </w:t>
      </w:r>
      <w:r>
        <w:rPr>
          <w:rFonts w:ascii="Helvetica" w:hAnsi="Helvetica" w:cs="Helvetica"/>
          <w:color w:val="202020"/>
        </w:rPr>
        <w:t xml:space="preserve">the </w:t>
      </w:r>
      <w:hyperlink r:id="rId15" w:history="1">
        <w:r>
          <w:rPr>
            <w:rFonts w:ascii="Helvetica" w:hAnsi="Helvetica" w:cs="Helvetica"/>
            <w:color w:val="2BAADF"/>
            <w:u w:val="single"/>
          </w:rPr>
          <w:t>Community Grants Hub</w:t>
        </w:r>
      </w:hyperlink>
      <w:r>
        <w:rPr>
          <w:rFonts w:ascii="Helvetica" w:hAnsi="Helvetica" w:cs="Helvetica"/>
          <w:color w:val="202020"/>
        </w:rPr>
        <w:t xml:space="preserve"> and </w:t>
      </w:r>
      <w:hyperlink r:id="rId16" w:history="1">
        <w:r>
          <w:rPr>
            <w:rFonts w:ascii="Helvetica" w:hAnsi="Helvetica" w:cs="Helvetica"/>
            <w:color w:val="2BAADF"/>
            <w:u w:val="single"/>
          </w:rPr>
          <w:t>GrantConnect</w:t>
        </w:r>
      </w:hyperlink>
      <w:r w:rsidR="00415EA2">
        <w:rPr>
          <w:rFonts w:ascii="Helvetica" w:hAnsi="Helvetica" w:cs="Helvetica"/>
          <w:color w:val="202020"/>
        </w:rPr>
        <w:t>.</w:t>
      </w:r>
    </w:p>
    <w:p w:rsidR="00DD5CB9" w:rsidRPr="00F64459" w:rsidRDefault="00DD5CB9" w:rsidP="00DD5CB9">
      <w:pPr>
        <w:rPr>
          <w:rFonts w:eastAsiaTheme="majorEastAsia" w:cstheme="majorBidi"/>
          <w:b/>
          <w:bCs/>
          <w:color w:val="006400"/>
          <w:sz w:val="32"/>
          <w:szCs w:val="28"/>
        </w:rPr>
      </w:pPr>
      <w:r w:rsidRPr="00F64459">
        <w:rPr>
          <w:rFonts w:eastAsiaTheme="majorEastAsia" w:cstheme="majorBidi"/>
          <w:b/>
          <w:bCs/>
          <w:color w:val="006400"/>
          <w:sz w:val="32"/>
          <w:szCs w:val="28"/>
        </w:rPr>
        <w:t xml:space="preserve">Keep in touch </w:t>
      </w:r>
    </w:p>
    <w:p w:rsidR="00DD5CB9" w:rsidRPr="00B91E3E" w:rsidRDefault="00DD5CB9" w:rsidP="00DD5CB9">
      <w:r>
        <w:rPr>
          <w:rFonts w:ascii="Helvetica" w:hAnsi="Helvetica" w:cs="Helvetica"/>
          <w:color w:val="202020"/>
        </w:rPr>
        <w:t xml:space="preserve">Until the next update, please feel free to distribute this newsletter to your networks, and encourage them to sign up for updates </w:t>
      </w:r>
      <w:hyperlink r:id="rId17" w:history="1">
        <w:r>
          <w:rPr>
            <w:rFonts w:ascii="Helvetica" w:hAnsi="Helvetica" w:cs="Helvetica"/>
            <w:color w:val="2BAADF"/>
            <w:u w:val="single"/>
          </w:rPr>
          <w:t>here</w:t>
        </w:r>
      </w:hyperlink>
      <w:r>
        <w:rPr>
          <w:rFonts w:ascii="Helvetica" w:hAnsi="Helvetica" w:cs="Helvetica"/>
          <w:color w:val="202020"/>
        </w:rPr>
        <w:t xml:space="preserve">. You can also contact us at </w:t>
      </w:r>
      <w:hyperlink r:id="rId18" w:history="1">
        <w:r w:rsidRPr="00F11F6A">
          <w:rPr>
            <w:rStyle w:val="Hyperlink"/>
            <w:rFonts w:ascii="Helvetica" w:hAnsi="Helvetica" w:cs="Helvetica"/>
          </w:rPr>
          <w:t>TTLFund@dss.gov.au</w:t>
        </w:r>
      </w:hyperlink>
      <w:r>
        <w:rPr>
          <w:rFonts w:ascii="Helvetica" w:hAnsi="Helvetica" w:cs="Helvetica"/>
          <w:color w:val="202020"/>
        </w:rPr>
        <w:t>.</w:t>
      </w:r>
    </w:p>
    <w:sectPr w:rsidR="00DD5CB9" w:rsidRPr="00B9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96A"/>
    <w:multiLevelType w:val="hybridMultilevel"/>
    <w:tmpl w:val="DF5EC9CE"/>
    <w:lvl w:ilvl="0" w:tplc="F9B2A6A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26C82"/>
    <w:multiLevelType w:val="hybridMultilevel"/>
    <w:tmpl w:val="192049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56537F"/>
    <w:multiLevelType w:val="hybridMultilevel"/>
    <w:tmpl w:val="227EB752"/>
    <w:lvl w:ilvl="0" w:tplc="7B141BDE">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76AD1"/>
    <w:multiLevelType w:val="hybridMultilevel"/>
    <w:tmpl w:val="1DB27C5C"/>
    <w:lvl w:ilvl="0" w:tplc="E570B6B6">
      <w:start w:val="2"/>
      <w:numFmt w:val="bullet"/>
      <w:lvlText w:val="-"/>
      <w:lvlJc w:val="left"/>
      <w:pPr>
        <w:ind w:left="360" w:hanging="360"/>
      </w:pPr>
      <w:rPr>
        <w:rFonts w:ascii="Helvetica" w:eastAsiaTheme="minorHAnsi" w:hAnsi="Helvetica" w:cs="Helvetica"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C533C4"/>
    <w:multiLevelType w:val="hybridMultilevel"/>
    <w:tmpl w:val="4CA4A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5A682F"/>
    <w:multiLevelType w:val="hybridMultilevel"/>
    <w:tmpl w:val="252089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7F746E0"/>
    <w:multiLevelType w:val="hybridMultilevel"/>
    <w:tmpl w:val="F3FA65DA"/>
    <w:lvl w:ilvl="0" w:tplc="57A6059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D15B19"/>
    <w:multiLevelType w:val="multilevel"/>
    <w:tmpl w:val="29FE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8D"/>
    <w:rsid w:val="00005633"/>
    <w:rsid w:val="00083FD5"/>
    <w:rsid w:val="00115435"/>
    <w:rsid w:val="00171525"/>
    <w:rsid w:val="001E630D"/>
    <w:rsid w:val="002276E6"/>
    <w:rsid w:val="00237D6B"/>
    <w:rsid w:val="002711A3"/>
    <w:rsid w:val="00284DC9"/>
    <w:rsid w:val="002C0764"/>
    <w:rsid w:val="003B289C"/>
    <w:rsid w:val="003B2BB8"/>
    <w:rsid w:val="003D34FF"/>
    <w:rsid w:val="00415EA2"/>
    <w:rsid w:val="00421AAE"/>
    <w:rsid w:val="004243E3"/>
    <w:rsid w:val="00446B14"/>
    <w:rsid w:val="004B54CA"/>
    <w:rsid w:val="004E5CBF"/>
    <w:rsid w:val="00500FE9"/>
    <w:rsid w:val="00513EBF"/>
    <w:rsid w:val="00582DCA"/>
    <w:rsid w:val="005C3AA9"/>
    <w:rsid w:val="00621FC5"/>
    <w:rsid w:val="00637B02"/>
    <w:rsid w:val="0066181E"/>
    <w:rsid w:val="00663199"/>
    <w:rsid w:val="006A4CE7"/>
    <w:rsid w:val="006D0AE2"/>
    <w:rsid w:val="006D0F89"/>
    <w:rsid w:val="00713264"/>
    <w:rsid w:val="00722A2C"/>
    <w:rsid w:val="00750713"/>
    <w:rsid w:val="00785261"/>
    <w:rsid w:val="007B0256"/>
    <w:rsid w:val="007F576D"/>
    <w:rsid w:val="0081099E"/>
    <w:rsid w:val="008254FB"/>
    <w:rsid w:val="0083177B"/>
    <w:rsid w:val="0086544B"/>
    <w:rsid w:val="00873DDE"/>
    <w:rsid w:val="00890340"/>
    <w:rsid w:val="008B0B86"/>
    <w:rsid w:val="00917346"/>
    <w:rsid w:val="009225F0"/>
    <w:rsid w:val="0093462C"/>
    <w:rsid w:val="00953795"/>
    <w:rsid w:val="00974189"/>
    <w:rsid w:val="009D472E"/>
    <w:rsid w:val="00A435CB"/>
    <w:rsid w:val="00A7538D"/>
    <w:rsid w:val="00A91DD0"/>
    <w:rsid w:val="00AB5F79"/>
    <w:rsid w:val="00B07FE6"/>
    <w:rsid w:val="00B91E3E"/>
    <w:rsid w:val="00B95321"/>
    <w:rsid w:val="00BA2DB9"/>
    <w:rsid w:val="00BA75DD"/>
    <w:rsid w:val="00BE7148"/>
    <w:rsid w:val="00C16032"/>
    <w:rsid w:val="00C63836"/>
    <w:rsid w:val="00C84DD7"/>
    <w:rsid w:val="00CB5863"/>
    <w:rsid w:val="00CF3EDF"/>
    <w:rsid w:val="00D0150F"/>
    <w:rsid w:val="00D130FF"/>
    <w:rsid w:val="00D720B6"/>
    <w:rsid w:val="00D72CAF"/>
    <w:rsid w:val="00DA050E"/>
    <w:rsid w:val="00DA243A"/>
    <w:rsid w:val="00DD5CB9"/>
    <w:rsid w:val="00E24AC0"/>
    <w:rsid w:val="00E273E4"/>
    <w:rsid w:val="00E41859"/>
    <w:rsid w:val="00E62735"/>
    <w:rsid w:val="00E746D4"/>
    <w:rsid w:val="00EB55F3"/>
    <w:rsid w:val="00F33781"/>
    <w:rsid w:val="00F81A71"/>
    <w:rsid w:val="00F87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7688B-A09D-44DE-ADF0-D6E0BBDD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1,List Paragraph1,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DD5CB9"/>
    <w:rPr>
      <w:color w:val="0000FF" w:themeColor="hyperlink"/>
      <w:u w:val="single"/>
    </w:rPr>
  </w:style>
  <w:style w:type="character" w:customStyle="1" w:styleId="ListParagraphChar">
    <w:name w:val="List Paragraph Char"/>
    <w:aliases w:val="Recommendation Char,L Char,List Paragraph11 Char,List Paragraph1 Char,List Paragraph111 Char,F5 List Paragraph Char,Dot pt Char,CV text Char,Table text Char,Medium Grid 1 - Accent 21 Char,Numbered Paragraph Char,List Paragraph2 Char"/>
    <w:basedOn w:val="DefaultParagraphFont"/>
    <w:link w:val="ListParagraph"/>
    <w:uiPriority w:val="34"/>
    <w:rsid w:val="00DD5CB9"/>
    <w:rPr>
      <w:rFonts w:ascii="Arial" w:hAnsi="Arial"/>
    </w:rPr>
  </w:style>
  <w:style w:type="paragraph" w:styleId="NormalWeb">
    <w:name w:val="Normal (Web)"/>
    <w:basedOn w:val="Normal"/>
    <w:uiPriority w:val="99"/>
    <w:semiHidden/>
    <w:unhideWhenUsed/>
    <w:rsid w:val="00DA05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81A71"/>
    <w:rPr>
      <w:sz w:val="16"/>
      <w:szCs w:val="16"/>
    </w:rPr>
  </w:style>
  <w:style w:type="paragraph" w:styleId="CommentText">
    <w:name w:val="annotation text"/>
    <w:basedOn w:val="Normal"/>
    <w:link w:val="CommentTextChar"/>
    <w:uiPriority w:val="99"/>
    <w:semiHidden/>
    <w:unhideWhenUsed/>
    <w:rsid w:val="00F81A71"/>
    <w:pPr>
      <w:spacing w:line="240" w:lineRule="auto"/>
    </w:pPr>
    <w:rPr>
      <w:sz w:val="20"/>
      <w:szCs w:val="20"/>
    </w:rPr>
  </w:style>
  <w:style w:type="character" w:customStyle="1" w:styleId="CommentTextChar">
    <w:name w:val="Comment Text Char"/>
    <w:basedOn w:val="DefaultParagraphFont"/>
    <w:link w:val="CommentText"/>
    <w:uiPriority w:val="99"/>
    <w:semiHidden/>
    <w:rsid w:val="00F81A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1A71"/>
    <w:rPr>
      <w:b/>
      <w:bCs/>
    </w:rPr>
  </w:style>
  <w:style w:type="character" w:customStyle="1" w:styleId="CommentSubjectChar">
    <w:name w:val="Comment Subject Char"/>
    <w:basedOn w:val="CommentTextChar"/>
    <w:link w:val="CommentSubject"/>
    <w:uiPriority w:val="99"/>
    <w:semiHidden/>
    <w:rsid w:val="00F81A71"/>
    <w:rPr>
      <w:rFonts w:ascii="Arial" w:hAnsi="Arial"/>
      <w:b/>
      <w:bCs/>
      <w:sz w:val="20"/>
      <w:szCs w:val="20"/>
    </w:rPr>
  </w:style>
  <w:style w:type="paragraph" w:styleId="BalloonText">
    <w:name w:val="Balloon Text"/>
    <w:basedOn w:val="Normal"/>
    <w:link w:val="BalloonTextChar"/>
    <w:uiPriority w:val="99"/>
    <w:semiHidden/>
    <w:unhideWhenUsed/>
    <w:rsid w:val="00F8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71"/>
    <w:rPr>
      <w:rFonts w:ascii="Segoe UI" w:hAnsi="Segoe UI" w:cs="Segoe UI"/>
      <w:sz w:val="18"/>
      <w:szCs w:val="18"/>
    </w:rPr>
  </w:style>
  <w:style w:type="character" w:styleId="FollowedHyperlink">
    <w:name w:val="FollowedHyperlink"/>
    <w:basedOn w:val="DefaultParagraphFont"/>
    <w:uiPriority w:val="99"/>
    <w:semiHidden/>
    <w:unhideWhenUsed/>
    <w:rsid w:val="00415EA2"/>
    <w:rPr>
      <w:color w:val="800080" w:themeColor="followedHyperlink"/>
      <w:u w:val="single"/>
    </w:rPr>
  </w:style>
  <w:style w:type="paragraph" w:styleId="ListBullet">
    <w:name w:val="List Bullet"/>
    <w:basedOn w:val="Normal"/>
    <w:uiPriority w:val="1"/>
    <w:qFormat/>
    <w:rsid w:val="0086544B"/>
    <w:pPr>
      <w:numPr>
        <w:numId w:val="8"/>
      </w:numPr>
      <w:tabs>
        <w:tab w:val="left" w:pos="170"/>
      </w:tabs>
      <w:spacing w:before="60" w:after="120" w:line="280" w:lineRule="atLeast"/>
    </w:pPr>
    <w:rPr>
      <w:rFonts w:eastAsia="Times New Roman"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331">
      <w:bodyDiv w:val="1"/>
      <w:marLeft w:val="0"/>
      <w:marRight w:val="0"/>
      <w:marTop w:val="0"/>
      <w:marBottom w:val="0"/>
      <w:divBdr>
        <w:top w:val="none" w:sz="0" w:space="0" w:color="auto"/>
        <w:left w:val="none" w:sz="0" w:space="0" w:color="auto"/>
        <w:bottom w:val="none" w:sz="0" w:space="0" w:color="auto"/>
        <w:right w:val="none" w:sz="0" w:space="0" w:color="auto"/>
      </w:divBdr>
    </w:div>
    <w:div w:id="592281087">
      <w:bodyDiv w:val="1"/>
      <w:marLeft w:val="0"/>
      <w:marRight w:val="0"/>
      <w:marTop w:val="0"/>
      <w:marBottom w:val="0"/>
      <w:divBdr>
        <w:top w:val="none" w:sz="0" w:space="0" w:color="auto"/>
        <w:left w:val="none" w:sz="0" w:space="0" w:color="auto"/>
        <w:bottom w:val="none" w:sz="0" w:space="0" w:color="auto"/>
        <w:right w:val="none" w:sz="0" w:space="0" w:color="auto"/>
      </w:divBdr>
    </w:div>
    <w:div w:id="699092419">
      <w:bodyDiv w:val="1"/>
      <w:marLeft w:val="0"/>
      <w:marRight w:val="0"/>
      <w:marTop w:val="0"/>
      <w:marBottom w:val="0"/>
      <w:divBdr>
        <w:top w:val="none" w:sz="0" w:space="0" w:color="auto"/>
        <w:left w:val="none" w:sz="0" w:space="0" w:color="auto"/>
        <w:bottom w:val="none" w:sz="0" w:space="0" w:color="auto"/>
        <w:right w:val="none" w:sz="0" w:space="0" w:color="auto"/>
      </w:divBdr>
      <w:divsChild>
        <w:div w:id="1593277350">
          <w:marLeft w:val="0"/>
          <w:marRight w:val="0"/>
          <w:marTop w:val="0"/>
          <w:marBottom w:val="0"/>
          <w:divBdr>
            <w:top w:val="none" w:sz="0" w:space="0" w:color="auto"/>
            <w:left w:val="none" w:sz="0" w:space="0" w:color="auto"/>
            <w:bottom w:val="none" w:sz="0" w:space="0" w:color="auto"/>
            <w:right w:val="none" w:sz="0" w:space="0" w:color="auto"/>
          </w:divBdr>
          <w:divsChild>
            <w:div w:id="1418284123">
              <w:marLeft w:val="0"/>
              <w:marRight w:val="0"/>
              <w:marTop w:val="0"/>
              <w:marBottom w:val="0"/>
              <w:divBdr>
                <w:top w:val="none" w:sz="0" w:space="0" w:color="auto"/>
                <w:left w:val="none" w:sz="0" w:space="0" w:color="auto"/>
                <w:bottom w:val="none" w:sz="0" w:space="0" w:color="auto"/>
                <w:right w:val="none" w:sz="0" w:space="0" w:color="auto"/>
              </w:divBdr>
              <w:divsChild>
                <w:div w:id="18013370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63586140">
      <w:bodyDiv w:val="1"/>
      <w:marLeft w:val="0"/>
      <w:marRight w:val="0"/>
      <w:marTop w:val="0"/>
      <w:marBottom w:val="0"/>
      <w:divBdr>
        <w:top w:val="none" w:sz="0" w:space="0" w:color="auto"/>
        <w:left w:val="none" w:sz="0" w:space="0" w:color="auto"/>
        <w:bottom w:val="none" w:sz="0" w:space="0" w:color="auto"/>
        <w:right w:val="none" w:sz="0" w:space="0" w:color="auto"/>
      </w:divBdr>
    </w:div>
    <w:div w:id="1089041854">
      <w:bodyDiv w:val="1"/>
      <w:marLeft w:val="0"/>
      <w:marRight w:val="0"/>
      <w:marTop w:val="0"/>
      <w:marBottom w:val="0"/>
      <w:divBdr>
        <w:top w:val="none" w:sz="0" w:space="0" w:color="auto"/>
        <w:left w:val="none" w:sz="0" w:space="0" w:color="auto"/>
        <w:bottom w:val="none" w:sz="0" w:space="0" w:color="auto"/>
        <w:right w:val="none" w:sz="0" w:space="0" w:color="auto"/>
      </w:divBdr>
    </w:div>
    <w:div w:id="1568950352">
      <w:bodyDiv w:val="1"/>
      <w:marLeft w:val="0"/>
      <w:marRight w:val="0"/>
      <w:marTop w:val="0"/>
      <w:marBottom w:val="0"/>
      <w:divBdr>
        <w:top w:val="none" w:sz="0" w:space="0" w:color="auto"/>
        <w:left w:val="none" w:sz="0" w:space="0" w:color="auto"/>
        <w:bottom w:val="none" w:sz="0" w:space="0" w:color="auto"/>
        <w:right w:val="none" w:sz="0" w:space="0" w:color="auto"/>
      </w:divBdr>
    </w:div>
    <w:div w:id="1607930253">
      <w:bodyDiv w:val="1"/>
      <w:marLeft w:val="0"/>
      <w:marRight w:val="0"/>
      <w:marTop w:val="0"/>
      <w:marBottom w:val="0"/>
      <w:divBdr>
        <w:top w:val="none" w:sz="0" w:space="0" w:color="auto"/>
        <w:left w:val="none" w:sz="0" w:space="0" w:color="auto"/>
        <w:bottom w:val="none" w:sz="0" w:space="0" w:color="auto"/>
        <w:right w:val="none" w:sz="0" w:space="0" w:color="auto"/>
      </w:divBdr>
      <w:divsChild>
        <w:div w:id="246967863">
          <w:marLeft w:val="0"/>
          <w:marRight w:val="0"/>
          <w:marTop w:val="0"/>
          <w:marBottom w:val="0"/>
          <w:divBdr>
            <w:top w:val="none" w:sz="0" w:space="0" w:color="auto"/>
            <w:left w:val="none" w:sz="0" w:space="0" w:color="auto"/>
            <w:bottom w:val="none" w:sz="0" w:space="0" w:color="auto"/>
            <w:right w:val="none" w:sz="0" w:space="0" w:color="auto"/>
          </w:divBdr>
          <w:divsChild>
            <w:div w:id="2018117546">
              <w:marLeft w:val="0"/>
              <w:marRight w:val="0"/>
              <w:marTop w:val="0"/>
              <w:marBottom w:val="0"/>
              <w:divBdr>
                <w:top w:val="none" w:sz="0" w:space="0" w:color="auto"/>
                <w:left w:val="none" w:sz="0" w:space="0" w:color="auto"/>
                <w:bottom w:val="none" w:sz="0" w:space="0" w:color="auto"/>
                <w:right w:val="none" w:sz="0" w:space="0" w:color="auto"/>
              </w:divBdr>
              <w:divsChild>
                <w:div w:id="4385259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44433633">
      <w:bodyDiv w:val="1"/>
      <w:marLeft w:val="0"/>
      <w:marRight w:val="0"/>
      <w:marTop w:val="0"/>
      <w:marBottom w:val="0"/>
      <w:divBdr>
        <w:top w:val="none" w:sz="0" w:space="0" w:color="auto"/>
        <w:left w:val="none" w:sz="0" w:space="0" w:color="auto"/>
        <w:bottom w:val="none" w:sz="0" w:space="0" w:color="auto"/>
        <w:right w:val="none" w:sz="0" w:space="0" w:color="auto"/>
      </w:divBdr>
      <w:divsChild>
        <w:div w:id="917710839">
          <w:marLeft w:val="547"/>
          <w:marRight w:val="0"/>
          <w:marTop w:val="0"/>
          <w:marBottom w:val="0"/>
          <w:divBdr>
            <w:top w:val="none" w:sz="0" w:space="0" w:color="auto"/>
            <w:left w:val="none" w:sz="0" w:space="0" w:color="auto"/>
            <w:bottom w:val="none" w:sz="0" w:space="0" w:color="auto"/>
            <w:right w:val="none" w:sz="0" w:space="0" w:color="auto"/>
          </w:divBdr>
        </w:div>
        <w:div w:id="2056657015">
          <w:marLeft w:val="547"/>
          <w:marRight w:val="0"/>
          <w:marTop w:val="0"/>
          <w:marBottom w:val="0"/>
          <w:divBdr>
            <w:top w:val="none" w:sz="0" w:space="0" w:color="auto"/>
            <w:left w:val="none" w:sz="0" w:space="0" w:color="auto"/>
            <w:bottom w:val="none" w:sz="0" w:space="0" w:color="auto"/>
            <w:right w:val="none" w:sz="0" w:space="0" w:color="auto"/>
          </w:divBdr>
        </w:div>
        <w:div w:id="2077048856">
          <w:marLeft w:val="547"/>
          <w:marRight w:val="0"/>
          <w:marTop w:val="0"/>
          <w:marBottom w:val="0"/>
          <w:divBdr>
            <w:top w:val="none" w:sz="0" w:space="0" w:color="auto"/>
            <w:left w:val="none" w:sz="0" w:space="0" w:color="auto"/>
            <w:bottom w:val="none" w:sz="0" w:space="0" w:color="auto"/>
            <w:right w:val="none" w:sz="0" w:space="0" w:color="auto"/>
          </w:divBdr>
        </w:div>
        <w:div w:id="361058559">
          <w:marLeft w:val="547"/>
          <w:marRight w:val="0"/>
          <w:marTop w:val="0"/>
          <w:marBottom w:val="0"/>
          <w:divBdr>
            <w:top w:val="none" w:sz="0" w:space="0" w:color="auto"/>
            <w:left w:val="none" w:sz="0" w:space="0" w:color="auto"/>
            <w:bottom w:val="none" w:sz="0" w:space="0" w:color="auto"/>
            <w:right w:val="none" w:sz="0" w:space="0" w:color="auto"/>
          </w:divBdr>
        </w:div>
      </w:divsChild>
    </w:div>
    <w:div w:id="1880047421">
      <w:bodyDiv w:val="1"/>
      <w:marLeft w:val="0"/>
      <w:marRight w:val="0"/>
      <w:marTop w:val="0"/>
      <w:marBottom w:val="0"/>
      <w:divBdr>
        <w:top w:val="none" w:sz="0" w:space="0" w:color="auto"/>
        <w:left w:val="none" w:sz="0" w:space="0" w:color="auto"/>
        <w:bottom w:val="none" w:sz="0" w:space="0" w:color="auto"/>
        <w:right w:val="none" w:sz="0" w:space="0" w:color="auto"/>
      </w:divBdr>
    </w:div>
    <w:div w:id="18810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 TargetMode="External"/><Relationship Id="rId13" Type="http://schemas.openxmlformats.org/officeDocument/2006/relationships/hyperlink" Target="https://www.eventbrite.com.au/e/try-test-and-learn-fund-tranche-two-information-session-coffs-harbour-tickets-44242540630" TargetMode="External"/><Relationship Id="rId18" Type="http://schemas.openxmlformats.org/officeDocument/2006/relationships/hyperlink" Target="mailto:TTLFund@dss.gov.au" TargetMode="External"/><Relationship Id="rId3" Type="http://schemas.openxmlformats.org/officeDocument/2006/relationships/styles" Target="styles.xml"/><Relationship Id="rId7" Type="http://schemas.openxmlformats.org/officeDocument/2006/relationships/hyperlink" Target="https://www.communitygrants.gov.au/" TargetMode="External"/><Relationship Id="rId12" Type="http://schemas.openxmlformats.org/officeDocument/2006/relationships/hyperlink" Target="https://www.eventbrite.com.au/e/try-test-and-learn-fund-tranche-two-information-session-dubbo-tickets-44242508534" TargetMode="External"/><Relationship Id="rId17" Type="http://schemas.openxmlformats.org/officeDocument/2006/relationships/hyperlink" Target="https://www.dss.gov.au/review-of-australias-welfare-system/australian-priority-investment-approach-to-welfare/stakeholder-engagement" TargetMode="External"/><Relationship Id="rId2" Type="http://schemas.openxmlformats.org/officeDocument/2006/relationships/numbering" Target="numbering.xml"/><Relationship Id="rId16" Type="http://schemas.openxmlformats.org/officeDocument/2006/relationships/hyperlink" Target="https://www.grant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ventbrite.com.au/e/try-test-and-learn-fund-tranche-two-information-session-western-sydney-tickets-44242684059" TargetMode="External"/><Relationship Id="rId5" Type="http://schemas.openxmlformats.org/officeDocument/2006/relationships/webSettings" Target="webSettings.xml"/><Relationship Id="rId15" Type="http://schemas.openxmlformats.org/officeDocument/2006/relationships/hyperlink" Target="https://www.communitygrants.gov.au/grants" TargetMode="External"/><Relationship Id="rId10" Type="http://schemas.openxmlformats.org/officeDocument/2006/relationships/hyperlink" Target="https://www.eventbrite.com.au/e/try-test-and-learn-fund-tranche-two-information-session-canberra-tickets-442120935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au/e/try-test-and-learn-fund-tranche-two-information-session-perth-tickets-44211989250" TargetMode="External"/><Relationship Id="rId14" Type="http://schemas.openxmlformats.org/officeDocument/2006/relationships/hyperlink" Target="file:///C:\Users\sl0030\AppData\Local\Microsoft\Windows\INetCache\Content.Outlook\KFVQA1Z8\try-test-and-learn-fund-tranche-two-information-session-wagga-wagga-tickets-44242717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C054-6F22-42EA-88CF-8423A63D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LAMERTON, Siobhan</dc:creator>
  <cp:keywords/>
  <dc:description/>
  <cp:lastModifiedBy>STANTON, Kelly</cp:lastModifiedBy>
  <cp:revision>2</cp:revision>
  <cp:lastPrinted>2018-04-03T01:24:00Z</cp:lastPrinted>
  <dcterms:created xsi:type="dcterms:W3CDTF">2018-04-04T03:38:00Z</dcterms:created>
  <dcterms:modified xsi:type="dcterms:W3CDTF">2018-04-04T03:38:00Z</dcterms:modified>
</cp:coreProperties>
</file>