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CA" w:rsidRDefault="00583BCA" w:rsidP="006709D5">
      <w:pPr>
        <w:jc w:val="right"/>
        <w:rPr>
          <w:b/>
          <w:bCs/>
        </w:rPr>
      </w:pPr>
    </w:p>
    <w:p w:rsidR="00473B4D" w:rsidRPr="00FC143A" w:rsidRDefault="00473B4D" w:rsidP="00473B4D">
      <w:pPr>
        <w:pStyle w:val="Title"/>
        <w:ind w:left="-709"/>
        <w:rPr>
          <w:i/>
          <w:iCs/>
          <w:smallCaps/>
          <w:spacing w:val="0"/>
        </w:rPr>
      </w:pPr>
      <w:r>
        <w:rPr>
          <w:spacing w:val="0"/>
        </w:rPr>
        <w:t>Gender Equality Action Plan 2017 - 2020</w:t>
      </w:r>
    </w:p>
    <w:p w:rsidR="00473B4D" w:rsidRDefault="00473B4D" w:rsidP="00473B4D">
      <w:pPr>
        <w:spacing w:before="800"/>
        <w:ind w:left="-709"/>
        <w:rPr>
          <w:i/>
          <w:iCs/>
          <w:smallCaps/>
        </w:rPr>
      </w:pPr>
    </w:p>
    <w:p w:rsidR="004C2F76" w:rsidRDefault="004C2F76" w:rsidP="00473B4D">
      <w:pPr>
        <w:spacing w:before="800"/>
        <w:ind w:left="-709"/>
        <w:rPr>
          <w:i/>
          <w:iCs/>
          <w:smallCaps/>
        </w:rPr>
        <w:sectPr w:rsidR="004C2F76" w:rsidSect="007F0738">
          <w:headerReference w:type="default" r:id="rId9"/>
          <w:footerReference w:type="default" r:id="rId10"/>
          <w:headerReference w:type="first" r:id="rId11"/>
          <w:footerReference w:type="first" r:id="rId12"/>
          <w:pgSz w:w="11906" w:h="16838" w:code="9"/>
          <w:pgMar w:top="1440" w:right="1440" w:bottom="1440" w:left="1440" w:header="57" w:footer="0" w:gutter="0"/>
          <w:cols w:space="708"/>
          <w:titlePg/>
          <w:docGrid w:linePitch="360"/>
        </w:sectPr>
      </w:pPr>
    </w:p>
    <w:p w:rsidR="00473B4D" w:rsidRDefault="00473B4D" w:rsidP="00473B4D">
      <w:pPr>
        <w:pStyle w:val="TOCHeading"/>
      </w:pPr>
      <w:bookmarkStart w:id="0" w:name="_Toc395536189"/>
    </w:p>
    <w:p w:rsidR="00473B4D" w:rsidRPr="00C013D2" w:rsidRDefault="00473B4D" w:rsidP="0020618B">
      <w:pPr>
        <w:spacing w:before="100" w:beforeAutospacing="1" w:after="100" w:afterAutospacing="1" w:line="276" w:lineRule="auto"/>
        <w:rPr>
          <w:sz w:val="26"/>
          <w:szCs w:val="26"/>
        </w:rPr>
      </w:pPr>
      <w:r w:rsidRPr="00C013D2">
        <w:rPr>
          <w:sz w:val="26"/>
          <w:szCs w:val="26"/>
        </w:rPr>
        <w:t>Table of Contents</w:t>
      </w:r>
    </w:p>
    <w:p w:rsidR="00967ACD" w:rsidRDefault="00473B4D">
      <w:pPr>
        <w:pStyle w:val="TOC1"/>
        <w:rPr>
          <w:rFonts w:asciiTheme="minorHAnsi" w:eastAsiaTheme="minorEastAsia" w:hAnsiTheme="minorHAnsi" w:cstheme="minorBidi"/>
          <w:noProof/>
          <w:spacing w:val="0"/>
          <w:sz w:val="22"/>
          <w:szCs w:val="22"/>
        </w:rPr>
      </w:pPr>
      <w:r w:rsidRPr="00C013D2">
        <w:rPr>
          <w:rFonts w:cs="Arial"/>
        </w:rPr>
        <w:fldChar w:fldCharType="begin"/>
      </w:r>
      <w:r w:rsidRPr="00C013D2">
        <w:rPr>
          <w:rFonts w:cs="Arial"/>
        </w:rPr>
        <w:instrText xml:space="preserve"> TOC \o "1-3" \h \z \u </w:instrText>
      </w:r>
      <w:r w:rsidRPr="00C013D2">
        <w:rPr>
          <w:rFonts w:cs="Arial"/>
        </w:rPr>
        <w:fldChar w:fldCharType="separate"/>
      </w:r>
      <w:hyperlink w:anchor="_Toc481135384" w:history="1">
        <w:r w:rsidR="00967ACD" w:rsidRPr="00B544B2">
          <w:rPr>
            <w:rStyle w:val="Hyperlink"/>
            <w:rFonts w:ascii="Georgia" w:hAnsi="Georgia"/>
            <w:bCs/>
            <w:noProof/>
          </w:rPr>
          <w:t>Background</w:t>
        </w:r>
        <w:r w:rsidR="00967ACD">
          <w:rPr>
            <w:noProof/>
            <w:webHidden/>
          </w:rPr>
          <w:tab/>
        </w:r>
        <w:r w:rsidR="00967ACD">
          <w:rPr>
            <w:noProof/>
            <w:webHidden/>
          </w:rPr>
          <w:fldChar w:fldCharType="begin"/>
        </w:r>
        <w:r w:rsidR="00967ACD">
          <w:rPr>
            <w:noProof/>
            <w:webHidden/>
          </w:rPr>
          <w:instrText xml:space="preserve"> PAGEREF _Toc481135384 \h </w:instrText>
        </w:r>
        <w:r w:rsidR="00967ACD">
          <w:rPr>
            <w:noProof/>
            <w:webHidden/>
          </w:rPr>
        </w:r>
        <w:r w:rsidR="00967ACD">
          <w:rPr>
            <w:noProof/>
            <w:webHidden/>
          </w:rPr>
          <w:fldChar w:fldCharType="separate"/>
        </w:r>
        <w:r w:rsidR="00967ACD">
          <w:rPr>
            <w:noProof/>
            <w:webHidden/>
          </w:rPr>
          <w:t>3</w:t>
        </w:r>
        <w:r w:rsidR="00967ACD">
          <w:rPr>
            <w:noProof/>
            <w:webHidden/>
          </w:rPr>
          <w:fldChar w:fldCharType="end"/>
        </w:r>
      </w:hyperlink>
    </w:p>
    <w:p w:rsidR="00967ACD" w:rsidRDefault="003E1988">
      <w:pPr>
        <w:pStyle w:val="TOC1"/>
        <w:rPr>
          <w:rFonts w:asciiTheme="minorHAnsi" w:eastAsiaTheme="minorEastAsia" w:hAnsiTheme="minorHAnsi" w:cstheme="minorBidi"/>
          <w:noProof/>
          <w:spacing w:val="0"/>
          <w:sz w:val="22"/>
          <w:szCs w:val="22"/>
        </w:rPr>
      </w:pPr>
      <w:hyperlink w:anchor="_Toc481135386" w:history="1">
        <w:r w:rsidR="00967ACD" w:rsidRPr="00B544B2">
          <w:rPr>
            <w:rStyle w:val="Hyperlink"/>
            <w:rFonts w:ascii="Georgia" w:hAnsi="Georgia"/>
            <w:bCs/>
            <w:noProof/>
          </w:rPr>
          <w:t>Purpose and priority areas</w:t>
        </w:r>
        <w:r w:rsidR="00967ACD">
          <w:rPr>
            <w:noProof/>
            <w:webHidden/>
          </w:rPr>
          <w:tab/>
        </w:r>
        <w:r w:rsidR="00967ACD">
          <w:rPr>
            <w:noProof/>
            <w:webHidden/>
          </w:rPr>
          <w:fldChar w:fldCharType="begin"/>
        </w:r>
        <w:r w:rsidR="00967ACD">
          <w:rPr>
            <w:noProof/>
            <w:webHidden/>
          </w:rPr>
          <w:instrText xml:space="preserve"> PAGEREF _Toc481135386 \h </w:instrText>
        </w:r>
        <w:r w:rsidR="00967ACD">
          <w:rPr>
            <w:noProof/>
            <w:webHidden/>
          </w:rPr>
        </w:r>
        <w:r w:rsidR="00967ACD">
          <w:rPr>
            <w:noProof/>
            <w:webHidden/>
          </w:rPr>
          <w:fldChar w:fldCharType="separate"/>
        </w:r>
        <w:r w:rsidR="00967ACD">
          <w:rPr>
            <w:noProof/>
            <w:webHidden/>
          </w:rPr>
          <w:t>5</w:t>
        </w:r>
        <w:r w:rsidR="00967ACD">
          <w:rPr>
            <w:noProof/>
            <w:webHidden/>
          </w:rPr>
          <w:fldChar w:fldCharType="end"/>
        </w:r>
      </w:hyperlink>
    </w:p>
    <w:p w:rsidR="00967ACD" w:rsidRDefault="003E1988">
      <w:pPr>
        <w:pStyle w:val="TOC1"/>
        <w:rPr>
          <w:rFonts w:asciiTheme="minorHAnsi" w:eastAsiaTheme="minorEastAsia" w:hAnsiTheme="minorHAnsi" w:cstheme="minorBidi"/>
          <w:noProof/>
          <w:spacing w:val="0"/>
          <w:sz w:val="22"/>
          <w:szCs w:val="22"/>
        </w:rPr>
      </w:pPr>
      <w:hyperlink w:anchor="_Toc481135387" w:history="1">
        <w:r w:rsidR="00967ACD" w:rsidRPr="00B544B2">
          <w:rPr>
            <w:rStyle w:val="Hyperlink"/>
            <w:rFonts w:ascii="Georgia" w:hAnsi="Georgia"/>
            <w:bCs/>
            <w:noProof/>
          </w:rPr>
          <w:t>Current State</w:t>
        </w:r>
        <w:r w:rsidR="00967ACD">
          <w:rPr>
            <w:noProof/>
            <w:webHidden/>
          </w:rPr>
          <w:tab/>
        </w:r>
        <w:r w:rsidR="00967ACD">
          <w:rPr>
            <w:noProof/>
            <w:webHidden/>
          </w:rPr>
          <w:fldChar w:fldCharType="begin"/>
        </w:r>
        <w:r w:rsidR="00967ACD">
          <w:rPr>
            <w:noProof/>
            <w:webHidden/>
          </w:rPr>
          <w:instrText xml:space="preserve"> PAGEREF _Toc481135387 \h </w:instrText>
        </w:r>
        <w:r w:rsidR="00967ACD">
          <w:rPr>
            <w:noProof/>
            <w:webHidden/>
          </w:rPr>
        </w:r>
        <w:r w:rsidR="00967ACD">
          <w:rPr>
            <w:noProof/>
            <w:webHidden/>
          </w:rPr>
          <w:fldChar w:fldCharType="separate"/>
        </w:r>
        <w:r w:rsidR="00967ACD">
          <w:rPr>
            <w:noProof/>
            <w:webHidden/>
          </w:rPr>
          <w:t>5</w:t>
        </w:r>
        <w:r w:rsidR="00967ACD">
          <w:rPr>
            <w:noProof/>
            <w:webHidden/>
          </w:rPr>
          <w:fldChar w:fldCharType="end"/>
        </w:r>
      </w:hyperlink>
    </w:p>
    <w:p w:rsidR="00967ACD" w:rsidRDefault="003E1988">
      <w:pPr>
        <w:pStyle w:val="TOC1"/>
        <w:rPr>
          <w:rFonts w:asciiTheme="minorHAnsi" w:eastAsiaTheme="minorEastAsia" w:hAnsiTheme="minorHAnsi" w:cstheme="minorBidi"/>
          <w:noProof/>
          <w:spacing w:val="0"/>
          <w:sz w:val="22"/>
          <w:szCs w:val="22"/>
        </w:rPr>
      </w:pPr>
      <w:hyperlink w:anchor="_Toc481135388" w:history="1">
        <w:r w:rsidR="00967ACD" w:rsidRPr="00B544B2">
          <w:rPr>
            <w:rStyle w:val="Hyperlink"/>
            <w:rFonts w:ascii="Georgia" w:hAnsi="Georgia"/>
            <w:bCs/>
            <w:noProof/>
          </w:rPr>
          <w:t>Measurement and evaluation</w:t>
        </w:r>
        <w:r w:rsidR="00967ACD">
          <w:rPr>
            <w:noProof/>
            <w:webHidden/>
          </w:rPr>
          <w:tab/>
        </w:r>
        <w:r w:rsidR="00967ACD">
          <w:rPr>
            <w:noProof/>
            <w:webHidden/>
          </w:rPr>
          <w:fldChar w:fldCharType="begin"/>
        </w:r>
        <w:r w:rsidR="00967ACD">
          <w:rPr>
            <w:noProof/>
            <w:webHidden/>
          </w:rPr>
          <w:instrText xml:space="preserve"> PAGEREF _Toc481135388 \h </w:instrText>
        </w:r>
        <w:r w:rsidR="00967ACD">
          <w:rPr>
            <w:noProof/>
            <w:webHidden/>
          </w:rPr>
        </w:r>
        <w:r w:rsidR="00967ACD">
          <w:rPr>
            <w:noProof/>
            <w:webHidden/>
          </w:rPr>
          <w:fldChar w:fldCharType="separate"/>
        </w:r>
        <w:r w:rsidR="00967ACD">
          <w:rPr>
            <w:noProof/>
            <w:webHidden/>
          </w:rPr>
          <w:t>11</w:t>
        </w:r>
        <w:r w:rsidR="00967ACD">
          <w:rPr>
            <w:noProof/>
            <w:webHidden/>
          </w:rPr>
          <w:fldChar w:fldCharType="end"/>
        </w:r>
      </w:hyperlink>
    </w:p>
    <w:p w:rsidR="00967ACD" w:rsidRDefault="003E1988">
      <w:pPr>
        <w:pStyle w:val="TOC1"/>
        <w:rPr>
          <w:rFonts w:asciiTheme="minorHAnsi" w:eastAsiaTheme="minorEastAsia" w:hAnsiTheme="minorHAnsi" w:cstheme="minorBidi"/>
          <w:noProof/>
          <w:spacing w:val="0"/>
          <w:sz w:val="22"/>
          <w:szCs w:val="22"/>
        </w:rPr>
      </w:pPr>
      <w:hyperlink w:anchor="_Toc481135389" w:history="1">
        <w:r w:rsidR="00967ACD" w:rsidRPr="00B544B2">
          <w:rPr>
            <w:rStyle w:val="Hyperlink"/>
            <w:rFonts w:ascii="Georgia" w:hAnsi="Georgia"/>
            <w:bCs/>
            <w:noProof/>
          </w:rPr>
          <w:t>Glossary – Attachment A</w:t>
        </w:r>
        <w:r w:rsidR="00967ACD">
          <w:rPr>
            <w:noProof/>
            <w:webHidden/>
          </w:rPr>
          <w:tab/>
        </w:r>
        <w:r w:rsidR="00967ACD">
          <w:rPr>
            <w:noProof/>
            <w:webHidden/>
          </w:rPr>
          <w:fldChar w:fldCharType="begin"/>
        </w:r>
        <w:r w:rsidR="00967ACD">
          <w:rPr>
            <w:noProof/>
            <w:webHidden/>
          </w:rPr>
          <w:instrText xml:space="preserve"> PAGEREF _Toc481135389 \h </w:instrText>
        </w:r>
        <w:r w:rsidR="00967ACD">
          <w:rPr>
            <w:noProof/>
            <w:webHidden/>
          </w:rPr>
        </w:r>
        <w:r w:rsidR="00967ACD">
          <w:rPr>
            <w:noProof/>
            <w:webHidden/>
          </w:rPr>
          <w:fldChar w:fldCharType="separate"/>
        </w:r>
        <w:r w:rsidR="00967ACD">
          <w:rPr>
            <w:noProof/>
            <w:webHidden/>
          </w:rPr>
          <w:t>12</w:t>
        </w:r>
        <w:r w:rsidR="00967ACD">
          <w:rPr>
            <w:noProof/>
            <w:webHidden/>
          </w:rPr>
          <w:fldChar w:fldCharType="end"/>
        </w:r>
      </w:hyperlink>
    </w:p>
    <w:p w:rsidR="00473B4D" w:rsidRDefault="00473B4D" w:rsidP="00473B4D">
      <w:pPr>
        <w:spacing w:before="100" w:beforeAutospacing="1" w:after="100" w:afterAutospacing="1"/>
      </w:pPr>
      <w:r w:rsidRPr="00C013D2">
        <w:rPr>
          <w:rFonts w:cs="Arial"/>
          <w:b/>
          <w:bCs/>
          <w:noProof/>
        </w:rPr>
        <w:fldChar w:fldCharType="end"/>
      </w:r>
    </w:p>
    <w:p w:rsidR="00473B4D" w:rsidRPr="00473B4D" w:rsidRDefault="00473B4D" w:rsidP="00473B4D">
      <w:pPr>
        <w:spacing w:before="0" w:after="200" w:line="276" w:lineRule="auto"/>
        <w:rPr>
          <w:rFonts w:ascii="Georgia" w:hAnsi="Georgia"/>
          <w:bCs/>
          <w:color w:val="500778"/>
          <w:sz w:val="36"/>
          <w:szCs w:val="28"/>
        </w:rPr>
      </w:pPr>
      <w:r w:rsidRPr="00473B4D">
        <w:rPr>
          <w:rFonts w:ascii="Georgia" w:hAnsi="Georgia"/>
          <w:bCs/>
          <w:color w:val="500778"/>
          <w:sz w:val="36"/>
          <w:szCs w:val="28"/>
        </w:rPr>
        <w:br w:type="page"/>
      </w:r>
    </w:p>
    <w:p w:rsidR="00473B4D" w:rsidRPr="006B457E" w:rsidRDefault="00473B4D" w:rsidP="003044AA">
      <w:pPr>
        <w:pStyle w:val="Heading1"/>
        <w:keepNext w:val="0"/>
        <w:spacing w:before="360" w:after="120"/>
        <w:contextualSpacing/>
        <w:rPr>
          <w:rFonts w:ascii="Georgia" w:hAnsi="Georgia"/>
          <w:b w:val="0"/>
          <w:bCs/>
          <w:color w:val="500778"/>
          <w:spacing w:val="4"/>
          <w:kern w:val="0"/>
          <w:sz w:val="36"/>
          <w:szCs w:val="28"/>
          <w:lang w:eastAsia="en-AU"/>
        </w:rPr>
      </w:pPr>
      <w:bookmarkStart w:id="1" w:name="_Toc481135384"/>
      <w:r w:rsidRPr="006B457E">
        <w:rPr>
          <w:rFonts w:ascii="Georgia" w:hAnsi="Georgia"/>
          <w:b w:val="0"/>
          <w:bCs/>
          <w:color w:val="500778"/>
          <w:spacing w:val="4"/>
          <w:kern w:val="0"/>
          <w:sz w:val="36"/>
          <w:szCs w:val="28"/>
          <w:lang w:eastAsia="en-AU"/>
        </w:rPr>
        <w:lastRenderedPageBreak/>
        <w:t>Background</w:t>
      </w:r>
      <w:bookmarkEnd w:id="1"/>
    </w:p>
    <w:p w:rsidR="00473B4D" w:rsidRDefault="00473B4D" w:rsidP="00473B4D">
      <w:pPr>
        <w:spacing w:before="0" w:after="200" w:line="276" w:lineRule="auto"/>
      </w:pPr>
      <w:r w:rsidRPr="002E426D">
        <w:rPr>
          <w:i/>
        </w:rPr>
        <w:t xml:space="preserve">Balancing the Future: Australian Public Service Gender Equality </w:t>
      </w:r>
      <w:r>
        <w:rPr>
          <w:i/>
        </w:rPr>
        <w:t xml:space="preserve">Strategy </w:t>
      </w:r>
      <w:r w:rsidRPr="002E426D">
        <w:rPr>
          <w:i/>
        </w:rPr>
        <w:t>2016-19</w:t>
      </w:r>
      <w:r>
        <w:t xml:space="preserve"> (the Strategy) sets out actions </w:t>
      </w:r>
      <w:r w:rsidR="00FB0F81">
        <w:t>on changing culture through leadership, flexibility and innovation.  It focuses on</w:t>
      </w:r>
      <w:r>
        <w:t xml:space="preserve"> driving high performance and boosting productivity in the Aus</w:t>
      </w:r>
      <w:r w:rsidR="00C013D2">
        <w:t>tralian Public Service (APS)</w:t>
      </w:r>
      <w:r w:rsidR="00967ACD">
        <w:t>.</w:t>
      </w:r>
      <w:r w:rsidR="00C013D2">
        <w:t xml:space="preserve"> </w:t>
      </w:r>
      <w:r>
        <w:t xml:space="preserve">The Strategy is one of several actions to support the Government’s </w:t>
      </w:r>
      <w:r w:rsidRPr="001C6C14">
        <w:t>G20</w:t>
      </w:r>
      <w:r>
        <w:t xml:space="preserve"> commitment to reduce the gender gap in workforce participation by 25 per cent by 2025.</w:t>
      </w:r>
    </w:p>
    <w:p w:rsidR="00D82EA9" w:rsidRDefault="007E04D8" w:rsidP="00D82EA9">
      <w:pPr>
        <w:spacing w:before="0" w:after="200" w:line="276" w:lineRule="auto"/>
      </w:pPr>
      <w:r>
        <w:t>T</w:t>
      </w:r>
      <w:r w:rsidR="00473B4D" w:rsidRPr="008751C6">
        <w:t xml:space="preserve">he Secretaries Equality and Diversity Council </w:t>
      </w:r>
      <w:r w:rsidR="00744234">
        <w:t>has committed</w:t>
      </w:r>
      <w:r w:rsidR="00473B4D" w:rsidRPr="008751C6">
        <w:t xml:space="preserve"> each </w:t>
      </w:r>
      <w:r w:rsidR="00473B4D">
        <w:t xml:space="preserve">agency </w:t>
      </w:r>
      <w:r w:rsidR="00473B4D" w:rsidRPr="008751C6">
        <w:t>to develop</w:t>
      </w:r>
      <w:r w:rsidR="00744234">
        <w:t>ing</w:t>
      </w:r>
      <w:r w:rsidR="00473B4D" w:rsidRPr="008751C6">
        <w:t xml:space="preserve"> a Gender Equ</w:t>
      </w:r>
      <w:r w:rsidR="007733B7">
        <w:t>al</w:t>
      </w:r>
      <w:r w:rsidR="00473B4D" w:rsidRPr="008751C6">
        <w:t>ity Action Plan (Action Plan). Th</w:t>
      </w:r>
      <w:r w:rsidR="00473B4D">
        <w:t>is</w:t>
      </w:r>
      <w:r w:rsidR="00473B4D" w:rsidRPr="008751C6">
        <w:t xml:space="preserve"> Action Plan </w:t>
      </w:r>
      <w:r w:rsidR="00473B4D">
        <w:t xml:space="preserve">aligns with </w:t>
      </w:r>
      <w:r w:rsidR="00473B4D" w:rsidRPr="008751C6">
        <w:t xml:space="preserve">the </w:t>
      </w:r>
      <w:r w:rsidR="00473B4D">
        <w:t xml:space="preserve">APS </w:t>
      </w:r>
      <w:r w:rsidR="00473B4D" w:rsidRPr="008751C6">
        <w:t xml:space="preserve">Strategy and </w:t>
      </w:r>
      <w:r w:rsidR="00473B4D">
        <w:t xml:space="preserve">is informed by </w:t>
      </w:r>
      <w:r w:rsidR="00C013D2">
        <w:t xml:space="preserve">the Workplace Gender Equality Agency’s </w:t>
      </w:r>
      <w:r w:rsidR="00BD5417">
        <w:t>(WG</w:t>
      </w:r>
      <w:r w:rsidR="00967ACD">
        <w:t>E</w:t>
      </w:r>
      <w:r w:rsidR="00BD5417">
        <w:t xml:space="preserve">A) </w:t>
      </w:r>
      <w:r w:rsidR="00C013D2">
        <w:t>diagnostic tool.</w:t>
      </w:r>
      <w:r w:rsidR="000453D9">
        <w:t xml:space="preserve">  The Action Plan builds on </w:t>
      </w:r>
      <w:r w:rsidR="00D82EA9">
        <w:t xml:space="preserve">the Department’s </w:t>
      </w:r>
      <w:r w:rsidR="000453D9">
        <w:t>existing framework and commitment to diversity and inclusion</w:t>
      </w:r>
      <w:r w:rsidR="00D82EA9">
        <w:t>, enhancing our existing gender equality and culture where all employees are able to receive and enjoy the same rewards, resources and opportunities regardless of their gender identity. Women are strongly represented across the social services sector and</w:t>
      </w:r>
      <w:r w:rsidR="0067613C">
        <w:t xml:space="preserve"> DSS’s workforce reflects this for </w:t>
      </w:r>
      <w:r w:rsidR="00D82EA9">
        <w:t xml:space="preserve">both APS and SES </w:t>
      </w:r>
      <w:r w:rsidR="0067613C">
        <w:t>employees,</w:t>
      </w:r>
      <w:r w:rsidR="00D82EA9">
        <w:t xml:space="preserve"> confirm</w:t>
      </w:r>
      <w:r w:rsidR="0067613C">
        <w:t>ing</w:t>
      </w:r>
      <w:r w:rsidR="00D82EA9">
        <w:t xml:space="preserve"> our ability to foster equitable and high performing workplaces.  </w:t>
      </w:r>
    </w:p>
    <w:p w:rsidR="0067613C" w:rsidRPr="005E590F" w:rsidRDefault="0067613C" w:rsidP="005E590F">
      <w:pPr>
        <w:pStyle w:val="Heading1"/>
        <w:keepNext w:val="0"/>
        <w:spacing w:before="360" w:after="120"/>
        <w:contextualSpacing/>
        <w:rPr>
          <w:rFonts w:ascii="Georgia" w:hAnsi="Georgia"/>
          <w:bCs/>
          <w:color w:val="500778"/>
          <w:spacing w:val="4"/>
          <w:sz w:val="28"/>
          <w:szCs w:val="28"/>
          <w:u w:val="single"/>
          <w:lang w:eastAsia="en-AU"/>
        </w:rPr>
      </w:pPr>
      <w:bookmarkStart w:id="2" w:name="_Toc481135385"/>
      <w:r w:rsidRPr="005E590F">
        <w:rPr>
          <w:rFonts w:ascii="Georgia" w:hAnsi="Georgia"/>
          <w:b w:val="0"/>
          <w:bCs/>
          <w:color w:val="500778"/>
          <w:spacing w:val="4"/>
          <w:kern w:val="0"/>
          <w:sz w:val="28"/>
          <w:szCs w:val="28"/>
          <w:u w:val="single"/>
          <w:lang w:eastAsia="en-AU"/>
        </w:rPr>
        <w:t>Assessment against the WGEA Gender Equality Diagnostic Tool</w:t>
      </w:r>
      <w:bookmarkEnd w:id="2"/>
    </w:p>
    <w:p w:rsidR="00663F3C" w:rsidRDefault="00C013D2" w:rsidP="00473B4D">
      <w:pPr>
        <w:spacing w:before="0" w:after="200" w:line="276" w:lineRule="auto"/>
      </w:pPr>
      <w:r>
        <w:t xml:space="preserve">In October 2016, </w:t>
      </w:r>
      <w:r w:rsidR="00106B61">
        <w:t xml:space="preserve">the Department assessed itself against the </w:t>
      </w:r>
      <w:r w:rsidR="0067613C">
        <w:t xml:space="preserve">WGEA </w:t>
      </w:r>
      <w:r w:rsidR="00663F3C" w:rsidRPr="00CF6CF2">
        <w:t>Gender Equality Diagnostic Tool</w:t>
      </w:r>
      <w:r w:rsidR="00663F3C" w:rsidRPr="00AC2E3A">
        <w:t>,</w:t>
      </w:r>
      <w:r w:rsidR="00663F3C">
        <w:t xml:space="preserve"> achieving </w:t>
      </w:r>
      <w:r w:rsidR="00106B61" w:rsidRPr="00106B61">
        <w:t>a total score of 43 out of a possible 60, with an aggregate score of four</w:t>
      </w:r>
      <w:r w:rsidR="00014436">
        <w:t xml:space="preserve"> – </w:t>
      </w:r>
      <w:r w:rsidR="00014436" w:rsidRPr="00CF6CF2">
        <w:rPr>
          <w:b/>
        </w:rPr>
        <w:t xml:space="preserve">Integrated </w:t>
      </w:r>
      <w:r w:rsidR="00014436">
        <w:t xml:space="preserve">on the </w:t>
      </w:r>
      <w:r w:rsidR="00014436" w:rsidRPr="00CF6CF2">
        <w:rPr>
          <w:b/>
        </w:rPr>
        <w:t xml:space="preserve">Gender Equality </w:t>
      </w:r>
      <w:r w:rsidR="00AC2E3A">
        <w:rPr>
          <w:b/>
        </w:rPr>
        <w:t>R</w:t>
      </w:r>
      <w:r w:rsidR="00014436" w:rsidRPr="00CF6CF2">
        <w:rPr>
          <w:b/>
        </w:rPr>
        <w:t>oadmap</w:t>
      </w:r>
      <w:r w:rsidR="00014436">
        <w:t xml:space="preserve">. Organisations in the </w:t>
      </w:r>
      <w:r w:rsidR="00AC2E3A" w:rsidRPr="00690105">
        <w:t>I</w:t>
      </w:r>
      <w:r w:rsidR="00014436" w:rsidRPr="00690105">
        <w:t xml:space="preserve">ntegrated </w:t>
      </w:r>
      <w:r w:rsidR="00014436">
        <w:t>phase can demonstrate that gender equality is internalised within their systems:</w:t>
      </w:r>
    </w:p>
    <w:p w:rsidR="00014436" w:rsidRDefault="00014436" w:rsidP="00014436">
      <w:pPr>
        <w:pStyle w:val="ListParagraph"/>
        <w:numPr>
          <w:ilvl w:val="0"/>
          <w:numId w:val="33"/>
        </w:numPr>
        <w:spacing w:line="276" w:lineRule="auto"/>
        <w:jc w:val="left"/>
        <w:rPr>
          <w:sz w:val="24"/>
          <w:szCs w:val="24"/>
        </w:rPr>
      </w:pPr>
      <w:r>
        <w:rPr>
          <w:sz w:val="24"/>
          <w:szCs w:val="24"/>
        </w:rPr>
        <w:t>Gender equality best practice is integrated in business and people polices and processes</w:t>
      </w:r>
    </w:p>
    <w:p w:rsidR="00014436" w:rsidRDefault="00014436" w:rsidP="00014436">
      <w:pPr>
        <w:pStyle w:val="ListParagraph"/>
        <w:numPr>
          <w:ilvl w:val="0"/>
          <w:numId w:val="33"/>
        </w:numPr>
        <w:spacing w:line="276" w:lineRule="auto"/>
        <w:jc w:val="left"/>
        <w:rPr>
          <w:sz w:val="24"/>
          <w:szCs w:val="24"/>
        </w:rPr>
      </w:pPr>
      <w:r>
        <w:rPr>
          <w:sz w:val="24"/>
          <w:szCs w:val="24"/>
        </w:rPr>
        <w:t>The business case for gender equality is understood and embraced at all organisational levels</w:t>
      </w:r>
    </w:p>
    <w:p w:rsidR="00014436" w:rsidRDefault="00014436" w:rsidP="00014436">
      <w:pPr>
        <w:pStyle w:val="ListParagraph"/>
        <w:numPr>
          <w:ilvl w:val="0"/>
          <w:numId w:val="33"/>
        </w:numPr>
        <w:spacing w:line="276" w:lineRule="auto"/>
        <w:jc w:val="left"/>
        <w:rPr>
          <w:sz w:val="24"/>
          <w:szCs w:val="24"/>
        </w:rPr>
      </w:pPr>
      <w:r>
        <w:rPr>
          <w:sz w:val="24"/>
          <w:szCs w:val="24"/>
        </w:rPr>
        <w:t>Commitment to and investment in gender equality</w:t>
      </w:r>
      <w:r w:rsidR="002B28E0">
        <w:rPr>
          <w:sz w:val="24"/>
          <w:szCs w:val="24"/>
        </w:rPr>
        <w:t xml:space="preserve"> progress is unaffected by business challenges</w:t>
      </w:r>
    </w:p>
    <w:p w:rsidR="002B28E0" w:rsidRPr="00014436" w:rsidRDefault="002B28E0" w:rsidP="00014436">
      <w:pPr>
        <w:pStyle w:val="ListParagraph"/>
        <w:numPr>
          <w:ilvl w:val="0"/>
          <w:numId w:val="33"/>
        </w:numPr>
        <w:spacing w:line="276" w:lineRule="auto"/>
        <w:jc w:val="left"/>
        <w:rPr>
          <w:sz w:val="24"/>
          <w:szCs w:val="24"/>
        </w:rPr>
      </w:pPr>
      <w:r>
        <w:rPr>
          <w:sz w:val="24"/>
          <w:szCs w:val="24"/>
        </w:rPr>
        <w:t>Structural and cultural barriers to female career progression are actively challenged and addressed</w:t>
      </w:r>
    </w:p>
    <w:p w:rsidR="00BD5417" w:rsidRDefault="00BD5417">
      <w:pPr>
        <w:spacing w:before="0"/>
      </w:pPr>
      <w:r>
        <w:br w:type="page"/>
      </w:r>
    </w:p>
    <w:p w:rsidR="00F67C97" w:rsidRDefault="00106B61" w:rsidP="00473B4D">
      <w:pPr>
        <w:spacing w:before="0" w:after="200" w:line="276" w:lineRule="auto"/>
      </w:pPr>
      <w:r>
        <w:lastRenderedPageBreak/>
        <w:t xml:space="preserve">DSS </w:t>
      </w:r>
      <w:r w:rsidR="002B28E0">
        <w:t xml:space="preserve">general equality maturity was assessed across </w:t>
      </w:r>
      <w:r w:rsidR="00CB50DE">
        <w:t xml:space="preserve">12 </w:t>
      </w:r>
      <w:r w:rsidR="002B28E0">
        <w:t xml:space="preserve">key focus </w:t>
      </w:r>
      <w:r w:rsidR="00CB50DE">
        <w:t>areas</w:t>
      </w:r>
      <w:r w:rsidR="00B65A99">
        <w:t xml:space="preserve"> on the Gender Equality Roadmap</w:t>
      </w:r>
      <w:r w:rsidR="00CB50DE">
        <w:t>:</w:t>
      </w:r>
    </w:p>
    <w:tbl>
      <w:tblPr>
        <w:tblStyle w:val="ColorfulShading-Accent5"/>
        <w:tblW w:w="9747" w:type="dxa"/>
        <w:tblLook w:val="0400" w:firstRow="0" w:lastRow="0" w:firstColumn="0" w:lastColumn="0" w:noHBand="0" w:noVBand="1"/>
      </w:tblPr>
      <w:tblGrid>
        <w:gridCol w:w="3082"/>
        <w:gridCol w:w="3190"/>
        <w:gridCol w:w="3475"/>
      </w:tblGrid>
      <w:tr w:rsidR="0092537C" w:rsidRPr="002B28E0" w:rsidTr="00225FE4">
        <w:trPr>
          <w:cnfStyle w:val="000000100000" w:firstRow="0" w:lastRow="0" w:firstColumn="0" w:lastColumn="0" w:oddVBand="0" w:evenVBand="0" w:oddHBand="1" w:evenHBand="0" w:firstRowFirstColumn="0" w:firstRowLastColumn="0" w:lastRowFirstColumn="0" w:lastRowLastColumn="0"/>
        </w:trPr>
        <w:tc>
          <w:tcPr>
            <w:tcW w:w="9747" w:type="dxa"/>
            <w:gridSpan w:val="3"/>
            <w:shd w:val="clear" w:color="auto" w:fill="B2A1C7" w:themeFill="accent4" w:themeFillTint="99"/>
          </w:tcPr>
          <w:p w:rsidR="0092537C" w:rsidRPr="0092537C" w:rsidRDefault="0092537C" w:rsidP="0092537C">
            <w:pPr>
              <w:tabs>
                <w:tab w:val="left" w:pos="5812"/>
              </w:tabs>
              <w:spacing w:line="276" w:lineRule="auto"/>
              <w:jc w:val="center"/>
              <w:rPr>
                <w:b/>
                <w:szCs w:val="24"/>
              </w:rPr>
            </w:pPr>
            <w:r w:rsidRPr="0092537C">
              <w:rPr>
                <w:b/>
                <w:szCs w:val="24"/>
              </w:rPr>
              <w:t>Gender Equality Roadmap</w:t>
            </w:r>
          </w:p>
        </w:tc>
      </w:tr>
      <w:tr w:rsidR="0092537C" w:rsidRPr="002B28E0" w:rsidTr="00225FE4">
        <w:tc>
          <w:tcPr>
            <w:tcW w:w="3082" w:type="dxa"/>
            <w:shd w:val="clear" w:color="auto" w:fill="auto"/>
          </w:tcPr>
          <w:p w:rsidR="0092537C" w:rsidRPr="00090B88" w:rsidRDefault="00B65A99" w:rsidP="00B65A99">
            <w:pPr>
              <w:tabs>
                <w:tab w:val="left" w:pos="5812"/>
              </w:tabs>
              <w:spacing w:line="276" w:lineRule="auto"/>
              <w:jc w:val="center"/>
              <w:rPr>
                <w:b/>
                <w:sz w:val="20"/>
              </w:rPr>
            </w:pPr>
            <w:r>
              <w:rPr>
                <w:b/>
                <w:sz w:val="20"/>
              </w:rPr>
              <w:t>Focus area</w:t>
            </w:r>
          </w:p>
        </w:tc>
        <w:tc>
          <w:tcPr>
            <w:tcW w:w="3190" w:type="dxa"/>
            <w:shd w:val="clear" w:color="auto" w:fill="auto"/>
          </w:tcPr>
          <w:p w:rsidR="0092537C" w:rsidRPr="00B65A99" w:rsidRDefault="0092537C" w:rsidP="00B65A99">
            <w:pPr>
              <w:tabs>
                <w:tab w:val="left" w:pos="5812"/>
              </w:tabs>
              <w:spacing w:line="276" w:lineRule="auto"/>
              <w:jc w:val="center"/>
              <w:rPr>
                <w:b/>
                <w:sz w:val="20"/>
              </w:rPr>
            </w:pPr>
            <w:r w:rsidRPr="00B65A99">
              <w:rPr>
                <w:b/>
                <w:sz w:val="20"/>
              </w:rPr>
              <w:t>Roadmap phase</w:t>
            </w:r>
          </w:p>
        </w:tc>
        <w:tc>
          <w:tcPr>
            <w:tcW w:w="3475" w:type="dxa"/>
            <w:shd w:val="clear" w:color="auto" w:fill="auto"/>
          </w:tcPr>
          <w:p w:rsidR="0092537C" w:rsidRPr="00B65A99" w:rsidRDefault="0092537C" w:rsidP="00B65A99">
            <w:pPr>
              <w:tabs>
                <w:tab w:val="left" w:pos="5812"/>
              </w:tabs>
              <w:spacing w:line="276" w:lineRule="auto"/>
              <w:jc w:val="center"/>
              <w:rPr>
                <w:b/>
                <w:sz w:val="20"/>
              </w:rPr>
            </w:pPr>
            <w:r w:rsidRPr="00B65A99">
              <w:rPr>
                <w:b/>
                <w:sz w:val="20"/>
              </w:rPr>
              <w:t>Roadmap signposts</w:t>
            </w:r>
          </w:p>
        </w:tc>
      </w:tr>
      <w:tr w:rsidR="000E2E1F" w:rsidRPr="002B28E0" w:rsidTr="00690105">
        <w:trPr>
          <w:cnfStyle w:val="000000100000" w:firstRow="0" w:lastRow="0" w:firstColumn="0" w:lastColumn="0" w:oddVBand="0" w:evenVBand="0" w:oddHBand="1" w:evenHBand="0" w:firstRowFirstColumn="0" w:firstRowLastColumn="0" w:lastRowFirstColumn="0" w:lastRowLastColumn="0"/>
        </w:trPr>
        <w:tc>
          <w:tcPr>
            <w:tcW w:w="3082" w:type="dxa"/>
            <w:shd w:val="clear" w:color="auto" w:fill="B6DDE8" w:themeFill="accent5" w:themeFillTint="66"/>
          </w:tcPr>
          <w:p w:rsidR="000E2E1F" w:rsidRPr="00090B88" w:rsidRDefault="000E2E1F" w:rsidP="00CA7788">
            <w:pPr>
              <w:tabs>
                <w:tab w:val="left" w:pos="5812"/>
              </w:tabs>
              <w:spacing w:line="276" w:lineRule="auto"/>
              <w:rPr>
                <w:b/>
                <w:sz w:val="20"/>
              </w:rPr>
            </w:pPr>
            <w:r w:rsidRPr="00090B88">
              <w:rPr>
                <w:b/>
                <w:sz w:val="20"/>
              </w:rPr>
              <w:t xml:space="preserve">Policy and Processes  </w:t>
            </w:r>
          </w:p>
        </w:tc>
        <w:tc>
          <w:tcPr>
            <w:tcW w:w="3190" w:type="dxa"/>
            <w:vMerge w:val="restart"/>
            <w:shd w:val="clear" w:color="auto" w:fill="B6DDE8" w:themeFill="accent5" w:themeFillTint="66"/>
          </w:tcPr>
          <w:p w:rsidR="000E2E1F" w:rsidRPr="00225FE4" w:rsidRDefault="000E2E1F" w:rsidP="00663F3C">
            <w:pPr>
              <w:tabs>
                <w:tab w:val="left" w:pos="5812"/>
              </w:tabs>
              <w:jc w:val="center"/>
              <w:rPr>
                <w:b/>
                <w:sz w:val="20"/>
              </w:rPr>
            </w:pPr>
            <w:r w:rsidRPr="00225FE4">
              <w:rPr>
                <w:b/>
                <w:sz w:val="20"/>
              </w:rPr>
              <w:t>Sustainable</w:t>
            </w:r>
          </w:p>
          <w:p w:rsidR="000E2E1F" w:rsidRPr="002B28E0" w:rsidRDefault="000E2E1F" w:rsidP="00016156">
            <w:pPr>
              <w:tabs>
                <w:tab w:val="left" w:pos="5812"/>
              </w:tabs>
              <w:rPr>
                <w:sz w:val="20"/>
              </w:rPr>
            </w:pPr>
          </w:p>
        </w:tc>
        <w:tc>
          <w:tcPr>
            <w:tcW w:w="3475" w:type="dxa"/>
            <w:shd w:val="clear" w:color="auto" w:fill="B6DDE8" w:themeFill="accent5" w:themeFillTint="66"/>
          </w:tcPr>
          <w:p w:rsidR="000E2E1F" w:rsidRPr="002B28E0" w:rsidRDefault="009E354C" w:rsidP="00CA7788">
            <w:pPr>
              <w:tabs>
                <w:tab w:val="left" w:pos="5812"/>
              </w:tabs>
              <w:spacing w:line="276" w:lineRule="auto"/>
              <w:rPr>
                <w:sz w:val="20"/>
              </w:rPr>
            </w:pPr>
            <w:r w:rsidRPr="002B28E0">
              <w:rPr>
                <w:sz w:val="20"/>
              </w:rPr>
              <w:t>Gender equality objective</w:t>
            </w:r>
            <w:r w:rsidR="0042706E">
              <w:rPr>
                <w:sz w:val="20"/>
              </w:rPr>
              <w:t>s</w:t>
            </w:r>
            <w:r w:rsidRPr="002B28E0">
              <w:rPr>
                <w:sz w:val="20"/>
              </w:rPr>
              <w:t xml:space="preserve"> are fully embedded within business and people polices and processes rather than standing alone.</w:t>
            </w:r>
          </w:p>
        </w:tc>
      </w:tr>
      <w:tr w:rsidR="000E2E1F" w:rsidRPr="002B28E0" w:rsidTr="00690105">
        <w:tc>
          <w:tcPr>
            <w:tcW w:w="3082" w:type="dxa"/>
            <w:shd w:val="clear" w:color="auto" w:fill="B6DDE8" w:themeFill="accent5" w:themeFillTint="66"/>
          </w:tcPr>
          <w:p w:rsidR="000E2E1F" w:rsidRPr="00090B88" w:rsidRDefault="000E2E1F" w:rsidP="00CA7788">
            <w:pPr>
              <w:tabs>
                <w:tab w:val="left" w:pos="5812"/>
              </w:tabs>
              <w:spacing w:line="276" w:lineRule="auto"/>
              <w:rPr>
                <w:b/>
                <w:sz w:val="20"/>
              </w:rPr>
            </w:pPr>
            <w:r w:rsidRPr="00090B88">
              <w:rPr>
                <w:b/>
                <w:sz w:val="20"/>
              </w:rPr>
              <w:t>Gender pay equity</w:t>
            </w:r>
          </w:p>
        </w:tc>
        <w:tc>
          <w:tcPr>
            <w:tcW w:w="3190" w:type="dxa"/>
            <w:vMerge/>
            <w:shd w:val="clear" w:color="auto" w:fill="B6DDE8" w:themeFill="accent5" w:themeFillTint="66"/>
          </w:tcPr>
          <w:p w:rsidR="000E2E1F" w:rsidRPr="002B28E0" w:rsidRDefault="000E2E1F" w:rsidP="00016156">
            <w:pPr>
              <w:tabs>
                <w:tab w:val="left" w:pos="5812"/>
              </w:tabs>
              <w:rPr>
                <w:sz w:val="20"/>
              </w:rPr>
            </w:pPr>
          </w:p>
        </w:tc>
        <w:tc>
          <w:tcPr>
            <w:tcW w:w="3475" w:type="dxa"/>
            <w:shd w:val="clear" w:color="auto" w:fill="B6DDE8" w:themeFill="accent5" w:themeFillTint="66"/>
          </w:tcPr>
          <w:p w:rsidR="000E2E1F" w:rsidRPr="002B28E0" w:rsidRDefault="009E354C" w:rsidP="00CA7788">
            <w:pPr>
              <w:tabs>
                <w:tab w:val="left" w:pos="5812"/>
              </w:tabs>
              <w:spacing w:line="276" w:lineRule="auto"/>
              <w:rPr>
                <w:sz w:val="20"/>
              </w:rPr>
            </w:pPr>
            <w:r w:rsidRPr="002B28E0">
              <w:rPr>
                <w:sz w:val="20"/>
              </w:rPr>
              <w:t>Pay policy design and practice is transparent and bias-free and gender-equitable reward is a business and cultural norm</w:t>
            </w:r>
            <w:r w:rsidR="00090B88">
              <w:rPr>
                <w:sz w:val="20"/>
              </w:rPr>
              <w:t>s.</w:t>
            </w:r>
          </w:p>
        </w:tc>
      </w:tr>
      <w:tr w:rsidR="000E2E1F" w:rsidRPr="002B28E0" w:rsidTr="00690105">
        <w:trPr>
          <w:cnfStyle w:val="000000100000" w:firstRow="0" w:lastRow="0" w:firstColumn="0" w:lastColumn="0" w:oddVBand="0" w:evenVBand="0" w:oddHBand="1" w:evenHBand="0" w:firstRowFirstColumn="0" w:firstRowLastColumn="0" w:lastRowFirstColumn="0" w:lastRowLastColumn="0"/>
        </w:trPr>
        <w:tc>
          <w:tcPr>
            <w:tcW w:w="3082" w:type="dxa"/>
            <w:shd w:val="clear" w:color="auto" w:fill="B6DDE8" w:themeFill="accent5" w:themeFillTint="66"/>
          </w:tcPr>
          <w:p w:rsidR="000E2E1F" w:rsidRPr="00090B88" w:rsidRDefault="000E2E1F" w:rsidP="00CA7788">
            <w:pPr>
              <w:tabs>
                <w:tab w:val="left" w:pos="5812"/>
              </w:tabs>
              <w:spacing w:line="276" w:lineRule="auto"/>
              <w:rPr>
                <w:b/>
                <w:sz w:val="20"/>
              </w:rPr>
            </w:pPr>
            <w:r w:rsidRPr="00090B88">
              <w:rPr>
                <w:b/>
                <w:sz w:val="20"/>
              </w:rPr>
              <w:t>Talent Pipeline</w:t>
            </w:r>
          </w:p>
        </w:tc>
        <w:tc>
          <w:tcPr>
            <w:tcW w:w="3190" w:type="dxa"/>
            <w:vMerge/>
            <w:shd w:val="clear" w:color="auto" w:fill="B6DDE8" w:themeFill="accent5" w:themeFillTint="66"/>
          </w:tcPr>
          <w:p w:rsidR="000E2E1F" w:rsidRPr="002B28E0" w:rsidRDefault="000E2E1F" w:rsidP="00016156">
            <w:pPr>
              <w:tabs>
                <w:tab w:val="left" w:pos="5812"/>
              </w:tabs>
              <w:rPr>
                <w:sz w:val="20"/>
              </w:rPr>
            </w:pPr>
          </w:p>
        </w:tc>
        <w:tc>
          <w:tcPr>
            <w:tcW w:w="3475" w:type="dxa"/>
            <w:shd w:val="clear" w:color="auto" w:fill="B6DDE8" w:themeFill="accent5" w:themeFillTint="66"/>
          </w:tcPr>
          <w:p w:rsidR="000E2E1F" w:rsidRPr="002B28E0" w:rsidRDefault="009E354C" w:rsidP="009E354C">
            <w:pPr>
              <w:tabs>
                <w:tab w:val="left" w:pos="5812"/>
              </w:tabs>
              <w:spacing w:line="276" w:lineRule="auto"/>
              <w:rPr>
                <w:sz w:val="20"/>
              </w:rPr>
            </w:pPr>
            <w:r w:rsidRPr="002B28E0">
              <w:rPr>
                <w:sz w:val="20"/>
              </w:rPr>
              <w:t>Access to development is gender-equitable for employees at all levels, talent is fully leveraged irrespective of gender</w:t>
            </w:r>
            <w:r w:rsidR="00090B88">
              <w:rPr>
                <w:sz w:val="20"/>
              </w:rPr>
              <w:t>.</w:t>
            </w:r>
          </w:p>
        </w:tc>
      </w:tr>
      <w:tr w:rsidR="000E2E1F" w:rsidRPr="002B28E0" w:rsidTr="00690105">
        <w:tc>
          <w:tcPr>
            <w:tcW w:w="3082" w:type="dxa"/>
            <w:shd w:val="clear" w:color="auto" w:fill="B6DDE8" w:themeFill="accent5" w:themeFillTint="66"/>
          </w:tcPr>
          <w:p w:rsidR="000E2E1F" w:rsidRPr="00090B88" w:rsidRDefault="000E2E1F" w:rsidP="00CA7788">
            <w:pPr>
              <w:tabs>
                <w:tab w:val="left" w:pos="5812"/>
              </w:tabs>
              <w:spacing w:line="276" w:lineRule="auto"/>
              <w:rPr>
                <w:b/>
                <w:sz w:val="20"/>
              </w:rPr>
            </w:pPr>
            <w:r w:rsidRPr="00090B88">
              <w:rPr>
                <w:b/>
                <w:sz w:val="20"/>
              </w:rPr>
              <w:t>Gender inclusive culture</w:t>
            </w:r>
          </w:p>
        </w:tc>
        <w:tc>
          <w:tcPr>
            <w:tcW w:w="3190" w:type="dxa"/>
            <w:vMerge/>
            <w:shd w:val="clear" w:color="auto" w:fill="B6DDE8" w:themeFill="accent5" w:themeFillTint="66"/>
          </w:tcPr>
          <w:p w:rsidR="000E2E1F" w:rsidRPr="002B28E0" w:rsidRDefault="000E2E1F" w:rsidP="00016156">
            <w:pPr>
              <w:tabs>
                <w:tab w:val="left" w:pos="5812"/>
              </w:tabs>
              <w:rPr>
                <w:sz w:val="20"/>
              </w:rPr>
            </w:pPr>
          </w:p>
        </w:tc>
        <w:tc>
          <w:tcPr>
            <w:tcW w:w="3475" w:type="dxa"/>
            <w:shd w:val="clear" w:color="auto" w:fill="B6DDE8" w:themeFill="accent5" w:themeFillTint="66"/>
          </w:tcPr>
          <w:p w:rsidR="000E2E1F" w:rsidRPr="002B28E0" w:rsidRDefault="009E354C" w:rsidP="009E354C">
            <w:pPr>
              <w:tabs>
                <w:tab w:val="left" w:pos="5812"/>
              </w:tabs>
              <w:spacing w:line="276" w:lineRule="auto"/>
              <w:rPr>
                <w:sz w:val="20"/>
              </w:rPr>
            </w:pPr>
            <w:r w:rsidRPr="002B28E0">
              <w:rPr>
                <w:sz w:val="20"/>
              </w:rPr>
              <w:t>A gender equitable and inclusive culture is intuitive to all employees and defines how all business and work is conducted</w:t>
            </w:r>
            <w:r w:rsidR="00090B88">
              <w:rPr>
                <w:sz w:val="20"/>
              </w:rPr>
              <w:t>.</w:t>
            </w:r>
          </w:p>
        </w:tc>
      </w:tr>
      <w:tr w:rsidR="000E2E1F" w:rsidRPr="002B28E0" w:rsidTr="00225FE4">
        <w:trPr>
          <w:cnfStyle w:val="000000100000" w:firstRow="0" w:lastRow="0" w:firstColumn="0" w:lastColumn="0" w:oddVBand="0" w:evenVBand="0" w:oddHBand="1" w:evenHBand="0" w:firstRowFirstColumn="0" w:firstRowLastColumn="0" w:lastRowFirstColumn="0" w:lastRowLastColumn="0"/>
        </w:trPr>
        <w:tc>
          <w:tcPr>
            <w:tcW w:w="3082" w:type="dxa"/>
            <w:shd w:val="clear" w:color="auto" w:fill="E5DFEC" w:themeFill="accent4" w:themeFillTint="33"/>
          </w:tcPr>
          <w:p w:rsidR="000E2E1F" w:rsidRPr="00090B88" w:rsidRDefault="000E2E1F" w:rsidP="00CA7788">
            <w:pPr>
              <w:tabs>
                <w:tab w:val="left" w:pos="5812"/>
              </w:tabs>
              <w:spacing w:line="276" w:lineRule="auto"/>
              <w:rPr>
                <w:b/>
                <w:sz w:val="20"/>
              </w:rPr>
            </w:pPr>
            <w:r w:rsidRPr="00090B88">
              <w:rPr>
                <w:b/>
                <w:sz w:val="20"/>
              </w:rPr>
              <w:t>Measurement and Reporting</w:t>
            </w:r>
          </w:p>
        </w:tc>
        <w:tc>
          <w:tcPr>
            <w:tcW w:w="3190" w:type="dxa"/>
            <w:shd w:val="clear" w:color="auto" w:fill="E5DFEC" w:themeFill="accent4" w:themeFillTint="33"/>
          </w:tcPr>
          <w:p w:rsidR="000E2E1F" w:rsidRPr="00225FE4" w:rsidRDefault="000E2E1F" w:rsidP="00663F3C">
            <w:pPr>
              <w:tabs>
                <w:tab w:val="left" w:pos="5812"/>
              </w:tabs>
              <w:jc w:val="center"/>
              <w:rPr>
                <w:b/>
                <w:sz w:val="20"/>
              </w:rPr>
            </w:pPr>
            <w:r w:rsidRPr="00225FE4">
              <w:rPr>
                <w:b/>
                <w:sz w:val="20"/>
              </w:rPr>
              <w:t>Integrated</w:t>
            </w:r>
          </w:p>
        </w:tc>
        <w:tc>
          <w:tcPr>
            <w:tcW w:w="3475" w:type="dxa"/>
            <w:shd w:val="clear" w:color="auto" w:fill="E5DFEC" w:themeFill="accent4" w:themeFillTint="33"/>
          </w:tcPr>
          <w:p w:rsidR="000E2E1F" w:rsidRPr="002B28E0" w:rsidRDefault="009E354C" w:rsidP="00CA7788">
            <w:pPr>
              <w:tabs>
                <w:tab w:val="left" w:pos="5812"/>
              </w:tabs>
              <w:spacing w:line="276" w:lineRule="auto"/>
              <w:rPr>
                <w:sz w:val="20"/>
              </w:rPr>
            </w:pPr>
            <w:r w:rsidRPr="002B28E0">
              <w:rPr>
                <w:sz w:val="20"/>
              </w:rPr>
              <w:t>Gender equality/diversity metrics form part of routine management information which informs leadership action planning</w:t>
            </w:r>
          </w:p>
        </w:tc>
      </w:tr>
      <w:tr w:rsidR="00663F3C" w:rsidRPr="002B28E0" w:rsidTr="00225FE4">
        <w:tc>
          <w:tcPr>
            <w:tcW w:w="3082" w:type="dxa"/>
            <w:shd w:val="clear" w:color="auto" w:fill="CCC0D9" w:themeFill="accent4" w:themeFillTint="66"/>
          </w:tcPr>
          <w:p w:rsidR="00663F3C" w:rsidRPr="00090B88" w:rsidRDefault="00663F3C" w:rsidP="00CA7788">
            <w:pPr>
              <w:tabs>
                <w:tab w:val="left" w:pos="5812"/>
              </w:tabs>
              <w:spacing w:line="276" w:lineRule="auto"/>
              <w:rPr>
                <w:b/>
                <w:sz w:val="20"/>
              </w:rPr>
            </w:pPr>
            <w:r w:rsidRPr="00090B88">
              <w:rPr>
                <w:b/>
                <w:sz w:val="20"/>
              </w:rPr>
              <w:t>Stakeholder Engagement</w:t>
            </w:r>
          </w:p>
        </w:tc>
        <w:tc>
          <w:tcPr>
            <w:tcW w:w="3190" w:type="dxa"/>
            <w:vMerge w:val="restart"/>
            <w:shd w:val="clear" w:color="auto" w:fill="CCC0D9" w:themeFill="accent4" w:themeFillTint="66"/>
          </w:tcPr>
          <w:p w:rsidR="00663F3C" w:rsidRPr="00225FE4" w:rsidRDefault="00663F3C" w:rsidP="00663F3C">
            <w:pPr>
              <w:tabs>
                <w:tab w:val="left" w:pos="5812"/>
              </w:tabs>
              <w:jc w:val="center"/>
              <w:rPr>
                <w:b/>
                <w:sz w:val="20"/>
              </w:rPr>
            </w:pPr>
            <w:r w:rsidRPr="00225FE4">
              <w:rPr>
                <w:b/>
                <w:sz w:val="20"/>
              </w:rPr>
              <w:t>Strategic</w:t>
            </w:r>
          </w:p>
          <w:p w:rsidR="009E354C" w:rsidRPr="002B28E0" w:rsidRDefault="009E354C" w:rsidP="00016156">
            <w:pPr>
              <w:tabs>
                <w:tab w:val="left" w:pos="5812"/>
              </w:tabs>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9E354C" w:rsidRPr="002B28E0" w:rsidRDefault="009E354C" w:rsidP="009E354C">
            <w:pPr>
              <w:rPr>
                <w:sz w:val="20"/>
              </w:rPr>
            </w:pPr>
          </w:p>
          <w:p w:rsidR="00663F3C" w:rsidRPr="002B28E0" w:rsidRDefault="00663F3C" w:rsidP="009E354C">
            <w:pPr>
              <w:jc w:val="right"/>
              <w:rPr>
                <w:sz w:val="20"/>
              </w:rPr>
            </w:pPr>
          </w:p>
        </w:tc>
        <w:tc>
          <w:tcPr>
            <w:tcW w:w="3475" w:type="dxa"/>
            <w:shd w:val="clear" w:color="auto" w:fill="CCC0D9" w:themeFill="accent4" w:themeFillTint="66"/>
          </w:tcPr>
          <w:p w:rsidR="00663F3C" w:rsidRPr="002B28E0" w:rsidRDefault="00663F3C" w:rsidP="00100EC5">
            <w:pPr>
              <w:tabs>
                <w:tab w:val="left" w:pos="5812"/>
              </w:tabs>
              <w:spacing w:line="276" w:lineRule="auto"/>
              <w:rPr>
                <w:sz w:val="20"/>
              </w:rPr>
            </w:pPr>
            <w:r w:rsidRPr="002B28E0">
              <w:rPr>
                <w:sz w:val="20"/>
              </w:rPr>
              <w:t xml:space="preserve">A full range of gender </w:t>
            </w:r>
            <w:r w:rsidR="00100EC5" w:rsidRPr="002B28E0">
              <w:rPr>
                <w:sz w:val="20"/>
              </w:rPr>
              <w:t>equality</w:t>
            </w:r>
            <w:r w:rsidRPr="002B28E0">
              <w:rPr>
                <w:sz w:val="20"/>
              </w:rPr>
              <w:t xml:space="preserve"> stakeholders (male and</w:t>
            </w:r>
            <w:r w:rsidR="00090B88">
              <w:rPr>
                <w:sz w:val="20"/>
              </w:rPr>
              <w:t xml:space="preserve"> female, internal and external)</w:t>
            </w:r>
            <w:r w:rsidRPr="002B28E0">
              <w:rPr>
                <w:sz w:val="20"/>
              </w:rPr>
              <w:t xml:space="preserve"> is </w:t>
            </w:r>
            <w:r w:rsidR="009E354C" w:rsidRPr="002B28E0">
              <w:rPr>
                <w:sz w:val="20"/>
              </w:rPr>
              <w:t>identified</w:t>
            </w:r>
            <w:r w:rsidRPr="002B28E0">
              <w:rPr>
                <w:sz w:val="20"/>
              </w:rPr>
              <w:t xml:space="preserve"> during </w:t>
            </w:r>
            <w:r w:rsidR="009E354C" w:rsidRPr="002B28E0">
              <w:rPr>
                <w:sz w:val="20"/>
              </w:rPr>
              <w:t>strategy development</w:t>
            </w:r>
            <w:r w:rsidR="00090B88">
              <w:rPr>
                <w:sz w:val="20"/>
              </w:rPr>
              <w:t>.</w:t>
            </w:r>
          </w:p>
        </w:tc>
      </w:tr>
      <w:tr w:rsidR="00663F3C" w:rsidRPr="002B28E0" w:rsidTr="00225FE4">
        <w:trPr>
          <w:cnfStyle w:val="000000100000" w:firstRow="0" w:lastRow="0" w:firstColumn="0" w:lastColumn="0" w:oddVBand="0" w:evenVBand="0" w:oddHBand="1" w:evenHBand="0" w:firstRowFirstColumn="0" w:firstRowLastColumn="0" w:lastRowFirstColumn="0" w:lastRowLastColumn="0"/>
        </w:trPr>
        <w:tc>
          <w:tcPr>
            <w:tcW w:w="3082" w:type="dxa"/>
            <w:shd w:val="clear" w:color="auto" w:fill="CCC0D9" w:themeFill="accent4" w:themeFillTint="66"/>
          </w:tcPr>
          <w:p w:rsidR="00663F3C" w:rsidRPr="00090B88" w:rsidRDefault="00663F3C" w:rsidP="00CA7788">
            <w:pPr>
              <w:tabs>
                <w:tab w:val="left" w:pos="5812"/>
              </w:tabs>
              <w:spacing w:line="276" w:lineRule="auto"/>
              <w:rPr>
                <w:b/>
                <w:sz w:val="20"/>
              </w:rPr>
            </w:pPr>
            <w:r w:rsidRPr="00090B88">
              <w:rPr>
                <w:b/>
                <w:sz w:val="20"/>
              </w:rPr>
              <w:t>Leadership Accountability</w:t>
            </w:r>
          </w:p>
        </w:tc>
        <w:tc>
          <w:tcPr>
            <w:tcW w:w="3190" w:type="dxa"/>
            <w:vMerge/>
            <w:shd w:val="clear" w:color="auto" w:fill="CCC0D9" w:themeFill="accent4" w:themeFillTint="66"/>
          </w:tcPr>
          <w:p w:rsidR="00663F3C" w:rsidRPr="002B28E0" w:rsidRDefault="00663F3C" w:rsidP="00016156">
            <w:pPr>
              <w:tabs>
                <w:tab w:val="left" w:pos="5812"/>
              </w:tabs>
              <w:rPr>
                <w:sz w:val="20"/>
              </w:rPr>
            </w:pPr>
          </w:p>
        </w:tc>
        <w:tc>
          <w:tcPr>
            <w:tcW w:w="3475" w:type="dxa"/>
            <w:shd w:val="clear" w:color="auto" w:fill="CCC0D9" w:themeFill="accent4" w:themeFillTint="66"/>
          </w:tcPr>
          <w:p w:rsidR="00663F3C" w:rsidRPr="002B28E0" w:rsidRDefault="009E354C" w:rsidP="00CA7788">
            <w:pPr>
              <w:tabs>
                <w:tab w:val="left" w:pos="5812"/>
              </w:tabs>
              <w:spacing w:line="276" w:lineRule="auto"/>
              <w:rPr>
                <w:sz w:val="20"/>
              </w:rPr>
            </w:pPr>
            <w:r w:rsidRPr="002B28E0">
              <w:rPr>
                <w:sz w:val="20"/>
              </w:rPr>
              <w:t>Senior leadership team recognises the need for gender equality action and actively communicates its role in driving progress against clear metrics</w:t>
            </w:r>
            <w:r w:rsidR="00090B88">
              <w:rPr>
                <w:sz w:val="20"/>
              </w:rPr>
              <w:t>.</w:t>
            </w:r>
          </w:p>
        </w:tc>
      </w:tr>
      <w:tr w:rsidR="00663F3C" w:rsidRPr="002B28E0" w:rsidTr="00225FE4">
        <w:tc>
          <w:tcPr>
            <w:tcW w:w="3082" w:type="dxa"/>
            <w:shd w:val="clear" w:color="auto" w:fill="CCC0D9" w:themeFill="accent4" w:themeFillTint="66"/>
          </w:tcPr>
          <w:p w:rsidR="00663F3C" w:rsidRPr="00090B88" w:rsidRDefault="00663F3C" w:rsidP="00CA7788">
            <w:pPr>
              <w:tabs>
                <w:tab w:val="left" w:pos="5812"/>
              </w:tabs>
              <w:spacing w:line="276" w:lineRule="auto"/>
              <w:rPr>
                <w:b/>
                <w:sz w:val="20"/>
              </w:rPr>
            </w:pPr>
            <w:r w:rsidRPr="00090B88">
              <w:rPr>
                <w:b/>
                <w:sz w:val="20"/>
              </w:rPr>
              <w:t>Strategy and Business Case</w:t>
            </w:r>
          </w:p>
        </w:tc>
        <w:tc>
          <w:tcPr>
            <w:tcW w:w="3190" w:type="dxa"/>
            <w:vMerge/>
            <w:shd w:val="clear" w:color="auto" w:fill="CCC0D9" w:themeFill="accent4" w:themeFillTint="66"/>
          </w:tcPr>
          <w:p w:rsidR="00663F3C" w:rsidRPr="002B28E0" w:rsidRDefault="00663F3C" w:rsidP="00016156">
            <w:pPr>
              <w:tabs>
                <w:tab w:val="left" w:pos="5812"/>
              </w:tabs>
              <w:rPr>
                <w:sz w:val="20"/>
              </w:rPr>
            </w:pPr>
          </w:p>
        </w:tc>
        <w:tc>
          <w:tcPr>
            <w:tcW w:w="3475" w:type="dxa"/>
            <w:shd w:val="clear" w:color="auto" w:fill="CCC0D9" w:themeFill="accent4" w:themeFillTint="66"/>
          </w:tcPr>
          <w:p w:rsidR="00663F3C" w:rsidRPr="002B28E0" w:rsidRDefault="009E354C" w:rsidP="00CA7788">
            <w:pPr>
              <w:tabs>
                <w:tab w:val="left" w:pos="5812"/>
              </w:tabs>
              <w:spacing w:line="276" w:lineRule="auto"/>
              <w:rPr>
                <w:sz w:val="20"/>
              </w:rPr>
            </w:pPr>
            <w:r w:rsidRPr="002B28E0">
              <w:rPr>
                <w:sz w:val="20"/>
              </w:rPr>
              <w:t>The value of the gender strategy based on a credible business case has been recognised and developed</w:t>
            </w:r>
            <w:r w:rsidR="00090B88">
              <w:rPr>
                <w:sz w:val="20"/>
              </w:rPr>
              <w:t>.</w:t>
            </w:r>
          </w:p>
        </w:tc>
      </w:tr>
      <w:tr w:rsidR="00663F3C" w:rsidRPr="002B28E0" w:rsidTr="00225FE4">
        <w:trPr>
          <w:cnfStyle w:val="000000100000" w:firstRow="0" w:lastRow="0" w:firstColumn="0" w:lastColumn="0" w:oddVBand="0" w:evenVBand="0" w:oddHBand="1" w:evenHBand="0" w:firstRowFirstColumn="0" w:firstRowLastColumn="0" w:lastRowFirstColumn="0" w:lastRowLastColumn="0"/>
        </w:trPr>
        <w:tc>
          <w:tcPr>
            <w:tcW w:w="3082" w:type="dxa"/>
            <w:shd w:val="clear" w:color="auto" w:fill="CCC0D9" w:themeFill="accent4" w:themeFillTint="66"/>
          </w:tcPr>
          <w:p w:rsidR="00663F3C" w:rsidRPr="00090B88" w:rsidRDefault="00663F3C" w:rsidP="00CA7788">
            <w:pPr>
              <w:tabs>
                <w:tab w:val="left" w:pos="5812"/>
              </w:tabs>
              <w:spacing w:line="276" w:lineRule="auto"/>
              <w:rPr>
                <w:b/>
                <w:sz w:val="20"/>
              </w:rPr>
            </w:pPr>
            <w:r w:rsidRPr="00090B88">
              <w:rPr>
                <w:b/>
                <w:sz w:val="20"/>
              </w:rPr>
              <w:t>Gender composition</w:t>
            </w:r>
          </w:p>
        </w:tc>
        <w:tc>
          <w:tcPr>
            <w:tcW w:w="3190" w:type="dxa"/>
            <w:vMerge/>
            <w:shd w:val="clear" w:color="auto" w:fill="CCC0D9" w:themeFill="accent4" w:themeFillTint="66"/>
          </w:tcPr>
          <w:p w:rsidR="00663F3C" w:rsidRPr="002B28E0" w:rsidRDefault="00663F3C" w:rsidP="00016156">
            <w:pPr>
              <w:tabs>
                <w:tab w:val="left" w:pos="5812"/>
              </w:tabs>
              <w:rPr>
                <w:sz w:val="20"/>
              </w:rPr>
            </w:pPr>
          </w:p>
        </w:tc>
        <w:tc>
          <w:tcPr>
            <w:tcW w:w="3475" w:type="dxa"/>
            <w:shd w:val="clear" w:color="auto" w:fill="CCC0D9" w:themeFill="accent4" w:themeFillTint="66"/>
          </w:tcPr>
          <w:p w:rsidR="00663F3C" w:rsidRPr="002B28E0" w:rsidRDefault="009E354C" w:rsidP="00CA7788">
            <w:pPr>
              <w:tabs>
                <w:tab w:val="left" w:pos="5812"/>
              </w:tabs>
              <w:spacing w:line="276" w:lineRule="auto"/>
              <w:rPr>
                <w:sz w:val="20"/>
              </w:rPr>
            </w:pPr>
            <w:r w:rsidRPr="002B28E0">
              <w:rPr>
                <w:sz w:val="20"/>
              </w:rPr>
              <w:t>Team and overall workforce gender composition is monitored as are business and people process outcomes by gender</w:t>
            </w:r>
            <w:r w:rsidR="00090B88">
              <w:rPr>
                <w:sz w:val="20"/>
              </w:rPr>
              <w:t>.</w:t>
            </w:r>
          </w:p>
        </w:tc>
      </w:tr>
      <w:tr w:rsidR="00663F3C" w:rsidRPr="002B28E0" w:rsidTr="00225FE4">
        <w:tc>
          <w:tcPr>
            <w:tcW w:w="3082" w:type="dxa"/>
            <w:shd w:val="clear" w:color="auto" w:fill="CCC0D9" w:themeFill="accent4" w:themeFillTint="66"/>
          </w:tcPr>
          <w:p w:rsidR="00663F3C" w:rsidRPr="00090B88" w:rsidRDefault="00014436" w:rsidP="00CA7788">
            <w:pPr>
              <w:tabs>
                <w:tab w:val="left" w:pos="5812"/>
              </w:tabs>
              <w:spacing w:line="276" w:lineRule="auto"/>
              <w:rPr>
                <w:b/>
                <w:sz w:val="20"/>
              </w:rPr>
            </w:pPr>
            <w:r w:rsidRPr="00090B88">
              <w:rPr>
                <w:b/>
                <w:sz w:val="20"/>
              </w:rPr>
              <w:t xml:space="preserve">Flexibility </w:t>
            </w:r>
          </w:p>
        </w:tc>
        <w:tc>
          <w:tcPr>
            <w:tcW w:w="3190" w:type="dxa"/>
            <w:vMerge/>
            <w:shd w:val="clear" w:color="auto" w:fill="CCC0D9" w:themeFill="accent4" w:themeFillTint="66"/>
          </w:tcPr>
          <w:p w:rsidR="00663F3C" w:rsidRPr="002B28E0" w:rsidRDefault="00663F3C" w:rsidP="00016156">
            <w:pPr>
              <w:tabs>
                <w:tab w:val="left" w:pos="5812"/>
              </w:tabs>
              <w:rPr>
                <w:sz w:val="20"/>
              </w:rPr>
            </w:pPr>
          </w:p>
        </w:tc>
        <w:tc>
          <w:tcPr>
            <w:tcW w:w="3475" w:type="dxa"/>
            <w:shd w:val="clear" w:color="auto" w:fill="CCC0D9" w:themeFill="accent4" w:themeFillTint="66"/>
          </w:tcPr>
          <w:p w:rsidR="00663F3C" w:rsidRPr="002B28E0" w:rsidRDefault="00014436" w:rsidP="00CA7788">
            <w:pPr>
              <w:tabs>
                <w:tab w:val="left" w:pos="5812"/>
              </w:tabs>
              <w:spacing w:line="276" w:lineRule="auto"/>
              <w:rPr>
                <w:sz w:val="20"/>
              </w:rPr>
            </w:pPr>
            <w:r w:rsidRPr="002B28E0">
              <w:rPr>
                <w:sz w:val="20"/>
              </w:rPr>
              <w:t xml:space="preserve">Flexible work and family-friendly </w:t>
            </w:r>
            <w:r w:rsidRPr="002B28E0">
              <w:rPr>
                <w:sz w:val="20"/>
              </w:rPr>
              <w:lastRenderedPageBreak/>
              <w:t>polices/practices are de</w:t>
            </w:r>
            <w:r w:rsidR="00D36C75">
              <w:rPr>
                <w:sz w:val="20"/>
              </w:rPr>
              <w:t>s</w:t>
            </w:r>
            <w:r w:rsidRPr="002B28E0">
              <w:rPr>
                <w:sz w:val="20"/>
              </w:rPr>
              <w:t>igned and accessible to benefit all employees; the flexibility business case is established</w:t>
            </w:r>
            <w:r w:rsidR="00090B88">
              <w:rPr>
                <w:sz w:val="20"/>
              </w:rPr>
              <w:t>.</w:t>
            </w:r>
          </w:p>
        </w:tc>
      </w:tr>
      <w:tr w:rsidR="00014436" w:rsidRPr="002B28E0" w:rsidTr="00225FE4">
        <w:trPr>
          <w:cnfStyle w:val="000000100000" w:firstRow="0" w:lastRow="0" w:firstColumn="0" w:lastColumn="0" w:oddVBand="0" w:evenVBand="0" w:oddHBand="1" w:evenHBand="0" w:firstRowFirstColumn="0" w:firstRowLastColumn="0" w:lastRowFirstColumn="0" w:lastRowLastColumn="0"/>
        </w:trPr>
        <w:tc>
          <w:tcPr>
            <w:tcW w:w="3082" w:type="dxa"/>
            <w:shd w:val="clear" w:color="auto" w:fill="DBE5F1" w:themeFill="accent1" w:themeFillTint="33"/>
          </w:tcPr>
          <w:p w:rsidR="00014436" w:rsidRPr="00090B88" w:rsidRDefault="00014436" w:rsidP="00CA7788">
            <w:pPr>
              <w:tabs>
                <w:tab w:val="left" w:pos="5812"/>
              </w:tabs>
              <w:spacing w:line="276" w:lineRule="auto"/>
              <w:rPr>
                <w:b/>
                <w:sz w:val="20"/>
              </w:rPr>
            </w:pPr>
            <w:r w:rsidRPr="00090B88">
              <w:rPr>
                <w:b/>
                <w:sz w:val="20"/>
              </w:rPr>
              <w:lastRenderedPageBreak/>
              <w:t>Leader and Manager Capability</w:t>
            </w:r>
          </w:p>
        </w:tc>
        <w:tc>
          <w:tcPr>
            <w:tcW w:w="3190" w:type="dxa"/>
            <w:vMerge w:val="restart"/>
            <w:shd w:val="clear" w:color="auto" w:fill="DBE5F1" w:themeFill="accent1" w:themeFillTint="33"/>
          </w:tcPr>
          <w:p w:rsidR="00014436" w:rsidRPr="00225FE4" w:rsidRDefault="00014436" w:rsidP="00663F3C">
            <w:pPr>
              <w:tabs>
                <w:tab w:val="left" w:pos="5812"/>
              </w:tabs>
              <w:jc w:val="center"/>
              <w:rPr>
                <w:b/>
                <w:sz w:val="20"/>
              </w:rPr>
            </w:pPr>
            <w:r w:rsidRPr="00225FE4">
              <w:rPr>
                <w:b/>
                <w:sz w:val="20"/>
              </w:rPr>
              <w:t>Programmatic</w:t>
            </w:r>
          </w:p>
        </w:tc>
        <w:tc>
          <w:tcPr>
            <w:tcW w:w="3475" w:type="dxa"/>
            <w:shd w:val="clear" w:color="auto" w:fill="DBE5F1" w:themeFill="accent1" w:themeFillTint="33"/>
          </w:tcPr>
          <w:p w:rsidR="00014436" w:rsidRPr="002B28E0" w:rsidRDefault="00014436" w:rsidP="00CA7788">
            <w:pPr>
              <w:tabs>
                <w:tab w:val="left" w:pos="5812"/>
              </w:tabs>
              <w:spacing w:line="276" w:lineRule="auto"/>
              <w:rPr>
                <w:sz w:val="20"/>
              </w:rPr>
            </w:pPr>
            <w:r w:rsidRPr="002B28E0">
              <w:rPr>
                <w:sz w:val="20"/>
              </w:rPr>
              <w:t xml:space="preserve">Individual development addresses specific gender quality needs as they arise and focuses on knowledge rather than </w:t>
            </w:r>
            <w:r w:rsidR="00090B88" w:rsidRPr="002B28E0">
              <w:rPr>
                <w:sz w:val="20"/>
              </w:rPr>
              <w:t>skills</w:t>
            </w:r>
            <w:r w:rsidR="00090B88">
              <w:rPr>
                <w:sz w:val="20"/>
              </w:rPr>
              <w:t>.</w:t>
            </w:r>
          </w:p>
        </w:tc>
      </w:tr>
      <w:tr w:rsidR="00014436" w:rsidRPr="002B28E0" w:rsidTr="00225FE4">
        <w:tc>
          <w:tcPr>
            <w:tcW w:w="3082" w:type="dxa"/>
            <w:shd w:val="clear" w:color="auto" w:fill="DBE5F1" w:themeFill="accent1" w:themeFillTint="33"/>
          </w:tcPr>
          <w:p w:rsidR="00014436" w:rsidRPr="00090B88" w:rsidRDefault="00014436" w:rsidP="00CA7788">
            <w:pPr>
              <w:tabs>
                <w:tab w:val="left" w:pos="5812"/>
              </w:tabs>
              <w:spacing w:line="276" w:lineRule="auto"/>
              <w:rPr>
                <w:b/>
                <w:sz w:val="20"/>
              </w:rPr>
            </w:pPr>
            <w:r w:rsidRPr="00090B88">
              <w:rPr>
                <w:b/>
                <w:sz w:val="20"/>
              </w:rPr>
              <w:t xml:space="preserve">Supply Chain   </w:t>
            </w:r>
          </w:p>
        </w:tc>
        <w:tc>
          <w:tcPr>
            <w:tcW w:w="3190" w:type="dxa"/>
            <w:vMerge/>
            <w:shd w:val="clear" w:color="auto" w:fill="DBE5F1" w:themeFill="accent1" w:themeFillTint="33"/>
          </w:tcPr>
          <w:p w:rsidR="00014436" w:rsidRPr="002B28E0" w:rsidRDefault="00014436" w:rsidP="00663F3C">
            <w:pPr>
              <w:tabs>
                <w:tab w:val="left" w:pos="5812"/>
              </w:tabs>
              <w:jc w:val="center"/>
              <w:rPr>
                <w:sz w:val="20"/>
              </w:rPr>
            </w:pPr>
          </w:p>
        </w:tc>
        <w:tc>
          <w:tcPr>
            <w:tcW w:w="3475" w:type="dxa"/>
            <w:shd w:val="clear" w:color="auto" w:fill="DBE5F1" w:themeFill="accent1" w:themeFillTint="33"/>
          </w:tcPr>
          <w:p w:rsidR="00014436" w:rsidRPr="002B28E0" w:rsidRDefault="00014436" w:rsidP="00704211">
            <w:pPr>
              <w:tabs>
                <w:tab w:val="left" w:pos="5812"/>
              </w:tabs>
              <w:spacing w:line="276" w:lineRule="auto"/>
              <w:rPr>
                <w:sz w:val="20"/>
              </w:rPr>
            </w:pPr>
            <w:r w:rsidRPr="002B28E0">
              <w:rPr>
                <w:sz w:val="20"/>
              </w:rPr>
              <w:t>Promotion of gender equality through procurement/supply chain practices is limited to specific vend</w:t>
            </w:r>
            <w:r w:rsidR="00704211">
              <w:rPr>
                <w:sz w:val="20"/>
              </w:rPr>
              <w:t>o</w:t>
            </w:r>
            <w:r w:rsidRPr="002B28E0">
              <w:rPr>
                <w:sz w:val="20"/>
              </w:rPr>
              <w:t xml:space="preserve">r types (eg. </w:t>
            </w:r>
            <w:r w:rsidR="00090B88">
              <w:rPr>
                <w:sz w:val="20"/>
              </w:rPr>
              <w:t>r</w:t>
            </w:r>
            <w:r w:rsidRPr="002B28E0">
              <w:rPr>
                <w:sz w:val="20"/>
              </w:rPr>
              <w:t>ecruiters) and ad hoc tender responses</w:t>
            </w:r>
            <w:r w:rsidR="00090B88">
              <w:rPr>
                <w:sz w:val="20"/>
              </w:rPr>
              <w:t>.</w:t>
            </w:r>
          </w:p>
        </w:tc>
      </w:tr>
    </w:tbl>
    <w:p w:rsidR="004F473B" w:rsidRDefault="00C80C90" w:rsidP="002644F2">
      <w:pPr>
        <w:pStyle w:val="Heading1"/>
        <w:keepNext w:val="0"/>
        <w:spacing w:before="360" w:after="120"/>
        <w:contextualSpacing/>
        <w:rPr>
          <w:rFonts w:ascii="Georgia" w:hAnsi="Georgia"/>
          <w:b w:val="0"/>
          <w:bCs/>
          <w:color w:val="500778"/>
          <w:spacing w:val="4"/>
          <w:kern w:val="0"/>
          <w:sz w:val="36"/>
          <w:szCs w:val="28"/>
          <w:lang w:eastAsia="en-AU"/>
        </w:rPr>
      </w:pPr>
      <w:bookmarkStart w:id="3" w:name="_Toc481135386"/>
      <w:r>
        <w:rPr>
          <w:rFonts w:ascii="Georgia" w:hAnsi="Georgia"/>
          <w:b w:val="0"/>
          <w:bCs/>
          <w:color w:val="500778"/>
          <w:spacing w:val="4"/>
          <w:kern w:val="0"/>
          <w:sz w:val="36"/>
          <w:szCs w:val="28"/>
          <w:lang w:eastAsia="en-AU"/>
        </w:rPr>
        <w:t>Purpose and p</w:t>
      </w:r>
      <w:r w:rsidR="002D409C">
        <w:rPr>
          <w:rFonts w:ascii="Georgia" w:hAnsi="Georgia"/>
          <w:b w:val="0"/>
          <w:bCs/>
          <w:color w:val="500778"/>
          <w:spacing w:val="4"/>
          <w:kern w:val="0"/>
          <w:sz w:val="36"/>
          <w:szCs w:val="28"/>
          <w:lang w:eastAsia="en-AU"/>
        </w:rPr>
        <w:t>riority a</w:t>
      </w:r>
      <w:r w:rsidR="004F473B" w:rsidRPr="009E354C">
        <w:rPr>
          <w:rFonts w:ascii="Georgia" w:hAnsi="Georgia"/>
          <w:b w:val="0"/>
          <w:bCs/>
          <w:color w:val="500778"/>
          <w:spacing w:val="4"/>
          <w:kern w:val="0"/>
          <w:sz w:val="36"/>
          <w:szCs w:val="28"/>
          <w:lang w:eastAsia="en-AU"/>
        </w:rPr>
        <w:t>reas</w:t>
      </w:r>
      <w:bookmarkEnd w:id="3"/>
    </w:p>
    <w:p w:rsidR="0028423D" w:rsidRDefault="0028423D" w:rsidP="005F036D">
      <w:pPr>
        <w:spacing w:before="0" w:after="200"/>
        <w:rPr>
          <w:lang w:eastAsia="en-AU"/>
        </w:rPr>
      </w:pPr>
      <w:r>
        <w:rPr>
          <w:lang w:eastAsia="en-AU"/>
        </w:rPr>
        <w:t xml:space="preserve">The </w:t>
      </w:r>
      <w:r w:rsidR="00C80C90">
        <w:rPr>
          <w:lang w:eastAsia="en-AU"/>
        </w:rPr>
        <w:t xml:space="preserve">purpose of the Action Plan is to contribute to the Government’s G20 commitment to reduce the gender gap in workforce participation.  In doing so, the </w:t>
      </w:r>
      <w:r>
        <w:rPr>
          <w:lang w:eastAsia="en-AU"/>
        </w:rPr>
        <w:t xml:space="preserve">Action Plan </w:t>
      </w:r>
      <w:r w:rsidR="003145CD">
        <w:rPr>
          <w:lang w:eastAsia="en-AU"/>
        </w:rPr>
        <w:t xml:space="preserve">outlines our </w:t>
      </w:r>
      <w:r>
        <w:rPr>
          <w:lang w:eastAsia="en-AU"/>
        </w:rPr>
        <w:t xml:space="preserve">program of activities </w:t>
      </w:r>
      <w:r w:rsidR="003145CD">
        <w:rPr>
          <w:lang w:eastAsia="en-AU"/>
        </w:rPr>
        <w:t>to achieve</w:t>
      </w:r>
      <w:r>
        <w:rPr>
          <w:lang w:eastAsia="en-AU"/>
        </w:rPr>
        <w:t xml:space="preserve"> the Department’s Gender Equality goals.</w:t>
      </w:r>
    </w:p>
    <w:p w:rsidR="005F036D" w:rsidRDefault="003D37FD" w:rsidP="005F036D">
      <w:pPr>
        <w:spacing w:before="0" w:after="200"/>
        <w:rPr>
          <w:lang w:eastAsia="en-AU"/>
        </w:rPr>
      </w:pPr>
      <w:r>
        <w:rPr>
          <w:lang w:eastAsia="en-AU"/>
        </w:rPr>
        <w:t xml:space="preserve">DSS will </w:t>
      </w:r>
      <w:r w:rsidR="00BD5417">
        <w:rPr>
          <w:lang w:eastAsia="en-AU"/>
        </w:rPr>
        <w:t>focus on</w:t>
      </w:r>
      <w:r>
        <w:rPr>
          <w:lang w:eastAsia="en-AU"/>
        </w:rPr>
        <w:t xml:space="preserve"> maintaining </w:t>
      </w:r>
      <w:r w:rsidR="00FB0F81">
        <w:rPr>
          <w:lang w:eastAsia="en-AU"/>
        </w:rPr>
        <w:t xml:space="preserve">and </w:t>
      </w:r>
      <w:r w:rsidR="00BD5417">
        <w:rPr>
          <w:lang w:eastAsia="en-AU"/>
        </w:rPr>
        <w:t>improving</w:t>
      </w:r>
      <w:r w:rsidR="00FB0F81">
        <w:rPr>
          <w:lang w:eastAsia="en-AU"/>
        </w:rPr>
        <w:t xml:space="preserve"> </w:t>
      </w:r>
      <w:r w:rsidR="003145CD">
        <w:rPr>
          <w:lang w:eastAsia="en-AU"/>
        </w:rPr>
        <w:t xml:space="preserve">its maturity in areas where gender equality is already integrated in its people, policy and culture. </w:t>
      </w:r>
      <w:r w:rsidR="00EC0292">
        <w:rPr>
          <w:lang w:eastAsia="en-AU"/>
        </w:rPr>
        <w:t xml:space="preserve">Effort in </w:t>
      </w:r>
      <w:r w:rsidR="003145CD">
        <w:rPr>
          <w:lang w:eastAsia="en-AU"/>
        </w:rPr>
        <w:t xml:space="preserve">the </w:t>
      </w:r>
      <w:r w:rsidR="0067613C">
        <w:rPr>
          <w:lang w:eastAsia="en-AU"/>
        </w:rPr>
        <w:t>A</w:t>
      </w:r>
      <w:r w:rsidR="003145CD">
        <w:rPr>
          <w:lang w:eastAsia="en-AU"/>
        </w:rPr>
        <w:t xml:space="preserve">ction </w:t>
      </w:r>
      <w:r w:rsidR="0067613C">
        <w:rPr>
          <w:lang w:eastAsia="en-AU"/>
        </w:rPr>
        <w:t>P</w:t>
      </w:r>
      <w:r w:rsidR="003145CD">
        <w:rPr>
          <w:lang w:eastAsia="en-AU"/>
        </w:rPr>
        <w:t xml:space="preserve">lan will </w:t>
      </w:r>
      <w:r w:rsidR="00D52735">
        <w:rPr>
          <w:lang w:eastAsia="en-AU"/>
        </w:rPr>
        <w:t xml:space="preserve">concentrate on the </w:t>
      </w:r>
      <w:r w:rsidR="0067613C">
        <w:rPr>
          <w:lang w:eastAsia="en-AU"/>
        </w:rPr>
        <w:t xml:space="preserve">WGEA roadmap phases </w:t>
      </w:r>
      <w:r w:rsidR="003145CD">
        <w:rPr>
          <w:lang w:eastAsia="en-AU"/>
        </w:rPr>
        <w:t>of</w:t>
      </w:r>
      <w:r w:rsidR="00D52735">
        <w:rPr>
          <w:lang w:eastAsia="en-AU"/>
        </w:rPr>
        <w:t xml:space="preserve"> </w:t>
      </w:r>
      <w:r w:rsidR="00D36C75">
        <w:rPr>
          <w:lang w:eastAsia="en-AU"/>
        </w:rPr>
        <w:t>S</w:t>
      </w:r>
      <w:r>
        <w:rPr>
          <w:lang w:eastAsia="en-AU"/>
        </w:rPr>
        <w:t xml:space="preserve">trategic and </w:t>
      </w:r>
      <w:r w:rsidR="00D36C75">
        <w:rPr>
          <w:lang w:eastAsia="en-AU"/>
        </w:rPr>
        <w:t>P</w:t>
      </w:r>
      <w:r>
        <w:rPr>
          <w:lang w:eastAsia="en-AU"/>
        </w:rPr>
        <w:t>r</w:t>
      </w:r>
      <w:r w:rsidR="00D52735">
        <w:rPr>
          <w:lang w:eastAsia="en-AU"/>
        </w:rPr>
        <w:t xml:space="preserve">ogrammatic.  </w:t>
      </w:r>
      <w:r w:rsidR="00DF2E61">
        <w:rPr>
          <w:lang w:eastAsia="en-AU"/>
        </w:rPr>
        <w:t>Conscious and deliberate effort in these areas is likely to yield significant results.</w:t>
      </w:r>
    </w:p>
    <w:p w:rsidR="00CD0B84" w:rsidRDefault="009D408D" w:rsidP="00CD0B84">
      <w:pPr>
        <w:spacing w:before="0" w:after="200"/>
        <w:rPr>
          <w:lang w:eastAsia="en-AU"/>
        </w:rPr>
      </w:pPr>
      <w:r w:rsidRPr="00CF6CF2">
        <w:rPr>
          <w:lang w:eastAsia="en-AU"/>
        </w:rPr>
        <w:t xml:space="preserve">The DSS Action Plan </w:t>
      </w:r>
      <w:r w:rsidR="0034670F" w:rsidRPr="00CF6CF2">
        <w:rPr>
          <w:lang w:eastAsia="en-AU"/>
        </w:rPr>
        <w:t xml:space="preserve">sets out a range of </w:t>
      </w:r>
      <w:r w:rsidR="00E5318C" w:rsidRPr="00CF6CF2">
        <w:rPr>
          <w:lang w:eastAsia="en-AU"/>
        </w:rPr>
        <w:t xml:space="preserve">goals and </w:t>
      </w:r>
      <w:r w:rsidR="0034670F" w:rsidRPr="00CF6CF2">
        <w:rPr>
          <w:lang w:eastAsia="en-AU"/>
        </w:rPr>
        <w:t xml:space="preserve">actions </w:t>
      </w:r>
      <w:r w:rsidR="0034670F" w:rsidRPr="00CF6CF2">
        <w:t xml:space="preserve">to reinforce </w:t>
      </w:r>
      <w:r w:rsidRPr="00CF6CF2">
        <w:t xml:space="preserve">our </w:t>
      </w:r>
      <w:r w:rsidR="0034670F" w:rsidRPr="00CF6CF2">
        <w:t xml:space="preserve">Department’s </w:t>
      </w:r>
      <w:r w:rsidRPr="00CF6CF2">
        <w:t xml:space="preserve">commitment to </w:t>
      </w:r>
      <w:r w:rsidR="0034670F" w:rsidRPr="00CF6CF2">
        <w:t>diversity and gender equality.</w:t>
      </w:r>
      <w:r w:rsidR="0034670F">
        <w:t xml:space="preserve">  </w:t>
      </w:r>
      <w:r w:rsidR="00DF2E61">
        <w:rPr>
          <w:lang w:eastAsia="en-AU"/>
        </w:rPr>
        <w:t xml:space="preserve">As a result, the priority areas for DSS </w:t>
      </w:r>
      <w:r w:rsidR="0028423D">
        <w:rPr>
          <w:lang w:eastAsia="en-AU"/>
        </w:rPr>
        <w:t xml:space="preserve">within the </w:t>
      </w:r>
      <w:r w:rsidR="008232DE">
        <w:rPr>
          <w:lang w:eastAsia="en-AU"/>
        </w:rPr>
        <w:t xml:space="preserve">Action </w:t>
      </w:r>
      <w:r w:rsidR="0028423D">
        <w:rPr>
          <w:lang w:eastAsia="en-AU"/>
        </w:rPr>
        <w:t xml:space="preserve">Plan </w:t>
      </w:r>
      <w:r w:rsidR="00DF2E61">
        <w:rPr>
          <w:lang w:eastAsia="en-AU"/>
        </w:rPr>
        <w:t>are:</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Developing the capability of leaders and managers to embed gender equality across teams and business units</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Demonstrating the Department’s commitment to gender equality when procuring its goods and services</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Sustaining a gender inclusive culture, including through senior level promotion of the business case for equality</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Promoting flexible work arrangements regardless of classification and gender</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Meeting stretch gender-based diversity targets</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 xml:space="preserve">Maintaining our gender profile across all business areas and gender balance in leadership roles </w:t>
      </w:r>
    </w:p>
    <w:p w:rsidR="00CD0B84" w:rsidRPr="00CD0B84" w:rsidRDefault="00CD0B84" w:rsidP="00CD0B84">
      <w:pPr>
        <w:pStyle w:val="ListParagraph"/>
        <w:numPr>
          <w:ilvl w:val="0"/>
          <w:numId w:val="37"/>
        </w:numPr>
        <w:tabs>
          <w:tab w:val="left" w:pos="567"/>
        </w:tabs>
        <w:spacing w:line="360" w:lineRule="auto"/>
        <w:ind w:left="567" w:hanging="567"/>
        <w:jc w:val="left"/>
        <w:rPr>
          <w:sz w:val="24"/>
          <w:szCs w:val="24"/>
        </w:rPr>
      </w:pPr>
      <w:r w:rsidRPr="00CD0B84">
        <w:rPr>
          <w:sz w:val="24"/>
          <w:szCs w:val="24"/>
        </w:rPr>
        <w:t>Developing more diverse employment practices.</w:t>
      </w:r>
    </w:p>
    <w:p w:rsidR="004F473B" w:rsidRPr="006B457E" w:rsidRDefault="004F473B" w:rsidP="004F473B">
      <w:pPr>
        <w:pStyle w:val="Heading1"/>
        <w:keepNext w:val="0"/>
        <w:spacing w:before="360" w:after="120"/>
        <w:contextualSpacing/>
        <w:rPr>
          <w:rFonts w:ascii="Georgia" w:hAnsi="Georgia"/>
          <w:b w:val="0"/>
          <w:bCs/>
          <w:color w:val="500778"/>
          <w:spacing w:val="4"/>
          <w:kern w:val="0"/>
          <w:sz w:val="36"/>
          <w:szCs w:val="28"/>
          <w:lang w:eastAsia="en-AU"/>
        </w:rPr>
      </w:pPr>
      <w:bookmarkStart w:id="4" w:name="_Toc481135387"/>
      <w:r>
        <w:rPr>
          <w:rFonts w:ascii="Georgia" w:hAnsi="Georgia"/>
          <w:b w:val="0"/>
          <w:bCs/>
          <w:color w:val="500778"/>
          <w:spacing w:val="4"/>
          <w:kern w:val="0"/>
          <w:sz w:val="36"/>
          <w:szCs w:val="28"/>
          <w:lang w:eastAsia="en-AU"/>
        </w:rPr>
        <w:t>Current State</w:t>
      </w:r>
      <w:bookmarkEnd w:id="4"/>
    </w:p>
    <w:p w:rsidR="00611415" w:rsidRDefault="00611415" w:rsidP="00611415">
      <w:pPr>
        <w:spacing w:before="0" w:after="200" w:line="276" w:lineRule="auto"/>
      </w:pPr>
      <w:r w:rsidRPr="00CF6CF2">
        <w:t>The Department is already a leader in the APS and performs well in gender equality.</w:t>
      </w:r>
    </w:p>
    <w:p w:rsidR="00100EC5" w:rsidRPr="00100EC5" w:rsidRDefault="00473B4D" w:rsidP="00473B4D">
      <w:pPr>
        <w:spacing w:before="0" w:after="200" w:line="276" w:lineRule="auto"/>
        <w:rPr>
          <w:szCs w:val="24"/>
        </w:rPr>
      </w:pPr>
      <w:r w:rsidRPr="00100EC5">
        <w:rPr>
          <w:szCs w:val="24"/>
        </w:rPr>
        <w:lastRenderedPageBreak/>
        <w:t xml:space="preserve">As at 31 January 2017, </w:t>
      </w:r>
      <w:r w:rsidR="00100EC5" w:rsidRPr="00100EC5">
        <w:rPr>
          <w:szCs w:val="24"/>
        </w:rPr>
        <w:t>within DSS</w:t>
      </w:r>
      <w:r w:rsidR="00A66A08">
        <w:rPr>
          <w:szCs w:val="24"/>
        </w:rPr>
        <w:t>:</w:t>
      </w:r>
    </w:p>
    <w:p w:rsidR="00100EC5" w:rsidRPr="00100EC5" w:rsidRDefault="00014436" w:rsidP="00014436">
      <w:pPr>
        <w:pStyle w:val="ListParagraph"/>
        <w:numPr>
          <w:ilvl w:val="0"/>
          <w:numId w:val="37"/>
        </w:numPr>
        <w:tabs>
          <w:tab w:val="left" w:pos="567"/>
        </w:tabs>
        <w:spacing w:line="360" w:lineRule="auto"/>
        <w:ind w:left="567" w:hanging="567"/>
        <w:jc w:val="left"/>
        <w:rPr>
          <w:sz w:val="24"/>
          <w:szCs w:val="24"/>
        </w:rPr>
      </w:pPr>
      <w:r>
        <w:rPr>
          <w:sz w:val="24"/>
          <w:szCs w:val="24"/>
        </w:rPr>
        <w:t>67</w:t>
      </w:r>
      <w:r w:rsidR="00473B4D" w:rsidRPr="00100EC5">
        <w:rPr>
          <w:sz w:val="24"/>
          <w:szCs w:val="24"/>
        </w:rPr>
        <w:t xml:space="preserve"> per cent </w:t>
      </w:r>
      <w:r w:rsidR="00100EC5" w:rsidRPr="00100EC5">
        <w:rPr>
          <w:sz w:val="24"/>
          <w:szCs w:val="24"/>
        </w:rPr>
        <w:t xml:space="preserve">of </w:t>
      </w:r>
      <w:r>
        <w:rPr>
          <w:sz w:val="24"/>
          <w:szCs w:val="24"/>
        </w:rPr>
        <w:t xml:space="preserve">DSS </w:t>
      </w:r>
      <w:r w:rsidR="00100EC5" w:rsidRPr="00100EC5">
        <w:rPr>
          <w:sz w:val="24"/>
          <w:szCs w:val="24"/>
        </w:rPr>
        <w:t xml:space="preserve">staff are </w:t>
      </w:r>
      <w:r w:rsidR="00100EC5">
        <w:rPr>
          <w:sz w:val="24"/>
          <w:szCs w:val="24"/>
        </w:rPr>
        <w:t>women</w:t>
      </w:r>
    </w:p>
    <w:p w:rsidR="00100EC5" w:rsidRDefault="00014436" w:rsidP="00014436">
      <w:pPr>
        <w:pStyle w:val="ListParagraph"/>
        <w:numPr>
          <w:ilvl w:val="0"/>
          <w:numId w:val="37"/>
        </w:numPr>
        <w:tabs>
          <w:tab w:val="left" w:pos="567"/>
        </w:tabs>
        <w:spacing w:line="360" w:lineRule="auto"/>
        <w:ind w:left="567" w:hanging="567"/>
        <w:jc w:val="left"/>
        <w:rPr>
          <w:sz w:val="24"/>
          <w:szCs w:val="24"/>
        </w:rPr>
      </w:pPr>
      <w:r>
        <w:rPr>
          <w:sz w:val="24"/>
          <w:szCs w:val="24"/>
        </w:rPr>
        <w:t>53</w:t>
      </w:r>
      <w:r w:rsidR="00100EC5" w:rsidRPr="00100EC5">
        <w:rPr>
          <w:sz w:val="24"/>
          <w:szCs w:val="24"/>
        </w:rPr>
        <w:t xml:space="preserve"> per cent of </w:t>
      </w:r>
      <w:r>
        <w:rPr>
          <w:sz w:val="24"/>
          <w:szCs w:val="24"/>
        </w:rPr>
        <w:t>DSS senior executive service leaders</w:t>
      </w:r>
      <w:r w:rsidR="00100EC5" w:rsidRPr="00100EC5">
        <w:rPr>
          <w:sz w:val="24"/>
          <w:szCs w:val="24"/>
        </w:rPr>
        <w:t xml:space="preserve"> </w:t>
      </w:r>
      <w:r w:rsidR="00473B4D" w:rsidRPr="00100EC5">
        <w:rPr>
          <w:sz w:val="24"/>
          <w:szCs w:val="24"/>
        </w:rPr>
        <w:t xml:space="preserve">are </w:t>
      </w:r>
      <w:r w:rsidR="00100EC5">
        <w:rPr>
          <w:sz w:val="24"/>
          <w:szCs w:val="24"/>
        </w:rPr>
        <w:t>women</w:t>
      </w:r>
    </w:p>
    <w:p w:rsidR="00DE76A9" w:rsidRPr="00100EC5" w:rsidRDefault="00DE76A9" w:rsidP="00DE76A9">
      <w:pPr>
        <w:pStyle w:val="ListParagraph"/>
        <w:numPr>
          <w:ilvl w:val="0"/>
          <w:numId w:val="37"/>
        </w:numPr>
        <w:tabs>
          <w:tab w:val="left" w:pos="567"/>
        </w:tabs>
        <w:spacing w:line="360" w:lineRule="auto"/>
        <w:ind w:left="567" w:hanging="567"/>
        <w:jc w:val="left"/>
        <w:rPr>
          <w:sz w:val="24"/>
          <w:szCs w:val="24"/>
        </w:rPr>
      </w:pPr>
      <w:r>
        <w:rPr>
          <w:sz w:val="24"/>
          <w:szCs w:val="24"/>
        </w:rPr>
        <w:t xml:space="preserve">There is </w:t>
      </w:r>
      <w:r w:rsidR="00BD5417">
        <w:rPr>
          <w:sz w:val="24"/>
          <w:szCs w:val="24"/>
        </w:rPr>
        <w:t xml:space="preserve">reasonable </w:t>
      </w:r>
      <w:r>
        <w:rPr>
          <w:sz w:val="24"/>
          <w:szCs w:val="24"/>
        </w:rPr>
        <w:t xml:space="preserve">pay equity across APS </w:t>
      </w:r>
      <w:r w:rsidR="00BD5417">
        <w:rPr>
          <w:sz w:val="24"/>
          <w:szCs w:val="24"/>
        </w:rPr>
        <w:t xml:space="preserve">workforce </w:t>
      </w:r>
      <w:r>
        <w:rPr>
          <w:sz w:val="24"/>
          <w:szCs w:val="24"/>
        </w:rPr>
        <w:t xml:space="preserve">as a consequence of the APS remuneration structures and DSS Enterprise Agreement </w:t>
      </w:r>
    </w:p>
    <w:p w:rsidR="00507508" w:rsidRPr="005E590F" w:rsidRDefault="00507508" w:rsidP="005E590F">
      <w:pPr>
        <w:pStyle w:val="ListParagraph"/>
        <w:numPr>
          <w:ilvl w:val="0"/>
          <w:numId w:val="37"/>
        </w:numPr>
        <w:tabs>
          <w:tab w:val="left" w:pos="567"/>
        </w:tabs>
        <w:spacing w:line="360" w:lineRule="auto"/>
        <w:ind w:left="567" w:hanging="567"/>
        <w:jc w:val="left"/>
        <w:rPr>
          <w:sz w:val="24"/>
          <w:szCs w:val="24"/>
        </w:rPr>
      </w:pPr>
      <w:r w:rsidRPr="005E590F">
        <w:rPr>
          <w:sz w:val="24"/>
          <w:szCs w:val="24"/>
        </w:rPr>
        <w:t xml:space="preserve">SES pay rates are marginally higher overall for males than females ($197,530 compared to $195,832). However the average pay rate is slightly higher for females in the SES Band 2 cohort ($235,116 compared to $233,327) and the SES Band 3 cohort  </w:t>
      </w:r>
    </w:p>
    <w:p w:rsidR="00014436" w:rsidRDefault="00014436" w:rsidP="00014436">
      <w:pPr>
        <w:pStyle w:val="ListParagraph"/>
        <w:numPr>
          <w:ilvl w:val="0"/>
          <w:numId w:val="37"/>
        </w:numPr>
        <w:tabs>
          <w:tab w:val="left" w:pos="567"/>
        </w:tabs>
        <w:spacing w:line="360" w:lineRule="auto"/>
        <w:ind w:left="567" w:hanging="567"/>
        <w:jc w:val="left"/>
        <w:rPr>
          <w:sz w:val="24"/>
          <w:szCs w:val="24"/>
        </w:rPr>
      </w:pPr>
      <w:r>
        <w:rPr>
          <w:sz w:val="24"/>
          <w:szCs w:val="24"/>
        </w:rPr>
        <w:t>Women</w:t>
      </w:r>
      <w:r w:rsidR="00D40C28" w:rsidRPr="00100EC5">
        <w:rPr>
          <w:sz w:val="24"/>
          <w:szCs w:val="24"/>
        </w:rPr>
        <w:t xml:space="preserve"> slightly </w:t>
      </w:r>
      <w:r w:rsidRPr="00100EC5">
        <w:rPr>
          <w:sz w:val="24"/>
          <w:szCs w:val="24"/>
        </w:rPr>
        <w:t>outnumber</w:t>
      </w:r>
      <w:r w:rsidR="00D40C28" w:rsidRPr="00100EC5">
        <w:rPr>
          <w:sz w:val="24"/>
          <w:szCs w:val="24"/>
        </w:rPr>
        <w:t xml:space="preserve"> </w:t>
      </w:r>
      <w:r w:rsidR="00100EC5">
        <w:rPr>
          <w:sz w:val="24"/>
          <w:szCs w:val="24"/>
        </w:rPr>
        <w:t>men</w:t>
      </w:r>
      <w:r w:rsidR="00D40C28" w:rsidRPr="00100EC5">
        <w:rPr>
          <w:sz w:val="24"/>
          <w:szCs w:val="24"/>
        </w:rPr>
        <w:t xml:space="preserve"> (55 per cent to 45 per cent) in financial services roles</w:t>
      </w:r>
    </w:p>
    <w:p w:rsidR="00100EC5" w:rsidRPr="00100EC5" w:rsidRDefault="00014436" w:rsidP="00014436">
      <w:pPr>
        <w:pStyle w:val="ListParagraph"/>
        <w:numPr>
          <w:ilvl w:val="0"/>
          <w:numId w:val="37"/>
        </w:numPr>
        <w:tabs>
          <w:tab w:val="left" w:pos="567"/>
        </w:tabs>
        <w:spacing w:line="360" w:lineRule="auto"/>
        <w:ind w:left="567" w:hanging="567"/>
        <w:jc w:val="left"/>
        <w:rPr>
          <w:sz w:val="24"/>
          <w:szCs w:val="24"/>
        </w:rPr>
      </w:pPr>
      <w:r>
        <w:rPr>
          <w:sz w:val="24"/>
          <w:szCs w:val="24"/>
        </w:rPr>
        <w:t>W</w:t>
      </w:r>
      <w:r w:rsidR="00100EC5">
        <w:rPr>
          <w:sz w:val="24"/>
          <w:szCs w:val="24"/>
        </w:rPr>
        <w:t>omen</w:t>
      </w:r>
      <w:r w:rsidR="00D40C28" w:rsidRPr="00100EC5">
        <w:rPr>
          <w:sz w:val="24"/>
          <w:szCs w:val="24"/>
        </w:rPr>
        <w:t xml:space="preserve"> make up one third (35 per cent) of the </w:t>
      </w:r>
      <w:r w:rsidR="00B65028" w:rsidRPr="00100EC5">
        <w:rPr>
          <w:sz w:val="24"/>
          <w:szCs w:val="24"/>
        </w:rPr>
        <w:t xml:space="preserve">DSS </w:t>
      </w:r>
      <w:r w:rsidR="00D40C28" w:rsidRPr="00100EC5">
        <w:rPr>
          <w:sz w:val="24"/>
          <w:szCs w:val="24"/>
        </w:rPr>
        <w:t xml:space="preserve">Information </w:t>
      </w:r>
      <w:r w:rsidR="00090B88">
        <w:rPr>
          <w:sz w:val="24"/>
          <w:szCs w:val="24"/>
        </w:rPr>
        <w:t>Management Technology workforce</w:t>
      </w:r>
    </w:p>
    <w:p w:rsidR="00684B62" w:rsidRDefault="001D0F1E" w:rsidP="00473B4D">
      <w:pPr>
        <w:pStyle w:val="ListParagraph"/>
        <w:numPr>
          <w:ilvl w:val="0"/>
          <w:numId w:val="37"/>
        </w:numPr>
        <w:tabs>
          <w:tab w:val="left" w:pos="567"/>
        </w:tabs>
        <w:spacing w:line="360" w:lineRule="auto"/>
        <w:ind w:left="567" w:hanging="567"/>
        <w:jc w:val="left"/>
        <w:rPr>
          <w:sz w:val="24"/>
          <w:szCs w:val="24"/>
        </w:rPr>
      </w:pPr>
      <w:r w:rsidRPr="00100EC5">
        <w:rPr>
          <w:sz w:val="24"/>
          <w:szCs w:val="24"/>
        </w:rPr>
        <w:t>20 per</w:t>
      </w:r>
      <w:r w:rsidR="00090B88">
        <w:rPr>
          <w:sz w:val="24"/>
          <w:szCs w:val="24"/>
        </w:rPr>
        <w:t xml:space="preserve"> </w:t>
      </w:r>
      <w:r w:rsidRPr="00100EC5">
        <w:rPr>
          <w:sz w:val="24"/>
          <w:szCs w:val="24"/>
        </w:rPr>
        <w:t xml:space="preserve">cent of the DSS </w:t>
      </w:r>
      <w:r w:rsidR="000171B8">
        <w:rPr>
          <w:sz w:val="24"/>
          <w:szCs w:val="24"/>
        </w:rPr>
        <w:t xml:space="preserve">APS </w:t>
      </w:r>
      <w:r w:rsidRPr="00100EC5">
        <w:rPr>
          <w:sz w:val="24"/>
          <w:szCs w:val="24"/>
        </w:rPr>
        <w:t xml:space="preserve">workforce </w:t>
      </w:r>
      <w:r w:rsidR="00A66A08">
        <w:rPr>
          <w:sz w:val="24"/>
          <w:szCs w:val="24"/>
        </w:rPr>
        <w:t>and 2 per cent of SES</w:t>
      </w:r>
      <w:r w:rsidR="00A66A08" w:rsidRPr="00100EC5">
        <w:rPr>
          <w:sz w:val="24"/>
          <w:szCs w:val="24"/>
        </w:rPr>
        <w:t xml:space="preserve"> </w:t>
      </w:r>
      <w:r w:rsidRPr="00100EC5">
        <w:rPr>
          <w:sz w:val="24"/>
          <w:szCs w:val="24"/>
        </w:rPr>
        <w:t xml:space="preserve">access part-time arrangements, </w:t>
      </w:r>
      <w:r w:rsidR="00A66A08">
        <w:rPr>
          <w:sz w:val="24"/>
          <w:szCs w:val="24"/>
        </w:rPr>
        <w:t xml:space="preserve">with </w:t>
      </w:r>
      <w:r w:rsidRPr="00100EC5">
        <w:rPr>
          <w:sz w:val="24"/>
          <w:szCs w:val="24"/>
        </w:rPr>
        <w:t xml:space="preserve">86 per cent of staff who access these </w:t>
      </w:r>
      <w:r w:rsidR="007341DF">
        <w:rPr>
          <w:sz w:val="24"/>
          <w:szCs w:val="24"/>
        </w:rPr>
        <w:t xml:space="preserve">arrangements </w:t>
      </w:r>
      <w:r w:rsidR="004E52D9">
        <w:rPr>
          <w:sz w:val="24"/>
          <w:szCs w:val="24"/>
        </w:rPr>
        <w:t>being</w:t>
      </w:r>
      <w:r w:rsidRPr="00100EC5">
        <w:rPr>
          <w:sz w:val="24"/>
          <w:szCs w:val="24"/>
        </w:rPr>
        <w:t xml:space="preserve"> </w:t>
      </w:r>
      <w:r w:rsidR="00100EC5">
        <w:rPr>
          <w:sz w:val="24"/>
          <w:szCs w:val="24"/>
        </w:rPr>
        <w:t>women</w:t>
      </w:r>
    </w:p>
    <w:p w:rsidR="00684B62" w:rsidRDefault="00684B62" w:rsidP="00684B62">
      <w:pPr>
        <w:pStyle w:val="ListParagraph"/>
        <w:numPr>
          <w:ilvl w:val="0"/>
          <w:numId w:val="37"/>
        </w:numPr>
        <w:tabs>
          <w:tab w:val="left" w:pos="567"/>
        </w:tabs>
        <w:spacing w:line="360" w:lineRule="auto"/>
        <w:ind w:left="567" w:hanging="567"/>
        <w:jc w:val="left"/>
        <w:rPr>
          <w:sz w:val="24"/>
          <w:szCs w:val="24"/>
        </w:rPr>
      </w:pPr>
      <w:r w:rsidRPr="00684B62">
        <w:rPr>
          <w:sz w:val="24"/>
          <w:szCs w:val="24"/>
        </w:rPr>
        <w:t xml:space="preserve">72 per cent of </w:t>
      </w:r>
      <w:r w:rsidR="003145CD">
        <w:rPr>
          <w:sz w:val="24"/>
          <w:szCs w:val="24"/>
        </w:rPr>
        <w:t>women</w:t>
      </w:r>
      <w:r w:rsidRPr="00684B62">
        <w:rPr>
          <w:sz w:val="24"/>
          <w:szCs w:val="24"/>
        </w:rPr>
        <w:t xml:space="preserve"> identify</w:t>
      </w:r>
      <w:r>
        <w:rPr>
          <w:sz w:val="24"/>
          <w:szCs w:val="24"/>
        </w:rPr>
        <w:t xml:space="preserve"> as </w:t>
      </w:r>
      <w:r w:rsidRPr="00684B62">
        <w:rPr>
          <w:sz w:val="24"/>
          <w:szCs w:val="24"/>
        </w:rPr>
        <w:t>having carer responsibilit</w:t>
      </w:r>
      <w:r>
        <w:rPr>
          <w:sz w:val="24"/>
          <w:szCs w:val="24"/>
        </w:rPr>
        <w:t xml:space="preserve">ies, which is </w:t>
      </w:r>
      <w:r w:rsidR="00A66A08">
        <w:rPr>
          <w:sz w:val="24"/>
          <w:szCs w:val="24"/>
        </w:rPr>
        <w:t xml:space="preserve">significantly </w:t>
      </w:r>
      <w:r>
        <w:rPr>
          <w:sz w:val="24"/>
          <w:szCs w:val="24"/>
        </w:rPr>
        <w:t xml:space="preserve">above the rate of men at </w:t>
      </w:r>
      <w:r w:rsidRPr="00684B62">
        <w:rPr>
          <w:sz w:val="24"/>
          <w:szCs w:val="24"/>
        </w:rPr>
        <w:t>28</w:t>
      </w:r>
      <w:r w:rsidR="00EC0292">
        <w:rPr>
          <w:sz w:val="24"/>
          <w:szCs w:val="24"/>
        </w:rPr>
        <w:t xml:space="preserve"> per cent</w:t>
      </w:r>
    </w:p>
    <w:p w:rsidR="00684B62" w:rsidRPr="00C47161" w:rsidRDefault="00684B62" w:rsidP="00C47161">
      <w:pPr>
        <w:pStyle w:val="ListParagraph"/>
        <w:numPr>
          <w:ilvl w:val="0"/>
          <w:numId w:val="37"/>
        </w:numPr>
        <w:tabs>
          <w:tab w:val="left" w:pos="567"/>
        </w:tabs>
        <w:spacing w:line="360" w:lineRule="auto"/>
        <w:ind w:left="567" w:hanging="567"/>
        <w:jc w:val="left"/>
        <w:rPr>
          <w:sz w:val="24"/>
          <w:szCs w:val="24"/>
        </w:rPr>
      </w:pPr>
      <w:r w:rsidRPr="00C47161">
        <w:rPr>
          <w:sz w:val="24"/>
          <w:szCs w:val="24"/>
        </w:rPr>
        <w:t xml:space="preserve">The </w:t>
      </w:r>
      <w:r w:rsidR="0001569D">
        <w:rPr>
          <w:sz w:val="24"/>
          <w:szCs w:val="24"/>
        </w:rPr>
        <w:t>D</w:t>
      </w:r>
      <w:r w:rsidRPr="00C47161">
        <w:rPr>
          <w:sz w:val="24"/>
          <w:szCs w:val="24"/>
        </w:rPr>
        <w:t>epartment’s separation rate</w:t>
      </w:r>
      <w:r w:rsidR="0001569D">
        <w:rPr>
          <w:sz w:val="24"/>
          <w:szCs w:val="24"/>
        </w:rPr>
        <w:t xml:space="preserve"> of 15.38 per cent</w:t>
      </w:r>
      <w:r w:rsidRPr="00C47161">
        <w:rPr>
          <w:sz w:val="24"/>
          <w:szCs w:val="24"/>
        </w:rPr>
        <w:t xml:space="preserve"> is </w:t>
      </w:r>
      <w:r w:rsidR="00C47161">
        <w:rPr>
          <w:sz w:val="24"/>
          <w:szCs w:val="24"/>
        </w:rPr>
        <w:t xml:space="preserve">similar for both </w:t>
      </w:r>
      <w:r w:rsidR="00A66A08">
        <w:rPr>
          <w:sz w:val="24"/>
          <w:szCs w:val="24"/>
        </w:rPr>
        <w:t>wo</w:t>
      </w:r>
      <w:r w:rsidR="00EC0292">
        <w:rPr>
          <w:sz w:val="24"/>
          <w:szCs w:val="24"/>
        </w:rPr>
        <w:t>men and men</w:t>
      </w:r>
    </w:p>
    <w:p w:rsidR="00967ACD" w:rsidRDefault="00C47161" w:rsidP="003145CD">
      <w:pPr>
        <w:pStyle w:val="ListParagraph"/>
        <w:numPr>
          <w:ilvl w:val="0"/>
          <w:numId w:val="37"/>
        </w:numPr>
        <w:tabs>
          <w:tab w:val="left" w:pos="567"/>
        </w:tabs>
        <w:spacing w:line="360" w:lineRule="auto"/>
        <w:ind w:left="567" w:hanging="567"/>
        <w:jc w:val="left"/>
        <w:rPr>
          <w:sz w:val="24"/>
          <w:szCs w:val="24"/>
        </w:rPr>
      </w:pPr>
      <w:r w:rsidRPr="00967ACD">
        <w:rPr>
          <w:sz w:val="24"/>
          <w:szCs w:val="24"/>
        </w:rPr>
        <w:t xml:space="preserve">Census data indicates that </w:t>
      </w:r>
      <w:r w:rsidR="003145CD" w:rsidRPr="00967ACD">
        <w:rPr>
          <w:sz w:val="24"/>
          <w:szCs w:val="24"/>
        </w:rPr>
        <w:t>women</w:t>
      </w:r>
      <w:r w:rsidRPr="00967ACD">
        <w:rPr>
          <w:sz w:val="24"/>
          <w:szCs w:val="24"/>
        </w:rPr>
        <w:t xml:space="preserve"> are slightly more engaged (61 per cent) </w:t>
      </w:r>
      <w:r w:rsidR="00A66A08" w:rsidRPr="00967ACD">
        <w:rPr>
          <w:sz w:val="24"/>
          <w:szCs w:val="24"/>
        </w:rPr>
        <w:t>than men (59 per cent) with their work, team, supervisor and agency</w:t>
      </w:r>
      <w:r w:rsidR="00967ACD" w:rsidRPr="00967ACD">
        <w:rPr>
          <w:sz w:val="24"/>
          <w:szCs w:val="24"/>
        </w:rPr>
        <w:t xml:space="preserve"> </w:t>
      </w:r>
    </w:p>
    <w:p w:rsidR="00967ACD" w:rsidRPr="00967ACD" w:rsidRDefault="00967ACD" w:rsidP="00967ACD">
      <w:pPr>
        <w:pStyle w:val="ListParagraph"/>
        <w:numPr>
          <w:ilvl w:val="0"/>
          <w:numId w:val="37"/>
        </w:numPr>
        <w:tabs>
          <w:tab w:val="left" w:pos="567"/>
        </w:tabs>
        <w:spacing w:line="360" w:lineRule="auto"/>
        <w:ind w:left="567" w:hanging="567"/>
        <w:jc w:val="left"/>
        <w:rPr>
          <w:sz w:val="24"/>
          <w:szCs w:val="24"/>
        </w:rPr>
      </w:pPr>
      <w:r w:rsidRPr="00967ACD">
        <w:rPr>
          <w:sz w:val="24"/>
          <w:szCs w:val="24"/>
        </w:rPr>
        <w:t>Gender representation by organisational structure is detailed in the graph below, with only one Group showing a lower female to male ratio</w:t>
      </w:r>
    </w:p>
    <w:p w:rsidR="003145CD" w:rsidRPr="00967ACD" w:rsidRDefault="00967ACD" w:rsidP="00967ACD">
      <w:pPr>
        <w:tabs>
          <w:tab w:val="left" w:pos="567"/>
        </w:tabs>
        <w:spacing w:line="360" w:lineRule="auto"/>
        <w:rPr>
          <w:szCs w:val="24"/>
        </w:rPr>
      </w:pPr>
      <w:r>
        <w:rPr>
          <w:noProof/>
          <w:lang w:eastAsia="en-AU"/>
        </w:rPr>
        <w:drawing>
          <wp:anchor distT="0" distB="0" distL="114300" distR="114300" simplePos="0" relativeHeight="251659264" behindDoc="0" locked="0" layoutInCell="1" allowOverlap="1" wp14:anchorId="7211251B" wp14:editId="16C983C2">
            <wp:simplePos x="0" y="0"/>
            <wp:positionH relativeFrom="column">
              <wp:posOffset>241300</wp:posOffset>
            </wp:positionH>
            <wp:positionV relativeFrom="paragraph">
              <wp:posOffset>50800</wp:posOffset>
            </wp:positionV>
            <wp:extent cx="5067300" cy="2687320"/>
            <wp:effectExtent l="0" t="0" r="0" b="0"/>
            <wp:wrapSquare wrapText="bothSides"/>
            <wp:docPr id="1" name="Picture 1" descr="Graph illustrating Gender by Group, see abov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2687320"/>
                    </a:xfrm>
                    <a:prstGeom prst="rect">
                      <a:avLst/>
                    </a:prstGeom>
                    <a:noFill/>
                  </pic:spPr>
                </pic:pic>
              </a:graphicData>
            </a:graphic>
            <wp14:sizeRelH relativeFrom="margin">
              <wp14:pctWidth>0</wp14:pctWidth>
            </wp14:sizeRelH>
            <wp14:sizeRelV relativeFrom="margin">
              <wp14:pctHeight>0</wp14:pctHeight>
            </wp14:sizeRelV>
          </wp:anchor>
        </w:drawing>
      </w:r>
    </w:p>
    <w:p w:rsidR="006369F1" w:rsidRDefault="006369F1" w:rsidP="005E0528">
      <w:pPr>
        <w:tabs>
          <w:tab w:val="left" w:pos="567"/>
        </w:tabs>
        <w:spacing w:line="360" w:lineRule="auto"/>
        <w:rPr>
          <w:szCs w:val="24"/>
        </w:rPr>
        <w:sectPr w:rsidR="006369F1" w:rsidSect="00967ACD">
          <w:type w:val="continuous"/>
          <w:pgSz w:w="11907" w:h="16840" w:code="9"/>
          <w:pgMar w:top="828" w:right="1276" w:bottom="567" w:left="1276" w:header="284" w:footer="403" w:gutter="0"/>
          <w:cols w:space="720"/>
          <w:docGrid w:linePitch="326"/>
        </w:sectPr>
      </w:pPr>
    </w:p>
    <w:p w:rsidR="002B28E0" w:rsidRPr="003145CD" w:rsidRDefault="002B28E0" w:rsidP="003145CD">
      <w:pPr>
        <w:keepNext/>
        <w:tabs>
          <w:tab w:val="left" w:pos="567"/>
        </w:tabs>
        <w:spacing w:line="276" w:lineRule="auto"/>
        <w:rPr>
          <w:szCs w:val="24"/>
        </w:rPr>
      </w:pPr>
      <w:r w:rsidRPr="003145CD">
        <w:rPr>
          <w:rFonts w:ascii="Georgia" w:hAnsi="Georgia"/>
          <w:bCs/>
          <w:color w:val="500778"/>
          <w:spacing w:val="4"/>
          <w:sz w:val="36"/>
          <w:szCs w:val="28"/>
          <w:lang w:eastAsia="en-AU"/>
        </w:rPr>
        <w:lastRenderedPageBreak/>
        <w:t xml:space="preserve">DSS Gender Equality </w:t>
      </w:r>
      <w:r w:rsidR="000562F3" w:rsidRPr="003145CD">
        <w:rPr>
          <w:rFonts w:ascii="Georgia" w:hAnsi="Georgia"/>
          <w:bCs/>
          <w:color w:val="500778"/>
          <w:spacing w:val="4"/>
          <w:sz w:val="36"/>
          <w:szCs w:val="28"/>
          <w:lang w:eastAsia="en-AU"/>
        </w:rPr>
        <w:t>Action Plan</w:t>
      </w:r>
      <w:r w:rsidRPr="003145CD">
        <w:rPr>
          <w:rFonts w:ascii="Georgia" w:hAnsi="Georgia"/>
          <w:b/>
          <w:bCs/>
          <w:color w:val="500778"/>
          <w:spacing w:val="4"/>
          <w:sz w:val="36"/>
          <w:szCs w:val="28"/>
          <w:lang w:eastAsia="en-AU"/>
        </w:rPr>
        <w:t xml:space="preserve"> </w:t>
      </w:r>
    </w:p>
    <w:tbl>
      <w:tblPr>
        <w:tblStyle w:val="LightList-Accent5"/>
        <w:tblW w:w="13274" w:type="dxa"/>
        <w:jc w:val="center"/>
        <w:tblBorders>
          <w:insideH w:val="single" w:sz="8" w:space="0" w:color="4BACC6"/>
          <w:insideV w:val="single" w:sz="8" w:space="0" w:color="4BACC6"/>
        </w:tblBorders>
        <w:tblLayout w:type="fixed"/>
        <w:tblLook w:val="04A0" w:firstRow="1" w:lastRow="0" w:firstColumn="1" w:lastColumn="0" w:noHBand="0" w:noVBand="1"/>
      </w:tblPr>
      <w:tblGrid>
        <w:gridCol w:w="2015"/>
        <w:gridCol w:w="2045"/>
        <w:gridCol w:w="6237"/>
        <w:gridCol w:w="1540"/>
        <w:gridCol w:w="1437"/>
      </w:tblGrid>
      <w:tr w:rsidR="00B474CB" w:rsidRPr="00100EC5" w:rsidTr="00CF6CF2">
        <w:trPr>
          <w:cnfStyle w:val="100000000000" w:firstRow="1" w:lastRow="0" w:firstColumn="0" w:lastColumn="0" w:oddVBand="0" w:evenVBand="0" w:oddHBand="0" w:evenHBand="0" w:firstRowFirstColumn="0" w:firstRowLastColumn="0" w:lastRowFirstColumn="0" w:lastRowLastColumn="0"/>
          <w:trHeight w:val="600"/>
          <w:tblHeader/>
          <w:jc w:val="center"/>
        </w:trPr>
        <w:tc>
          <w:tcPr>
            <w:cnfStyle w:val="001000000000" w:firstRow="0" w:lastRow="0" w:firstColumn="1" w:lastColumn="0" w:oddVBand="0" w:evenVBand="0" w:oddHBand="0" w:evenHBand="0" w:firstRowFirstColumn="0" w:firstRowLastColumn="0" w:lastRowFirstColumn="0" w:lastRowLastColumn="0"/>
            <w:tcW w:w="2015" w:type="dxa"/>
          </w:tcPr>
          <w:p w:rsidR="00B474CB" w:rsidRPr="00100EC5" w:rsidRDefault="00B474CB" w:rsidP="00D76F01">
            <w:pPr>
              <w:spacing w:before="0"/>
              <w:contextualSpacing/>
              <w:rPr>
                <w:rFonts w:asciiTheme="minorHAnsi" w:hAnsiTheme="minorHAnsi"/>
                <w:sz w:val="21"/>
                <w:szCs w:val="21"/>
                <w:lang w:eastAsia="en-AU"/>
              </w:rPr>
            </w:pPr>
            <w:r w:rsidRPr="00100EC5">
              <w:rPr>
                <w:rFonts w:asciiTheme="minorHAnsi" w:hAnsiTheme="minorHAnsi"/>
                <w:color w:val="auto"/>
                <w:sz w:val="21"/>
                <w:szCs w:val="21"/>
                <w:lang w:eastAsia="en-AU"/>
              </w:rPr>
              <w:t>Goal</w:t>
            </w:r>
          </w:p>
        </w:tc>
        <w:tc>
          <w:tcPr>
            <w:tcW w:w="2045" w:type="dxa"/>
            <w:hideMark/>
          </w:tcPr>
          <w:p w:rsidR="00B474CB" w:rsidRPr="00100EC5" w:rsidRDefault="00B474CB" w:rsidP="00D76F01">
            <w:pPr>
              <w:spacing w:before="0"/>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1"/>
                <w:szCs w:val="21"/>
                <w:lang w:eastAsia="en-AU"/>
              </w:rPr>
            </w:pPr>
            <w:r w:rsidRPr="00100EC5">
              <w:rPr>
                <w:rFonts w:asciiTheme="minorHAnsi" w:eastAsia="Times New Roman" w:hAnsiTheme="minorHAnsi"/>
                <w:color w:val="000000"/>
                <w:sz w:val="21"/>
                <w:szCs w:val="21"/>
                <w:lang w:eastAsia="en-AU"/>
              </w:rPr>
              <w:t>Action Item</w:t>
            </w:r>
          </w:p>
        </w:tc>
        <w:tc>
          <w:tcPr>
            <w:tcW w:w="6237" w:type="dxa"/>
            <w:hideMark/>
          </w:tcPr>
          <w:p w:rsidR="00B474CB" w:rsidRPr="00100EC5" w:rsidRDefault="00B474CB" w:rsidP="00D76F01">
            <w:pPr>
              <w:spacing w:before="0"/>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1"/>
                <w:szCs w:val="21"/>
                <w:lang w:eastAsia="en-AU"/>
              </w:rPr>
            </w:pPr>
            <w:r w:rsidRPr="00100EC5">
              <w:rPr>
                <w:rFonts w:asciiTheme="minorHAnsi" w:eastAsia="Times New Roman" w:hAnsiTheme="minorHAnsi"/>
                <w:color w:val="000000"/>
                <w:sz w:val="21"/>
                <w:szCs w:val="21"/>
                <w:lang w:eastAsia="en-AU"/>
              </w:rPr>
              <w:t>Sub actions</w:t>
            </w:r>
          </w:p>
        </w:tc>
        <w:tc>
          <w:tcPr>
            <w:tcW w:w="1540" w:type="dxa"/>
            <w:hideMark/>
          </w:tcPr>
          <w:p w:rsidR="00B474CB" w:rsidRPr="00100EC5" w:rsidRDefault="00B474CB" w:rsidP="00D76F01">
            <w:pPr>
              <w:spacing w:before="0"/>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1"/>
                <w:szCs w:val="21"/>
                <w:lang w:eastAsia="en-AU"/>
              </w:rPr>
            </w:pPr>
            <w:r w:rsidRPr="00100EC5">
              <w:rPr>
                <w:rFonts w:asciiTheme="minorHAnsi" w:eastAsia="Times New Roman" w:hAnsiTheme="minorHAnsi"/>
                <w:color w:val="000000"/>
                <w:sz w:val="21"/>
                <w:szCs w:val="21"/>
                <w:lang w:eastAsia="en-AU"/>
              </w:rPr>
              <w:t>Timeframe to complete</w:t>
            </w:r>
          </w:p>
        </w:tc>
        <w:tc>
          <w:tcPr>
            <w:tcW w:w="1437" w:type="dxa"/>
            <w:hideMark/>
          </w:tcPr>
          <w:p w:rsidR="00B474CB" w:rsidRPr="00100EC5" w:rsidRDefault="00B474CB" w:rsidP="00D76F01">
            <w:pPr>
              <w:spacing w:before="0"/>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1"/>
                <w:szCs w:val="21"/>
                <w:lang w:eastAsia="en-AU"/>
              </w:rPr>
            </w:pPr>
            <w:r w:rsidRPr="00100EC5">
              <w:rPr>
                <w:rFonts w:asciiTheme="minorHAnsi" w:eastAsia="Times New Roman" w:hAnsiTheme="minorHAnsi"/>
                <w:color w:val="000000"/>
                <w:sz w:val="21"/>
                <w:szCs w:val="21"/>
                <w:lang w:eastAsia="en-AU"/>
              </w:rPr>
              <w:t>Area Responsible</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val="restart"/>
          </w:tcPr>
          <w:p w:rsidR="00B474CB" w:rsidRPr="00100EC5" w:rsidRDefault="00B474CB" w:rsidP="0020618B">
            <w:pPr>
              <w:contextualSpacing/>
              <w:rPr>
                <w:rFonts w:asciiTheme="minorHAnsi" w:hAnsiTheme="minorHAnsi"/>
                <w:color w:val="000000"/>
                <w:sz w:val="21"/>
                <w:szCs w:val="21"/>
                <w:lang w:eastAsia="en-AU"/>
              </w:rPr>
            </w:pPr>
            <w:r w:rsidRPr="00100EC5">
              <w:rPr>
                <w:rFonts w:asciiTheme="minorHAnsi" w:hAnsiTheme="minorHAnsi"/>
                <w:color w:val="000000"/>
                <w:sz w:val="21"/>
                <w:szCs w:val="21"/>
                <w:lang w:eastAsia="en-AU"/>
              </w:rPr>
              <w:t xml:space="preserve">Leadership and Workplace culture </w:t>
            </w:r>
          </w:p>
        </w:tc>
        <w:tc>
          <w:tcPr>
            <w:tcW w:w="2045" w:type="dxa"/>
            <w:vMerge w:val="restart"/>
            <w:vAlign w:val="center"/>
            <w:hideMark/>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Promote and raise awareness of the importance and benefits of gender equality as a business priority</w:t>
            </w: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Executive endorsed communication campaigns to support the principles of the APS Gender Equality Strategy and DSS Action Plan.</w:t>
            </w:r>
          </w:p>
        </w:tc>
        <w:tc>
          <w:tcPr>
            <w:tcW w:w="1540" w:type="dxa"/>
            <w:vAlign w:val="center"/>
            <w:hideMark/>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Q1 2017</w:t>
            </w:r>
          </w:p>
        </w:tc>
        <w:tc>
          <w:tcPr>
            <w:tcW w:w="1437" w:type="dxa"/>
            <w:vAlign w:val="center"/>
            <w:hideMark/>
          </w:tcPr>
          <w:p w:rsidR="00B474CB" w:rsidRPr="00100EC5" w:rsidRDefault="00072371"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hideMark/>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Provide toolkit for Senior Managers and supervisors to promote the benefits of an inclusive workplace and Departmental initiatives by June 2017.</w:t>
            </w:r>
          </w:p>
        </w:tc>
        <w:tc>
          <w:tcPr>
            <w:tcW w:w="1540" w:type="dxa"/>
            <w:vAlign w:val="center"/>
            <w:hideMark/>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hideMark/>
          </w:tcPr>
          <w:p w:rsidR="00B474CB" w:rsidRPr="00100EC5" w:rsidRDefault="00B474CB" w:rsidP="00BD5417">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r w:rsidR="00BD5417">
              <w:rPr>
                <w:rFonts w:asciiTheme="minorHAnsi" w:eastAsia="Times New Roman" w:hAnsiTheme="minorHAnsi"/>
                <w:color w:val="000000"/>
                <w:sz w:val="21"/>
                <w:szCs w:val="21"/>
                <w:lang w:eastAsia="en-AU"/>
              </w:rPr>
              <w:t>/all senior managers</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hideMark/>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4E52D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Support our portfolio agencies to establish and monitor gender equality initiatives by December 2017.</w:t>
            </w:r>
          </w:p>
        </w:tc>
        <w:tc>
          <w:tcPr>
            <w:tcW w:w="1540" w:type="dxa"/>
            <w:vAlign w:val="center"/>
            <w:hideMark/>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hideMark/>
          </w:tcPr>
          <w:p w:rsidR="00B474CB" w:rsidRPr="00100EC5" w:rsidRDefault="00BD5417"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hideMark/>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Review c</w:t>
            </w:r>
            <w:r w:rsidRPr="00100EC5">
              <w:rPr>
                <w:rFonts w:asciiTheme="minorHAnsi" w:eastAsia="Times New Roman" w:hAnsiTheme="minorHAnsi"/>
                <w:color w:val="000000"/>
                <w:sz w:val="21"/>
                <w:szCs w:val="21"/>
                <w:lang w:eastAsia="en-AU"/>
              </w:rPr>
              <w:t>orporate policies and procedures to ensure compliance with the Department’s gender equality commitment by December 2017.</w:t>
            </w:r>
          </w:p>
        </w:tc>
        <w:tc>
          <w:tcPr>
            <w:tcW w:w="1540" w:type="dxa"/>
            <w:vAlign w:val="center"/>
            <w:hideMark/>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Q4 2017</w:t>
            </w:r>
          </w:p>
        </w:tc>
        <w:tc>
          <w:tcPr>
            <w:tcW w:w="1437" w:type="dxa"/>
            <w:vAlign w:val="center"/>
            <w:hideMark/>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r>
              <w:rPr>
                <w:rFonts w:asciiTheme="minorHAnsi" w:eastAsia="Times New Roman" w:hAnsiTheme="minorHAnsi"/>
                <w:color w:val="000000"/>
                <w:sz w:val="21"/>
                <w:szCs w:val="21"/>
                <w:lang w:eastAsia="en-AU"/>
              </w:rPr>
              <w:t>/WCF</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restart"/>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Ensure consistent, supportive, and respectful approaches for the safety of employees and their workplaces</w:t>
            </w:r>
          </w:p>
        </w:tc>
        <w:tc>
          <w:tcPr>
            <w:tcW w:w="6237" w:type="dxa"/>
            <w:vAlign w:val="center"/>
          </w:tcPr>
          <w:p w:rsidR="00B474CB" w:rsidRPr="00100EC5" w:rsidRDefault="00B474CB" w:rsidP="004C2F76">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Provide training to managers to recognise and respond appropriately to employees</w:t>
            </w:r>
            <w:r>
              <w:rPr>
                <w:rFonts w:asciiTheme="minorHAnsi" w:eastAsia="Times New Roman" w:hAnsiTheme="minorHAnsi"/>
                <w:color w:val="000000"/>
                <w:sz w:val="21"/>
                <w:szCs w:val="21"/>
                <w:lang w:eastAsia="en-AU"/>
              </w:rPr>
              <w:t>,</w:t>
            </w:r>
            <w:r w:rsidRPr="00100EC5">
              <w:rPr>
                <w:rFonts w:asciiTheme="minorHAnsi" w:eastAsia="Times New Roman" w:hAnsiTheme="minorHAnsi"/>
                <w:color w:val="000000"/>
                <w:sz w:val="21"/>
                <w:szCs w:val="21"/>
                <w:lang w:eastAsia="en-AU"/>
              </w:rPr>
              <w:t xml:space="preserve"> including utilising leave provisions by June 2017. </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B474CB"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CSG</w:t>
            </w:r>
            <w:r w:rsidR="00BD5417">
              <w:rPr>
                <w:rFonts w:asciiTheme="minorHAnsi" w:eastAsia="Times New Roman" w:hAnsiTheme="minorHAnsi"/>
                <w:color w:val="000000"/>
                <w:sz w:val="21"/>
                <w:szCs w:val="21"/>
                <w:lang w:eastAsia="en-AU"/>
              </w:rPr>
              <w:t>/all managers</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4C2F76">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Improve policies relating to domestic and family violence and communication of those policies to employees by June 2017</w:t>
            </w:r>
            <w:r>
              <w:rPr>
                <w:rFonts w:asciiTheme="minorHAnsi" w:eastAsia="Times New Roman" w:hAnsiTheme="minorHAnsi"/>
                <w:color w:val="000000"/>
                <w:sz w:val="21"/>
                <w:szCs w:val="21"/>
                <w:lang w:eastAsia="en-AU"/>
              </w:rPr>
              <w:t>.</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B474CB"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CSG</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Establish web based resources relating to domestic violence information and supports by June 2017.</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B474CB"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CSG</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restart"/>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Establish a Gender Equality Network</w:t>
            </w: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Allocation of support for the Gender Equality Network in the Departmental budget.</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BD5417"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3E1988">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 xml:space="preserve">Nominate </w:t>
            </w:r>
            <w:bookmarkStart w:id="5" w:name="_GoBack"/>
            <w:bookmarkEnd w:id="5"/>
            <w:r w:rsidRPr="00100EC5">
              <w:rPr>
                <w:rFonts w:asciiTheme="minorHAnsi" w:eastAsia="Times New Roman" w:hAnsiTheme="minorHAnsi"/>
                <w:color w:val="000000"/>
                <w:sz w:val="21"/>
                <w:szCs w:val="21"/>
                <w:lang w:eastAsia="en-AU"/>
              </w:rPr>
              <w:t>SES Gender Equality Champion</w:t>
            </w:r>
            <w:r>
              <w:rPr>
                <w:rFonts w:asciiTheme="minorHAnsi" w:eastAsia="Times New Roman" w:hAnsiTheme="minorHAnsi"/>
                <w:color w:val="000000"/>
                <w:sz w:val="21"/>
                <w:szCs w:val="21"/>
                <w:lang w:eastAsia="en-AU"/>
              </w:rPr>
              <w:t>s – female and male representation</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EMG</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Promote Gender Equality Network</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53360C"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EMG/SMG</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val="restart"/>
          </w:tcPr>
          <w:p w:rsidR="00B474CB" w:rsidRPr="00100EC5" w:rsidRDefault="00B474CB" w:rsidP="0020618B">
            <w:pPr>
              <w:contextualSpacing/>
              <w:rPr>
                <w:rFonts w:asciiTheme="minorHAnsi" w:hAnsiTheme="minorHAnsi"/>
                <w:color w:val="000000"/>
                <w:sz w:val="21"/>
                <w:szCs w:val="21"/>
                <w:lang w:eastAsia="en-AU"/>
              </w:rPr>
            </w:pPr>
            <w:r w:rsidRPr="00100EC5">
              <w:rPr>
                <w:rFonts w:asciiTheme="minorHAnsi" w:hAnsiTheme="minorHAnsi"/>
                <w:color w:val="000000"/>
                <w:sz w:val="21"/>
                <w:szCs w:val="21"/>
                <w:lang w:eastAsia="en-AU"/>
              </w:rPr>
              <w:t>Gender Equality in Leadership</w:t>
            </w:r>
          </w:p>
        </w:tc>
        <w:tc>
          <w:tcPr>
            <w:tcW w:w="2045" w:type="dxa"/>
            <w:vMerge w:val="restart"/>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Maintain our gender profile across all leadership levels and business areas over the life of the Strategy.</w:t>
            </w:r>
          </w:p>
        </w:tc>
        <w:tc>
          <w:tcPr>
            <w:tcW w:w="6237" w:type="dxa"/>
            <w:vAlign w:val="center"/>
          </w:tcPr>
          <w:p w:rsidR="00B474CB" w:rsidRPr="00100EC5" w:rsidRDefault="00BD5417" w:rsidP="00BD5417">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U</w:t>
            </w:r>
            <w:r w:rsidR="00B474CB" w:rsidRPr="00100EC5">
              <w:rPr>
                <w:rFonts w:asciiTheme="minorHAnsi" w:eastAsia="Times New Roman" w:hAnsiTheme="minorHAnsi"/>
                <w:color w:val="000000"/>
                <w:sz w:val="21"/>
                <w:szCs w:val="21"/>
                <w:lang w:eastAsia="en-AU"/>
              </w:rPr>
              <w:t>tilise established mechanisms to monitor gender ratios for all business areas to ensure current profiles are maintained.</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Q4 2017</w:t>
            </w:r>
          </w:p>
        </w:tc>
        <w:tc>
          <w:tcPr>
            <w:tcW w:w="1437" w:type="dxa"/>
            <w:vAlign w:val="center"/>
          </w:tcPr>
          <w:p w:rsidR="00B474CB" w:rsidRPr="00100EC5" w:rsidRDefault="0053360C" w:rsidP="00E31EF7">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All managers</w:t>
            </w:r>
          </w:p>
        </w:tc>
      </w:tr>
      <w:tr w:rsidR="00BE4506" w:rsidRPr="00100EC5" w:rsidTr="005D1E64">
        <w:trPr>
          <w:trHeight w:val="789"/>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E4506" w:rsidRPr="00100EC5" w:rsidRDefault="00BE4506" w:rsidP="0020618B">
            <w:pPr>
              <w:contextualSpacing/>
              <w:rPr>
                <w:rFonts w:asciiTheme="minorHAnsi" w:hAnsiTheme="minorHAnsi"/>
                <w:color w:val="000000"/>
                <w:sz w:val="21"/>
                <w:szCs w:val="21"/>
                <w:lang w:eastAsia="en-AU"/>
              </w:rPr>
            </w:pPr>
          </w:p>
        </w:tc>
        <w:tc>
          <w:tcPr>
            <w:tcW w:w="2045" w:type="dxa"/>
            <w:vMerge/>
            <w:vAlign w:val="center"/>
          </w:tcPr>
          <w:p w:rsidR="00BE4506" w:rsidRPr="00100EC5" w:rsidRDefault="00BE4506"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E4506" w:rsidRPr="00100EC5" w:rsidRDefault="00BE4506"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Develop targeted programs to address gender imbalance in those areas where it has yet to be achieved.</w:t>
            </w:r>
          </w:p>
        </w:tc>
        <w:tc>
          <w:tcPr>
            <w:tcW w:w="1540" w:type="dxa"/>
            <w:vAlign w:val="center"/>
          </w:tcPr>
          <w:p w:rsidR="00BE4506" w:rsidRPr="00100EC5" w:rsidRDefault="00BE4506"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E4506" w:rsidRPr="00100EC5" w:rsidRDefault="00BE4506" w:rsidP="00E31EF7">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Group Managers</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restart"/>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 xml:space="preserve">Ensure gender </w:t>
            </w:r>
            <w:r w:rsidRPr="00100EC5">
              <w:rPr>
                <w:rFonts w:asciiTheme="minorHAnsi" w:eastAsia="Times New Roman" w:hAnsiTheme="minorHAnsi"/>
                <w:b/>
                <w:color w:val="000000"/>
                <w:sz w:val="21"/>
                <w:szCs w:val="21"/>
                <w:lang w:eastAsia="en-AU"/>
              </w:rPr>
              <w:lastRenderedPageBreak/>
              <w:t>balance when nominating Departmental representation.</w:t>
            </w: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lastRenderedPageBreak/>
              <w:t xml:space="preserve">DSS Executive commit to the Panel Pledge which requires them to </w:t>
            </w:r>
            <w:r w:rsidRPr="00100EC5">
              <w:rPr>
                <w:rFonts w:asciiTheme="minorHAnsi" w:eastAsia="Times New Roman" w:hAnsiTheme="minorHAnsi"/>
                <w:color w:val="000000"/>
                <w:sz w:val="21"/>
                <w:szCs w:val="21"/>
                <w:lang w:eastAsia="en-AU"/>
              </w:rPr>
              <w:lastRenderedPageBreak/>
              <w:t xml:space="preserve">only participate as panellists/speakers in those events where women are participating in a meaningful way; and establish a communication campaign </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lastRenderedPageBreak/>
              <w:t>Q1 2017</w:t>
            </w:r>
          </w:p>
        </w:tc>
        <w:tc>
          <w:tcPr>
            <w:tcW w:w="14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EMG</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Merge w:val="restart"/>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Use and maintain a Board Representation Register.</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Q3 2017</w:t>
            </w:r>
          </w:p>
        </w:tc>
        <w:tc>
          <w:tcPr>
            <w:tcW w:w="14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Merge/>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Q3 2017</w:t>
            </w:r>
          </w:p>
        </w:tc>
        <w:tc>
          <w:tcPr>
            <w:tcW w:w="14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restart"/>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Ensure opportunities for leadership and career progression regardless of gender over the life of the Strategy.</w:t>
            </w: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Provide specialised leadership and career development programs that support the progression of women and men into senior leadership roles.</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Q3 2017</w:t>
            </w:r>
          </w:p>
        </w:tc>
        <w:tc>
          <w:tcPr>
            <w:tcW w:w="1437" w:type="dxa"/>
            <w:vAlign w:val="center"/>
          </w:tcPr>
          <w:p w:rsidR="00B474CB" w:rsidRPr="00100EC5" w:rsidRDefault="0053360C"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 all managers</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4E52D9">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Use mechanisms in recruitment campaigns and selection processes that address unconscious bias</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Q2 2017</w:t>
            </w:r>
          </w:p>
        </w:tc>
        <w:tc>
          <w:tcPr>
            <w:tcW w:w="1437" w:type="dxa"/>
            <w:vAlign w:val="center"/>
          </w:tcPr>
          <w:p w:rsidR="00B474CB" w:rsidRPr="00100EC5" w:rsidRDefault="0053360C" w:rsidP="00E31EF7">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All selection panel members and recruitment delegates</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Develop SES exchange programs for functional areas affected by gender balance</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Q3 2017</w:t>
            </w:r>
          </w:p>
        </w:tc>
        <w:tc>
          <w:tcPr>
            <w:tcW w:w="1437" w:type="dxa"/>
            <w:vAlign w:val="center"/>
          </w:tcPr>
          <w:p w:rsidR="00B474CB" w:rsidRPr="00100EC5" w:rsidRDefault="0053360C"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w:t>
            </w:r>
          </w:p>
        </w:tc>
      </w:tr>
      <w:tr w:rsidR="00BE4506" w:rsidRPr="00100EC5" w:rsidTr="00A61D4E">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2015" w:type="dxa"/>
            <w:vMerge w:val="restart"/>
          </w:tcPr>
          <w:p w:rsidR="00BE4506" w:rsidRPr="00100EC5" w:rsidRDefault="00BE4506" w:rsidP="0020618B">
            <w:pPr>
              <w:contextualSpacing/>
              <w:rPr>
                <w:rFonts w:asciiTheme="minorHAnsi" w:hAnsiTheme="minorHAnsi"/>
                <w:color w:val="000000"/>
                <w:sz w:val="21"/>
                <w:szCs w:val="21"/>
                <w:lang w:eastAsia="en-AU"/>
              </w:rPr>
            </w:pPr>
            <w:r w:rsidRPr="00100EC5">
              <w:rPr>
                <w:rFonts w:asciiTheme="minorHAnsi" w:hAnsiTheme="minorHAnsi"/>
                <w:color w:val="000000"/>
                <w:sz w:val="21"/>
                <w:szCs w:val="21"/>
                <w:lang w:eastAsia="en-AU"/>
              </w:rPr>
              <w:t xml:space="preserve">Innovate for Gender Equality and Diversity in </w:t>
            </w:r>
          </w:p>
          <w:p w:rsidR="00BE4506" w:rsidRPr="00100EC5" w:rsidRDefault="00BE4506" w:rsidP="0020618B">
            <w:pPr>
              <w:contextualSpacing/>
              <w:rPr>
                <w:rFonts w:asciiTheme="minorHAnsi" w:hAnsiTheme="minorHAnsi"/>
                <w:color w:val="000000"/>
                <w:sz w:val="21"/>
                <w:szCs w:val="21"/>
                <w:lang w:eastAsia="en-AU"/>
              </w:rPr>
            </w:pPr>
            <w:r w:rsidRPr="00100EC5">
              <w:rPr>
                <w:rFonts w:asciiTheme="minorHAnsi" w:hAnsiTheme="minorHAnsi"/>
                <w:color w:val="000000"/>
                <w:sz w:val="21"/>
                <w:szCs w:val="21"/>
                <w:lang w:eastAsia="en-AU"/>
              </w:rPr>
              <w:t>employment practices</w:t>
            </w:r>
          </w:p>
        </w:tc>
        <w:tc>
          <w:tcPr>
            <w:tcW w:w="2045" w:type="dxa"/>
            <w:vMerge w:val="restart"/>
            <w:vAlign w:val="center"/>
          </w:tcPr>
          <w:p w:rsidR="00BE4506" w:rsidRPr="00100EC5" w:rsidRDefault="00BE4506"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Develop and promote a ‘think differently, work differently’ approach to our personnel practices.</w:t>
            </w:r>
          </w:p>
        </w:tc>
        <w:tc>
          <w:tcPr>
            <w:tcW w:w="6237" w:type="dxa"/>
            <w:vAlign w:val="center"/>
          </w:tcPr>
          <w:p w:rsidR="00BE4506" w:rsidRPr="00100EC5" w:rsidRDefault="00BE4506"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 xml:space="preserve">Review retention, development and performance management practices to identify areas for innovation in personnel practices </w:t>
            </w:r>
          </w:p>
        </w:tc>
        <w:tc>
          <w:tcPr>
            <w:tcW w:w="1540" w:type="dxa"/>
            <w:vAlign w:val="center"/>
          </w:tcPr>
          <w:p w:rsidR="00BE4506" w:rsidRPr="00100EC5" w:rsidRDefault="00BE4506"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2017</w:t>
            </w:r>
          </w:p>
        </w:tc>
        <w:tc>
          <w:tcPr>
            <w:tcW w:w="1437" w:type="dxa"/>
            <w:vAlign w:val="center"/>
          </w:tcPr>
          <w:p w:rsidR="00BE4506" w:rsidRPr="00100EC5" w:rsidRDefault="00BE4506"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p>
        </w:tc>
      </w:tr>
      <w:tr w:rsidR="00B474CB" w:rsidRPr="00100EC5" w:rsidTr="00BE4506">
        <w:trPr>
          <w:trHeight w:val="928"/>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 xml:space="preserve">Ensure gender and diversity balance on recruitment selection panels </w:t>
            </w:r>
          </w:p>
        </w:tc>
        <w:tc>
          <w:tcPr>
            <w:tcW w:w="1540" w:type="dxa"/>
            <w:vAlign w:val="center"/>
          </w:tcPr>
          <w:p w:rsidR="00B474CB" w:rsidRPr="00100EC5" w:rsidRDefault="00B474CB"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Q1 2017</w:t>
            </w:r>
          </w:p>
        </w:tc>
        <w:tc>
          <w:tcPr>
            <w:tcW w:w="1437" w:type="dxa"/>
            <w:vAlign w:val="center"/>
          </w:tcPr>
          <w:p w:rsidR="00B474CB" w:rsidRPr="00100EC5" w:rsidRDefault="0053360C"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All selection panel members and recruitment delegates</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Develop a digital strategy that supports flexible working arrangements</w:t>
            </w:r>
          </w:p>
        </w:tc>
        <w:tc>
          <w:tcPr>
            <w:tcW w:w="1540" w:type="dxa"/>
            <w:vAlign w:val="center"/>
          </w:tcPr>
          <w:p w:rsidR="00B474CB" w:rsidRPr="00100EC5" w:rsidRDefault="00B474CB"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Q3 2017</w:t>
            </w:r>
          </w:p>
        </w:tc>
        <w:tc>
          <w:tcPr>
            <w:tcW w:w="14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p>
        </w:tc>
      </w:tr>
      <w:tr w:rsidR="00BE4506" w:rsidRPr="00100EC5" w:rsidTr="00E21828">
        <w:trPr>
          <w:trHeight w:val="1378"/>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E4506" w:rsidRPr="00100EC5" w:rsidRDefault="00BE4506" w:rsidP="0020618B">
            <w:pPr>
              <w:contextualSpacing/>
              <w:rPr>
                <w:rFonts w:asciiTheme="minorHAnsi" w:hAnsiTheme="minorHAnsi"/>
                <w:color w:val="000000"/>
                <w:sz w:val="21"/>
                <w:szCs w:val="21"/>
                <w:lang w:eastAsia="en-AU"/>
              </w:rPr>
            </w:pPr>
          </w:p>
        </w:tc>
        <w:tc>
          <w:tcPr>
            <w:tcW w:w="2045" w:type="dxa"/>
            <w:vMerge/>
            <w:vAlign w:val="center"/>
          </w:tcPr>
          <w:p w:rsidR="00BE4506" w:rsidRPr="00100EC5" w:rsidRDefault="00BE4506"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E4506" w:rsidRPr="002D409C" w:rsidRDefault="00BE4506" w:rsidP="00E41026">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 xml:space="preserve">Research and develop strategies to </w:t>
            </w:r>
            <w:r>
              <w:rPr>
                <w:rFonts w:asciiTheme="minorHAnsi" w:eastAsia="Times New Roman" w:hAnsiTheme="minorHAnsi"/>
                <w:color w:val="000000"/>
                <w:sz w:val="21"/>
                <w:szCs w:val="21"/>
                <w:lang w:eastAsia="en-AU"/>
              </w:rPr>
              <w:t xml:space="preserve">assist staff with caring responsibilities in terms of career progression and retirement income. </w:t>
            </w:r>
          </w:p>
        </w:tc>
        <w:tc>
          <w:tcPr>
            <w:tcW w:w="1540" w:type="dxa"/>
            <w:vAlign w:val="center"/>
          </w:tcPr>
          <w:p w:rsidR="00BE4506" w:rsidRPr="00100EC5" w:rsidRDefault="00BE4506"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Q3 2017</w:t>
            </w:r>
          </w:p>
        </w:tc>
        <w:tc>
          <w:tcPr>
            <w:tcW w:w="1437" w:type="dxa"/>
            <w:vAlign w:val="center"/>
          </w:tcPr>
          <w:p w:rsidR="00BE4506" w:rsidRPr="00100EC5" w:rsidRDefault="00BE4506"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CSG</w:t>
            </w:r>
            <w:r>
              <w:rPr>
                <w:rFonts w:asciiTheme="minorHAnsi" w:eastAsia="Times New Roman" w:hAnsiTheme="minorHAnsi"/>
                <w:color w:val="000000"/>
                <w:sz w:val="21"/>
                <w:szCs w:val="21"/>
                <w:lang w:eastAsia="en-AU"/>
              </w:rPr>
              <w:t>, informed by policy areas</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restart"/>
            <w:vAlign w:val="center"/>
          </w:tcPr>
          <w:p w:rsidR="00B474CB" w:rsidRPr="00100EC5" w:rsidRDefault="00B474CB" w:rsidP="00FC7174">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 xml:space="preserve">Collaborate with the </w:t>
            </w:r>
            <w:r w:rsidRPr="00100EC5">
              <w:rPr>
                <w:rFonts w:asciiTheme="minorHAnsi" w:eastAsia="Times New Roman" w:hAnsiTheme="minorHAnsi"/>
                <w:b/>
                <w:color w:val="000000"/>
                <w:sz w:val="21"/>
                <w:szCs w:val="21"/>
                <w:lang w:eastAsia="en-AU"/>
              </w:rPr>
              <w:lastRenderedPageBreak/>
              <w:t xml:space="preserve">APSC and the Workplace Gender Equality Agency </w:t>
            </w: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lastRenderedPageBreak/>
              <w:t>30</w:t>
            </w:r>
            <w:r w:rsidR="0053360C">
              <w:rPr>
                <w:rFonts w:asciiTheme="minorHAnsi" w:eastAsia="Times New Roman" w:hAnsiTheme="minorHAnsi"/>
                <w:color w:val="000000"/>
                <w:sz w:val="21"/>
                <w:szCs w:val="21"/>
                <w:lang w:eastAsia="en-AU"/>
              </w:rPr>
              <w:t xml:space="preserve"> per cent</w:t>
            </w:r>
            <w:r w:rsidRPr="00100EC5">
              <w:rPr>
                <w:rFonts w:asciiTheme="minorHAnsi" w:eastAsia="Times New Roman" w:hAnsiTheme="minorHAnsi"/>
                <w:color w:val="000000"/>
                <w:sz w:val="21"/>
                <w:szCs w:val="21"/>
                <w:lang w:eastAsia="en-AU"/>
              </w:rPr>
              <w:t xml:space="preserve"> of staff to participate in relevant APSC training</w:t>
            </w:r>
          </w:p>
        </w:tc>
        <w:tc>
          <w:tcPr>
            <w:tcW w:w="1540"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Q4 2017</w:t>
            </w:r>
          </w:p>
        </w:tc>
        <w:tc>
          <w:tcPr>
            <w:tcW w:w="1437" w:type="dxa"/>
            <w:vAlign w:val="center"/>
          </w:tcPr>
          <w:p w:rsidR="00B474CB" w:rsidRPr="00100EC5" w:rsidRDefault="0053360C"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All managers</w:t>
            </w:r>
          </w:p>
        </w:tc>
      </w:tr>
      <w:tr w:rsidR="00B474CB" w:rsidRPr="00100EC5" w:rsidTr="00CF6CF2">
        <w:trPr>
          <w:trHeight w:val="85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 xml:space="preserve">Meet the criteria of the Workplace Gender Equality Agency’s ‘Employer of Choice for Gender Equality’ citation </w:t>
            </w:r>
          </w:p>
        </w:tc>
        <w:tc>
          <w:tcPr>
            <w:tcW w:w="1540"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Q4 2019</w:t>
            </w:r>
          </w:p>
        </w:tc>
        <w:tc>
          <w:tcPr>
            <w:tcW w:w="1437" w:type="dxa"/>
            <w:vAlign w:val="center"/>
          </w:tcPr>
          <w:p w:rsidR="00B474CB" w:rsidRPr="00100EC5" w:rsidRDefault="00E31EF7"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w:t>
            </w:r>
            <w:r w:rsidR="00B474CB" w:rsidRPr="00100EC5">
              <w:rPr>
                <w:rFonts w:asciiTheme="minorHAnsi" w:eastAsia="Times New Roman" w:hAnsiTheme="minorHAnsi"/>
                <w:color w:val="000000"/>
                <w:sz w:val="21"/>
                <w:szCs w:val="21"/>
                <w:lang w:eastAsia="en-AU"/>
              </w:rPr>
              <w:t>CSG</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tcPr>
          <w:p w:rsidR="00B474CB" w:rsidRPr="00FC7174"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1"/>
                <w:szCs w:val="21"/>
                <w:highlight w:val="yellow"/>
                <w:lang w:eastAsia="en-AU"/>
              </w:rPr>
            </w:pPr>
          </w:p>
        </w:tc>
        <w:tc>
          <w:tcPr>
            <w:tcW w:w="6237" w:type="dxa"/>
            <w:vAlign w:val="center"/>
          </w:tcPr>
          <w:p w:rsidR="00B474CB" w:rsidRPr="00392F6D" w:rsidRDefault="00B474CB" w:rsidP="00392F6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392F6D">
              <w:rPr>
                <w:rFonts w:asciiTheme="minorHAnsi" w:hAnsiTheme="minorHAnsi"/>
                <w:color w:val="000000"/>
                <w:sz w:val="21"/>
                <w:szCs w:val="21"/>
                <w:lang w:eastAsia="en-AU"/>
              </w:rPr>
              <w:t xml:space="preserve">Work with NGO </w:t>
            </w:r>
            <w:r w:rsidR="00072371">
              <w:rPr>
                <w:rFonts w:asciiTheme="minorHAnsi" w:hAnsiTheme="minorHAnsi"/>
                <w:color w:val="000000"/>
                <w:sz w:val="21"/>
                <w:szCs w:val="21"/>
                <w:lang w:eastAsia="en-AU"/>
              </w:rPr>
              <w:t xml:space="preserve">partners </w:t>
            </w:r>
            <w:r w:rsidRPr="00392F6D">
              <w:rPr>
                <w:rFonts w:asciiTheme="minorHAnsi" w:hAnsiTheme="minorHAnsi"/>
                <w:color w:val="000000"/>
                <w:sz w:val="21"/>
                <w:szCs w:val="21"/>
                <w:lang w:eastAsia="en-AU"/>
              </w:rPr>
              <w:t xml:space="preserve">and suppliers </w:t>
            </w:r>
            <w:r w:rsidRPr="00392F6D">
              <w:rPr>
                <w:rFonts w:asciiTheme="minorHAnsi" w:eastAsia="Times New Roman" w:hAnsiTheme="minorHAnsi"/>
                <w:color w:val="000000"/>
                <w:sz w:val="21"/>
                <w:szCs w:val="21"/>
                <w:lang w:eastAsia="en-AU"/>
              </w:rPr>
              <w:t>to embed gender equality practices</w:t>
            </w:r>
            <w:r w:rsidRPr="00392F6D">
              <w:rPr>
                <w:rFonts w:asciiTheme="minorHAnsi" w:hAnsiTheme="minorHAnsi"/>
                <w:color w:val="000000"/>
                <w:sz w:val="21"/>
                <w:szCs w:val="21"/>
                <w:lang w:eastAsia="en-AU"/>
              </w:rPr>
              <w:t xml:space="preserve"> </w:t>
            </w:r>
          </w:p>
        </w:tc>
        <w:tc>
          <w:tcPr>
            <w:tcW w:w="1540" w:type="dxa"/>
            <w:vAlign w:val="center"/>
          </w:tcPr>
          <w:p w:rsidR="00B474CB" w:rsidRPr="00392F6D"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392F6D">
              <w:rPr>
                <w:rFonts w:asciiTheme="minorHAnsi" w:eastAsia="Times New Roman" w:hAnsiTheme="minorHAnsi"/>
                <w:color w:val="000000"/>
                <w:sz w:val="21"/>
                <w:szCs w:val="21"/>
                <w:lang w:eastAsia="en-AU"/>
              </w:rPr>
              <w:t>Q4 2019</w:t>
            </w:r>
          </w:p>
        </w:tc>
        <w:tc>
          <w:tcPr>
            <w:tcW w:w="1437" w:type="dxa"/>
            <w:vAlign w:val="center"/>
          </w:tcPr>
          <w:p w:rsidR="00B474CB" w:rsidRPr="00392F6D" w:rsidRDefault="0053360C"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Pr>
                <w:rFonts w:asciiTheme="minorHAnsi" w:hAnsiTheme="minorHAnsi"/>
                <w:color w:val="000000"/>
                <w:sz w:val="21"/>
                <w:szCs w:val="21"/>
                <w:lang w:eastAsia="en-AU"/>
              </w:rPr>
              <w:t>Program Office/Finance and Services Group</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restart"/>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r w:rsidRPr="00100EC5">
              <w:rPr>
                <w:rFonts w:asciiTheme="minorHAnsi" w:eastAsia="Times New Roman" w:hAnsiTheme="minorHAnsi"/>
                <w:b/>
                <w:color w:val="000000"/>
                <w:sz w:val="21"/>
                <w:szCs w:val="21"/>
                <w:lang w:eastAsia="en-AU"/>
              </w:rPr>
              <w:t>Expand and promote flexible work arrangements.</w:t>
            </w: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hAnsiTheme="minorHAnsi"/>
                <w:sz w:val="21"/>
                <w:szCs w:val="21"/>
              </w:rPr>
              <w:t>Promote examples and benefits of flexible work arrangements which challenge assumptions about how work should be done and how jobs are designed</w:t>
            </w:r>
          </w:p>
        </w:tc>
        <w:tc>
          <w:tcPr>
            <w:tcW w:w="1540" w:type="dxa"/>
            <w:vAlign w:val="center"/>
          </w:tcPr>
          <w:p w:rsidR="00B474CB" w:rsidRPr="00100EC5" w:rsidRDefault="00B474CB"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2017</w:t>
            </w:r>
          </w:p>
        </w:tc>
        <w:tc>
          <w:tcPr>
            <w:tcW w:w="1437" w:type="dxa"/>
            <w:vAlign w:val="center"/>
          </w:tcPr>
          <w:p w:rsidR="00B474CB" w:rsidRPr="00100EC5" w:rsidRDefault="0053360C"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All managers</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hideMark/>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hAnsiTheme="minorHAnsi"/>
                <w:sz w:val="21"/>
                <w:szCs w:val="21"/>
              </w:rPr>
              <w:t>Adopt a ‘flexible by default’ approach and appropriate supports for managers</w:t>
            </w:r>
          </w:p>
        </w:tc>
        <w:tc>
          <w:tcPr>
            <w:tcW w:w="1540" w:type="dxa"/>
            <w:vAlign w:val="center"/>
          </w:tcPr>
          <w:p w:rsidR="00B474CB" w:rsidRPr="00100EC5" w:rsidRDefault="00B474CB"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2017</w:t>
            </w:r>
          </w:p>
        </w:tc>
        <w:tc>
          <w:tcPr>
            <w:tcW w:w="1437" w:type="dxa"/>
            <w:vAlign w:val="center"/>
          </w:tcPr>
          <w:p w:rsidR="00B474CB" w:rsidRPr="00100EC5" w:rsidRDefault="0053360C"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All managers</w:t>
            </w:r>
          </w:p>
        </w:tc>
      </w:tr>
      <w:tr w:rsidR="00B474CB"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hideMark/>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hAnsiTheme="minorHAnsi"/>
                <w:sz w:val="21"/>
                <w:szCs w:val="21"/>
              </w:rPr>
              <w:t>Profile male and female SES or Senior Managers who currently work flexibly to encourage uptake across the Department</w:t>
            </w:r>
          </w:p>
        </w:tc>
        <w:tc>
          <w:tcPr>
            <w:tcW w:w="1540" w:type="dxa"/>
            <w:vAlign w:val="center"/>
          </w:tcPr>
          <w:p w:rsidR="00B474CB" w:rsidRPr="00100EC5" w:rsidRDefault="00B474CB"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2017</w:t>
            </w:r>
          </w:p>
        </w:tc>
        <w:tc>
          <w:tcPr>
            <w:tcW w:w="1437" w:type="dxa"/>
            <w:vAlign w:val="center"/>
          </w:tcPr>
          <w:p w:rsidR="00B474CB" w:rsidRPr="00100EC5" w:rsidRDefault="00B474CB" w:rsidP="008E135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CSG</w:t>
            </w:r>
          </w:p>
        </w:tc>
      </w:tr>
      <w:tr w:rsidR="00B474CB"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B474CB" w:rsidRPr="00100EC5" w:rsidRDefault="00B474CB" w:rsidP="0020618B">
            <w:pPr>
              <w:contextualSpacing/>
              <w:rPr>
                <w:rFonts w:asciiTheme="minorHAnsi" w:hAnsiTheme="minorHAnsi"/>
                <w:color w:val="000000"/>
                <w:sz w:val="21"/>
                <w:szCs w:val="21"/>
                <w:lang w:eastAsia="en-AU"/>
              </w:rPr>
            </w:pPr>
          </w:p>
        </w:tc>
        <w:tc>
          <w:tcPr>
            <w:tcW w:w="2045" w:type="dxa"/>
            <w:vMerge/>
            <w:vAlign w:val="center"/>
            <w:hideMark/>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1"/>
                <w:szCs w:val="21"/>
                <w:lang w:eastAsia="en-AU"/>
              </w:rPr>
            </w:pPr>
          </w:p>
        </w:tc>
        <w:tc>
          <w:tcPr>
            <w:tcW w:w="6237" w:type="dxa"/>
            <w:vAlign w:val="center"/>
          </w:tcPr>
          <w:p w:rsidR="00B474CB" w:rsidRPr="00100EC5" w:rsidRDefault="00B474CB" w:rsidP="008E1355">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hAnsiTheme="minorHAnsi"/>
                <w:sz w:val="21"/>
                <w:szCs w:val="21"/>
              </w:rPr>
              <w:t>Review framework for working parents to encourage men to use parental leave provisions</w:t>
            </w:r>
          </w:p>
        </w:tc>
        <w:tc>
          <w:tcPr>
            <w:tcW w:w="1540" w:type="dxa"/>
            <w:vAlign w:val="center"/>
          </w:tcPr>
          <w:p w:rsidR="00B474CB" w:rsidRPr="00100EC5" w:rsidRDefault="00B474CB"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2017</w:t>
            </w:r>
          </w:p>
        </w:tc>
        <w:tc>
          <w:tcPr>
            <w:tcW w:w="1437" w:type="dxa"/>
            <w:vAlign w:val="center"/>
          </w:tcPr>
          <w:p w:rsidR="00B474CB" w:rsidRPr="00100EC5" w:rsidRDefault="00B474CB" w:rsidP="008E135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CSG</w:t>
            </w:r>
            <w:r w:rsidR="0053360C">
              <w:rPr>
                <w:rFonts w:asciiTheme="minorHAnsi" w:eastAsia="Times New Roman" w:hAnsiTheme="minorHAnsi"/>
                <w:color w:val="000000"/>
                <w:sz w:val="21"/>
                <w:szCs w:val="21"/>
                <w:lang w:eastAsia="en-AU"/>
              </w:rPr>
              <w:t>/ all managers</w:t>
            </w:r>
          </w:p>
        </w:tc>
      </w:tr>
      <w:tr w:rsidR="000F184A"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val="restart"/>
          </w:tcPr>
          <w:p w:rsidR="000F184A" w:rsidRPr="00100EC5" w:rsidRDefault="000F184A" w:rsidP="0020618B">
            <w:pPr>
              <w:contextualSpacing/>
              <w:rPr>
                <w:rFonts w:asciiTheme="minorHAnsi" w:hAnsiTheme="minorHAnsi"/>
                <w:color w:val="000000"/>
                <w:sz w:val="21"/>
                <w:szCs w:val="21"/>
                <w:lang w:eastAsia="en-AU"/>
              </w:rPr>
            </w:pPr>
            <w:r w:rsidRPr="00100EC5">
              <w:rPr>
                <w:rFonts w:asciiTheme="minorHAnsi" w:hAnsiTheme="minorHAnsi"/>
                <w:color w:val="000000"/>
                <w:sz w:val="21"/>
                <w:szCs w:val="21"/>
                <w:lang w:eastAsia="en-AU"/>
              </w:rPr>
              <w:t>Gender Equality and Diversity Stretch Targets</w:t>
            </w:r>
          </w:p>
        </w:tc>
        <w:tc>
          <w:tcPr>
            <w:tcW w:w="2045" w:type="dxa"/>
            <w:vMerge w:val="restart"/>
            <w:vAlign w:val="center"/>
          </w:tcPr>
          <w:p w:rsidR="000F184A" w:rsidRPr="00100EC5" w:rsidRDefault="000F184A" w:rsidP="008E135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1"/>
                <w:szCs w:val="21"/>
                <w:lang w:eastAsia="en-AU"/>
              </w:rPr>
            </w:pPr>
            <w:r w:rsidRPr="002D409C">
              <w:rPr>
                <w:rFonts w:asciiTheme="minorHAnsi" w:hAnsiTheme="minorHAnsi"/>
                <w:b/>
                <w:color w:val="000000"/>
                <w:sz w:val="21"/>
                <w:szCs w:val="21"/>
                <w:lang w:eastAsia="en-AU"/>
              </w:rPr>
              <w:t>Establish and meet gender equality and diversity stretch targets across all levels and business areas over the life of the Strategy.</w:t>
            </w:r>
          </w:p>
        </w:tc>
        <w:tc>
          <w:tcPr>
            <w:tcW w:w="6237" w:type="dxa"/>
          </w:tcPr>
          <w:p w:rsidR="000F184A" w:rsidRPr="00100EC5" w:rsidRDefault="000F184A" w:rsidP="00692811">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hAnsiTheme="minorHAnsi"/>
                <w:sz w:val="21"/>
                <w:szCs w:val="21"/>
              </w:rPr>
              <w:t>Increase female Aboriginal and Torres Strait Islander representation at the SES level.</w:t>
            </w:r>
          </w:p>
        </w:tc>
        <w:tc>
          <w:tcPr>
            <w:tcW w:w="1540" w:type="dxa"/>
          </w:tcPr>
          <w:p w:rsidR="000F184A" w:rsidRPr="00100EC5" w:rsidRDefault="000F184A" w:rsidP="0020618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sidRPr="00100EC5">
              <w:rPr>
                <w:rFonts w:asciiTheme="minorHAnsi" w:eastAsia="Times New Roman" w:hAnsiTheme="minorHAnsi"/>
                <w:color w:val="000000"/>
                <w:sz w:val="21"/>
                <w:szCs w:val="21"/>
                <w:lang w:eastAsia="en-AU"/>
              </w:rPr>
              <w:t>Q4 2019</w:t>
            </w:r>
          </w:p>
        </w:tc>
        <w:tc>
          <w:tcPr>
            <w:tcW w:w="1437" w:type="dxa"/>
          </w:tcPr>
          <w:p w:rsidR="000F184A" w:rsidRPr="005E590F" w:rsidRDefault="000F184A" w:rsidP="006928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EMG</w:t>
            </w:r>
          </w:p>
        </w:tc>
      </w:tr>
      <w:tr w:rsidR="000F184A"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0F184A" w:rsidRPr="00100EC5" w:rsidRDefault="000F184A" w:rsidP="0020618B">
            <w:pPr>
              <w:contextualSpacing/>
              <w:rPr>
                <w:rFonts w:asciiTheme="minorHAnsi" w:hAnsiTheme="minorHAnsi"/>
                <w:color w:val="000000"/>
                <w:sz w:val="21"/>
                <w:szCs w:val="21"/>
                <w:lang w:eastAsia="en-AU"/>
              </w:rPr>
            </w:pPr>
          </w:p>
        </w:tc>
        <w:tc>
          <w:tcPr>
            <w:tcW w:w="2045" w:type="dxa"/>
            <w:vMerge/>
          </w:tcPr>
          <w:p w:rsidR="000F184A" w:rsidRPr="00100EC5" w:rsidRDefault="000F184A" w:rsidP="0020618B">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p>
        </w:tc>
        <w:tc>
          <w:tcPr>
            <w:tcW w:w="6237" w:type="dxa"/>
          </w:tcPr>
          <w:p w:rsidR="000F184A" w:rsidRPr="00100EC5" w:rsidRDefault="000F184A" w:rsidP="005F036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hAnsiTheme="minorHAnsi"/>
                <w:sz w:val="21"/>
                <w:szCs w:val="21"/>
              </w:rPr>
              <w:t>Increase percentage of women at SES Band 2 level from 43 per cent to 50 per cent.</w:t>
            </w:r>
          </w:p>
        </w:tc>
        <w:tc>
          <w:tcPr>
            <w:tcW w:w="1540" w:type="dxa"/>
          </w:tcPr>
          <w:p w:rsidR="000F184A" w:rsidRPr="00100EC5" w:rsidRDefault="000F184A" w:rsidP="0020618B">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2019</w:t>
            </w:r>
          </w:p>
        </w:tc>
        <w:tc>
          <w:tcPr>
            <w:tcW w:w="1437" w:type="dxa"/>
          </w:tcPr>
          <w:p w:rsidR="000F184A" w:rsidRPr="00100EC5" w:rsidRDefault="000F184A" w:rsidP="0020618B">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EMG</w:t>
            </w:r>
          </w:p>
        </w:tc>
      </w:tr>
      <w:tr w:rsidR="000F184A" w:rsidRPr="00100EC5" w:rsidTr="00CF6CF2">
        <w:trPr>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0F184A" w:rsidRPr="00100EC5" w:rsidRDefault="000F184A" w:rsidP="0020618B">
            <w:pPr>
              <w:contextualSpacing/>
              <w:rPr>
                <w:rFonts w:asciiTheme="minorHAnsi" w:hAnsiTheme="minorHAnsi"/>
                <w:color w:val="000000"/>
                <w:sz w:val="21"/>
                <w:szCs w:val="21"/>
                <w:lang w:eastAsia="en-AU"/>
              </w:rPr>
            </w:pPr>
          </w:p>
        </w:tc>
        <w:tc>
          <w:tcPr>
            <w:tcW w:w="2045" w:type="dxa"/>
            <w:vMerge/>
          </w:tcPr>
          <w:p w:rsidR="000F184A" w:rsidRPr="00100EC5" w:rsidRDefault="000F184A" w:rsidP="0020618B">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p>
        </w:tc>
        <w:tc>
          <w:tcPr>
            <w:tcW w:w="6237" w:type="dxa"/>
          </w:tcPr>
          <w:p w:rsidR="000F184A" w:rsidRPr="00100EC5" w:rsidRDefault="000F184A" w:rsidP="004E52D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hAnsiTheme="minorHAnsi"/>
                <w:sz w:val="21"/>
                <w:szCs w:val="21"/>
              </w:rPr>
              <w:t>Maintain an equal representation of gender for culturally and linguistically diverse SES.</w:t>
            </w:r>
          </w:p>
        </w:tc>
        <w:tc>
          <w:tcPr>
            <w:tcW w:w="1540" w:type="dxa"/>
          </w:tcPr>
          <w:p w:rsidR="000F184A" w:rsidRPr="00100EC5" w:rsidRDefault="000F184A" w:rsidP="0020618B">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2019</w:t>
            </w:r>
          </w:p>
        </w:tc>
        <w:tc>
          <w:tcPr>
            <w:tcW w:w="1437" w:type="dxa"/>
          </w:tcPr>
          <w:p w:rsidR="000F184A" w:rsidRPr="00100EC5" w:rsidRDefault="000F184A" w:rsidP="0020618B">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EMG</w:t>
            </w:r>
          </w:p>
        </w:tc>
      </w:tr>
      <w:tr w:rsidR="000F184A" w:rsidRPr="00100EC5" w:rsidTr="00CF6C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0F184A" w:rsidRPr="00100EC5" w:rsidRDefault="000F184A" w:rsidP="0020618B">
            <w:pPr>
              <w:contextualSpacing/>
              <w:rPr>
                <w:rFonts w:asciiTheme="minorHAnsi" w:hAnsiTheme="minorHAnsi"/>
                <w:color w:val="000000"/>
                <w:sz w:val="21"/>
                <w:szCs w:val="21"/>
                <w:lang w:eastAsia="en-AU"/>
              </w:rPr>
            </w:pPr>
          </w:p>
        </w:tc>
        <w:tc>
          <w:tcPr>
            <w:tcW w:w="2045" w:type="dxa"/>
            <w:vMerge/>
          </w:tcPr>
          <w:p w:rsidR="000F184A" w:rsidRPr="00100EC5" w:rsidRDefault="000F184A" w:rsidP="0020618B">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p>
        </w:tc>
        <w:tc>
          <w:tcPr>
            <w:tcW w:w="6237" w:type="dxa"/>
          </w:tcPr>
          <w:p w:rsidR="000F184A" w:rsidRPr="00100EC5" w:rsidRDefault="000F184A" w:rsidP="00692811">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hAnsiTheme="minorHAnsi"/>
                <w:sz w:val="21"/>
                <w:szCs w:val="21"/>
              </w:rPr>
              <w:t xml:space="preserve">Increase male staff with disability representation at the SES level. </w:t>
            </w:r>
          </w:p>
        </w:tc>
        <w:tc>
          <w:tcPr>
            <w:tcW w:w="1540" w:type="dxa"/>
          </w:tcPr>
          <w:p w:rsidR="000F184A" w:rsidRPr="00100EC5" w:rsidRDefault="000F184A" w:rsidP="0020618B">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2019</w:t>
            </w:r>
          </w:p>
        </w:tc>
        <w:tc>
          <w:tcPr>
            <w:tcW w:w="1437" w:type="dxa"/>
          </w:tcPr>
          <w:p w:rsidR="000F184A" w:rsidRPr="00100EC5" w:rsidRDefault="000F184A" w:rsidP="0020618B">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EMG</w:t>
            </w:r>
          </w:p>
        </w:tc>
      </w:tr>
      <w:tr w:rsidR="000F184A" w:rsidRPr="00100EC5" w:rsidTr="00CF6CF2">
        <w:trPr>
          <w:trHeight w:val="271"/>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0F184A" w:rsidRPr="00100EC5" w:rsidRDefault="000F184A" w:rsidP="0020618B">
            <w:pPr>
              <w:contextualSpacing/>
              <w:rPr>
                <w:rFonts w:asciiTheme="minorHAnsi" w:hAnsiTheme="minorHAnsi"/>
                <w:color w:val="000000"/>
                <w:sz w:val="21"/>
                <w:szCs w:val="21"/>
                <w:lang w:eastAsia="en-AU"/>
              </w:rPr>
            </w:pPr>
          </w:p>
        </w:tc>
        <w:tc>
          <w:tcPr>
            <w:tcW w:w="2045" w:type="dxa"/>
            <w:vMerge/>
          </w:tcPr>
          <w:p w:rsidR="000F184A" w:rsidRPr="00100EC5" w:rsidRDefault="000F184A" w:rsidP="0020618B">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1"/>
                <w:szCs w:val="21"/>
                <w:lang w:eastAsia="en-AU"/>
              </w:rPr>
            </w:pPr>
          </w:p>
        </w:tc>
        <w:tc>
          <w:tcPr>
            <w:tcW w:w="6237" w:type="dxa"/>
          </w:tcPr>
          <w:p w:rsidR="000F184A" w:rsidRPr="00100EC5" w:rsidRDefault="000F184A" w:rsidP="0020618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hAnsiTheme="minorHAnsi"/>
                <w:sz w:val="21"/>
                <w:szCs w:val="21"/>
              </w:rPr>
              <w:t>Increase awareness of supply chain practices and procurement requirements under the Workplace Gender Equality Act by annual advertising and ensure 100% compliance of tender documentation.</w:t>
            </w:r>
          </w:p>
        </w:tc>
        <w:tc>
          <w:tcPr>
            <w:tcW w:w="1540" w:type="dxa"/>
          </w:tcPr>
          <w:p w:rsidR="000F184A" w:rsidRPr="00100EC5" w:rsidRDefault="000F184A" w:rsidP="0020618B">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100EC5">
              <w:rPr>
                <w:rFonts w:asciiTheme="minorHAnsi" w:eastAsia="Times New Roman" w:hAnsiTheme="minorHAnsi"/>
                <w:color w:val="000000"/>
                <w:sz w:val="21"/>
                <w:szCs w:val="21"/>
                <w:lang w:eastAsia="en-AU"/>
              </w:rPr>
              <w:t>Q4 2019</w:t>
            </w:r>
          </w:p>
        </w:tc>
        <w:tc>
          <w:tcPr>
            <w:tcW w:w="1437" w:type="dxa"/>
          </w:tcPr>
          <w:p w:rsidR="000F184A" w:rsidRPr="00100EC5" w:rsidRDefault="0053360C" w:rsidP="0020618B">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Finance and Services Group</w:t>
            </w:r>
          </w:p>
        </w:tc>
      </w:tr>
      <w:tr w:rsidR="000F184A" w:rsidRPr="00AF47C7" w:rsidTr="00CF6CF2">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0F184A" w:rsidRPr="00100EC5" w:rsidRDefault="000F184A" w:rsidP="0020618B">
            <w:pPr>
              <w:contextualSpacing/>
              <w:rPr>
                <w:rFonts w:asciiTheme="minorHAnsi" w:hAnsiTheme="minorHAnsi"/>
                <w:color w:val="000000"/>
                <w:sz w:val="21"/>
                <w:szCs w:val="21"/>
                <w:lang w:eastAsia="en-AU"/>
              </w:rPr>
            </w:pPr>
          </w:p>
        </w:tc>
        <w:tc>
          <w:tcPr>
            <w:tcW w:w="2045" w:type="dxa"/>
            <w:vMerge/>
          </w:tcPr>
          <w:p w:rsidR="000F184A" w:rsidRPr="00100EC5" w:rsidRDefault="000F184A" w:rsidP="0020618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p>
        </w:tc>
        <w:tc>
          <w:tcPr>
            <w:tcW w:w="6237" w:type="dxa"/>
          </w:tcPr>
          <w:p w:rsidR="000F184A" w:rsidRPr="00100EC5" w:rsidRDefault="000F184A" w:rsidP="00AF47C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Pr>
                <w:rFonts w:asciiTheme="minorHAnsi" w:eastAsia="Times New Roman" w:hAnsiTheme="minorHAnsi"/>
                <w:color w:val="000000"/>
                <w:sz w:val="21"/>
                <w:szCs w:val="21"/>
                <w:lang w:eastAsia="en-AU"/>
              </w:rPr>
              <w:t xml:space="preserve">Monitor and maintain non-SES </w:t>
            </w:r>
            <w:r w:rsidRPr="00100EC5">
              <w:rPr>
                <w:rFonts w:asciiTheme="minorHAnsi" w:eastAsia="Times New Roman" w:hAnsiTheme="minorHAnsi"/>
                <w:color w:val="000000"/>
                <w:sz w:val="21"/>
                <w:szCs w:val="21"/>
                <w:lang w:eastAsia="en-AU"/>
              </w:rPr>
              <w:t>gender ratios for all business areas to ensure current profiles are maintained.</w:t>
            </w:r>
          </w:p>
        </w:tc>
        <w:tc>
          <w:tcPr>
            <w:tcW w:w="1540" w:type="dxa"/>
          </w:tcPr>
          <w:p w:rsidR="000F184A" w:rsidRPr="00CF6CF2" w:rsidRDefault="000F184A" w:rsidP="0020618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sidRPr="00AF47C7">
              <w:rPr>
                <w:rFonts w:asciiTheme="minorHAnsi" w:hAnsiTheme="minorHAnsi"/>
                <w:color w:val="000000"/>
                <w:sz w:val="21"/>
                <w:szCs w:val="21"/>
                <w:lang w:eastAsia="en-AU"/>
              </w:rPr>
              <w:t>Q4 2019</w:t>
            </w:r>
          </w:p>
        </w:tc>
        <w:tc>
          <w:tcPr>
            <w:tcW w:w="1437" w:type="dxa"/>
          </w:tcPr>
          <w:p w:rsidR="000F184A" w:rsidRPr="00CF6CF2" w:rsidRDefault="0053360C" w:rsidP="0020618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1"/>
                <w:szCs w:val="21"/>
                <w:lang w:eastAsia="en-AU"/>
              </w:rPr>
            </w:pPr>
            <w:r>
              <w:rPr>
                <w:rFonts w:asciiTheme="minorHAnsi" w:eastAsia="Times New Roman" w:hAnsiTheme="minorHAnsi"/>
                <w:color w:val="000000"/>
                <w:sz w:val="21"/>
                <w:szCs w:val="21"/>
                <w:lang w:eastAsia="en-AU"/>
              </w:rPr>
              <w:t>All managers</w:t>
            </w:r>
          </w:p>
        </w:tc>
      </w:tr>
      <w:tr w:rsidR="000F184A" w:rsidRPr="00AF47C7" w:rsidTr="00CF6CF2">
        <w:trPr>
          <w:trHeight w:val="271"/>
          <w:jc w:val="center"/>
        </w:trPr>
        <w:tc>
          <w:tcPr>
            <w:cnfStyle w:val="001000000000" w:firstRow="0" w:lastRow="0" w:firstColumn="1" w:lastColumn="0" w:oddVBand="0" w:evenVBand="0" w:oddHBand="0" w:evenHBand="0" w:firstRowFirstColumn="0" w:firstRowLastColumn="0" w:lastRowFirstColumn="0" w:lastRowLastColumn="0"/>
            <w:tcW w:w="2015" w:type="dxa"/>
            <w:vMerge/>
          </w:tcPr>
          <w:p w:rsidR="000F184A" w:rsidRPr="00100EC5" w:rsidRDefault="000F184A" w:rsidP="0020618B">
            <w:pPr>
              <w:contextualSpacing/>
              <w:rPr>
                <w:rFonts w:asciiTheme="minorHAnsi" w:hAnsiTheme="minorHAnsi"/>
                <w:color w:val="000000"/>
                <w:sz w:val="21"/>
                <w:szCs w:val="21"/>
                <w:lang w:eastAsia="en-AU"/>
              </w:rPr>
            </w:pPr>
          </w:p>
        </w:tc>
        <w:tc>
          <w:tcPr>
            <w:tcW w:w="2045" w:type="dxa"/>
            <w:vMerge/>
          </w:tcPr>
          <w:p w:rsidR="000F184A" w:rsidRPr="00100EC5" w:rsidRDefault="000F184A" w:rsidP="0020618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p>
        </w:tc>
        <w:tc>
          <w:tcPr>
            <w:tcW w:w="6237" w:type="dxa"/>
          </w:tcPr>
          <w:p w:rsidR="000F184A" w:rsidRDefault="000F184A" w:rsidP="000F184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eastAsia="Times New Roman" w:hAnsiTheme="minorHAnsi"/>
                <w:color w:val="000000"/>
                <w:sz w:val="21"/>
                <w:szCs w:val="21"/>
                <w:lang w:eastAsia="en-AU"/>
              </w:rPr>
              <w:t>Increase the representation o</w:t>
            </w:r>
            <w:r>
              <w:rPr>
                <w:rFonts w:asciiTheme="minorHAnsi" w:eastAsia="Times New Roman" w:hAnsiTheme="minorHAnsi"/>
                <w:color w:val="000000"/>
                <w:sz w:val="21"/>
                <w:szCs w:val="21"/>
                <w:lang w:eastAsia="en-AU"/>
              </w:rPr>
              <w:t>f women in Information Management and Technology</w:t>
            </w:r>
          </w:p>
        </w:tc>
        <w:tc>
          <w:tcPr>
            <w:tcW w:w="1540" w:type="dxa"/>
          </w:tcPr>
          <w:p w:rsidR="000F184A" w:rsidRPr="00AF47C7" w:rsidRDefault="000F184A" w:rsidP="0020618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Pr>
                <w:rFonts w:asciiTheme="minorHAnsi" w:hAnsiTheme="minorHAnsi"/>
                <w:color w:val="000000"/>
                <w:sz w:val="21"/>
                <w:szCs w:val="21"/>
                <w:lang w:eastAsia="en-AU"/>
              </w:rPr>
              <w:t>Q4 2019</w:t>
            </w:r>
          </w:p>
        </w:tc>
        <w:tc>
          <w:tcPr>
            <w:tcW w:w="1437" w:type="dxa"/>
          </w:tcPr>
          <w:p w:rsidR="000F184A" w:rsidRDefault="000F184A" w:rsidP="0020618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Pr>
                <w:rFonts w:asciiTheme="minorHAnsi" w:hAnsiTheme="minorHAnsi"/>
                <w:color w:val="000000"/>
                <w:sz w:val="21"/>
                <w:szCs w:val="21"/>
                <w:lang w:eastAsia="en-AU"/>
              </w:rPr>
              <w:t>IMTG</w:t>
            </w:r>
          </w:p>
        </w:tc>
      </w:tr>
    </w:tbl>
    <w:p w:rsidR="00392F6D" w:rsidRDefault="00392F6D">
      <w:pPr>
        <w:spacing w:before="0"/>
        <w:rPr>
          <w:rFonts w:ascii="Georgia" w:hAnsi="Georgia"/>
          <w:bCs/>
          <w:color w:val="500778"/>
          <w:spacing w:val="4"/>
          <w:sz w:val="36"/>
          <w:szCs w:val="28"/>
          <w:lang w:eastAsia="en-AU"/>
        </w:rPr>
      </w:pPr>
      <w:r>
        <w:rPr>
          <w:rFonts w:ascii="Georgia" w:hAnsi="Georgia"/>
          <w:b/>
          <w:bCs/>
          <w:color w:val="500778"/>
          <w:spacing w:val="4"/>
          <w:sz w:val="36"/>
          <w:szCs w:val="28"/>
          <w:lang w:eastAsia="en-AU"/>
        </w:rPr>
        <w:br w:type="page"/>
      </w:r>
    </w:p>
    <w:p w:rsidR="00473B4D" w:rsidRPr="00100EC5" w:rsidRDefault="00473B4D" w:rsidP="008E1355">
      <w:pPr>
        <w:pStyle w:val="Heading1"/>
        <w:keepNext w:val="0"/>
        <w:spacing w:before="360" w:after="120"/>
        <w:contextualSpacing/>
        <w:rPr>
          <w:rFonts w:ascii="Georgia" w:hAnsi="Georgia"/>
          <w:b w:val="0"/>
          <w:bCs/>
          <w:color w:val="500778"/>
          <w:spacing w:val="4"/>
          <w:kern w:val="0"/>
          <w:sz w:val="36"/>
          <w:szCs w:val="28"/>
          <w:lang w:eastAsia="en-AU"/>
        </w:rPr>
      </w:pPr>
      <w:bookmarkStart w:id="6" w:name="_Toc481135388"/>
      <w:r w:rsidRPr="00100EC5">
        <w:rPr>
          <w:rFonts w:ascii="Georgia" w:hAnsi="Georgia"/>
          <w:b w:val="0"/>
          <w:bCs/>
          <w:color w:val="500778"/>
          <w:spacing w:val="4"/>
          <w:kern w:val="0"/>
          <w:sz w:val="36"/>
          <w:szCs w:val="28"/>
          <w:lang w:eastAsia="en-AU"/>
        </w:rPr>
        <w:lastRenderedPageBreak/>
        <w:t>Measurement and evaluation</w:t>
      </w:r>
      <w:bookmarkEnd w:id="6"/>
      <w:r w:rsidRPr="00100EC5">
        <w:rPr>
          <w:rFonts w:ascii="Georgia" w:hAnsi="Georgia"/>
          <w:b w:val="0"/>
          <w:bCs/>
          <w:color w:val="500778"/>
          <w:spacing w:val="4"/>
          <w:kern w:val="0"/>
          <w:sz w:val="36"/>
          <w:szCs w:val="28"/>
          <w:lang w:eastAsia="en-AU"/>
        </w:rPr>
        <w:t xml:space="preserve"> </w:t>
      </w:r>
    </w:p>
    <w:p w:rsidR="0068278B" w:rsidRPr="00100EC5" w:rsidDel="0020618B" w:rsidRDefault="0020618B" w:rsidP="00473B4D">
      <w:pPr>
        <w:spacing w:before="0" w:after="200" w:line="276" w:lineRule="auto"/>
        <w:rPr>
          <w:rFonts w:asciiTheme="minorHAnsi" w:hAnsiTheme="minorHAnsi"/>
        </w:rPr>
      </w:pPr>
      <w:r w:rsidRPr="00100EC5">
        <w:rPr>
          <w:rFonts w:asciiTheme="minorHAnsi" w:hAnsiTheme="minorHAnsi"/>
        </w:rPr>
        <w:t xml:space="preserve">The effectiveness of the Department’s gender equality initiatives will be measured </w:t>
      </w:r>
      <w:r w:rsidR="0068278B" w:rsidRPr="00100EC5">
        <w:rPr>
          <w:rFonts w:asciiTheme="minorHAnsi" w:hAnsiTheme="minorHAnsi"/>
        </w:rPr>
        <w:t xml:space="preserve">regularly to allow for the actions to be reviewed and updated as they are completed. </w:t>
      </w:r>
    </w:p>
    <w:tbl>
      <w:tblPr>
        <w:tblStyle w:val="LightList-Accent2"/>
        <w:tblW w:w="12872" w:type="dxa"/>
        <w:tblInd w:w="108" w:type="dxa"/>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3261"/>
        <w:gridCol w:w="6804"/>
        <w:gridCol w:w="2807"/>
      </w:tblGrid>
      <w:tr w:rsidR="008F4052" w:rsidRPr="00100EC5" w:rsidTr="00CF6CF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61" w:type="dxa"/>
            <w:hideMark/>
          </w:tcPr>
          <w:p w:rsidR="008F4052" w:rsidRPr="00100EC5" w:rsidRDefault="008F4052" w:rsidP="007120F1">
            <w:pPr>
              <w:contextualSpacing/>
              <w:rPr>
                <w:rFonts w:asciiTheme="minorHAnsi" w:hAnsiTheme="minorHAnsi"/>
                <w:b w:val="0"/>
                <w:bCs w:val="0"/>
                <w:color w:val="000000"/>
                <w:sz w:val="21"/>
                <w:szCs w:val="21"/>
                <w:lang w:eastAsia="en-AU"/>
              </w:rPr>
            </w:pPr>
            <w:r w:rsidRPr="00100EC5">
              <w:rPr>
                <w:rFonts w:asciiTheme="minorHAnsi" w:hAnsiTheme="minorHAnsi"/>
                <w:color w:val="000000"/>
                <w:sz w:val="21"/>
                <w:szCs w:val="21"/>
                <w:lang w:eastAsia="en-AU"/>
              </w:rPr>
              <w:t>Action Item</w:t>
            </w:r>
          </w:p>
        </w:tc>
        <w:tc>
          <w:tcPr>
            <w:tcW w:w="6804" w:type="dxa"/>
            <w:hideMark/>
          </w:tcPr>
          <w:p w:rsidR="008F4052" w:rsidRPr="00100EC5" w:rsidRDefault="008F4052" w:rsidP="007120F1">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1"/>
                <w:szCs w:val="21"/>
                <w:lang w:eastAsia="en-AU"/>
              </w:rPr>
            </w:pPr>
            <w:r w:rsidRPr="00100EC5">
              <w:rPr>
                <w:rFonts w:asciiTheme="minorHAnsi" w:hAnsiTheme="minorHAnsi"/>
                <w:color w:val="000000"/>
                <w:sz w:val="21"/>
                <w:szCs w:val="21"/>
                <w:lang w:eastAsia="en-AU"/>
              </w:rPr>
              <w:t>Sub actions</w:t>
            </w:r>
          </w:p>
        </w:tc>
        <w:tc>
          <w:tcPr>
            <w:tcW w:w="2807" w:type="dxa"/>
          </w:tcPr>
          <w:p w:rsidR="008F4052" w:rsidRPr="00100EC5" w:rsidRDefault="008F4052" w:rsidP="007120F1">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Responsibility</w:t>
            </w:r>
          </w:p>
        </w:tc>
      </w:tr>
      <w:tr w:rsidR="008F4052" w:rsidRPr="00100EC5" w:rsidTr="00CF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hideMark/>
          </w:tcPr>
          <w:p w:rsidR="008F4052" w:rsidRPr="00100EC5" w:rsidRDefault="008F4052" w:rsidP="00C013D2">
            <w:pPr>
              <w:contextualSpacing/>
              <w:rPr>
                <w:rFonts w:asciiTheme="minorHAnsi" w:hAnsiTheme="minorHAnsi"/>
                <w:b w:val="0"/>
                <w:color w:val="000000"/>
                <w:sz w:val="21"/>
                <w:szCs w:val="21"/>
                <w:lang w:eastAsia="en-AU"/>
              </w:rPr>
            </w:pPr>
            <w:r w:rsidRPr="00100EC5">
              <w:rPr>
                <w:rFonts w:asciiTheme="minorHAnsi" w:hAnsiTheme="minorHAnsi"/>
                <w:b w:val="0"/>
                <w:color w:val="000000"/>
                <w:sz w:val="21"/>
                <w:szCs w:val="21"/>
                <w:lang w:eastAsia="en-AU"/>
              </w:rPr>
              <w:t>Monitor and evaluate gender equality initiatives and ratios across all classifications, business areas and board representation.</w:t>
            </w:r>
          </w:p>
        </w:tc>
        <w:tc>
          <w:tcPr>
            <w:tcW w:w="6804" w:type="dxa"/>
          </w:tcPr>
          <w:p w:rsidR="008F4052" w:rsidRPr="00100EC5" w:rsidRDefault="008F4052" w:rsidP="00C013D2">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Quarterly analysis of workforce metrics.</w:t>
            </w:r>
          </w:p>
        </w:tc>
        <w:tc>
          <w:tcPr>
            <w:tcW w:w="2807" w:type="dxa"/>
          </w:tcPr>
          <w:p w:rsidR="008F4052" w:rsidRPr="00100EC5" w:rsidRDefault="0053360C" w:rsidP="00C013D2">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Pr>
                <w:rFonts w:asciiTheme="minorHAnsi" w:hAnsiTheme="minorHAnsi"/>
                <w:color w:val="000000"/>
                <w:sz w:val="21"/>
                <w:szCs w:val="21"/>
                <w:lang w:eastAsia="en-AU"/>
              </w:rPr>
              <w:t xml:space="preserve"> EMG/CSG</w:t>
            </w:r>
          </w:p>
        </w:tc>
      </w:tr>
      <w:tr w:rsidR="008F4052" w:rsidRPr="00100EC5" w:rsidTr="00CF6CF2">
        <w:tc>
          <w:tcPr>
            <w:cnfStyle w:val="001000000000" w:firstRow="0" w:lastRow="0" w:firstColumn="1" w:lastColumn="0" w:oddVBand="0" w:evenVBand="0" w:oddHBand="0" w:evenHBand="0" w:firstRowFirstColumn="0" w:firstRowLastColumn="0" w:lastRowFirstColumn="0" w:lastRowLastColumn="0"/>
            <w:tcW w:w="3261" w:type="dxa"/>
            <w:vMerge/>
          </w:tcPr>
          <w:p w:rsidR="008F4052" w:rsidRPr="00100EC5" w:rsidRDefault="008F4052" w:rsidP="00C013D2">
            <w:pPr>
              <w:contextualSpacing/>
              <w:rPr>
                <w:rFonts w:asciiTheme="minorHAnsi" w:hAnsiTheme="minorHAnsi"/>
                <w:b w:val="0"/>
                <w:color w:val="000000"/>
                <w:sz w:val="21"/>
                <w:szCs w:val="21"/>
                <w:lang w:eastAsia="en-AU"/>
              </w:rPr>
            </w:pPr>
          </w:p>
        </w:tc>
        <w:tc>
          <w:tcPr>
            <w:tcW w:w="6804" w:type="dxa"/>
          </w:tcPr>
          <w:p w:rsidR="008F4052" w:rsidRPr="00100EC5" w:rsidRDefault="008F4052" w:rsidP="00C013D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Analysis of APSC State of Service Survey results</w:t>
            </w:r>
          </w:p>
        </w:tc>
        <w:tc>
          <w:tcPr>
            <w:tcW w:w="2807" w:type="dxa"/>
          </w:tcPr>
          <w:p w:rsidR="008F4052" w:rsidRPr="00100EC5" w:rsidRDefault="0053360C" w:rsidP="00C013D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Pr>
                <w:rFonts w:asciiTheme="minorHAnsi" w:hAnsiTheme="minorHAnsi"/>
                <w:color w:val="000000"/>
                <w:sz w:val="21"/>
                <w:szCs w:val="21"/>
                <w:lang w:eastAsia="en-AU"/>
              </w:rPr>
              <w:t>EMG/CSG</w:t>
            </w:r>
            <w:r w:rsidRPr="00100EC5" w:rsidDel="0053360C">
              <w:rPr>
                <w:rFonts w:asciiTheme="minorHAnsi" w:hAnsiTheme="minorHAnsi"/>
                <w:color w:val="000000"/>
                <w:sz w:val="21"/>
                <w:szCs w:val="21"/>
                <w:lang w:eastAsia="en-AU"/>
              </w:rPr>
              <w:t xml:space="preserve"> </w:t>
            </w:r>
          </w:p>
        </w:tc>
      </w:tr>
      <w:tr w:rsidR="0053360C" w:rsidRPr="00100EC5" w:rsidTr="00CF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0053360C" w:rsidRPr="00100EC5" w:rsidRDefault="0053360C" w:rsidP="00C013D2">
            <w:pPr>
              <w:contextualSpacing/>
              <w:rPr>
                <w:rFonts w:asciiTheme="minorHAnsi" w:hAnsiTheme="minorHAnsi"/>
                <w:b w:val="0"/>
                <w:color w:val="000000"/>
                <w:sz w:val="21"/>
                <w:szCs w:val="21"/>
                <w:lang w:eastAsia="en-AU"/>
              </w:rPr>
            </w:pPr>
          </w:p>
        </w:tc>
        <w:tc>
          <w:tcPr>
            <w:tcW w:w="6804" w:type="dxa"/>
          </w:tcPr>
          <w:p w:rsidR="0053360C" w:rsidRPr="00100EC5" w:rsidRDefault="0053360C" w:rsidP="00C013D2">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Analysis of uptake of flexible work arrangements, including parental leave, by men and women</w:t>
            </w:r>
          </w:p>
        </w:tc>
        <w:tc>
          <w:tcPr>
            <w:tcW w:w="2807" w:type="dxa"/>
          </w:tcPr>
          <w:p w:rsidR="0053360C" w:rsidRPr="00100EC5" w:rsidRDefault="0053360C" w:rsidP="00C013D2">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0A5C72">
              <w:rPr>
                <w:rFonts w:asciiTheme="minorHAnsi" w:hAnsiTheme="minorHAnsi"/>
                <w:color w:val="000000"/>
                <w:sz w:val="21"/>
                <w:szCs w:val="21"/>
                <w:lang w:eastAsia="en-AU"/>
              </w:rPr>
              <w:t>EMG</w:t>
            </w:r>
            <w:r>
              <w:rPr>
                <w:rFonts w:asciiTheme="minorHAnsi" w:hAnsiTheme="minorHAnsi"/>
                <w:color w:val="000000"/>
                <w:sz w:val="21"/>
                <w:szCs w:val="21"/>
                <w:lang w:eastAsia="en-AU"/>
              </w:rPr>
              <w:t xml:space="preserve"> </w:t>
            </w:r>
          </w:p>
        </w:tc>
      </w:tr>
      <w:tr w:rsidR="0053360C" w:rsidRPr="00100EC5" w:rsidTr="00CF6CF2">
        <w:tc>
          <w:tcPr>
            <w:cnfStyle w:val="001000000000" w:firstRow="0" w:lastRow="0" w:firstColumn="1" w:lastColumn="0" w:oddVBand="0" w:evenVBand="0" w:oddHBand="0" w:evenHBand="0" w:firstRowFirstColumn="0" w:firstRowLastColumn="0" w:lastRowFirstColumn="0" w:lastRowLastColumn="0"/>
            <w:tcW w:w="3261" w:type="dxa"/>
            <w:vMerge w:val="restart"/>
          </w:tcPr>
          <w:p w:rsidR="0053360C" w:rsidRPr="00100EC5" w:rsidRDefault="0053360C" w:rsidP="00C013D2">
            <w:pPr>
              <w:contextualSpacing/>
              <w:rPr>
                <w:rFonts w:asciiTheme="minorHAnsi" w:hAnsiTheme="minorHAnsi"/>
                <w:b w:val="0"/>
                <w:color w:val="000000"/>
                <w:sz w:val="21"/>
                <w:szCs w:val="21"/>
                <w:lang w:eastAsia="en-AU"/>
              </w:rPr>
            </w:pPr>
            <w:r w:rsidRPr="00100EC5">
              <w:rPr>
                <w:rFonts w:asciiTheme="minorHAnsi" w:hAnsiTheme="minorHAnsi"/>
                <w:b w:val="0"/>
                <w:color w:val="000000"/>
                <w:sz w:val="21"/>
                <w:szCs w:val="21"/>
                <w:lang w:eastAsia="en-AU"/>
              </w:rPr>
              <w:t>Report on progress of this Action Plan and other gender equality initiatives</w:t>
            </w:r>
          </w:p>
        </w:tc>
        <w:tc>
          <w:tcPr>
            <w:tcW w:w="6804" w:type="dxa"/>
          </w:tcPr>
          <w:p w:rsidR="0053360C" w:rsidRPr="00100EC5" w:rsidRDefault="0053360C" w:rsidP="00C013D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Biannual Report to DSS’ Executive Management Group</w:t>
            </w:r>
          </w:p>
        </w:tc>
        <w:tc>
          <w:tcPr>
            <w:tcW w:w="2807" w:type="dxa"/>
          </w:tcPr>
          <w:p w:rsidR="0053360C" w:rsidRPr="00100EC5" w:rsidRDefault="0053360C" w:rsidP="00C013D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olor w:val="000000"/>
                <w:sz w:val="21"/>
                <w:szCs w:val="21"/>
                <w:lang w:eastAsia="en-AU"/>
              </w:rPr>
              <w:t>EMG/CSG</w:t>
            </w:r>
            <w:r w:rsidRPr="00100EC5" w:rsidDel="00B15B51">
              <w:rPr>
                <w:rFonts w:asciiTheme="minorHAnsi" w:hAnsiTheme="minorHAnsi"/>
                <w:color w:val="000000"/>
                <w:sz w:val="21"/>
                <w:szCs w:val="21"/>
                <w:lang w:eastAsia="en-AU"/>
              </w:rPr>
              <w:t xml:space="preserve"> </w:t>
            </w:r>
          </w:p>
        </w:tc>
      </w:tr>
      <w:tr w:rsidR="008F4052" w:rsidRPr="00100EC5" w:rsidTr="00CF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008F4052" w:rsidRPr="00100EC5" w:rsidRDefault="008F4052" w:rsidP="00C013D2">
            <w:pPr>
              <w:contextualSpacing/>
              <w:rPr>
                <w:rFonts w:asciiTheme="minorHAnsi" w:hAnsiTheme="minorHAnsi"/>
                <w:b w:val="0"/>
                <w:color w:val="000000"/>
                <w:sz w:val="21"/>
                <w:szCs w:val="21"/>
                <w:lang w:eastAsia="en-AU"/>
              </w:rPr>
            </w:pPr>
          </w:p>
        </w:tc>
        <w:tc>
          <w:tcPr>
            <w:tcW w:w="6804" w:type="dxa"/>
          </w:tcPr>
          <w:p w:rsidR="008F4052" w:rsidRPr="00100EC5" w:rsidRDefault="008F4052" w:rsidP="00C013D2">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Provide relevant data to APSC as required.</w:t>
            </w:r>
          </w:p>
        </w:tc>
        <w:tc>
          <w:tcPr>
            <w:tcW w:w="2807" w:type="dxa"/>
          </w:tcPr>
          <w:p w:rsidR="008F4052" w:rsidRPr="00100EC5" w:rsidRDefault="00C114FE" w:rsidP="00C013D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olor w:val="000000"/>
                <w:sz w:val="21"/>
                <w:szCs w:val="21"/>
                <w:lang w:eastAsia="en-AU"/>
              </w:rPr>
              <w:t>CSG</w:t>
            </w:r>
          </w:p>
        </w:tc>
      </w:tr>
      <w:tr w:rsidR="008F4052" w:rsidRPr="00100EC5" w:rsidTr="00CF6CF2">
        <w:tc>
          <w:tcPr>
            <w:cnfStyle w:val="001000000000" w:firstRow="0" w:lastRow="0" w:firstColumn="1" w:lastColumn="0" w:oddVBand="0" w:evenVBand="0" w:oddHBand="0" w:evenHBand="0" w:firstRowFirstColumn="0" w:firstRowLastColumn="0" w:lastRowFirstColumn="0" w:lastRowLastColumn="0"/>
            <w:tcW w:w="3261" w:type="dxa"/>
            <w:vMerge/>
          </w:tcPr>
          <w:p w:rsidR="008F4052" w:rsidRPr="00100EC5" w:rsidRDefault="008F4052" w:rsidP="00C013D2">
            <w:pPr>
              <w:contextualSpacing/>
              <w:rPr>
                <w:rFonts w:asciiTheme="minorHAnsi" w:hAnsiTheme="minorHAnsi"/>
                <w:b w:val="0"/>
                <w:color w:val="000000"/>
                <w:sz w:val="21"/>
                <w:szCs w:val="21"/>
                <w:lang w:eastAsia="en-AU"/>
              </w:rPr>
            </w:pPr>
          </w:p>
        </w:tc>
        <w:tc>
          <w:tcPr>
            <w:tcW w:w="6804" w:type="dxa"/>
          </w:tcPr>
          <w:p w:rsidR="008F4052" w:rsidRPr="00100EC5" w:rsidRDefault="008F4052" w:rsidP="00C013D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Provide data relating to agency and individual board representation to the Office for Women for the annual Gender Balance on Australian Boards Report and as requested.</w:t>
            </w:r>
          </w:p>
        </w:tc>
        <w:tc>
          <w:tcPr>
            <w:tcW w:w="2807" w:type="dxa"/>
          </w:tcPr>
          <w:p w:rsidR="008F4052" w:rsidRPr="00100EC5" w:rsidRDefault="00C114FE" w:rsidP="00C013D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olor w:val="000000"/>
                <w:sz w:val="21"/>
                <w:szCs w:val="21"/>
                <w:lang w:eastAsia="en-AU"/>
              </w:rPr>
              <w:t>CSG</w:t>
            </w:r>
          </w:p>
        </w:tc>
      </w:tr>
      <w:tr w:rsidR="0053360C" w:rsidRPr="00100EC5" w:rsidTr="00CF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53360C" w:rsidRPr="00100EC5" w:rsidRDefault="0053360C" w:rsidP="00C013D2">
            <w:pPr>
              <w:contextualSpacing/>
              <w:rPr>
                <w:rFonts w:asciiTheme="minorHAnsi" w:hAnsiTheme="minorHAnsi"/>
                <w:b w:val="0"/>
                <w:color w:val="000000"/>
                <w:sz w:val="21"/>
                <w:szCs w:val="21"/>
                <w:lang w:eastAsia="en-AU"/>
              </w:rPr>
            </w:pPr>
            <w:r w:rsidRPr="00100EC5">
              <w:rPr>
                <w:rFonts w:asciiTheme="minorHAnsi" w:hAnsiTheme="minorHAnsi"/>
                <w:b w:val="0"/>
                <w:color w:val="000000"/>
                <w:sz w:val="21"/>
                <w:szCs w:val="21"/>
                <w:lang w:eastAsia="en-AU"/>
              </w:rPr>
              <w:t>Evaluate organisational culture towards gender equity and address issues and review policies and procedures as required</w:t>
            </w:r>
          </w:p>
        </w:tc>
        <w:tc>
          <w:tcPr>
            <w:tcW w:w="6804" w:type="dxa"/>
          </w:tcPr>
          <w:p w:rsidR="0053360C" w:rsidRPr="00100EC5" w:rsidRDefault="0053360C" w:rsidP="00C013D2">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Quarterly analysis of workforce metrics.</w:t>
            </w:r>
          </w:p>
        </w:tc>
        <w:tc>
          <w:tcPr>
            <w:tcW w:w="2807" w:type="dxa"/>
          </w:tcPr>
          <w:p w:rsidR="0053360C" w:rsidRPr="00100EC5" w:rsidRDefault="0053360C" w:rsidP="00C013D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olor w:val="000000"/>
                <w:sz w:val="21"/>
                <w:szCs w:val="21"/>
                <w:lang w:eastAsia="en-AU"/>
              </w:rPr>
              <w:t>EMG/CSG</w:t>
            </w:r>
            <w:r w:rsidRPr="00100EC5" w:rsidDel="003B708C">
              <w:rPr>
                <w:rFonts w:asciiTheme="minorHAnsi" w:hAnsiTheme="minorHAnsi"/>
                <w:color w:val="000000"/>
                <w:sz w:val="21"/>
                <w:szCs w:val="21"/>
                <w:lang w:eastAsia="en-AU"/>
              </w:rPr>
              <w:t xml:space="preserve"> </w:t>
            </w:r>
          </w:p>
        </w:tc>
      </w:tr>
      <w:tr w:rsidR="0053360C" w:rsidRPr="00100EC5" w:rsidTr="00CF6CF2">
        <w:tc>
          <w:tcPr>
            <w:cnfStyle w:val="001000000000" w:firstRow="0" w:lastRow="0" w:firstColumn="1" w:lastColumn="0" w:oddVBand="0" w:evenVBand="0" w:oddHBand="0" w:evenHBand="0" w:firstRowFirstColumn="0" w:firstRowLastColumn="0" w:lastRowFirstColumn="0" w:lastRowLastColumn="0"/>
            <w:tcW w:w="3261" w:type="dxa"/>
            <w:vMerge/>
          </w:tcPr>
          <w:p w:rsidR="0053360C" w:rsidRPr="00100EC5" w:rsidRDefault="0053360C" w:rsidP="00C013D2">
            <w:pPr>
              <w:contextualSpacing/>
              <w:rPr>
                <w:rFonts w:asciiTheme="minorHAnsi" w:hAnsiTheme="minorHAnsi"/>
                <w:b w:val="0"/>
                <w:color w:val="000000"/>
                <w:sz w:val="21"/>
                <w:szCs w:val="21"/>
                <w:lang w:eastAsia="en-AU"/>
              </w:rPr>
            </w:pPr>
          </w:p>
        </w:tc>
        <w:tc>
          <w:tcPr>
            <w:tcW w:w="6804" w:type="dxa"/>
          </w:tcPr>
          <w:p w:rsidR="0053360C" w:rsidRPr="00100EC5" w:rsidRDefault="0053360C" w:rsidP="00C013D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Analysis of APSC State of Service Survey results</w:t>
            </w:r>
          </w:p>
        </w:tc>
        <w:tc>
          <w:tcPr>
            <w:tcW w:w="2807" w:type="dxa"/>
          </w:tcPr>
          <w:p w:rsidR="0053360C" w:rsidRPr="00100EC5" w:rsidRDefault="0053360C" w:rsidP="00C013D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olor w:val="000000"/>
                <w:sz w:val="21"/>
                <w:szCs w:val="21"/>
                <w:lang w:eastAsia="en-AU"/>
              </w:rPr>
              <w:t>EMG/CSG</w:t>
            </w:r>
            <w:r w:rsidRPr="00100EC5" w:rsidDel="003B708C">
              <w:rPr>
                <w:rFonts w:asciiTheme="minorHAnsi" w:hAnsiTheme="minorHAnsi"/>
                <w:color w:val="000000"/>
                <w:sz w:val="21"/>
                <w:szCs w:val="21"/>
                <w:lang w:eastAsia="en-AU"/>
              </w:rPr>
              <w:t xml:space="preserve"> </w:t>
            </w:r>
          </w:p>
        </w:tc>
      </w:tr>
      <w:tr w:rsidR="0053360C" w:rsidRPr="00100EC5" w:rsidTr="00CF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0053360C" w:rsidRPr="00100EC5" w:rsidRDefault="0053360C" w:rsidP="0068278B">
            <w:pPr>
              <w:contextualSpacing/>
              <w:rPr>
                <w:rFonts w:asciiTheme="minorHAnsi" w:hAnsiTheme="minorHAnsi"/>
                <w:b w:val="0"/>
                <w:color w:val="000000"/>
                <w:sz w:val="21"/>
                <w:szCs w:val="21"/>
                <w:lang w:eastAsia="en-AU"/>
              </w:rPr>
            </w:pPr>
          </w:p>
        </w:tc>
        <w:tc>
          <w:tcPr>
            <w:tcW w:w="6804" w:type="dxa"/>
          </w:tcPr>
          <w:p w:rsidR="0053360C" w:rsidRPr="00100EC5" w:rsidRDefault="0053360C" w:rsidP="0068278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1"/>
                <w:szCs w:val="21"/>
                <w:lang w:eastAsia="en-AU"/>
              </w:rPr>
            </w:pPr>
            <w:r w:rsidRPr="00100EC5">
              <w:rPr>
                <w:rFonts w:asciiTheme="minorHAnsi" w:hAnsiTheme="minorHAnsi"/>
                <w:color w:val="000000"/>
                <w:sz w:val="21"/>
                <w:szCs w:val="21"/>
                <w:lang w:eastAsia="en-AU"/>
              </w:rPr>
              <w:t>Analysis of diversity audit by June 2017.</w:t>
            </w:r>
          </w:p>
        </w:tc>
        <w:tc>
          <w:tcPr>
            <w:tcW w:w="2807" w:type="dxa"/>
          </w:tcPr>
          <w:p w:rsidR="0053360C" w:rsidRPr="00100EC5" w:rsidRDefault="005336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olor w:val="000000"/>
                <w:sz w:val="21"/>
                <w:szCs w:val="21"/>
                <w:lang w:eastAsia="en-AU"/>
              </w:rPr>
              <w:t>EMG/CSG</w:t>
            </w:r>
            <w:r w:rsidRPr="00100EC5" w:rsidDel="003B708C">
              <w:rPr>
                <w:rFonts w:asciiTheme="minorHAnsi" w:hAnsiTheme="minorHAnsi"/>
                <w:color w:val="000000"/>
                <w:sz w:val="21"/>
                <w:szCs w:val="21"/>
                <w:lang w:eastAsia="en-AU"/>
              </w:rPr>
              <w:t xml:space="preserve"> </w:t>
            </w:r>
          </w:p>
        </w:tc>
      </w:tr>
      <w:bookmarkEnd w:id="0"/>
    </w:tbl>
    <w:p w:rsidR="00C343EA" w:rsidRDefault="00C343EA" w:rsidP="002B28E0">
      <w:pPr>
        <w:sectPr w:rsidR="00C343EA" w:rsidSect="004E52D9">
          <w:pgSz w:w="16840" w:h="11907" w:orient="landscape" w:code="9"/>
          <w:pgMar w:top="1276" w:right="1134" w:bottom="851" w:left="1440" w:header="720" w:footer="403" w:gutter="0"/>
          <w:cols w:space="720"/>
          <w:docGrid w:linePitch="326"/>
        </w:sectPr>
      </w:pPr>
    </w:p>
    <w:p w:rsidR="004B474F" w:rsidRPr="002644F2" w:rsidRDefault="00C343EA" w:rsidP="00C343EA">
      <w:pPr>
        <w:pStyle w:val="Heading1"/>
        <w:keepNext w:val="0"/>
        <w:spacing w:before="360" w:after="120"/>
        <w:contextualSpacing/>
        <w:rPr>
          <w:rFonts w:ascii="Georgia" w:hAnsi="Georgia"/>
          <w:b w:val="0"/>
          <w:bCs/>
          <w:color w:val="500778"/>
          <w:spacing w:val="4"/>
          <w:kern w:val="0"/>
          <w:sz w:val="36"/>
          <w:szCs w:val="28"/>
          <w:lang w:eastAsia="en-AU"/>
        </w:rPr>
      </w:pPr>
      <w:bookmarkStart w:id="7" w:name="_Toc481135389"/>
      <w:r w:rsidRPr="002644F2">
        <w:rPr>
          <w:rFonts w:ascii="Georgia" w:hAnsi="Georgia"/>
          <w:b w:val="0"/>
          <w:bCs/>
          <w:color w:val="500778"/>
          <w:spacing w:val="4"/>
          <w:kern w:val="0"/>
          <w:sz w:val="36"/>
          <w:szCs w:val="28"/>
          <w:lang w:eastAsia="en-AU"/>
        </w:rPr>
        <w:lastRenderedPageBreak/>
        <w:t>Glossary – Attachment A</w:t>
      </w:r>
      <w:bookmarkEnd w:id="7"/>
    </w:p>
    <w:p w:rsidR="00C343EA" w:rsidRPr="00C343EA" w:rsidRDefault="00C343EA" w:rsidP="00C343EA"/>
    <w:tbl>
      <w:tblPr>
        <w:tblStyle w:val="TableGrid"/>
        <w:tblW w:w="0" w:type="auto"/>
        <w:tblLook w:val="04A0" w:firstRow="1" w:lastRow="0" w:firstColumn="1" w:lastColumn="0" w:noHBand="0" w:noVBand="1"/>
      </w:tblPr>
      <w:tblGrid>
        <w:gridCol w:w="2660"/>
        <w:gridCol w:w="7336"/>
      </w:tblGrid>
      <w:tr w:rsidR="00C343EA" w:rsidTr="002644F2">
        <w:tc>
          <w:tcPr>
            <w:tcW w:w="2660" w:type="dxa"/>
          </w:tcPr>
          <w:p w:rsidR="00C343EA" w:rsidRDefault="00C343EA" w:rsidP="002644F2">
            <w:pPr>
              <w:spacing w:before="120" w:after="120"/>
            </w:pPr>
            <w:r>
              <w:t xml:space="preserve">Diversity </w:t>
            </w:r>
          </w:p>
        </w:tc>
        <w:tc>
          <w:tcPr>
            <w:tcW w:w="7336" w:type="dxa"/>
          </w:tcPr>
          <w:p w:rsidR="00C343EA" w:rsidRDefault="00323D0B" w:rsidP="002644F2">
            <w:pPr>
              <w:spacing w:before="120" w:after="120"/>
            </w:pPr>
            <w:r>
              <w:t>In the workplace, diversity means having employees from a range of backgrounds</w:t>
            </w:r>
            <w:r w:rsidR="002D409C">
              <w:t xml:space="preserve">.   This can include having employees of different ages, gender, ethnicity, physical ability, sexual orientation, religious belief, work experience, educational background, and so on. </w:t>
            </w:r>
          </w:p>
        </w:tc>
      </w:tr>
      <w:tr w:rsidR="00C343EA" w:rsidTr="002644F2">
        <w:tc>
          <w:tcPr>
            <w:tcW w:w="2660" w:type="dxa"/>
          </w:tcPr>
          <w:p w:rsidR="00C343EA" w:rsidRDefault="00C343EA" w:rsidP="002644F2">
            <w:pPr>
              <w:spacing w:before="120" w:after="120"/>
            </w:pPr>
            <w:r>
              <w:t xml:space="preserve">Equality </w:t>
            </w:r>
          </w:p>
        </w:tc>
        <w:tc>
          <w:tcPr>
            <w:tcW w:w="7336" w:type="dxa"/>
          </w:tcPr>
          <w:p w:rsidR="002B456E" w:rsidRDefault="00C070AF" w:rsidP="002644F2">
            <w:pPr>
              <w:spacing w:before="120" w:after="120"/>
            </w:pPr>
            <w:r>
              <w:t xml:space="preserve">Equality is achieved when people are able to access and enjoy the same rewards, resources and opportunities regardless of their background. </w:t>
            </w:r>
          </w:p>
        </w:tc>
      </w:tr>
      <w:tr w:rsidR="002B456E" w:rsidTr="002644F2">
        <w:tc>
          <w:tcPr>
            <w:tcW w:w="2660" w:type="dxa"/>
          </w:tcPr>
          <w:p w:rsidR="002B456E" w:rsidRDefault="00AE37ED" w:rsidP="002644F2">
            <w:pPr>
              <w:spacing w:before="120" w:after="120"/>
            </w:pPr>
            <w:r>
              <w:t xml:space="preserve">*Sex and </w:t>
            </w:r>
            <w:r w:rsidR="002B456E">
              <w:t xml:space="preserve">Gender </w:t>
            </w:r>
          </w:p>
        </w:tc>
        <w:tc>
          <w:tcPr>
            <w:tcW w:w="7336" w:type="dxa"/>
          </w:tcPr>
          <w:p w:rsidR="00FA067B" w:rsidRDefault="00AE37ED" w:rsidP="002644F2">
            <w:pPr>
              <w:spacing w:before="120" w:after="120"/>
            </w:pPr>
            <w:r>
              <w:t xml:space="preserve">Sex refers </w:t>
            </w:r>
            <w:r w:rsidR="00FA067B">
              <w:t xml:space="preserve">to the chromosomal, gonadal and anatomical characteristics associated with biological sex. </w:t>
            </w:r>
          </w:p>
          <w:p w:rsidR="002B456E" w:rsidRDefault="00AE37ED" w:rsidP="002644F2">
            <w:pPr>
              <w:spacing w:before="120" w:after="120"/>
            </w:pPr>
            <w:r>
              <w:t xml:space="preserve">Gender is part of a person’s personal and social identity.  It refers to the way a person feels, presents and is recognised within the community.  A person’s gender may be reflected in outward social markers, including their name, outward appearance, mannerisms and dress. </w:t>
            </w:r>
          </w:p>
          <w:p w:rsidR="00FA067B" w:rsidRDefault="00FA067B" w:rsidP="002644F2">
            <w:pPr>
              <w:spacing w:before="120" w:after="120"/>
            </w:pPr>
            <w:r>
              <w:t xml:space="preserve">A person’s sex and gender may not necessarily be the same.  Some people may identify as a different gender to their birth sex and some people may identify as neither exclusively male nor female.  </w:t>
            </w:r>
          </w:p>
        </w:tc>
      </w:tr>
      <w:tr w:rsidR="002B456E" w:rsidTr="002644F2">
        <w:tc>
          <w:tcPr>
            <w:tcW w:w="2660" w:type="dxa"/>
          </w:tcPr>
          <w:p w:rsidR="002B456E" w:rsidRDefault="00A87A97" w:rsidP="002644F2">
            <w:pPr>
              <w:spacing w:before="120" w:after="120"/>
            </w:pPr>
            <w:r>
              <w:t xml:space="preserve">Inclusive workplace </w:t>
            </w:r>
          </w:p>
        </w:tc>
        <w:tc>
          <w:tcPr>
            <w:tcW w:w="7336" w:type="dxa"/>
          </w:tcPr>
          <w:p w:rsidR="002B456E" w:rsidRDefault="00C070AF" w:rsidP="00C070AF">
            <w:pPr>
              <w:spacing w:before="120" w:after="120"/>
            </w:pPr>
            <w:r>
              <w:t xml:space="preserve">An inclusive workplace is one where diversity is embraced and everyone can succeed in achieving their personal and professional goals. </w:t>
            </w:r>
          </w:p>
        </w:tc>
      </w:tr>
      <w:tr w:rsidR="00A87A97" w:rsidTr="002644F2">
        <w:tc>
          <w:tcPr>
            <w:tcW w:w="2660" w:type="dxa"/>
          </w:tcPr>
          <w:p w:rsidR="00A87A97" w:rsidRDefault="004C59DC" w:rsidP="002644F2">
            <w:pPr>
              <w:spacing w:before="120" w:after="120"/>
            </w:pPr>
            <w:r>
              <w:t xml:space="preserve">Diversity audit </w:t>
            </w:r>
          </w:p>
        </w:tc>
        <w:tc>
          <w:tcPr>
            <w:tcW w:w="7336" w:type="dxa"/>
          </w:tcPr>
          <w:p w:rsidR="00A87A97" w:rsidRDefault="0025495D" w:rsidP="00AF47C7">
            <w:pPr>
              <w:spacing w:before="120" w:after="120"/>
            </w:pPr>
            <w:r>
              <w:t>A diversity audit is a review of an organisation’</w:t>
            </w:r>
            <w:r w:rsidR="00AF47C7">
              <w:t xml:space="preserve"> workplace </w:t>
            </w:r>
            <w:r>
              <w:t xml:space="preserve">culture and employment practices. </w:t>
            </w:r>
          </w:p>
        </w:tc>
      </w:tr>
    </w:tbl>
    <w:p w:rsidR="00C343EA" w:rsidRDefault="00C343EA" w:rsidP="00C343EA"/>
    <w:p w:rsidR="00C343EA" w:rsidRDefault="00C343EA" w:rsidP="00C343EA"/>
    <w:p w:rsidR="00C343EA" w:rsidRDefault="00C343EA" w:rsidP="00C343EA"/>
    <w:p w:rsidR="00C343EA" w:rsidRPr="00C343EA" w:rsidRDefault="00C343EA" w:rsidP="00C343EA"/>
    <w:p w:rsidR="00AE37ED" w:rsidRDefault="00AE37ED" w:rsidP="002B28E0"/>
    <w:p w:rsidR="00AE37ED" w:rsidRDefault="00AE37ED" w:rsidP="002B28E0"/>
    <w:p w:rsidR="00AE37ED" w:rsidRDefault="00AE37ED" w:rsidP="002B28E0"/>
    <w:p w:rsidR="00AE37ED" w:rsidRDefault="00AE37ED" w:rsidP="002B28E0">
      <w:r>
        <w:t>* Australian Government Guidelines on the Recognition of Sex and Gender</w:t>
      </w:r>
    </w:p>
    <w:sectPr w:rsidR="00AE37ED" w:rsidSect="00C343EA">
      <w:pgSz w:w="11907" w:h="16840" w:code="9"/>
      <w:pgMar w:top="1134" w:right="851" w:bottom="1440" w:left="1276" w:header="720" w:footer="4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1C" w:rsidRDefault="00241F1C">
      <w:r>
        <w:separator/>
      </w:r>
    </w:p>
  </w:endnote>
  <w:endnote w:type="continuationSeparator" w:id="0">
    <w:p w:rsidR="00241F1C" w:rsidRDefault="0024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F1" w:rsidRDefault="007120F1" w:rsidP="00100EC5">
    <w:pPr>
      <w:pStyle w:val="Footer"/>
      <w:jc w:val="right"/>
    </w:pPr>
    <w:r>
      <w:fldChar w:fldCharType="begin"/>
    </w:r>
    <w:r>
      <w:instrText xml:space="preserve"> PAGE   \* MERGEFORMAT </w:instrText>
    </w:r>
    <w:r>
      <w:fldChar w:fldCharType="separate"/>
    </w:r>
    <w:r w:rsidR="003E1988">
      <w:rPr>
        <w:noProof/>
      </w:rPr>
      <w:t>7</w:t>
    </w:r>
    <w:r>
      <w:rPr>
        <w:noProof/>
      </w:rPr>
      <w:fldChar w:fldCharType="end"/>
    </w:r>
  </w:p>
  <w:p w:rsidR="007120F1" w:rsidRDefault="00712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F1" w:rsidRDefault="007120F1" w:rsidP="0020618B">
    <w:pPr>
      <w:pStyle w:val="Footer"/>
      <w:ind w:left="-1417"/>
    </w:pPr>
    <w:r>
      <w:rPr>
        <w:noProof/>
        <w:lang w:eastAsia="en-AU"/>
      </w:rPr>
      <w:drawing>
        <wp:inline distT="0" distB="0" distL="0" distR="0" wp14:anchorId="0E4E9CF1" wp14:editId="78E7772E">
          <wp:extent cx="7514082" cy="5618988"/>
          <wp:effectExtent l="0" t="0" r="0" b="1270"/>
          <wp:docPr id="3" name="Picture 5" descr="illustrations of a family and children playing with tree in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llustrations of a family and children playing with tree in background" title="cover image"/>
                  <pic:cNvPicPr/>
                </pic:nvPicPr>
                <pic:blipFill>
                  <a:blip r:embed="rId1">
                    <a:extLst>
                      <a:ext uri="{28A0092B-C50C-407E-A947-70E740481C1C}">
                        <a14:useLocalDpi xmlns:a14="http://schemas.microsoft.com/office/drawing/2010/main" val="0"/>
                      </a:ext>
                    </a:extLst>
                  </a:blip>
                  <a:stretch>
                    <a:fillRect/>
                  </a:stretch>
                </pic:blipFill>
                <pic:spPr>
                  <a:xfrm>
                    <a:off x="0" y="0"/>
                    <a:ext cx="7513955" cy="56184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1C" w:rsidRDefault="00241F1C">
      <w:r>
        <w:separator/>
      </w:r>
    </w:p>
  </w:footnote>
  <w:footnote w:type="continuationSeparator" w:id="0">
    <w:p w:rsidR="00241F1C" w:rsidRDefault="00241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C5" w:rsidRPr="00100EC5" w:rsidRDefault="00100EC5" w:rsidP="00100EC5">
    <w:pPr>
      <w:pStyle w:val="Header"/>
      <w:keepLines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F1" w:rsidRPr="00EB6A24" w:rsidRDefault="007120F1" w:rsidP="0020618B">
    <w:pPr>
      <w:ind w:left="-964"/>
      <w:rPr>
        <w:b/>
      </w:rPr>
    </w:pPr>
    <w:r>
      <w:rPr>
        <w:noProof/>
        <w:lang w:eastAsia="en-AU"/>
      </w:rPr>
      <w:drawing>
        <wp:inline distT="0" distB="0" distL="0" distR="0" wp14:anchorId="2011E421" wp14:editId="696978DD">
          <wp:extent cx="3238500" cy="933450"/>
          <wp:effectExtent l="0" t="0" r="0" b="0"/>
          <wp:docPr id="2"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crest&#10;Department of Soci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33450"/>
                  </a:xfrm>
                  <a:prstGeom prst="rect">
                    <a:avLst/>
                  </a:prstGeom>
                  <a:noFill/>
                  <a:ln>
                    <a:noFill/>
                  </a:ln>
                </pic:spPr>
              </pic:pic>
            </a:graphicData>
          </a:graphic>
        </wp:inline>
      </w:drawing>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4E3"/>
    <w:multiLevelType w:val="hybridMultilevel"/>
    <w:tmpl w:val="36D6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3F77A4"/>
    <w:multiLevelType w:val="singleLevel"/>
    <w:tmpl w:val="0C09000F"/>
    <w:lvl w:ilvl="0">
      <w:start w:val="1"/>
      <w:numFmt w:val="decimal"/>
      <w:lvlText w:val="%1."/>
      <w:lvlJc w:val="left"/>
      <w:pPr>
        <w:tabs>
          <w:tab w:val="num" w:pos="360"/>
        </w:tabs>
        <w:ind w:left="360" w:hanging="360"/>
      </w:pPr>
    </w:lvl>
  </w:abstractNum>
  <w:abstractNum w:abstractNumId="2">
    <w:nsid w:val="05500150"/>
    <w:multiLevelType w:val="singleLevel"/>
    <w:tmpl w:val="FE42D2DA"/>
    <w:lvl w:ilvl="0">
      <w:start w:val="2"/>
      <w:numFmt w:val="decimal"/>
      <w:lvlText w:val="%1."/>
      <w:lvlJc w:val="left"/>
      <w:pPr>
        <w:tabs>
          <w:tab w:val="num" w:pos="360"/>
        </w:tabs>
        <w:ind w:left="360" w:hanging="360"/>
      </w:pPr>
    </w:lvl>
  </w:abstractNum>
  <w:abstractNum w:abstractNumId="3">
    <w:nsid w:val="05CF1621"/>
    <w:multiLevelType w:val="singleLevel"/>
    <w:tmpl w:val="0C09000F"/>
    <w:lvl w:ilvl="0">
      <w:start w:val="1"/>
      <w:numFmt w:val="decimal"/>
      <w:lvlText w:val="%1."/>
      <w:lvlJc w:val="left"/>
      <w:pPr>
        <w:tabs>
          <w:tab w:val="num" w:pos="360"/>
        </w:tabs>
        <w:ind w:left="360" w:hanging="360"/>
      </w:pPr>
    </w:lvl>
  </w:abstractNum>
  <w:abstractNum w:abstractNumId="4">
    <w:nsid w:val="075B6DF8"/>
    <w:multiLevelType w:val="singleLevel"/>
    <w:tmpl w:val="0C09000F"/>
    <w:lvl w:ilvl="0">
      <w:start w:val="1"/>
      <w:numFmt w:val="decimal"/>
      <w:lvlText w:val="%1."/>
      <w:lvlJc w:val="left"/>
      <w:pPr>
        <w:tabs>
          <w:tab w:val="num" w:pos="360"/>
        </w:tabs>
        <w:ind w:left="360" w:hanging="360"/>
      </w:pPr>
    </w:lvl>
  </w:abstractNum>
  <w:abstractNum w:abstractNumId="5">
    <w:nsid w:val="08B9502B"/>
    <w:multiLevelType w:val="hybridMultilevel"/>
    <w:tmpl w:val="B128E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0401F4D"/>
    <w:multiLevelType w:val="singleLevel"/>
    <w:tmpl w:val="0C09000F"/>
    <w:lvl w:ilvl="0">
      <w:start w:val="1"/>
      <w:numFmt w:val="decimal"/>
      <w:lvlText w:val="%1."/>
      <w:lvlJc w:val="left"/>
      <w:pPr>
        <w:tabs>
          <w:tab w:val="num" w:pos="360"/>
        </w:tabs>
        <w:ind w:left="360" w:hanging="360"/>
      </w:pPr>
    </w:lvl>
  </w:abstractNum>
  <w:abstractNum w:abstractNumId="7">
    <w:nsid w:val="12DC2996"/>
    <w:multiLevelType w:val="hybridMultilevel"/>
    <w:tmpl w:val="2A1AA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8E1701"/>
    <w:multiLevelType w:val="hybridMultilevel"/>
    <w:tmpl w:val="6220C7C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167D6805"/>
    <w:multiLevelType w:val="singleLevel"/>
    <w:tmpl w:val="FE42D2DA"/>
    <w:lvl w:ilvl="0">
      <w:start w:val="2"/>
      <w:numFmt w:val="decimal"/>
      <w:lvlText w:val="%1."/>
      <w:lvlJc w:val="left"/>
      <w:pPr>
        <w:tabs>
          <w:tab w:val="num" w:pos="360"/>
        </w:tabs>
        <w:ind w:left="360" w:hanging="360"/>
      </w:pPr>
    </w:lvl>
  </w:abstractNum>
  <w:abstractNum w:abstractNumId="10">
    <w:nsid w:val="19127E6A"/>
    <w:multiLevelType w:val="hybridMultilevel"/>
    <w:tmpl w:val="E12ACA2A"/>
    <w:lvl w:ilvl="0" w:tplc="9850D59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A335456"/>
    <w:multiLevelType w:val="singleLevel"/>
    <w:tmpl w:val="0C09000F"/>
    <w:lvl w:ilvl="0">
      <w:start w:val="1"/>
      <w:numFmt w:val="decimal"/>
      <w:lvlText w:val="%1."/>
      <w:lvlJc w:val="left"/>
      <w:pPr>
        <w:tabs>
          <w:tab w:val="num" w:pos="360"/>
        </w:tabs>
        <w:ind w:left="360" w:hanging="360"/>
      </w:pPr>
    </w:lvl>
  </w:abstractNum>
  <w:abstractNum w:abstractNumId="12">
    <w:nsid w:val="1A3D5056"/>
    <w:multiLevelType w:val="hybridMultilevel"/>
    <w:tmpl w:val="4DDA1F4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nsid w:val="204C40D8"/>
    <w:multiLevelType w:val="hybridMultilevel"/>
    <w:tmpl w:val="34168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004A09"/>
    <w:multiLevelType w:val="hybridMultilevel"/>
    <w:tmpl w:val="F75AF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6161B6"/>
    <w:multiLevelType w:val="singleLevel"/>
    <w:tmpl w:val="0C09000F"/>
    <w:lvl w:ilvl="0">
      <w:start w:val="1"/>
      <w:numFmt w:val="decimal"/>
      <w:lvlText w:val="%1."/>
      <w:lvlJc w:val="left"/>
      <w:pPr>
        <w:tabs>
          <w:tab w:val="num" w:pos="360"/>
        </w:tabs>
        <w:ind w:left="360" w:hanging="360"/>
      </w:pPr>
    </w:lvl>
  </w:abstractNum>
  <w:abstractNum w:abstractNumId="16">
    <w:nsid w:val="307527BA"/>
    <w:multiLevelType w:val="singleLevel"/>
    <w:tmpl w:val="0C09000F"/>
    <w:lvl w:ilvl="0">
      <w:start w:val="1"/>
      <w:numFmt w:val="decimal"/>
      <w:lvlText w:val="%1."/>
      <w:lvlJc w:val="left"/>
      <w:pPr>
        <w:tabs>
          <w:tab w:val="num" w:pos="360"/>
        </w:tabs>
        <w:ind w:left="360" w:hanging="360"/>
      </w:pPr>
    </w:lvl>
  </w:abstractNum>
  <w:abstractNum w:abstractNumId="17">
    <w:nsid w:val="32261461"/>
    <w:multiLevelType w:val="hybridMultilevel"/>
    <w:tmpl w:val="DE7E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642FC6"/>
    <w:multiLevelType w:val="singleLevel"/>
    <w:tmpl w:val="0C09000F"/>
    <w:lvl w:ilvl="0">
      <w:start w:val="1"/>
      <w:numFmt w:val="decimal"/>
      <w:lvlText w:val="%1."/>
      <w:lvlJc w:val="left"/>
      <w:pPr>
        <w:tabs>
          <w:tab w:val="num" w:pos="360"/>
        </w:tabs>
        <w:ind w:left="360" w:hanging="360"/>
      </w:pPr>
    </w:lvl>
  </w:abstractNum>
  <w:abstractNum w:abstractNumId="19">
    <w:nsid w:val="35647A1F"/>
    <w:multiLevelType w:val="hybridMultilevel"/>
    <w:tmpl w:val="518000F2"/>
    <w:lvl w:ilvl="0" w:tplc="8EF83E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D85700"/>
    <w:multiLevelType w:val="hybridMultilevel"/>
    <w:tmpl w:val="E0522D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6666EF"/>
    <w:multiLevelType w:val="singleLevel"/>
    <w:tmpl w:val="FE42D2DA"/>
    <w:lvl w:ilvl="0">
      <w:start w:val="2"/>
      <w:numFmt w:val="decimal"/>
      <w:lvlText w:val="%1."/>
      <w:lvlJc w:val="left"/>
      <w:pPr>
        <w:tabs>
          <w:tab w:val="num" w:pos="360"/>
        </w:tabs>
        <w:ind w:left="360" w:hanging="360"/>
      </w:pPr>
    </w:lvl>
  </w:abstractNum>
  <w:abstractNum w:abstractNumId="22">
    <w:nsid w:val="412A28E4"/>
    <w:multiLevelType w:val="hybridMultilevel"/>
    <w:tmpl w:val="CA62B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AC772F"/>
    <w:multiLevelType w:val="hybridMultilevel"/>
    <w:tmpl w:val="171E5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911BF6"/>
    <w:multiLevelType w:val="singleLevel"/>
    <w:tmpl w:val="804C62E2"/>
    <w:lvl w:ilvl="0">
      <w:start w:val="1"/>
      <w:numFmt w:val="bullet"/>
      <w:lvlText w:val=""/>
      <w:lvlJc w:val="left"/>
      <w:pPr>
        <w:tabs>
          <w:tab w:val="num" w:pos="360"/>
        </w:tabs>
        <w:ind w:left="360" w:hanging="360"/>
      </w:pPr>
      <w:rPr>
        <w:rFonts w:ascii="Symbol" w:hAnsi="Symbol" w:hint="default"/>
        <w:sz w:val="22"/>
      </w:rPr>
    </w:lvl>
  </w:abstractNum>
  <w:abstractNum w:abstractNumId="25">
    <w:nsid w:val="480361AF"/>
    <w:multiLevelType w:val="hybridMultilevel"/>
    <w:tmpl w:val="DD4A0552"/>
    <w:lvl w:ilvl="0" w:tplc="8EF83E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3D7F77"/>
    <w:multiLevelType w:val="singleLevel"/>
    <w:tmpl w:val="0C09000F"/>
    <w:lvl w:ilvl="0">
      <w:start w:val="1"/>
      <w:numFmt w:val="decimal"/>
      <w:lvlText w:val="%1."/>
      <w:lvlJc w:val="left"/>
      <w:pPr>
        <w:tabs>
          <w:tab w:val="num" w:pos="360"/>
        </w:tabs>
        <w:ind w:left="360" w:hanging="360"/>
      </w:pPr>
    </w:lvl>
  </w:abstractNum>
  <w:abstractNum w:abstractNumId="27">
    <w:nsid w:val="50C27464"/>
    <w:multiLevelType w:val="singleLevel"/>
    <w:tmpl w:val="FE42D2DA"/>
    <w:lvl w:ilvl="0">
      <w:start w:val="2"/>
      <w:numFmt w:val="decimal"/>
      <w:lvlText w:val="%1."/>
      <w:lvlJc w:val="left"/>
      <w:pPr>
        <w:tabs>
          <w:tab w:val="num" w:pos="360"/>
        </w:tabs>
        <w:ind w:left="360" w:hanging="360"/>
      </w:pPr>
    </w:lvl>
  </w:abstractNum>
  <w:abstractNum w:abstractNumId="28">
    <w:nsid w:val="51A90BC6"/>
    <w:multiLevelType w:val="hybridMultilevel"/>
    <w:tmpl w:val="945E3F34"/>
    <w:lvl w:ilvl="0" w:tplc="8EF83E7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362187"/>
    <w:multiLevelType w:val="singleLevel"/>
    <w:tmpl w:val="FE42D2DA"/>
    <w:lvl w:ilvl="0">
      <w:start w:val="2"/>
      <w:numFmt w:val="decimal"/>
      <w:lvlText w:val="%1."/>
      <w:lvlJc w:val="left"/>
      <w:pPr>
        <w:tabs>
          <w:tab w:val="num" w:pos="360"/>
        </w:tabs>
        <w:ind w:left="360" w:hanging="360"/>
      </w:pPr>
    </w:lvl>
  </w:abstractNum>
  <w:abstractNum w:abstractNumId="30">
    <w:nsid w:val="52A13A12"/>
    <w:multiLevelType w:val="singleLevel"/>
    <w:tmpl w:val="FE42D2DA"/>
    <w:lvl w:ilvl="0">
      <w:start w:val="2"/>
      <w:numFmt w:val="decimal"/>
      <w:lvlText w:val="%1."/>
      <w:lvlJc w:val="left"/>
      <w:pPr>
        <w:tabs>
          <w:tab w:val="num" w:pos="360"/>
        </w:tabs>
        <w:ind w:left="360" w:hanging="360"/>
      </w:pPr>
    </w:lvl>
  </w:abstractNum>
  <w:abstractNum w:abstractNumId="31">
    <w:nsid w:val="5B952C5E"/>
    <w:multiLevelType w:val="hybridMultilevel"/>
    <w:tmpl w:val="726AD87A"/>
    <w:lvl w:ilvl="0" w:tplc="3C82A3D6">
      <w:start w:val="1"/>
      <w:numFmt w:val="decimal"/>
      <w:lvlText w:val="%1."/>
      <w:lvlJc w:val="left"/>
      <w:pPr>
        <w:ind w:left="1777"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D4159DF"/>
    <w:multiLevelType w:val="singleLevel"/>
    <w:tmpl w:val="0C09000F"/>
    <w:lvl w:ilvl="0">
      <w:start w:val="1"/>
      <w:numFmt w:val="decimal"/>
      <w:lvlText w:val="%1."/>
      <w:lvlJc w:val="left"/>
      <w:pPr>
        <w:tabs>
          <w:tab w:val="num" w:pos="360"/>
        </w:tabs>
        <w:ind w:left="360" w:hanging="360"/>
      </w:pPr>
    </w:lvl>
  </w:abstractNum>
  <w:abstractNum w:abstractNumId="33">
    <w:nsid w:val="5FD82453"/>
    <w:multiLevelType w:val="hybridMultilevel"/>
    <w:tmpl w:val="57D2A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62DE281B"/>
    <w:multiLevelType w:val="hybridMultilevel"/>
    <w:tmpl w:val="81121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2F465BE"/>
    <w:multiLevelType w:val="hybridMultilevel"/>
    <w:tmpl w:val="8D9878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FE5A3B"/>
    <w:multiLevelType w:val="singleLevel"/>
    <w:tmpl w:val="FE42D2DA"/>
    <w:lvl w:ilvl="0">
      <w:start w:val="2"/>
      <w:numFmt w:val="decimal"/>
      <w:lvlText w:val="%1."/>
      <w:lvlJc w:val="left"/>
      <w:pPr>
        <w:tabs>
          <w:tab w:val="num" w:pos="360"/>
        </w:tabs>
        <w:ind w:left="360" w:hanging="360"/>
      </w:pPr>
    </w:lvl>
  </w:abstractNum>
  <w:abstractNum w:abstractNumId="37">
    <w:nsid w:val="6ED81E5D"/>
    <w:multiLevelType w:val="hybridMultilevel"/>
    <w:tmpl w:val="D77C67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C36E7B"/>
    <w:multiLevelType w:val="singleLevel"/>
    <w:tmpl w:val="FE42D2DA"/>
    <w:lvl w:ilvl="0">
      <w:start w:val="2"/>
      <w:numFmt w:val="decimal"/>
      <w:lvlText w:val="%1."/>
      <w:lvlJc w:val="left"/>
      <w:pPr>
        <w:tabs>
          <w:tab w:val="num" w:pos="360"/>
        </w:tabs>
        <w:ind w:left="360" w:hanging="360"/>
      </w:pPr>
    </w:lvl>
  </w:abstractNum>
  <w:abstractNum w:abstractNumId="39">
    <w:nsid w:val="744A1129"/>
    <w:multiLevelType w:val="hybridMultilevel"/>
    <w:tmpl w:val="C17890A8"/>
    <w:lvl w:ilvl="0" w:tplc="0C090001">
      <w:start w:val="1"/>
      <w:numFmt w:val="bullet"/>
      <w:lvlText w:val=""/>
      <w:lvlJc w:val="left"/>
      <w:pPr>
        <w:ind w:left="930" w:hanging="57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A357CD"/>
    <w:multiLevelType w:val="hybridMultilevel"/>
    <w:tmpl w:val="C30A0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7F5516"/>
    <w:multiLevelType w:val="singleLevel"/>
    <w:tmpl w:val="0C09000F"/>
    <w:lvl w:ilvl="0">
      <w:start w:val="1"/>
      <w:numFmt w:val="decimal"/>
      <w:lvlText w:val="%1."/>
      <w:lvlJc w:val="left"/>
      <w:pPr>
        <w:tabs>
          <w:tab w:val="num" w:pos="360"/>
        </w:tabs>
        <w:ind w:left="360" w:hanging="360"/>
      </w:pPr>
    </w:lvl>
  </w:abstractNum>
  <w:abstractNum w:abstractNumId="42">
    <w:nsid w:val="7B8444CD"/>
    <w:multiLevelType w:val="hybridMultilevel"/>
    <w:tmpl w:val="CE8C467A"/>
    <w:lvl w:ilvl="0" w:tplc="9850D598">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CFE7076"/>
    <w:multiLevelType w:val="singleLevel"/>
    <w:tmpl w:val="0C09000F"/>
    <w:lvl w:ilvl="0">
      <w:start w:val="1"/>
      <w:numFmt w:val="decimal"/>
      <w:lvlText w:val="%1."/>
      <w:lvlJc w:val="left"/>
      <w:pPr>
        <w:tabs>
          <w:tab w:val="num" w:pos="360"/>
        </w:tabs>
        <w:ind w:left="360" w:hanging="360"/>
      </w:pPr>
    </w:lvl>
  </w:abstractNum>
  <w:abstractNum w:abstractNumId="44">
    <w:nsid w:val="7E6B32CA"/>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4"/>
  </w:num>
  <w:num w:numId="3">
    <w:abstractNumId w:val="4"/>
  </w:num>
  <w:num w:numId="4">
    <w:abstractNumId w:val="43"/>
  </w:num>
  <w:num w:numId="5">
    <w:abstractNumId w:val="43"/>
  </w:num>
  <w:num w:numId="6">
    <w:abstractNumId w:val="16"/>
  </w:num>
  <w:num w:numId="7">
    <w:abstractNumId w:val="16"/>
  </w:num>
  <w:num w:numId="8">
    <w:abstractNumId w:val="41"/>
  </w:num>
  <w:num w:numId="9">
    <w:abstractNumId w:val="44"/>
  </w:num>
  <w:num w:numId="10">
    <w:abstractNumId w:val="26"/>
  </w:num>
  <w:num w:numId="11">
    <w:abstractNumId w:val="24"/>
  </w:num>
  <w:num w:numId="12">
    <w:abstractNumId w:val="1"/>
  </w:num>
  <w:num w:numId="13">
    <w:abstractNumId w:val="11"/>
  </w:num>
  <w:num w:numId="14">
    <w:abstractNumId w:val="6"/>
  </w:num>
  <w:num w:numId="15">
    <w:abstractNumId w:val="2"/>
  </w:num>
  <w:num w:numId="16">
    <w:abstractNumId w:val="29"/>
  </w:num>
  <w:num w:numId="17">
    <w:abstractNumId w:val="30"/>
  </w:num>
  <w:num w:numId="18">
    <w:abstractNumId w:val="30"/>
  </w:num>
  <w:num w:numId="19">
    <w:abstractNumId w:val="27"/>
  </w:num>
  <w:num w:numId="20">
    <w:abstractNumId w:val="9"/>
  </w:num>
  <w:num w:numId="21">
    <w:abstractNumId w:val="21"/>
  </w:num>
  <w:num w:numId="22">
    <w:abstractNumId w:val="21"/>
  </w:num>
  <w:num w:numId="23">
    <w:abstractNumId w:val="8"/>
  </w:num>
  <w:num w:numId="24">
    <w:abstractNumId w:val="31"/>
  </w:num>
  <w:num w:numId="25">
    <w:abstractNumId w:val="37"/>
  </w:num>
  <w:num w:numId="26">
    <w:abstractNumId w:val="42"/>
  </w:num>
  <w:num w:numId="27">
    <w:abstractNumId w:val="35"/>
  </w:num>
  <w:num w:numId="28">
    <w:abstractNumId w:val="10"/>
  </w:num>
  <w:num w:numId="29">
    <w:abstractNumId w:val="25"/>
  </w:num>
  <w:num w:numId="30">
    <w:abstractNumId w:val="19"/>
  </w:num>
  <w:num w:numId="31">
    <w:abstractNumId w:val="28"/>
  </w:num>
  <w:num w:numId="32">
    <w:abstractNumId w:val="40"/>
  </w:num>
  <w:num w:numId="33">
    <w:abstractNumId w:val="7"/>
  </w:num>
  <w:num w:numId="34">
    <w:abstractNumId w:val="13"/>
  </w:num>
  <w:num w:numId="35">
    <w:abstractNumId w:val="34"/>
  </w:num>
  <w:num w:numId="36">
    <w:abstractNumId w:val="12"/>
  </w:num>
  <w:num w:numId="37">
    <w:abstractNumId w:val="5"/>
  </w:num>
  <w:num w:numId="38">
    <w:abstractNumId w:val="0"/>
  </w:num>
  <w:num w:numId="39">
    <w:abstractNumId w:val="17"/>
  </w:num>
  <w:num w:numId="40">
    <w:abstractNumId w:val="23"/>
  </w:num>
  <w:num w:numId="41">
    <w:abstractNumId w:val="39"/>
  </w:num>
  <w:num w:numId="42">
    <w:abstractNumId w:val="33"/>
  </w:num>
  <w:num w:numId="43">
    <w:abstractNumId w:val="14"/>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4F"/>
    <w:rsid w:val="00007E32"/>
    <w:rsid w:val="00013050"/>
    <w:rsid w:val="00014436"/>
    <w:rsid w:val="0001569D"/>
    <w:rsid w:val="000171B8"/>
    <w:rsid w:val="0002256E"/>
    <w:rsid w:val="00034AEA"/>
    <w:rsid w:val="000453D9"/>
    <w:rsid w:val="000500BF"/>
    <w:rsid w:val="000562F3"/>
    <w:rsid w:val="00072371"/>
    <w:rsid w:val="00090B88"/>
    <w:rsid w:val="000A197A"/>
    <w:rsid w:val="000C70D7"/>
    <w:rsid w:val="000E1AC1"/>
    <w:rsid w:val="000E2E1F"/>
    <w:rsid w:val="000E7FF1"/>
    <w:rsid w:val="000F184A"/>
    <w:rsid w:val="00100EC5"/>
    <w:rsid w:val="00106B61"/>
    <w:rsid w:val="00121ABE"/>
    <w:rsid w:val="00145D18"/>
    <w:rsid w:val="00163893"/>
    <w:rsid w:val="00163F79"/>
    <w:rsid w:val="00180784"/>
    <w:rsid w:val="001807FC"/>
    <w:rsid w:val="001843A4"/>
    <w:rsid w:val="001B61CA"/>
    <w:rsid w:val="001C21DD"/>
    <w:rsid w:val="001C605B"/>
    <w:rsid w:val="001D0F1E"/>
    <w:rsid w:val="001D6ECD"/>
    <w:rsid w:val="001E563C"/>
    <w:rsid w:val="0020618B"/>
    <w:rsid w:val="00225FE4"/>
    <w:rsid w:val="002279E0"/>
    <w:rsid w:val="00241F1C"/>
    <w:rsid w:val="00252553"/>
    <w:rsid w:val="0025495D"/>
    <w:rsid w:val="002644F2"/>
    <w:rsid w:val="0028423D"/>
    <w:rsid w:val="0029288C"/>
    <w:rsid w:val="00294739"/>
    <w:rsid w:val="002B28E0"/>
    <w:rsid w:val="002B456E"/>
    <w:rsid w:val="002C6AE8"/>
    <w:rsid w:val="002D409C"/>
    <w:rsid w:val="002D4FCA"/>
    <w:rsid w:val="002E7F1F"/>
    <w:rsid w:val="003044AA"/>
    <w:rsid w:val="003145CD"/>
    <w:rsid w:val="00320788"/>
    <w:rsid w:val="00323D0B"/>
    <w:rsid w:val="0034670F"/>
    <w:rsid w:val="003602EC"/>
    <w:rsid w:val="00392F6D"/>
    <w:rsid w:val="003A2854"/>
    <w:rsid w:val="003D0D59"/>
    <w:rsid w:val="003D37FD"/>
    <w:rsid w:val="003E1988"/>
    <w:rsid w:val="003E3435"/>
    <w:rsid w:val="003E57BB"/>
    <w:rsid w:val="00414B89"/>
    <w:rsid w:val="0042706E"/>
    <w:rsid w:val="004477B2"/>
    <w:rsid w:val="00466DEE"/>
    <w:rsid w:val="00473B4D"/>
    <w:rsid w:val="00480F2E"/>
    <w:rsid w:val="004836C6"/>
    <w:rsid w:val="004A3288"/>
    <w:rsid w:val="004A5CAA"/>
    <w:rsid w:val="004B474F"/>
    <w:rsid w:val="004C2F76"/>
    <w:rsid w:val="004C59DC"/>
    <w:rsid w:val="004D07DB"/>
    <w:rsid w:val="004D63A6"/>
    <w:rsid w:val="004D7206"/>
    <w:rsid w:val="004E1685"/>
    <w:rsid w:val="004E390D"/>
    <w:rsid w:val="004E52D9"/>
    <w:rsid w:val="004F0767"/>
    <w:rsid w:val="004F473B"/>
    <w:rsid w:val="00507508"/>
    <w:rsid w:val="00514050"/>
    <w:rsid w:val="0053360C"/>
    <w:rsid w:val="00571675"/>
    <w:rsid w:val="00580815"/>
    <w:rsid w:val="0058290C"/>
    <w:rsid w:val="00583BCA"/>
    <w:rsid w:val="00596CB2"/>
    <w:rsid w:val="005C6C34"/>
    <w:rsid w:val="005D7497"/>
    <w:rsid w:val="005E0528"/>
    <w:rsid w:val="005E07E3"/>
    <w:rsid w:val="005E590F"/>
    <w:rsid w:val="005F036D"/>
    <w:rsid w:val="00611415"/>
    <w:rsid w:val="006369F1"/>
    <w:rsid w:val="00652851"/>
    <w:rsid w:val="00663F3C"/>
    <w:rsid w:val="006709D5"/>
    <w:rsid w:val="0067613C"/>
    <w:rsid w:val="006772DF"/>
    <w:rsid w:val="0068278B"/>
    <w:rsid w:val="00684B62"/>
    <w:rsid w:val="00690105"/>
    <w:rsid w:val="00692811"/>
    <w:rsid w:val="006A2084"/>
    <w:rsid w:val="006B457E"/>
    <w:rsid w:val="006E0029"/>
    <w:rsid w:val="006E2D79"/>
    <w:rsid w:val="006F0495"/>
    <w:rsid w:val="006F10F8"/>
    <w:rsid w:val="006F7C6A"/>
    <w:rsid w:val="00704211"/>
    <w:rsid w:val="00705991"/>
    <w:rsid w:val="00707857"/>
    <w:rsid w:val="007120F1"/>
    <w:rsid w:val="007235D2"/>
    <w:rsid w:val="00724572"/>
    <w:rsid w:val="007341DF"/>
    <w:rsid w:val="00744234"/>
    <w:rsid w:val="007568B3"/>
    <w:rsid w:val="0077005C"/>
    <w:rsid w:val="007733B7"/>
    <w:rsid w:val="007B3AFB"/>
    <w:rsid w:val="007E04D8"/>
    <w:rsid w:val="007F0738"/>
    <w:rsid w:val="00804982"/>
    <w:rsid w:val="00811C3A"/>
    <w:rsid w:val="0081338A"/>
    <w:rsid w:val="00821D5D"/>
    <w:rsid w:val="008232DE"/>
    <w:rsid w:val="00826B8F"/>
    <w:rsid w:val="00842C80"/>
    <w:rsid w:val="008A1C93"/>
    <w:rsid w:val="008E1355"/>
    <w:rsid w:val="008F4052"/>
    <w:rsid w:val="00903F5B"/>
    <w:rsid w:val="00924AE5"/>
    <w:rsid w:val="0092537C"/>
    <w:rsid w:val="009450AB"/>
    <w:rsid w:val="00945695"/>
    <w:rsid w:val="00963CED"/>
    <w:rsid w:val="00967ACD"/>
    <w:rsid w:val="00981C72"/>
    <w:rsid w:val="009842FA"/>
    <w:rsid w:val="00994736"/>
    <w:rsid w:val="00996399"/>
    <w:rsid w:val="009A45BC"/>
    <w:rsid w:val="009A5D44"/>
    <w:rsid w:val="009B42D8"/>
    <w:rsid w:val="009D408D"/>
    <w:rsid w:val="009E354C"/>
    <w:rsid w:val="009E3A4B"/>
    <w:rsid w:val="009F5004"/>
    <w:rsid w:val="00A04F0B"/>
    <w:rsid w:val="00A21AB1"/>
    <w:rsid w:val="00A27B9F"/>
    <w:rsid w:val="00A336CB"/>
    <w:rsid w:val="00A63BFE"/>
    <w:rsid w:val="00A66A08"/>
    <w:rsid w:val="00A72298"/>
    <w:rsid w:val="00A73487"/>
    <w:rsid w:val="00A87A97"/>
    <w:rsid w:val="00AC2E3A"/>
    <w:rsid w:val="00AE37ED"/>
    <w:rsid w:val="00AF47C7"/>
    <w:rsid w:val="00B2313C"/>
    <w:rsid w:val="00B474CB"/>
    <w:rsid w:val="00B51914"/>
    <w:rsid w:val="00B6080F"/>
    <w:rsid w:val="00B65028"/>
    <w:rsid w:val="00B65A99"/>
    <w:rsid w:val="00B71E4D"/>
    <w:rsid w:val="00BA1A9A"/>
    <w:rsid w:val="00BD274B"/>
    <w:rsid w:val="00BD5417"/>
    <w:rsid w:val="00BE2EBF"/>
    <w:rsid w:val="00BE4506"/>
    <w:rsid w:val="00BF5BB3"/>
    <w:rsid w:val="00C007EE"/>
    <w:rsid w:val="00C013D2"/>
    <w:rsid w:val="00C05459"/>
    <w:rsid w:val="00C070AF"/>
    <w:rsid w:val="00C114FE"/>
    <w:rsid w:val="00C2796B"/>
    <w:rsid w:val="00C343EA"/>
    <w:rsid w:val="00C44BA8"/>
    <w:rsid w:val="00C47161"/>
    <w:rsid w:val="00C5394D"/>
    <w:rsid w:val="00C80C90"/>
    <w:rsid w:val="00C86D3F"/>
    <w:rsid w:val="00CA7788"/>
    <w:rsid w:val="00CB50DE"/>
    <w:rsid w:val="00CC5527"/>
    <w:rsid w:val="00CD0B84"/>
    <w:rsid w:val="00CD1877"/>
    <w:rsid w:val="00CF386D"/>
    <w:rsid w:val="00CF6CF2"/>
    <w:rsid w:val="00D260E8"/>
    <w:rsid w:val="00D33314"/>
    <w:rsid w:val="00D36C75"/>
    <w:rsid w:val="00D40C28"/>
    <w:rsid w:val="00D52735"/>
    <w:rsid w:val="00D76F01"/>
    <w:rsid w:val="00D82EA9"/>
    <w:rsid w:val="00D966DA"/>
    <w:rsid w:val="00DE46BC"/>
    <w:rsid w:val="00DE76A9"/>
    <w:rsid w:val="00DF2E61"/>
    <w:rsid w:val="00E15B0A"/>
    <w:rsid w:val="00E31EF7"/>
    <w:rsid w:val="00E41026"/>
    <w:rsid w:val="00E5318C"/>
    <w:rsid w:val="00EA3E26"/>
    <w:rsid w:val="00EB111D"/>
    <w:rsid w:val="00EB6A24"/>
    <w:rsid w:val="00EC0292"/>
    <w:rsid w:val="00EC1560"/>
    <w:rsid w:val="00EE6580"/>
    <w:rsid w:val="00F2416C"/>
    <w:rsid w:val="00F67C97"/>
    <w:rsid w:val="00F71BEE"/>
    <w:rsid w:val="00F72174"/>
    <w:rsid w:val="00F8586F"/>
    <w:rsid w:val="00F85D99"/>
    <w:rsid w:val="00FA067B"/>
    <w:rsid w:val="00FB0F81"/>
    <w:rsid w:val="00FB7A71"/>
    <w:rsid w:val="00FC4D92"/>
    <w:rsid w:val="00FC7174"/>
    <w:rsid w:val="00FD1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Normal"/>
    <w:link w:val="Heading1Char"/>
    <w:uiPriority w:val="2"/>
    <w:qFormat/>
    <w:pPr>
      <w:keepNext/>
      <w:outlineLvl w:val="0"/>
    </w:pPr>
    <w:rPr>
      <w:b/>
      <w:kern w:val="28"/>
    </w:rPr>
  </w:style>
  <w:style w:type="paragraph" w:styleId="Heading2">
    <w:name w:val="heading 2"/>
    <w:basedOn w:val="Normal"/>
    <w:next w:val="Normal"/>
    <w:link w:val="Heading2Char"/>
    <w:uiPriority w:val="2"/>
    <w:qFormat/>
    <w:pPr>
      <w:keepNext/>
      <w:outlineLvl w:val="1"/>
    </w:pPr>
    <w:rPr>
      <w:b/>
      <w:i/>
      <w:lang w:val="en-US"/>
    </w:rPr>
  </w:style>
  <w:style w:type="paragraph" w:styleId="Heading3">
    <w:name w:val="heading 3"/>
    <w:basedOn w:val="Normal"/>
    <w:next w:val="Normal"/>
    <w:link w:val="Heading3Char"/>
    <w:uiPriority w:val="9"/>
    <w:qFormat/>
    <w:pPr>
      <w:keepNext/>
      <w:spacing w:after="6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keepLines/>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4B474F"/>
    <w:pPr>
      <w:spacing w:before="0" w:after="200"/>
      <w:ind w:left="720"/>
      <w:contextualSpacing/>
      <w:jc w:val="center"/>
    </w:pPr>
    <w:rPr>
      <w:rFonts w:eastAsia="Calibri" w:cs="Arial"/>
      <w:sz w:val="22"/>
      <w:szCs w:val="22"/>
    </w:rPr>
  </w:style>
  <w:style w:type="character" w:styleId="BookTitle">
    <w:name w:val="Book Title"/>
    <w:uiPriority w:val="33"/>
    <w:qFormat/>
    <w:rsid w:val="004B474F"/>
    <w:rPr>
      <w:i/>
      <w:iCs/>
      <w:smallCaps/>
      <w:spacing w:val="5"/>
    </w:rPr>
  </w:style>
  <w:style w:type="character" w:styleId="CommentReference">
    <w:name w:val="annotation reference"/>
    <w:rsid w:val="007235D2"/>
    <w:rPr>
      <w:sz w:val="16"/>
      <w:szCs w:val="16"/>
    </w:rPr>
  </w:style>
  <w:style w:type="paragraph" w:styleId="CommentText">
    <w:name w:val="annotation text"/>
    <w:basedOn w:val="Normal"/>
    <w:link w:val="CommentTextChar"/>
    <w:rsid w:val="007235D2"/>
    <w:rPr>
      <w:sz w:val="20"/>
    </w:rPr>
  </w:style>
  <w:style w:type="character" w:customStyle="1" w:styleId="CommentTextChar">
    <w:name w:val="Comment Text Char"/>
    <w:link w:val="CommentText"/>
    <w:rsid w:val="007235D2"/>
    <w:rPr>
      <w:rFonts w:ascii="Arial" w:hAnsi="Arial"/>
      <w:lang w:eastAsia="en-US"/>
    </w:rPr>
  </w:style>
  <w:style w:type="paragraph" w:styleId="CommentSubject">
    <w:name w:val="annotation subject"/>
    <w:basedOn w:val="CommentText"/>
    <w:next w:val="CommentText"/>
    <w:link w:val="CommentSubjectChar"/>
    <w:rsid w:val="007235D2"/>
    <w:rPr>
      <w:b/>
      <w:bCs/>
    </w:rPr>
  </w:style>
  <w:style w:type="character" w:customStyle="1" w:styleId="CommentSubjectChar">
    <w:name w:val="Comment Subject Char"/>
    <w:link w:val="CommentSubject"/>
    <w:rsid w:val="007235D2"/>
    <w:rPr>
      <w:rFonts w:ascii="Arial" w:hAnsi="Arial"/>
      <w:b/>
      <w:bCs/>
      <w:lang w:eastAsia="en-US"/>
    </w:rPr>
  </w:style>
  <w:style w:type="paragraph" w:styleId="BalloonText">
    <w:name w:val="Balloon Text"/>
    <w:basedOn w:val="Normal"/>
    <w:link w:val="BalloonTextChar"/>
    <w:rsid w:val="007235D2"/>
    <w:pPr>
      <w:spacing w:before="0"/>
    </w:pPr>
    <w:rPr>
      <w:rFonts w:ascii="Tahoma" w:hAnsi="Tahoma" w:cs="Tahoma"/>
      <w:sz w:val="16"/>
      <w:szCs w:val="16"/>
    </w:rPr>
  </w:style>
  <w:style w:type="character" w:customStyle="1" w:styleId="BalloonTextChar">
    <w:name w:val="Balloon Text Char"/>
    <w:link w:val="BalloonText"/>
    <w:rsid w:val="007235D2"/>
    <w:rPr>
      <w:rFonts w:ascii="Tahoma" w:hAnsi="Tahoma" w:cs="Tahoma"/>
      <w:sz w:val="16"/>
      <w:szCs w:val="16"/>
      <w:lang w:eastAsia="en-US"/>
    </w:rPr>
  </w:style>
  <w:style w:type="character" w:customStyle="1" w:styleId="Heading1Char">
    <w:name w:val="Heading 1 Char"/>
    <w:link w:val="Heading1"/>
    <w:uiPriority w:val="2"/>
    <w:rsid w:val="00473B4D"/>
    <w:rPr>
      <w:rFonts w:ascii="Arial" w:hAnsi="Arial"/>
      <w:b/>
      <w:kern w:val="28"/>
      <w:sz w:val="24"/>
      <w:lang w:eastAsia="en-US"/>
    </w:rPr>
  </w:style>
  <w:style w:type="character" w:customStyle="1" w:styleId="Heading2Char">
    <w:name w:val="Heading 2 Char"/>
    <w:link w:val="Heading2"/>
    <w:uiPriority w:val="2"/>
    <w:rsid w:val="00473B4D"/>
    <w:rPr>
      <w:rFonts w:ascii="Arial" w:hAnsi="Arial"/>
      <w:b/>
      <w:i/>
      <w:sz w:val="24"/>
      <w:lang w:val="en-US" w:eastAsia="en-US"/>
    </w:rPr>
  </w:style>
  <w:style w:type="character" w:customStyle="1" w:styleId="Heading3Char">
    <w:name w:val="Heading 3 Char"/>
    <w:link w:val="Heading3"/>
    <w:uiPriority w:val="9"/>
    <w:rsid w:val="00473B4D"/>
    <w:rPr>
      <w:rFonts w:ascii="Arial" w:hAnsi="Arial"/>
      <w:sz w:val="22"/>
      <w:lang w:eastAsia="en-US"/>
    </w:rPr>
  </w:style>
  <w:style w:type="paragraph" w:styleId="Title">
    <w:name w:val="Title"/>
    <w:basedOn w:val="Normal"/>
    <w:next w:val="Normal"/>
    <w:link w:val="TitleChar"/>
    <w:uiPriority w:val="10"/>
    <w:qFormat/>
    <w:rsid w:val="00473B4D"/>
    <w:pPr>
      <w:spacing w:before="1440" w:after="180"/>
      <w:contextualSpacing/>
    </w:pPr>
    <w:rPr>
      <w:rFonts w:ascii="Georgia" w:hAnsi="Georgia"/>
      <w:color w:val="500778"/>
      <w:spacing w:val="5"/>
      <w:sz w:val="66"/>
      <w:szCs w:val="52"/>
      <w:lang w:eastAsia="en-AU"/>
    </w:rPr>
  </w:style>
  <w:style w:type="character" w:customStyle="1" w:styleId="TitleChar">
    <w:name w:val="Title Char"/>
    <w:link w:val="Title"/>
    <w:uiPriority w:val="10"/>
    <w:rsid w:val="00473B4D"/>
    <w:rPr>
      <w:rFonts w:ascii="Georgia" w:hAnsi="Georgia"/>
      <w:color w:val="500778"/>
      <w:spacing w:val="5"/>
      <w:sz w:val="66"/>
      <w:szCs w:val="52"/>
    </w:rPr>
  </w:style>
  <w:style w:type="paragraph" w:styleId="Subtitle">
    <w:name w:val="Subtitle"/>
    <w:basedOn w:val="Normal"/>
    <w:next w:val="Normal"/>
    <w:link w:val="SubtitleChar"/>
    <w:uiPriority w:val="99"/>
    <w:qFormat/>
    <w:rsid w:val="00473B4D"/>
    <w:pPr>
      <w:spacing w:after="600"/>
    </w:pPr>
    <w:rPr>
      <w:rFonts w:ascii="Georgia" w:hAnsi="Georgia"/>
      <w:iCs/>
      <w:spacing w:val="6"/>
      <w:sz w:val="32"/>
      <w:szCs w:val="24"/>
      <w:lang w:eastAsia="en-AU"/>
    </w:rPr>
  </w:style>
  <w:style w:type="character" w:customStyle="1" w:styleId="SubtitleChar">
    <w:name w:val="Subtitle Char"/>
    <w:link w:val="Subtitle"/>
    <w:uiPriority w:val="99"/>
    <w:rsid w:val="00473B4D"/>
    <w:rPr>
      <w:rFonts w:ascii="Georgia" w:hAnsi="Georgia"/>
      <w:iCs/>
      <w:spacing w:val="6"/>
      <w:sz w:val="32"/>
      <w:szCs w:val="24"/>
    </w:rPr>
  </w:style>
  <w:style w:type="paragraph" w:styleId="TOCHeading">
    <w:name w:val="TOC Heading"/>
    <w:basedOn w:val="Heading1"/>
    <w:next w:val="Normal"/>
    <w:uiPriority w:val="39"/>
    <w:unhideWhenUsed/>
    <w:qFormat/>
    <w:rsid w:val="00473B4D"/>
    <w:pPr>
      <w:keepNext w:val="0"/>
      <w:spacing w:before="360" w:after="120"/>
      <w:contextualSpacing/>
      <w:outlineLvl w:val="9"/>
    </w:pPr>
    <w:rPr>
      <w:rFonts w:ascii="Georgia" w:hAnsi="Georgia"/>
      <w:b w:val="0"/>
      <w:bCs/>
      <w:color w:val="500778"/>
      <w:spacing w:val="4"/>
      <w:kern w:val="0"/>
      <w:sz w:val="36"/>
      <w:szCs w:val="28"/>
      <w:lang w:eastAsia="en-AU" w:bidi="en-US"/>
    </w:rPr>
  </w:style>
  <w:style w:type="character" w:customStyle="1" w:styleId="HeaderChar">
    <w:name w:val="Header Char"/>
    <w:link w:val="Header"/>
    <w:uiPriority w:val="99"/>
    <w:rsid w:val="00473B4D"/>
    <w:rPr>
      <w:rFonts w:ascii="Arial" w:hAnsi="Arial"/>
      <w:sz w:val="24"/>
      <w:lang w:eastAsia="en-US"/>
    </w:rPr>
  </w:style>
  <w:style w:type="character" w:customStyle="1" w:styleId="FooterChar">
    <w:name w:val="Footer Char"/>
    <w:link w:val="Footer"/>
    <w:uiPriority w:val="99"/>
    <w:rsid w:val="00473B4D"/>
    <w:rPr>
      <w:rFonts w:ascii="Arial" w:hAnsi="Arial"/>
      <w:sz w:val="24"/>
      <w:lang w:eastAsia="en-US"/>
    </w:rPr>
  </w:style>
  <w:style w:type="character" w:styleId="Hyperlink">
    <w:name w:val="Hyperlink"/>
    <w:uiPriority w:val="99"/>
    <w:rsid w:val="00473B4D"/>
    <w:rPr>
      <w:rFonts w:ascii="Arial" w:hAnsi="Arial"/>
      <w:b w:val="0"/>
      <w:color w:val="0000FF"/>
      <w:sz w:val="22"/>
      <w:u w:val="single"/>
    </w:rPr>
  </w:style>
  <w:style w:type="paragraph" w:styleId="TOC1">
    <w:name w:val="toc 1"/>
    <w:basedOn w:val="Normal"/>
    <w:next w:val="Normal"/>
    <w:autoRedefine/>
    <w:uiPriority w:val="39"/>
    <w:unhideWhenUsed/>
    <w:rsid w:val="0020618B"/>
    <w:pPr>
      <w:tabs>
        <w:tab w:val="right" w:leader="dot" w:pos="9345"/>
      </w:tabs>
      <w:spacing w:before="120" w:after="100" w:line="280" w:lineRule="atLeast"/>
    </w:pPr>
    <w:rPr>
      <w:spacing w:val="4"/>
      <w:szCs w:val="24"/>
      <w:lang w:eastAsia="en-AU"/>
    </w:rPr>
  </w:style>
  <w:style w:type="paragraph" w:customStyle="1" w:styleId="Smalltext">
    <w:name w:val="Small text"/>
    <w:basedOn w:val="Normal"/>
    <w:rsid w:val="00473B4D"/>
    <w:pPr>
      <w:spacing w:before="480" w:after="120"/>
    </w:pPr>
    <w:rPr>
      <w:spacing w:val="4"/>
      <w:sz w:val="12"/>
      <w:szCs w:val="16"/>
      <w:lang w:val="en-US" w:eastAsia="en-AU"/>
    </w:rPr>
  </w:style>
  <w:style w:type="paragraph" w:customStyle="1" w:styleId="Default">
    <w:name w:val="Default"/>
    <w:rsid w:val="004F473B"/>
    <w:pPr>
      <w:autoSpaceDE w:val="0"/>
      <w:autoSpaceDN w:val="0"/>
      <w:adjustRightInd w:val="0"/>
    </w:pPr>
    <w:rPr>
      <w:rFonts w:ascii="Myriad Pro" w:hAnsi="Myriad Pro" w:cs="Myriad Pro"/>
      <w:color w:val="000000"/>
      <w:sz w:val="24"/>
      <w:szCs w:val="24"/>
    </w:rPr>
  </w:style>
  <w:style w:type="table" w:styleId="LightList-Accent5">
    <w:name w:val="Light List Accent 5"/>
    <w:basedOn w:val="TableNormal"/>
    <w:uiPriority w:val="61"/>
    <w:rsid w:val="008E135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2">
    <w:name w:val="toc 2"/>
    <w:basedOn w:val="Normal"/>
    <w:next w:val="Normal"/>
    <w:autoRedefine/>
    <w:uiPriority w:val="39"/>
    <w:rsid w:val="0020618B"/>
    <w:pPr>
      <w:ind w:left="240"/>
    </w:pPr>
  </w:style>
  <w:style w:type="paragraph" w:styleId="TOC3">
    <w:name w:val="toc 3"/>
    <w:basedOn w:val="Normal"/>
    <w:next w:val="Normal"/>
    <w:autoRedefine/>
    <w:uiPriority w:val="39"/>
    <w:rsid w:val="0020618B"/>
    <w:pPr>
      <w:ind w:left="480"/>
    </w:pPr>
  </w:style>
  <w:style w:type="table" w:styleId="TableGrid">
    <w:name w:val="Table Grid"/>
    <w:basedOn w:val="TableNormal"/>
    <w:rsid w:val="0068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6827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6827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5829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829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5">
    <w:name w:val="Colorful Shading Accent 5"/>
    <w:basedOn w:val="TableNormal"/>
    <w:uiPriority w:val="71"/>
    <w:rsid w:val="009E35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Normal"/>
    <w:link w:val="Heading1Char"/>
    <w:uiPriority w:val="2"/>
    <w:qFormat/>
    <w:pPr>
      <w:keepNext/>
      <w:outlineLvl w:val="0"/>
    </w:pPr>
    <w:rPr>
      <w:b/>
      <w:kern w:val="28"/>
    </w:rPr>
  </w:style>
  <w:style w:type="paragraph" w:styleId="Heading2">
    <w:name w:val="heading 2"/>
    <w:basedOn w:val="Normal"/>
    <w:next w:val="Normal"/>
    <w:link w:val="Heading2Char"/>
    <w:uiPriority w:val="2"/>
    <w:qFormat/>
    <w:pPr>
      <w:keepNext/>
      <w:outlineLvl w:val="1"/>
    </w:pPr>
    <w:rPr>
      <w:b/>
      <w:i/>
      <w:lang w:val="en-US"/>
    </w:rPr>
  </w:style>
  <w:style w:type="paragraph" w:styleId="Heading3">
    <w:name w:val="heading 3"/>
    <w:basedOn w:val="Normal"/>
    <w:next w:val="Normal"/>
    <w:link w:val="Heading3Char"/>
    <w:uiPriority w:val="9"/>
    <w:qFormat/>
    <w:pPr>
      <w:keepNext/>
      <w:spacing w:after="6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keepLines/>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4B474F"/>
    <w:pPr>
      <w:spacing w:before="0" w:after="200"/>
      <w:ind w:left="720"/>
      <w:contextualSpacing/>
      <w:jc w:val="center"/>
    </w:pPr>
    <w:rPr>
      <w:rFonts w:eastAsia="Calibri" w:cs="Arial"/>
      <w:sz w:val="22"/>
      <w:szCs w:val="22"/>
    </w:rPr>
  </w:style>
  <w:style w:type="character" w:styleId="BookTitle">
    <w:name w:val="Book Title"/>
    <w:uiPriority w:val="33"/>
    <w:qFormat/>
    <w:rsid w:val="004B474F"/>
    <w:rPr>
      <w:i/>
      <w:iCs/>
      <w:smallCaps/>
      <w:spacing w:val="5"/>
    </w:rPr>
  </w:style>
  <w:style w:type="character" w:styleId="CommentReference">
    <w:name w:val="annotation reference"/>
    <w:rsid w:val="007235D2"/>
    <w:rPr>
      <w:sz w:val="16"/>
      <w:szCs w:val="16"/>
    </w:rPr>
  </w:style>
  <w:style w:type="paragraph" w:styleId="CommentText">
    <w:name w:val="annotation text"/>
    <w:basedOn w:val="Normal"/>
    <w:link w:val="CommentTextChar"/>
    <w:rsid w:val="007235D2"/>
    <w:rPr>
      <w:sz w:val="20"/>
    </w:rPr>
  </w:style>
  <w:style w:type="character" w:customStyle="1" w:styleId="CommentTextChar">
    <w:name w:val="Comment Text Char"/>
    <w:link w:val="CommentText"/>
    <w:rsid w:val="007235D2"/>
    <w:rPr>
      <w:rFonts w:ascii="Arial" w:hAnsi="Arial"/>
      <w:lang w:eastAsia="en-US"/>
    </w:rPr>
  </w:style>
  <w:style w:type="paragraph" w:styleId="CommentSubject">
    <w:name w:val="annotation subject"/>
    <w:basedOn w:val="CommentText"/>
    <w:next w:val="CommentText"/>
    <w:link w:val="CommentSubjectChar"/>
    <w:rsid w:val="007235D2"/>
    <w:rPr>
      <w:b/>
      <w:bCs/>
    </w:rPr>
  </w:style>
  <w:style w:type="character" w:customStyle="1" w:styleId="CommentSubjectChar">
    <w:name w:val="Comment Subject Char"/>
    <w:link w:val="CommentSubject"/>
    <w:rsid w:val="007235D2"/>
    <w:rPr>
      <w:rFonts w:ascii="Arial" w:hAnsi="Arial"/>
      <w:b/>
      <w:bCs/>
      <w:lang w:eastAsia="en-US"/>
    </w:rPr>
  </w:style>
  <w:style w:type="paragraph" w:styleId="BalloonText">
    <w:name w:val="Balloon Text"/>
    <w:basedOn w:val="Normal"/>
    <w:link w:val="BalloonTextChar"/>
    <w:rsid w:val="007235D2"/>
    <w:pPr>
      <w:spacing w:before="0"/>
    </w:pPr>
    <w:rPr>
      <w:rFonts w:ascii="Tahoma" w:hAnsi="Tahoma" w:cs="Tahoma"/>
      <w:sz w:val="16"/>
      <w:szCs w:val="16"/>
    </w:rPr>
  </w:style>
  <w:style w:type="character" w:customStyle="1" w:styleId="BalloonTextChar">
    <w:name w:val="Balloon Text Char"/>
    <w:link w:val="BalloonText"/>
    <w:rsid w:val="007235D2"/>
    <w:rPr>
      <w:rFonts w:ascii="Tahoma" w:hAnsi="Tahoma" w:cs="Tahoma"/>
      <w:sz w:val="16"/>
      <w:szCs w:val="16"/>
      <w:lang w:eastAsia="en-US"/>
    </w:rPr>
  </w:style>
  <w:style w:type="character" w:customStyle="1" w:styleId="Heading1Char">
    <w:name w:val="Heading 1 Char"/>
    <w:link w:val="Heading1"/>
    <w:uiPriority w:val="2"/>
    <w:rsid w:val="00473B4D"/>
    <w:rPr>
      <w:rFonts w:ascii="Arial" w:hAnsi="Arial"/>
      <w:b/>
      <w:kern w:val="28"/>
      <w:sz w:val="24"/>
      <w:lang w:eastAsia="en-US"/>
    </w:rPr>
  </w:style>
  <w:style w:type="character" w:customStyle="1" w:styleId="Heading2Char">
    <w:name w:val="Heading 2 Char"/>
    <w:link w:val="Heading2"/>
    <w:uiPriority w:val="2"/>
    <w:rsid w:val="00473B4D"/>
    <w:rPr>
      <w:rFonts w:ascii="Arial" w:hAnsi="Arial"/>
      <w:b/>
      <w:i/>
      <w:sz w:val="24"/>
      <w:lang w:val="en-US" w:eastAsia="en-US"/>
    </w:rPr>
  </w:style>
  <w:style w:type="character" w:customStyle="1" w:styleId="Heading3Char">
    <w:name w:val="Heading 3 Char"/>
    <w:link w:val="Heading3"/>
    <w:uiPriority w:val="9"/>
    <w:rsid w:val="00473B4D"/>
    <w:rPr>
      <w:rFonts w:ascii="Arial" w:hAnsi="Arial"/>
      <w:sz w:val="22"/>
      <w:lang w:eastAsia="en-US"/>
    </w:rPr>
  </w:style>
  <w:style w:type="paragraph" w:styleId="Title">
    <w:name w:val="Title"/>
    <w:basedOn w:val="Normal"/>
    <w:next w:val="Normal"/>
    <w:link w:val="TitleChar"/>
    <w:uiPriority w:val="10"/>
    <w:qFormat/>
    <w:rsid w:val="00473B4D"/>
    <w:pPr>
      <w:spacing w:before="1440" w:after="180"/>
      <w:contextualSpacing/>
    </w:pPr>
    <w:rPr>
      <w:rFonts w:ascii="Georgia" w:hAnsi="Georgia"/>
      <w:color w:val="500778"/>
      <w:spacing w:val="5"/>
      <w:sz w:val="66"/>
      <w:szCs w:val="52"/>
      <w:lang w:eastAsia="en-AU"/>
    </w:rPr>
  </w:style>
  <w:style w:type="character" w:customStyle="1" w:styleId="TitleChar">
    <w:name w:val="Title Char"/>
    <w:link w:val="Title"/>
    <w:uiPriority w:val="10"/>
    <w:rsid w:val="00473B4D"/>
    <w:rPr>
      <w:rFonts w:ascii="Georgia" w:hAnsi="Georgia"/>
      <w:color w:val="500778"/>
      <w:spacing w:val="5"/>
      <w:sz w:val="66"/>
      <w:szCs w:val="52"/>
    </w:rPr>
  </w:style>
  <w:style w:type="paragraph" w:styleId="Subtitle">
    <w:name w:val="Subtitle"/>
    <w:basedOn w:val="Normal"/>
    <w:next w:val="Normal"/>
    <w:link w:val="SubtitleChar"/>
    <w:uiPriority w:val="99"/>
    <w:qFormat/>
    <w:rsid w:val="00473B4D"/>
    <w:pPr>
      <w:spacing w:after="600"/>
    </w:pPr>
    <w:rPr>
      <w:rFonts w:ascii="Georgia" w:hAnsi="Georgia"/>
      <w:iCs/>
      <w:spacing w:val="6"/>
      <w:sz w:val="32"/>
      <w:szCs w:val="24"/>
      <w:lang w:eastAsia="en-AU"/>
    </w:rPr>
  </w:style>
  <w:style w:type="character" w:customStyle="1" w:styleId="SubtitleChar">
    <w:name w:val="Subtitle Char"/>
    <w:link w:val="Subtitle"/>
    <w:uiPriority w:val="99"/>
    <w:rsid w:val="00473B4D"/>
    <w:rPr>
      <w:rFonts w:ascii="Georgia" w:hAnsi="Georgia"/>
      <w:iCs/>
      <w:spacing w:val="6"/>
      <w:sz w:val="32"/>
      <w:szCs w:val="24"/>
    </w:rPr>
  </w:style>
  <w:style w:type="paragraph" w:styleId="TOCHeading">
    <w:name w:val="TOC Heading"/>
    <w:basedOn w:val="Heading1"/>
    <w:next w:val="Normal"/>
    <w:uiPriority w:val="39"/>
    <w:unhideWhenUsed/>
    <w:qFormat/>
    <w:rsid w:val="00473B4D"/>
    <w:pPr>
      <w:keepNext w:val="0"/>
      <w:spacing w:before="360" w:after="120"/>
      <w:contextualSpacing/>
      <w:outlineLvl w:val="9"/>
    </w:pPr>
    <w:rPr>
      <w:rFonts w:ascii="Georgia" w:hAnsi="Georgia"/>
      <w:b w:val="0"/>
      <w:bCs/>
      <w:color w:val="500778"/>
      <w:spacing w:val="4"/>
      <w:kern w:val="0"/>
      <w:sz w:val="36"/>
      <w:szCs w:val="28"/>
      <w:lang w:eastAsia="en-AU" w:bidi="en-US"/>
    </w:rPr>
  </w:style>
  <w:style w:type="character" w:customStyle="1" w:styleId="HeaderChar">
    <w:name w:val="Header Char"/>
    <w:link w:val="Header"/>
    <w:uiPriority w:val="99"/>
    <w:rsid w:val="00473B4D"/>
    <w:rPr>
      <w:rFonts w:ascii="Arial" w:hAnsi="Arial"/>
      <w:sz w:val="24"/>
      <w:lang w:eastAsia="en-US"/>
    </w:rPr>
  </w:style>
  <w:style w:type="character" w:customStyle="1" w:styleId="FooterChar">
    <w:name w:val="Footer Char"/>
    <w:link w:val="Footer"/>
    <w:uiPriority w:val="99"/>
    <w:rsid w:val="00473B4D"/>
    <w:rPr>
      <w:rFonts w:ascii="Arial" w:hAnsi="Arial"/>
      <w:sz w:val="24"/>
      <w:lang w:eastAsia="en-US"/>
    </w:rPr>
  </w:style>
  <w:style w:type="character" w:styleId="Hyperlink">
    <w:name w:val="Hyperlink"/>
    <w:uiPriority w:val="99"/>
    <w:rsid w:val="00473B4D"/>
    <w:rPr>
      <w:rFonts w:ascii="Arial" w:hAnsi="Arial"/>
      <w:b w:val="0"/>
      <w:color w:val="0000FF"/>
      <w:sz w:val="22"/>
      <w:u w:val="single"/>
    </w:rPr>
  </w:style>
  <w:style w:type="paragraph" w:styleId="TOC1">
    <w:name w:val="toc 1"/>
    <w:basedOn w:val="Normal"/>
    <w:next w:val="Normal"/>
    <w:autoRedefine/>
    <w:uiPriority w:val="39"/>
    <w:unhideWhenUsed/>
    <w:rsid w:val="0020618B"/>
    <w:pPr>
      <w:tabs>
        <w:tab w:val="right" w:leader="dot" w:pos="9345"/>
      </w:tabs>
      <w:spacing w:before="120" w:after="100" w:line="280" w:lineRule="atLeast"/>
    </w:pPr>
    <w:rPr>
      <w:spacing w:val="4"/>
      <w:szCs w:val="24"/>
      <w:lang w:eastAsia="en-AU"/>
    </w:rPr>
  </w:style>
  <w:style w:type="paragraph" w:customStyle="1" w:styleId="Smalltext">
    <w:name w:val="Small text"/>
    <w:basedOn w:val="Normal"/>
    <w:rsid w:val="00473B4D"/>
    <w:pPr>
      <w:spacing w:before="480" w:after="120"/>
    </w:pPr>
    <w:rPr>
      <w:spacing w:val="4"/>
      <w:sz w:val="12"/>
      <w:szCs w:val="16"/>
      <w:lang w:val="en-US" w:eastAsia="en-AU"/>
    </w:rPr>
  </w:style>
  <w:style w:type="paragraph" w:customStyle="1" w:styleId="Default">
    <w:name w:val="Default"/>
    <w:rsid w:val="004F473B"/>
    <w:pPr>
      <w:autoSpaceDE w:val="0"/>
      <w:autoSpaceDN w:val="0"/>
      <w:adjustRightInd w:val="0"/>
    </w:pPr>
    <w:rPr>
      <w:rFonts w:ascii="Myriad Pro" w:hAnsi="Myriad Pro" w:cs="Myriad Pro"/>
      <w:color w:val="000000"/>
      <w:sz w:val="24"/>
      <w:szCs w:val="24"/>
    </w:rPr>
  </w:style>
  <w:style w:type="table" w:styleId="LightList-Accent5">
    <w:name w:val="Light List Accent 5"/>
    <w:basedOn w:val="TableNormal"/>
    <w:uiPriority w:val="61"/>
    <w:rsid w:val="008E135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2">
    <w:name w:val="toc 2"/>
    <w:basedOn w:val="Normal"/>
    <w:next w:val="Normal"/>
    <w:autoRedefine/>
    <w:uiPriority w:val="39"/>
    <w:rsid w:val="0020618B"/>
    <w:pPr>
      <w:ind w:left="240"/>
    </w:pPr>
  </w:style>
  <w:style w:type="paragraph" w:styleId="TOC3">
    <w:name w:val="toc 3"/>
    <w:basedOn w:val="Normal"/>
    <w:next w:val="Normal"/>
    <w:autoRedefine/>
    <w:uiPriority w:val="39"/>
    <w:rsid w:val="0020618B"/>
    <w:pPr>
      <w:ind w:left="480"/>
    </w:pPr>
  </w:style>
  <w:style w:type="table" w:styleId="TableGrid">
    <w:name w:val="Table Grid"/>
    <w:basedOn w:val="TableNormal"/>
    <w:rsid w:val="0068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6827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6827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5829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829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5">
    <w:name w:val="Colorful Shading Accent 5"/>
    <w:basedOn w:val="TableNormal"/>
    <w:uiPriority w:val="71"/>
    <w:rsid w:val="009E35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027">
      <w:bodyDiv w:val="1"/>
      <w:marLeft w:val="0"/>
      <w:marRight w:val="0"/>
      <w:marTop w:val="0"/>
      <w:marBottom w:val="0"/>
      <w:divBdr>
        <w:top w:val="none" w:sz="0" w:space="0" w:color="auto"/>
        <w:left w:val="none" w:sz="0" w:space="0" w:color="auto"/>
        <w:bottom w:val="none" w:sz="0" w:space="0" w:color="auto"/>
        <w:right w:val="none" w:sz="0" w:space="0" w:color="auto"/>
      </w:divBdr>
    </w:div>
    <w:div w:id="12666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Secretary's%20Min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E795-FC3F-4D93-8A54-98B39FEC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Secretary's Minute</Template>
  <TotalTime>12</TotalTime>
  <Pages>12</Pages>
  <Words>2247</Words>
  <Characters>13372</Characters>
  <Application>Microsoft Office Word</Application>
  <DocSecurity>0</DocSecurity>
  <Lines>477</Lines>
  <Paragraphs>256</Paragraphs>
  <ScaleCrop>false</ScaleCrop>
  <HeadingPairs>
    <vt:vector size="2" baseType="variant">
      <vt:variant>
        <vt:lpstr>Title</vt:lpstr>
      </vt:variant>
      <vt:variant>
        <vt:i4>1</vt:i4>
      </vt:variant>
    </vt:vector>
  </HeadingPairs>
  <TitlesOfParts>
    <vt:vector size="1" baseType="lpstr">
      <vt:lpstr>FaCS Minute Template</vt:lpstr>
    </vt:vector>
  </TitlesOfParts>
  <Company>FaHCSIA</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 Minute Template</dc:title>
  <dc:creator>PEEL, Elizabeth</dc:creator>
  <dc:description>This template was created by Run Time Solutions. If you would like more information about this template please phone us on 0410 496 591</dc:description>
  <cp:lastModifiedBy>PEEL, Elizabeth</cp:lastModifiedBy>
  <cp:revision>4</cp:revision>
  <cp:lastPrinted>2017-04-26T06:33:00Z</cp:lastPrinted>
  <dcterms:created xsi:type="dcterms:W3CDTF">2017-04-28T01:16:00Z</dcterms:created>
  <dcterms:modified xsi:type="dcterms:W3CDTF">2017-04-28T04:24:00Z</dcterms:modified>
</cp:coreProperties>
</file>